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448310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474345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4" w:lineRule="exact"/>
        <w:rPr>
          <w:sz w:val="24"/>
          <w:szCs w:val="24"/>
          <w:color w:val="auto"/>
        </w:rPr>
      </w:pPr>
    </w:p>
    <w:tbl>
      <w:tblPr>
        <w:tblLayout w:type="fixed"/>
        <w:tblInd w:w="340" w:type="dxa"/>
        <w:tblCellMar>
          <w:top w:w="0" w:type="dxa"/>
          <w:left w:w="0" w:type="dxa"/>
          <w:bottom w:w="0" w:type="dxa"/>
          <w:right w:w="0" w:type="dxa"/>
        </w:tblCellMar>
      </w:tblPr>
      <w:tr>
        <w:trPr>
          <w:trHeight w:val="216"/>
        </w:trPr>
        <w:tc>
          <w:tcPr>
            <w:tcW w:w="1420" w:type="dxa"/>
            <w:vAlign w:val="bottom"/>
          </w:tcPr>
          <w:p>
            <w:pPr>
              <w:spacing w:after="0"/>
              <w:rPr>
                <w:sz w:val="18"/>
                <w:szCs w:val="18"/>
                <w:color w:val="auto"/>
              </w:rPr>
            </w:pPr>
          </w:p>
        </w:tc>
        <w:tc>
          <w:tcPr>
            <w:tcW w:w="6980" w:type="dxa"/>
            <w:vAlign w:val="bottom"/>
          </w:tcPr>
          <w:p>
            <w:pPr>
              <w:jc w:val="center"/>
              <w:ind w:left="650"/>
              <w:spacing w:after="0"/>
              <w:rPr>
                <w:sz w:val="20"/>
                <w:szCs w:val="20"/>
                <w:color w:val="auto"/>
              </w:rPr>
            </w:pPr>
            <w:r>
              <w:rPr>
                <w:rFonts w:ascii="Times New Roman" w:cs="Times New Roman" w:eastAsia="Times New Roman" w:hAnsi="Times New Roman"/>
                <w:sz w:val="18"/>
                <w:szCs w:val="18"/>
                <w:b w:val="1"/>
                <w:bCs w:val="1"/>
                <w:color w:val="auto"/>
                <w:w w:val="97"/>
              </w:rPr>
              <w:t>UNITED STATES</w:t>
            </w:r>
          </w:p>
        </w:tc>
      </w:tr>
      <w:tr>
        <w:trPr>
          <w:trHeight w:val="238"/>
        </w:trPr>
        <w:tc>
          <w:tcPr>
            <w:tcW w:w="1420" w:type="dxa"/>
            <w:vAlign w:val="bottom"/>
          </w:tcPr>
          <w:p>
            <w:pPr>
              <w:spacing w:after="0"/>
              <w:rPr>
                <w:sz w:val="20"/>
                <w:szCs w:val="20"/>
                <w:color w:val="auto"/>
              </w:rPr>
            </w:pPr>
          </w:p>
        </w:tc>
        <w:tc>
          <w:tcPr>
            <w:tcW w:w="6980" w:type="dxa"/>
            <w:vAlign w:val="bottom"/>
          </w:tcPr>
          <w:p>
            <w:pPr>
              <w:jc w:val="center"/>
              <w:ind w:left="65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tc>
      </w:tr>
      <w:tr>
        <w:trPr>
          <w:trHeight w:val="243"/>
        </w:trPr>
        <w:tc>
          <w:tcPr>
            <w:tcW w:w="1420" w:type="dxa"/>
            <w:vAlign w:val="bottom"/>
          </w:tcPr>
          <w:p>
            <w:pPr>
              <w:spacing w:after="0"/>
              <w:rPr>
                <w:sz w:val="21"/>
                <w:szCs w:val="21"/>
                <w:color w:val="auto"/>
              </w:rPr>
            </w:pPr>
          </w:p>
        </w:tc>
        <w:tc>
          <w:tcPr>
            <w:tcW w:w="6980" w:type="dxa"/>
            <w:vAlign w:val="bottom"/>
          </w:tcPr>
          <w:p>
            <w:pPr>
              <w:jc w:val="center"/>
              <w:ind w:left="670"/>
              <w:spacing w:after="0"/>
              <w:rPr>
                <w:sz w:val="20"/>
                <w:szCs w:val="20"/>
                <w:color w:val="auto"/>
              </w:rPr>
            </w:pPr>
            <w:r>
              <w:rPr>
                <w:rFonts w:ascii="Times New Roman" w:cs="Times New Roman" w:eastAsia="Times New Roman" w:hAnsi="Times New Roman"/>
                <w:sz w:val="18"/>
                <w:szCs w:val="18"/>
                <w:b w:val="1"/>
                <w:bCs w:val="1"/>
                <w:color w:val="auto"/>
                <w:w w:val="99"/>
              </w:rPr>
              <w:t>Washington, D.C. 20549</w:t>
            </w:r>
          </w:p>
        </w:tc>
      </w:tr>
      <w:tr>
        <w:trPr>
          <w:trHeight w:val="432"/>
        </w:trPr>
        <w:tc>
          <w:tcPr>
            <w:tcW w:w="1420" w:type="dxa"/>
            <w:vAlign w:val="bottom"/>
          </w:tcPr>
          <w:p>
            <w:pPr>
              <w:spacing w:after="0"/>
              <w:rPr>
                <w:sz w:val="24"/>
                <w:szCs w:val="24"/>
                <w:color w:val="auto"/>
              </w:rPr>
            </w:pPr>
          </w:p>
        </w:tc>
        <w:tc>
          <w:tcPr>
            <w:tcW w:w="6980" w:type="dxa"/>
            <w:vAlign w:val="bottom"/>
          </w:tcPr>
          <w:p>
            <w:pPr>
              <w:jc w:val="center"/>
              <w:ind w:left="670"/>
              <w:spacing w:after="0"/>
              <w:rPr>
                <w:sz w:val="20"/>
                <w:szCs w:val="20"/>
                <w:color w:val="auto"/>
              </w:rPr>
            </w:pPr>
            <w:r>
              <w:rPr>
                <w:rFonts w:ascii="Times New Roman" w:cs="Times New Roman" w:eastAsia="Times New Roman" w:hAnsi="Times New Roman"/>
                <w:sz w:val="18"/>
                <w:szCs w:val="18"/>
                <w:b w:val="1"/>
                <w:bCs w:val="1"/>
                <w:color w:val="auto"/>
              </w:rPr>
              <w:t>FORM 10-K</w:t>
            </w:r>
          </w:p>
        </w:tc>
      </w:tr>
      <w:tr>
        <w:trPr>
          <w:trHeight w:val="435"/>
        </w:trPr>
        <w:tc>
          <w:tcPr>
            <w:tcW w:w="1420" w:type="dxa"/>
            <w:vAlign w:val="bottom"/>
          </w:tcPr>
          <w:p>
            <w:pPr>
              <w:jc w:val="center"/>
              <w:ind w:right="656"/>
              <w:spacing w:after="0"/>
              <w:rPr>
                <w:sz w:val="20"/>
                <w:szCs w:val="20"/>
                <w:color w:val="auto"/>
              </w:rPr>
            </w:pPr>
            <w:r>
              <w:rPr>
                <w:rFonts w:ascii="Times New Roman" w:cs="Times New Roman" w:eastAsia="Times New Roman" w:hAnsi="Times New Roman"/>
                <w:sz w:val="14"/>
                <w:szCs w:val="14"/>
                <w:color w:val="auto"/>
              </w:rPr>
              <w:t>(Mark One)</w:t>
            </w:r>
          </w:p>
        </w:tc>
        <w:tc>
          <w:tcPr>
            <w:tcW w:w="6980" w:type="dxa"/>
            <w:vAlign w:val="bottom"/>
          </w:tcPr>
          <w:p>
            <w:pPr>
              <w:spacing w:after="0"/>
              <w:rPr>
                <w:sz w:val="24"/>
                <w:szCs w:val="24"/>
                <w:color w:val="auto"/>
              </w:rPr>
            </w:pPr>
          </w:p>
        </w:tc>
      </w:tr>
      <w:tr>
        <w:trPr>
          <w:trHeight w:val="213"/>
        </w:trPr>
        <w:tc>
          <w:tcPr>
            <w:tcW w:w="1420" w:type="dxa"/>
            <w:vAlign w:val="bottom"/>
          </w:tcPr>
          <w:p>
            <w:pPr>
              <w:jc w:val="center"/>
              <w:ind w:right="656"/>
              <w:spacing w:after="0"/>
              <w:rPr>
                <w:sz w:val="20"/>
                <w:szCs w:val="20"/>
                <w:color w:val="auto"/>
              </w:rPr>
            </w:pPr>
            <w:r>
              <w:rPr>
                <w:rFonts w:ascii="Wingdings" w:cs="Wingdings" w:eastAsia="Wingdings" w:hAnsi="Wingdings"/>
                <w:sz w:val="18"/>
                <w:szCs w:val="18"/>
                <w:b w:val="1"/>
                <w:bCs w:val="1"/>
                <w:color w:val="auto"/>
              </w:rPr>
              <w:t>x</w:t>
            </w:r>
          </w:p>
        </w:tc>
        <w:tc>
          <w:tcPr>
            <w:tcW w:w="6980" w:type="dxa"/>
            <w:vAlign w:val="bottom"/>
          </w:tcPr>
          <w:p>
            <w:pPr>
              <w:jc w:val="center"/>
              <w:ind w:left="650"/>
              <w:spacing w:after="0"/>
              <w:rPr>
                <w:sz w:val="20"/>
                <w:szCs w:val="20"/>
                <w:color w:val="auto"/>
              </w:rPr>
            </w:pPr>
            <w:r>
              <w:rPr>
                <w:rFonts w:ascii="Times New Roman" w:cs="Times New Roman" w:eastAsia="Times New Roman" w:hAnsi="Times New Roman"/>
                <w:sz w:val="18"/>
                <w:szCs w:val="18"/>
                <w:color w:val="auto"/>
                <w:w w:val="99"/>
              </w:rPr>
              <w:t>ANNUAL REPORT PURSUANT TO SECTION 13 OR 15(d) OF THE SECURITIES</w:t>
            </w:r>
          </w:p>
        </w:tc>
      </w:tr>
      <w:tr>
        <w:trPr>
          <w:trHeight w:val="171"/>
        </w:trPr>
        <w:tc>
          <w:tcPr>
            <w:tcW w:w="1420" w:type="dxa"/>
            <w:vAlign w:val="bottom"/>
          </w:tcPr>
          <w:p>
            <w:pPr>
              <w:spacing w:after="0"/>
              <w:rPr>
                <w:sz w:val="14"/>
                <w:szCs w:val="14"/>
                <w:color w:val="auto"/>
              </w:rPr>
            </w:pPr>
          </w:p>
        </w:tc>
        <w:tc>
          <w:tcPr>
            <w:tcW w:w="6980" w:type="dxa"/>
            <w:vAlign w:val="bottom"/>
          </w:tcPr>
          <w:p>
            <w:pPr>
              <w:jc w:val="center"/>
              <w:ind w:left="650"/>
              <w:spacing w:after="0" w:line="170" w:lineRule="exact"/>
              <w:rPr>
                <w:sz w:val="20"/>
                <w:szCs w:val="20"/>
                <w:color w:val="auto"/>
              </w:rPr>
            </w:pPr>
            <w:r>
              <w:rPr>
                <w:rFonts w:ascii="Times New Roman" w:cs="Times New Roman" w:eastAsia="Times New Roman" w:hAnsi="Times New Roman"/>
                <w:sz w:val="18"/>
                <w:szCs w:val="18"/>
                <w:color w:val="auto"/>
              </w:rPr>
              <w:t>EXCHANGE ACT OF 1934</w:t>
            </w:r>
          </w:p>
        </w:tc>
      </w:tr>
      <w:tr>
        <w:trPr>
          <w:trHeight w:val="234"/>
        </w:trPr>
        <w:tc>
          <w:tcPr>
            <w:tcW w:w="1420" w:type="dxa"/>
            <w:vAlign w:val="bottom"/>
          </w:tcPr>
          <w:p>
            <w:pPr>
              <w:spacing w:after="0"/>
              <w:rPr>
                <w:sz w:val="20"/>
                <w:szCs w:val="20"/>
                <w:color w:val="auto"/>
              </w:rPr>
            </w:pPr>
          </w:p>
        </w:tc>
        <w:tc>
          <w:tcPr>
            <w:tcW w:w="6980" w:type="dxa"/>
            <w:vAlign w:val="bottom"/>
          </w:tcPr>
          <w:p>
            <w:pPr>
              <w:jc w:val="center"/>
              <w:ind w:left="650"/>
              <w:spacing w:after="0"/>
              <w:rPr>
                <w:sz w:val="20"/>
                <w:szCs w:val="20"/>
                <w:color w:val="auto"/>
              </w:rPr>
            </w:pPr>
            <w:r>
              <w:rPr>
                <w:rFonts w:ascii="Times New Roman" w:cs="Times New Roman" w:eastAsia="Times New Roman" w:hAnsi="Times New Roman"/>
                <w:sz w:val="18"/>
                <w:szCs w:val="18"/>
                <w:color w:val="auto"/>
              </w:rPr>
              <w:t>For the fiscal year ended December 31, 2023</w:t>
            </w:r>
          </w:p>
        </w:tc>
      </w:tr>
      <w:tr>
        <w:trPr>
          <w:trHeight w:val="459"/>
        </w:trPr>
        <w:tc>
          <w:tcPr>
            <w:tcW w:w="1420" w:type="dxa"/>
            <w:vAlign w:val="bottom"/>
          </w:tcPr>
          <w:p>
            <w:pPr>
              <w:jc w:val="center"/>
              <w:ind w:right="656"/>
              <w:spacing w:after="0" w:line="181" w:lineRule="exact"/>
              <w:rPr>
                <w:sz w:val="20"/>
                <w:szCs w:val="20"/>
                <w:color w:val="auto"/>
              </w:rPr>
            </w:pPr>
            <w:r>
              <w:rPr>
                <w:rFonts w:ascii="MS PGothic" w:cs="MS PGothic" w:eastAsia="MS PGothic" w:hAnsi="MS PGothic"/>
                <w:sz w:val="18"/>
                <w:szCs w:val="18"/>
                <w:color w:val="auto"/>
                <w:w w:val="88"/>
              </w:rPr>
              <w:t>☐</w:t>
            </w:r>
          </w:p>
        </w:tc>
        <w:tc>
          <w:tcPr>
            <w:tcW w:w="6980" w:type="dxa"/>
            <w:vAlign w:val="bottom"/>
          </w:tcPr>
          <w:p>
            <w:pPr>
              <w:jc w:val="center"/>
              <w:ind w:left="590"/>
              <w:spacing w:after="0"/>
              <w:rPr>
                <w:sz w:val="20"/>
                <w:szCs w:val="20"/>
                <w:color w:val="auto"/>
              </w:rPr>
            </w:pPr>
            <w:r>
              <w:rPr>
                <w:rFonts w:ascii="Times New Roman" w:cs="Times New Roman" w:eastAsia="Times New Roman" w:hAnsi="Times New Roman"/>
                <w:sz w:val="18"/>
                <w:szCs w:val="18"/>
                <w:color w:val="auto"/>
                <w:w w:val="99"/>
              </w:rPr>
              <w:t>TRANSITION REPORT PURSUANT TO SECTION 13 OR 15(d) OF THE</w:t>
            </w:r>
          </w:p>
        </w:tc>
      </w:tr>
      <w:tr>
        <w:trPr>
          <w:trHeight w:val="171"/>
        </w:trPr>
        <w:tc>
          <w:tcPr>
            <w:tcW w:w="1420" w:type="dxa"/>
            <w:vAlign w:val="bottom"/>
          </w:tcPr>
          <w:p>
            <w:pPr>
              <w:spacing w:after="0"/>
              <w:rPr>
                <w:sz w:val="14"/>
                <w:szCs w:val="14"/>
                <w:color w:val="auto"/>
              </w:rPr>
            </w:pPr>
          </w:p>
        </w:tc>
        <w:tc>
          <w:tcPr>
            <w:tcW w:w="6980" w:type="dxa"/>
            <w:vAlign w:val="bottom"/>
          </w:tcPr>
          <w:p>
            <w:pPr>
              <w:jc w:val="center"/>
              <w:ind w:left="590"/>
              <w:spacing w:after="0" w:line="170" w:lineRule="exact"/>
              <w:rPr>
                <w:sz w:val="20"/>
                <w:szCs w:val="20"/>
                <w:color w:val="auto"/>
              </w:rPr>
            </w:pPr>
            <w:r>
              <w:rPr>
                <w:rFonts w:ascii="Times New Roman" w:cs="Times New Roman" w:eastAsia="Times New Roman" w:hAnsi="Times New Roman"/>
                <w:sz w:val="18"/>
                <w:szCs w:val="18"/>
                <w:color w:val="auto"/>
                <w:w w:val="99"/>
              </w:rPr>
              <w:t>SECURITIES EXCHANGE ACT OF 1934</w:t>
            </w:r>
          </w:p>
        </w:tc>
      </w:tr>
      <w:tr>
        <w:trPr>
          <w:trHeight w:val="234"/>
        </w:trPr>
        <w:tc>
          <w:tcPr>
            <w:tcW w:w="1420" w:type="dxa"/>
            <w:vAlign w:val="bottom"/>
          </w:tcPr>
          <w:p>
            <w:pPr>
              <w:spacing w:after="0"/>
              <w:rPr>
                <w:sz w:val="20"/>
                <w:szCs w:val="20"/>
                <w:color w:val="auto"/>
              </w:rPr>
            </w:pPr>
          </w:p>
        </w:tc>
        <w:tc>
          <w:tcPr>
            <w:tcW w:w="6980" w:type="dxa"/>
            <w:vAlign w:val="bottom"/>
          </w:tcPr>
          <w:p>
            <w:pPr>
              <w:jc w:val="center"/>
              <w:ind w:left="650"/>
              <w:spacing w:after="0"/>
              <w:rPr>
                <w:sz w:val="20"/>
                <w:szCs w:val="20"/>
                <w:color w:val="auto"/>
              </w:rPr>
            </w:pPr>
            <w:r>
              <w:rPr>
                <w:rFonts w:ascii="Times New Roman" w:cs="Times New Roman" w:eastAsia="Times New Roman" w:hAnsi="Times New Roman"/>
                <w:sz w:val="18"/>
                <w:szCs w:val="18"/>
                <w:color w:val="auto"/>
              </w:rPr>
              <w:t>For the transition period from _______ to _______</w:t>
            </w:r>
          </w:p>
        </w:tc>
      </w:tr>
      <w:tr>
        <w:trPr>
          <w:trHeight w:val="527"/>
        </w:trPr>
        <w:tc>
          <w:tcPr>
            <w:tcW w:w="1420" w:type="dxa"/>
            <w:vAlign w:val="bottom"/>
          </w:tcPr>
          <w:p>
            <w:pPr>
              <w:spacing w:after="0"/>
              <w:rPr>
                <w:sz w:val="24"/>
                <w:szCs w:val="24"/>
                <w:color w:val="auto"/>
              </w:rPr>
            </w:pPr>
          </w:p>
        </w:tc>
        <w:tc>
          <w:tcPr>
            <w:tcW w:w="6980" w:type="dxa"/>
            <w:vAlign w:val="bottom"/>
          </w:tcPr>
          <w:p>
            <w:pPr>
              <w:jc w:val="center"/>
              <w:ind w:left="670"/>
              <w:spacing w:after="0"/>
              <w:rPr>
                <w:sz w:val="20"/>
                <w:szCs w:val="20"/>
                <w:color w:val="auto"/>
              </w:rPr>
            </w:pPr>
            <w:r>
              <w:rPr>
                <w:rFonts w:ascii="Times New Roman" w:cs="Times New Roman" w:eastAsia="Times New Roman" w:hAnsi="Times New Roman"/>
                <w:sz w:val="18"/>
                <w:szCs w:val="18"/>
                <w:color w:val="auto"/>
              </w:rPr>
              <w:t>Commission file number 000-20827</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3305175</wp:posOffset>
            </wp:positionH>
            <wp:positionV relativeFrom="paragraph">
              <wp:posOffset>137160</wp:posOffset>
            </wp:positionV>
            <wp:extent cx="531495" cy="4718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31495" cy="4718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CASS INFORMATION SYSTEMS,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227965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30480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8"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680" w:type="dxa"/>
            <w:vAlign w:val="bottom"/>
          </w:tcPr>
          <w:p>
            <w:pPr>
              <w:spacing w:after="0"/>
              <w:rPr>
                <w:sz w:val="20"/>
                <w:szCs w:val="20"/>
                <w:color w:val="auto"/>
              </w:rPr>
            </w:pPr>
          </w:p>
        </w:tc>
        <w:tc>
          <w:tcPr>
            <w:tcW w:w="7560" w:type="dxa"/>
            <w:vAlign w:val="bottom"/>
            <w:gridSpan w:val="5"/>
          </w:tcPr>
          <w:p>
            <w:pPr>
              <w:jc w:val="center"/>
              <w:ind w:right="359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r>
      <w:tr>
        <w:trPr>
          <w:trHeight w:val="520"/>
        </w:trPr>
        <w:tc>
          <w:tcPr>
            <w:tcW w:w="3680" w:type="dxa"/>
            <w:vAlign w:val="bottom"/>
            <w:tcBorders>
              <w:bottom w:val="single" w:sz="8" w:color="auto"/>
            </w:tcBorders>
          </w:tcPr>
          <w:p>
            <w:pPr>
              <w:ind w:left="2500"/>
              <w:spacing w:after="0"/>
              <w:rPr>
                <w:sz w:val="20"/>
                <w:szCs w:val="20"/>
                <w:color w:val="auto"/>
              </w:rPr>
            </w:pPr>
            <w:r>
              <w:rPr>
                <w:rFonts w:ascii="Times New Roman" w:cs="Times New Roman" w:eastAsia="Times New Roman" w:hAnsi="Times New Roman"/>
                <w:sz w:val="18"/>
                <w:szCs w:val="18"/>
                <w:color w:val="auto"/>
              </w:rPr>
              <w:t>Missouri</w:t>
            </w:r>
          </w:p>
        </w:tc>
        <w:tc>
          <w:tcPr>
            <w:tcW w:w="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tcPr>
          <w:p>
            <w:pPr>
              <w:spacing w:after="0"/>
              <w:rPr>
                <w:sz w:val="24"/>
                <w:szCs w:val="24"/>
                <w:color w:val="auto"/>
              </w:rPr>
            </w:pPr>
          </w:p>
        </w:tc>
        <w:tc>
          <w:tcPr>
            <w:tcW w:w="4260" w:type="dxa"/>
            <w:vAlign w:val="bottom"/>
            <w:tcBorders>
              <w:bottom w:val="single" w:sz="8" w:color="auto"/>
            </w:tcBorders>
            <w:gridSpan w:val="2"/>
          </w:tcPr>
          <w:p>
            <w:pPr>
              <w:jc w:val="right"/>
              <w:ind w:right="2210"/>
              <w:spacing w:after="0"/>
              <w:rPr>
                <w:sz w:val="20"/>
                <w:szCs w:val="20"/>
                <w:color w:val="auto"/>
              </w:rPr>
            </w:pPr>
            <w:r>
              <w:rPr>
                <w:rFonts w:ascii="Times New Roman" w:cs="Times New Roman" w:eastAsia="Times New Roman" w:hAnsi="Times New Roman"/>
                <w:sz w:val="18"/>
                <w:szCs w:val="18"/>
                <w:color w:val="auto"/>
              </w:rPr>
              <w:t>43-1265338</w:t>
            </w:r>
          </w:p>
        </w:tc>
      </w:tr>
      <w:tr>
        <w:trPr>
          <w:trHeight w:val="243"/>
        </w:trPr>
        <w:tc>
          <w:tcPr>
            <w:tcW w:w="6980" w:type="dxa"/>
            <w:vAlign w:val="bottom"/>
            <w:gridSpan w:val="4"/>
          </w:tcPr>
          <w:p>
            <w:pPr>
              <w:ind w:left="540"/>
              <w:spacing w:after="0"/>
              <w:rPr>
                <w:sz w:val="20"/>
                <w:szCs w:val="20"/>
                <w:color w:val="auto"/>
              </w:rPr>
            </w:pPr>
            <w:r>
              <w:rPr>
                <w:rFonts w:ascii="Times New Roman" w:cs="Times New Roman" w:eastAsia="Times New Roman" w:hAnsi="Times New Roman"/>
                <w:sz w:val="18"/>
                <w:szCs w:val="18"/>
                <w:color w:val="auto"/>
              </w:rPr>
              <w:t>(State or other jurisdiction of incorporation or organization)</w:t>
            </w:r>
          </w:p>
        </w:tc>
        <w:tc>
          <w:tcPr>
            <w:tcW w:w="120" w:type="dxa"/>
            <w:vAlign w:val="bottom"/>
          </w:tcPr>
          <w:p>
            <w:pPr>
              <w:spacing w:after="0"/>
              <w:rPr>
                <w:sz w:val="21"/>
                <w:szCs w:val="21"/>
                <w:color w:val="auto"/>
              </w:rPr>
            </w:pPr>
          </w:p>
        </w:tc>
        <w:tc>
          <w:tcPr>
            <w:tcW w:w="4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520"/>
        </w:trPr>
        <w:tc>
          <w:tcPr>
            <w:tcW w:w="6980" w:type="dxa"/>
            <w:vAlign w:val="bottom"/>
            <w:tcBorders>
              <w:bottom w:val="single" w:sz="8" w:color="auto"/>
            </w:tcBorders>
            <w:gridSpan w:val="4"/>
          </w:tcPr>
          <w:p>
            <w:pPr>
              <w:ind w:left="400"/>
              <w:spacing w:after="0"/>
              <w:rPr>
                <w:sz w:val="20"/>
                <w:szCs w:val="20"/>
                <w:color w:val="auto"/>
              </w:rPr>
            </w:pPr>
            <w:r>
              <w:rPr>
                <w:rFonts w:ascii="Times New Roman" w:cs="Times New Roman" w:eastAsia="Times New Roman" w:hAnsi="Times New Roman"/>
                <w:sz w:val="18"/>
                <w:szCs w:val="18"/>
                <w:color w:val="auto"/>
              </w:rPr>
              <w:t>12444 Powerscourt Drive, Suite 550, St. Louis, Missouri 63131</w:t>
            </w:r>
          </w:p>
        </w:tc>
        <w:tc>
          <w:tcPr>
            <w:tcW w:w="4260" w:type="dxa"/>
            <w:vAlign w:val="bottom"/>
            <w:tcBorders>
              <w:bottom w:val="single" w:sz="8" w:color="auto"/>
            </w:tcBorders>
            <w:gridSpan w:val="2"/>
          </w:tcPr>
          <w:p>
            <w:pPr>
              <w:jc w:val="right"/>
              <w:ind w:right="2070"/>
              <w:spacing w:after="0"/>
              <w:rPr>
                <w:sz w:val="20"/>
                <w:szCs w:val="20"/>
                <w:color w:val="auto"/>
              </w:rPr>
            </w:pPr>
            <w:r>
              <w:rPr>
                <w:rFonts w:ascii="Times New Roman" w:cs="Times New Roman" w:eastAsia="Times New Roman" w:hAnsi="Times New Roman"/>
                <w:sz w:val="18"/>
                <w:szCs w:val="18"/>
                <w:color w:val="auto"/>
              </w:rPr>
              <w:t>(314) 506-5500</w:t>
            </w:r>
          </w:p>
        </w:tc>
      </w:tr>
      <w:tr>
        <w:trPr>
          <w:trHeight w:val="250"/>
        </w:trPr>
        <w:tc>
          <w:tcPr>
            <w:tcW w:w="368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3300" w:type="dxa"/>
            <w:vAlign w:val="bottom"/>
            <w:tcBorders>
              <w:bottom w:val="single" w:sz="8" w:color="auto"/>
            </w:tcBorders>
            <w:gridSpan w:val="3"/>
          </w:tcPr>
          <w:p>
            <w:pPr>
              <w:ind w:left="280"/>
              <w:spacing w:after="0"/>
              <w:rPr>
                <w:sz w:val="20"/>
                <w:szCs w:val="20"/>
                <w:color w:val="auto"/>
              </w:rPr>
            </w:pPr>
            <w:r>
              <w:rPr>
                <w:rFonts w:ascii="Times New Roman" w:cs="Times New Roman" w:eastAsia="Times New Roman" w:hAnsi="Times New Roman"/>
                <w:sz w:val="18"/>
                <w:szCs w:val="18"/>
                <w:color w:val="auto"/>
              </w:rPr>
              <w:t>(Zip Code)</w:t>
            </w:r>
          </w:p>
        </w:tc>
        <w:tc>
          <w:tcPr>
            <w:tcW w:w="120" w:type="dxa"/>
            <w:vAlign w:val="bottom"/>
            <w:tcBorders>
              <w:bottom w:val="single" w:sz="8" w:color="auto"/>
            </w:tcBorders>
          </w:tcPr>
          <w:p>
            <w:pPr>
              <w:spacing w:after="0"/>
              <w:rPr>
                <w:sz w:val="21"/>
                <w:szCs w:val="21"/>
                <w:color w:val="auto"/>
              </w:rPr>
            </w:pPr>
          </w:p>
        </w:tc>
        <w:tc>
          <w:tcPr>
            <w:tcW w:w="41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(Telephone Number, incl. area code)</w:t>
            </w:r>
          </w:p>
        </w:tc>
      </w:tr>
      <w:tr>
        <w:trPr>
          <w:trHeight w:val="580"/>
        </w:trPr>
        <w:tc>
          <w:tcPr>
            <w:tcW w:w="69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120" w:type="dxa"/>
            <w:vAlign w:val="bottom"/>
          </w:tcPr>
          <w:p>
            <w:pPr>
              <w:spacing w:after="0"/>
              <w:rPr>
                <w:sz w:val="24"/>
                <w:szCs w:val="24"/>
                <w:color w:val="auto"/>
              </w:rPr>
            </w:pPr>
          </w:p>
        </w:tc>
        <w:tc>
          <w:tcPr>
            <w:tcW w:w="4140" w:type="dxa"/>
            <w:vAlign w:val="bottom"/>
          </w:tcPr>
          <w:p>
            <w:pPr>
              <w:spacing w:after="0"/>
              <w:rPr>
                <w:sz w:val="24"/>
                <w:szCs w:val="24"/>
                <w:color w:val="auto"/>
              </w:rPr>
            </w:pPr>
          </w:p>
        </w:tc>
      </w:tr>
      <w:tr>
        <w:trPr>
          <w:trHeight w:val="263"/>
        </w:trPr>
        <w:tc>
          <w:tcPr>
            <w:tcW w:w="3680" w:type="dxa"/>
            <w:vAlign w:val="bottom"/>
            <w:tcBorders>
              <w:bottom w:val="single" w:sz="8" w:color="auto"/>
            </w:tcBorders>
          </w:tcPr>
          <w:p>
            <w:pPr>
              <w:ind w:left="1420"/>
              <w:spacing w:after="0"/>
              <w:rPr>
                <w:sz w:val="20"/>
                <w:szCs w:val="20"/>
                <w:color w:val="auto"/>
              </w:rPr>
            </w:pPr>
            <w:r>
              <w:rPr>
                <w:rFonts w:ascii="Times New Roman" w:cs="Times New Roman" w:eastAsia="Times New Roman" w:hAnsi="Times New Roman"/>
                <w:sz w:val="18"/>
                <w:szCs w:val="18"/>
                <w:color w:val="auto"/>
              </w:rPr>
              <w:t>Title of each class</w:t>
            </w:r>
          </w:p>
        </w:tc>
        <w:tc>
          <w:tcPr>
            <w:tcW w:w="4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Trading Symbol</w:t>
            </w:r>
          </w:p>
        </w:tc>
        <w:tc>
          <w:tcPr>
            <w:tcW w:w="120" w:type="dxa"/>
            <w:vAlign w:val="bottom"/>
          </w:tcPr>
          <w:p>
            <w:pPr>
              <w:spacing w:after="0"/>
              <w:rPr>
                <w:sz w:val="22"/>
                <w:szCs w:val="22"/>
                <w:color w:val="auto"/>
              </w:rPr>
            </w:pPr>
          </w:p>
        </w:tc>
        <w:tc>
          <w:tcPr>
            <w:tcW w:w="414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43"/>
        </w:trPr>
        <w:tc>
          <w:tcPr>
            <w:tcW w:w="36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Common Stock, par value $0.50 per share</w:t>
            </w: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CASS</w:t>
            </w:r>
          </w:p>
        </w:tc>
        <w:tc>
          <w:tcPr>
            <w:tcW w:w="120" w:type="dxa"/>
            <w:vAlign w:val="bottom"/>
          </w:tcPr>
          <w:p>
            <w:pPr>
              <w:spacing w:after="0"/>
              <w:rPr>
                <w:sz w:val="21"/>
                <w:szCs w:val="21"/>
                <w:color w:val="auto"/>
              </w:rPr>
            </w:pPr>
          </w:p>
        </w:tc>
        <w:tc>
          <w:tcPr>
            <w:tcW w:w="41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 xml:space="preserve">      The Nasdaq Global Select Market    </w:t>
            </w:r>
          </w:p>
        </w:tc>
      </w:tr>
      <w:tr>
        <w:trPr>
          <w:trHeight w:val="513"/>
        </w:trPr>
        <w:tc>
          <w:tcPr>
            <w:tcW w:w="69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Securities registered pursuant to Section 12(g) of the Act:</w:t>
            </w:r>
          </w:p>
        </w:tc>
        <w:tc>
          <w:tcPr>
            <w:tcW w:w="120" w:type="dxa"/>
            <w:vAlign w:val="bottom"/>
          </w:tcPr>
          <w:p>
            <w:pPr>
              <w:spacing w:after="0"/>
              <w:rPr>
                <w:sz w:val="24"/>
                <w:szCs w:val="24"/>
                <w:color w:val="auto"/>
              </w:rPr>
            </w:pPr>
          </w:p>
        </w:tc>
        <w:tc>
          <w:tcPr>
            <w:tcW w:w="4140" w:type="dxa"/>
            <w:vAlign w:val="bottom"/>
          </w:tcPr>
          <w:p>
            <w:pPr>
              <w:spacing w:after="0"/>
              <w:rPr>
                <w:sz w:val="24"/>
                <w:szCs w:val="24"/>
                <w:color w:val="auto"/>
              </w:rPr>
            </w:pPr>
          </w:p>
        </w:tc>
      </w:tr>
      <w:tr>
        <w:trPr>
          <w:trHeight w:val="263"/>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                         </w:t>
            </w: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120" w:type="dxa"/>
            <w:vAlign w:val="bottom"/>
          </w:tcPr>
          <w:p>
            <w:pPr>
              <w:spacing w:after="0"/>
              <w:rPr>
                <w:sz w:val="22"/>
                <w:szCs w:val="22"/>
                <w:color w:val="auto"/>
              </w:rPr>
            </w:pPr>
          </w:p>
        </w:tc>
        <w:tc>
          <w:tcPr>
            <w:tcW w:w="4140" w:type="dxa"/>
            <w:vAlign w:val="bottom"/>
          </w:tcPr>
          <w:p>
            <w:pPr>
              <w:spacing w:after="0"/>
              <w:rPr>
                <w:sz w:val="22"/>
                <w:szCs w:val="22"/>
                <w:color w:val="auto"/>
              </w:rPr>
            </w:pPr>
          </w:p>
        </w:tc>
      </w:tr>
      <w:tr>
        <w:trPr>
          <w:trHeight w:val="243"/>
        </w:trPr>
        <w:tc>
          <w:tcPr>
            <w:tcW w:w="36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None</w:t>
            </w:r>
          </w:p>
        </w:tc>
        <w:tc>
          <w:tcPr>
            <w:tcW w:w="120" w:type="dxa"/>
            <w:vAlign w:val="bottom"/>
          </w:tcPr>
          <w:p>
            <w:pPr>
              <w:spacing w:after="0"/>
              <w:rPr>
                <w:sz w:val="21"/>
                <w:szCs w:val="21"/>
                <w:color w:val="auto"/>
              </w:rPr>
            </w:pPr>
          </w:p>
        </w:tc>
        <w:tc>
          <w:tcPr>
            <w:tcW w:w="4140" w:type="dxa"/>
            <w:vAlign w:val="bottom"/>
          </w:tcPr>
          <w:p>
            <w:pPr>
              <w:spacing w:after="0"/>
              <w:rPr>
                <w:sz w:val="21"/>
                <w:szCs w:val="2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36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a well-known seasoned issuer, as defined in Rule 405 of the Securities Act.</w:t>
      </w:r>
    </w:p>
    <w:p>
      <w:pPr>
        <w:spacing w:after="0" w:line="22" w:lineRule="exact"/>
        <w:rPr>
          <w:sz w:val="24"/>
          <w:szCs w:val="24"/>
          <w:color w:val="auto"/>
        </w:rPr>
      </w:pPr>
    </w:p>
    <w:p>
      <w:pPr>
        <w:jc w:val="right"/>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x</w:t>
      </w:r>
    </w:p>
    <w:p>
      <w:pPr>
        <w:spacing w:after="0" w:line="21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not required to file reports pursuant to Section 13 or Section 15(d) of the Act.</w:t>
      </w:r>
    </w:p>
    <w:p>
      <w:pPr>
        <w:spacing w:after="0" w:line="22" w:lineRule="exact"/>
        <w:rPr>
          <w:sz w:val="24"/>
          <w:szCs w:val="24"/>
          <w:color w:val="auto"/>
        </w:rPr>
      </w:pPr>
    </w:p>
    <w:p>
      <w:pPr>
        <w:ind w:left="10100"/>
        <w:spacing w:after="0" w:line="184" w:lineRule="exact"/>
        <w:rPr>
          <w:sz w:val="20"/>
          <w:szCs w:val="20"/>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Wingdings" w:cs="Wingdings" w:eastAsia="Wingdings" w:hAnsi="Wingdings"/>
          <w:sz w:val="16"/>
          <w:szCs w:val="16"/>
          <w:b w:val="1"/>
          <w:bCs w:val="1"/>
          <w:color w:val="auto"/>
        </w:rPr>
        <w:t>x</w:t>
      </w:r>
    </w:p>
    <w:p>
      <w:pPr>
        <w:spacing w:after="0" w:line="235" w:lineRule="exact"/>
        <w:rPr>
          <w:sz w:val="24"/>
          <w:szCs w:val="24"/>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 w:lineRule="exact"/>
        <w:rPr>
          <w:sz w:val="24"/>
          <w:szCs w:val="24"/>
          <w:color w:val="auto"/>
        </w:rPr>
      </w:pPr>
    </w:p>
    <w:p>
      <w:pPr>
        <w:ind w:left="10100"/>
        <w:spacing w:after="0" w:line="184" w:lineRule="exact"/>
        <w:rPr>
          <w:sz w:val="20"/>
          <w:szCs w:val="20"/>
          <w:color w:val="auto"/>
        </w:rPr>
      </w:pPr>
      <w:r>
        <w:rPr>
          <w:rFonts w:ascii="Times New Roman" w:cs="Times New Roman" w:eastAsia="Times New Roman" w:hAnsi="Times New Roman"/>
          <w:sz w:val="16"/>
          <w:szCs w:val="16"/>
          <w:color w:val="auto"/>
        </w:rPr>
        <w:t xml:space="preserve">Yes </w:t>
      </w:r>
      <w:r>
        <w:rPr>
          <w:rFonts w:ascii="Wingdings" w:cs="Wingdings" w:eastAsia="Wingdings" w:hAnsi="Wingdings"/>
          <w:sz w:val="16"/>
          <w:szCs w:val="16"/>
          <w:b w:val="1"/>
          <w:bCs w:val="1"/>
          <w:color w:val="auto"/>
        </w:rPr>
        <w:t>x</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35" w:lineRule="exact"/>
        <w:rPr>
          <w:sz w:val="24"/>
          <w:szCs w:val="24"/>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ind w:left="10100"/>
        <w:spacing w:after="0" w:line="184" w:lineRule="exact"/>
        <w:rPr>
          <w:sz w:val="20"/>
          <w:szCs w:val="20"/>
          <w:color w:val="auto"/>
        </w:rPr>
      </w:pPr>
      <w:r>
        <w:rPr>
          <w:rFonts w:ascii="Times New Roman" w:cs="Times New Roman" w:eastAsia="Times New Roman" w:hAnsi="Times New Roman"/>
          <w:sz w:val="16"/>
          <w:szCs w:val="16"/>
          <w:color w:val="auto"/>
        </w:rPr>
        <w:t xml:space="preserve">Yes </w:t>
      </w:r>
      <w:r>
        <w:rPr>
          <w:rFonts w:ascii="Wingdings" w:cs="Wingdings" w:eastAsia="Wingdings" w:hAnsi="Wingdings"/>
          <w:sz w:val="16"/>
          <w:szCs w:val="16"/>
          <w:b w:val="1"/>
          <w:bCs w:val="1"/>
          <w:color w:val="auto"/>
        </w:rPr>
        <w:t>x</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35" w:lineRule="exact"/>
        <w:rPr>
          <w:sz w:val="24"/>
          <w:szCs w:val="24"/>
          <w:color w:val="auto"/>
        </w:rPr>
      </w:pPr>
    </w:p>
    <w:p>
      <w:pPr>
        <w:jc w:val="both"/>
        <w:spacing w:after="0" w:line="22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 Large accelerated filer: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Accelerated filer: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Non-accelerated filer: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Smaller reporting company: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Emerging growth company: </w:t>
      </w:r>
      <w:r>
        <w:rPr>
          <w:rFonts w:ascii="MS PGothic" w:cs="MS PGothic" w:eastAsia="MS PGothic" w:hAnsi="MS PGothic"/>
          <w:sz w:val="18"/>
          <w:szCs w:val="18"/>
          <w:color w:val="auto"/>
        </w:rPr>
        <w:t>☐</w:t>
      </w:r>
    </w:p>
    <w:p>
      <w:pPr>
        <w:spacing w:after="0" w:line="173"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ectPr>
          <w:pgSz w:w="11900" w:h="16838" w:orient="portrait"/>
          <w:cols w:equalWidth="0" w:num="1">
            <w:col w:w="11240"/>
          </w:cols>
          <w:pgMar w:left="320" w:top="333" w:right="339" w:bottom="0" w:gutter="0" w:footer="0" w:header="0"/>
        </w:sectPr>
      </w:pPr>
    </w:p>
    <w:bookmarkStart w:id="1" w:name="page2"/>
    <w:bookmarkEnd w:id="1"/>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Wingdings" w:cs="Wingdings" w:eastAsia="Wingdings" w:hAnsi="Wingdings"/>
          <w:sz w:val="18"/>
          <w:szCs w:val="18"/>
          <w:b w:val="1"/>
          <w:bCs w:val="1"/>
          <w:color w:val="auto"/>
        </w:rPr>
        <w:t>x</w:t>
      </w:r>
    </w:p>
    <w:p>
      <w:pPr>
        <w:spacing w:after="0" w:line="176" w:lineRule="exact"/>
        <w:rPr>
          <w:sz w:val="20"/>
          <w:szCs w:val="20"/>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pacing w:after="0" w:line="170" w:lineRule="exact"/>
        <w:rPr>
          <w:sz w:val="20"/>
          <w:szCs w:val="20"/>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8"/>
          <w:szCs w:val="18"/>
          <w:color w:val="auto"/>
        </w:rPr>
        <w: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p>
      <w:pPr>
        <w:spacing w:after="0" w:line="22" w:lineRule="exact"/>
        <w:rPr>
          <w:sz w:val="20"/>
          <w:szCs w:val="20"/>
          <w:color w:val="auto"/>
        </w:rPr>
      </w:pPr>
    </w:p>
    <w:p>
      <w:pPr>
        <w:ind w:left="10100"/>
        <w:spacing w:after="0" w:line="184" w:lineRule="exact"/>
        <w:rPr>
          <w:sz w:val="20"/>
          <w:szCs w:val="20"/>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Wingdings" w:cs="Wingdings" w:eastAsia="Wingdings" w:hAnsi="Wingdings"/>
          <w:sz w:val="16"/>
          <w:szCs w:val="16"/>
          <w:b w:val="1"/>
          <w:bCs w:val="1"/>
          <w:color w:val="auto"/>
        </w:rPr>
        <w:t>x</w:t>
      </w:r>
    </w:p>
    <w:p>
      <w:pPr>
        <w:spacing w:after="0" w:line="2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aggregate market value of the common stock held by non-affiliates of the Registrant was approximately $515.5 million based on the closing price of the common stock of $38.78 on June 30, 2023, as reported by The Nasdaq Global Select Market. As of February 15, 2024, the Registrant had 13,649,223 shares outstanding of common stock.</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Certain information required for Part III of this report is incorporated by reference to the Registrant’s Proxy Statement for the 2024 Annual Meeting of Shareholders.</w:t>
      </w:r>
    </w:p>
    <w:p>
      <w:pPr>
        <w:spacing w:after="0" w:line="162" w:lineRule="exact"/>
        <w:rPr>
          <w:sz w:val="20"/>
          <w:szCs w:val="20"/>
          <w:color w:val="auto"/>
        </w:rPr>
      </w:pPr>
    </w:p>
    <w:p>
      <w:pPr>
        <w:jc w:val="center"/>
        <w:spacing w:after="0"/>
        <w:tabs>
          <w:tab w:leader="none" w:pos="140" w:val="left"/>
          <w:tab w:leader="none" w:pos="140" w:val="left"/>
        </w:tabs>
        <w:rPr>
          <w:sz w:val="20"/>
          <w:szCs w:val="20"/>
          <w:color w:val="auto"/>
        </w:rPr>
      </w:pPr>
      <w:r>
        <w:rPr>
          <w:rFonts w:ascii="Times New Roman" w:cs="Times New Roman" w:eastAsia="Times New Roman" w:hAnsi="Times New Roman"/>
          <w:sz w:val="18"/>
          <w:szCs w:val="18"/>
          <w:color w:val="auto"/>
        </w:rPr>
        <w:t>Auditor Name: KPMG LLP</w:t>
        <w:tab/>
        <w:t>Auditor Location: St. Louis, MO</w:t>
        <w:tab/>
        <w:t>Auditor Firm ID: 185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853440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CASS INFORMATION SYSTEMS,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10-K ANNUAL REPORT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080885" cy="1631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80885" cy="163195"/>
                    </a:xfrm>
                    <a:prstGeom prst="rect">
                      <a:avLst/>
                    </a:prstGeom>
                    <a:noFill/>
                  </pic:spPr>
                </pic:pic>
              </a:graphicData>
            </a:graphic>
          </wp:anchor>
        </w:drawing>
      </w:r>
    </w:p>
    <w:p>
      <w:pPr>
        <w:spacing w:after="0" w:line="2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0000FF"/>
        </w:rPr>
        <w:t>PART I.</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68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Item 1.</w:t>
            </w:r>
          </w:p>
        </w:tc>
        <w:tc>
          <w:tcPr>
            <w:tcW w:w="926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BUSINESS</w:t>
            </w: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EE"/>
              </w:rPr>
              <w:t>1</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520" w:type="dxa"/>
            <w:vAlign w:val="bottom"/>
            <w:tcBorders>
              <w:top w:val="single" w:sz="8" w:color="0000FF"/>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980" w:type="dxa"/>
            <w:vAlign w:val="bottom"/>
          </w:tcPr>
          <w:p>
            <w:pPr>
              <w:spacing w:after="0"/>
              <w:rPr>
                <w:sz w:val="2"/>
                <w:szCs w:val="2"/>
                <w:color w:val="auto"/>
              </w:rPr>
            </w:pPr>
          </w:p>
        </w:tc>
        <w:tc>
          <w:tcPr>
            <w:tcW w:w="840" w:type="dxa"/>
            <w:vAlign w:val="bottom"/>
            <w:tcBorders>
              <w:top w:val="single" w:sz="8" w:color="0000FF"/>
            </w:tcBorders>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shd w:val="clear" w:color="auto" w:fill="DBDBDB"/>
          </w:tcPr>
          <w:p>
            <w:pPr>
              <w:spacing w:after="0"/>
              <w:rPr>
                <w:sz w:val="17"/>
                <w:szCs w:val="17"/>
                <w:color w:val="auto"/>
              </w:rPr>
            </w:pPr>
          </w:p>
        </w:tc>
        <w:tc>
          <w:tcPr>
            <w:tcW w:w="1680" w:type="dxa"/>
            <w:vAlign w:val="bottom"/>
            <w:tcBorders>
              <w:right w:val="single" w:sz="8" w:color="DBDBDB"/>
            </w:tcBorders>
            <w:gridSpan w:val="5"/>
            <w:shd w:val="clear" w:color="auto" w:fill="DBDBDB"/>
          </w:tcPr>
          <w:p>
            <w:pPr>
              <w:spacing w:after="0" w:line="202" w:lineRule="exact"/>
              <w:rPr>
                <w:sz w:val="20"/>
                <w:szCs w:val="20"/>
                <w:color w:val="auto"/>
              </w:rPr>
            </w:pPr>
            <w:r>
              <w:rPr>
                <w:rFonts w:ascii="Times New Roman" w:cs="Times New Roman" w:eastAsia="Times New Roman" w:hAnsi="Times New Roman"/>
                <w:sz w:val="18"/>
                <w:szCs w:val="18"/>
                <w:color w:val="0000FF"/>
              </w:rPr>
              <w:t>Item 1A.</w:t>
            </w:r>
          </w:p>
        </w:tc>
        <w:tc>
          <w:tcPr>
            <w:tcW w:w="9260" w:type="dxa"/>
            <w:vAlign w:val="bottom"/>
            <w:gridSpan w:val="26"/>
            <w:shd w:val="clear" w:color="auto" w:fill="DBDBDB"/>
          </w:tcPr>
          <w:p>
            <w:pPr>
              <w:spacing w:after="0" w:line="202" w:lineRule="exact"/>
              <w:rPr>
                <w:sz w:val="20"/>
                <w:szCs w:val="20"/>
                <w:color w:val="auto"/>
              </w:rPr>
            </w:pPr>
            <w:r>
              <w:rPr>
                <w:rFonts w:ascii="Times New Roman" w:cs="Times New Roman" w:eastAsia="Times New Roman" w:hAnsi="Times New Roman"/>
                <w:sz w:val="18"/>
                <w:szCs w:val="18"/>
                <w:color w:val="0000FF"/>
              </w:rPr>
              <w:t>RISK FACTORS</w:t>
            </w:r>
          </w:p>
        </w:tc>
        <w:tc>
          <w:tcPr>
            <w:tcW w:w="200" w:type="dxa"/>
            <w:vAlign w:val="bottom"/>
            <w:gridSpan w:val="3"/>
            <w:shd w:val="clear" w:color="auto" w:fill="DBDBDB"/>
          </w:tcPr>
          <w:p>
            <w:pPr>
              <w:jc w:val="right"/>
              <w:ind w:right="20"/>
              <w:spacing w:after="0" w:line="202" w:lineRule="exact"/>
              <w:rPr>
                <w:sz w:val="20"/>
                <w:szCs w:val="20"/>
                <w:color w:val="auto"/>
              </w:rPr>
            </w:pPr>
            <w:r>
              <w:rPr>
                <w:rFonts w:ascii="Times New Roman" w:cs="Times New Roman" w:eastAsia="Times New Roman" w:hAnsi="Times New Roman"/>
                <w:sz w:val="18"/>
                <w:szCs w:val="18"/>
                <w:color w:val="0000EE"/>
                <w:w w:val="88"/>
              </w:rPr>
              <w:t>11</w:t>
            </w:r>
          </w:p>
        </w:tc>
        <w:tc>
          <w:tcPr>
            <w:tcW w:w="0" w:type="dxa"/>
            <w:vAlign w:val="bottom"/>
          </w:tcPr>
          <w:p>
            <w:pPr>
              <w:spacing w:after="0"/>
              <w:rPr>
                <w:sz w:val="1"/>
                <w:szCs w:val="1"/>
                <w:color w:val="auto"/>
              </w:rPr>
            </w:pPr>
          </w:p>
        </w:tc>
      </w:tr>
      <w:tr>
        <w:trPr>
          <w:trHeight w:val="34"/>
        </w:trPr>
        <w:tc>
          <w:tcPr>
            <w:tcW w:w="20" w:type="dxa"/>
            <w:vAlign w:val="bottom"/>
            <w:tcBorders>
              <w:top w:val="single" w:sz="8" w:color="DBDBDB"/>
            </w:tcBorders>
            <w:shd w:val="clear" w:color="auto" w:fill="DBDBDB"/>
          </w:tcPr>
          <w:p>
            <w:pPr>
              <w:spacing w:after="0"/>
              <w:rPr>
                <w:sz w:val="2"/>
                <w:szCs w:val="2"/>
                <w:color w:val="auto"/>
              </w:rPr>
            </w:pPr>
          </w:p>
        </w:tc>
        <w:tc>
          <w:tcPr>
            <w:tcW w:w="520" w:type="dxa"/>
            <w:vAlign w:val="bottom"/>
            <w:tcBorders>
              <w:top w:val="single" w:sz="8" w:color="0000FF"/>
            </w:tcBorders>
            <w:shd w:val="clear" w:color="auto" w:fill="DBDBDB"/>
          </w:tcPr>
          <w:p>
            <w:pPr>
              <w:spacing w:after="0"/>
              <w:rPr>
                <w:sz w:val="2"/>
                <w:szCs w:val="2"/>
                <w:color w:val="auto"/>
              </w:rPr>
            </w:pPr>
          </w:p>
        </w:tc>
        <w:tc>
          <w:tcPr>
            <w:tcW w:w="80" w:type="dxa"/>
            <w:vAlign w:val="bottom"/>
            <w:tcBorders>
              <w:top w:val="single" w:sz="8" w:color="0000FF"/>
            </w:tcBorders>
            <w:shd w:val="clear" w:color="auto" w:fill="DBDBDB"/>
          </w:tcPr>
          <w:p>
            <w:pPr>
              <w:spacing w:after="0"/>
              <w:rPr>
                <w:sz w:val="2"/>
                <w:szCs w:val="2"/>
                <w:color w:val="auto"/>
              </w:rPr>
            </w:pPr>
          </w:p>
        </w:tc>
        <w:tc>
          <w:tcPr>
            <w:tcW w:w="40" w:type="dxa"/>
            <w:vAlign w:val="bottom"/>
            <w:tcBorders>
              <w:top w:val="single" w:sz="8" w:color="0000FF"/>
            </w:tcBorders>
            <w:shd w:val="clear" w:color="auto" w:fill="DBDBDB"/>
          </w:tcPr>
          <w:p>
            <w:pPr>
              <w:spacing w:after="0"/>
              <w:rPr>
                <w:sz w:val="2"/>
                <w:szCs w:val="2"/>
                <w:color w:val="auto"/>
              </w:rPr>
            </w:pPr>
          </w:p>
        </w:tc>
        <w:tc>
          <w:tcPr>
            <w:tcW w:w="60" w:type="dxa"/>
            <w:vAlign w:val="bottom"/>
            <w:tcBorders>
              <w:top w:val="single" w:sz="8" w:color="DBDBDB"/>
            </w:tcBorders>
            <w:shd w:val="clear" w:color="auto" w:fill="DBDBDB"/>
          </w:tcPr>
          <w:p>
            <w:pPr>
              <w:spacing w:after="0"/>
              <w:rPr>
                <w:sz w:val="2"/>
                <w:szCs w:val="2"/>
                <w:color w:val="auto"/>
              </w:rPr>
            </w:pPr>
          </w:p>
        </w:tc>
        <w:tc>
          <w:tcPr>
            <w:tcW w:w="980" w:type="dxa"/>
            <w:vAlign w:val="bottom"/>
            <w:tcBorders>
              <w:top w:val="single" w:sz="8" w:color="DBDBDB"/>
              <w:right w:val="single" w:sz="8" w:color="DBDBDB"/>
            </w:tcBorders>
            <w:shd w:val="clear" w:color="auto" w:fill="DBDBDB"/>
          </w:tcPr>
          <w:p>
            <w:pPr>
              <w:spacing w:after="0"/>
              <w:rPr>
                <w:sz w:val="2"/>
                <w:szCs w:val="2"/>
                <w:color w:val="auto"/>
              </w:rPr>
            </w:pPr>
          </w:p>
        </w:tc>
        <w:tc>
          <w:tcPr>
            <w:tcW w:w="840" w:type="dxa"/>
            <w:vAlign w:val="bottom"/>
            <w:tcBorders>
              <w:top w:val="single" w:sz="8" w:color="0000FF"/>
            </w:tcBorders>
            <w:shd w:val="clear" w:color="auto" w:fill="DBDBDB"/>
          </w:tcPr>
          <w:p>
            <w:pPr>
              <w:spacing w:after="0"/>
              <w:rPr>
                <w:sz w:val="2"/>
                <w:szCs w:val="2"/>
                <w:color w:val="auto"/>
              </w:rPr>
            </w:pPr>
          </w:p>
        </w:tc>
        <w:tc>
          <w:tcPr>
            <w:tcW w:w="60" w:type="dxa"/>
            <w:vAlign w:val="bottom"/>
            <w:tcBorders>
              <w:top w:val="single" w:sz="8" w:color="0000FF"/>
            </w:tcBorders>
            <w:shd w:val="clear" w:color="auto" w:fill="DBDBDB"/>
          </w:tcPr>
          <w:p>
            <w:pPr>
              <w:spacing w:after="0"/>
              <w:rPr>
                <w:sz w:val="2"/>
                <w:szCs w:val="2"/>
                <w:color w:val="auto"/>
              </w:rPr>
            </w:pPr>
          </w:p>
        </w:tc>
        <w:tc>
          <w:tcPr>
            <w:tcW w:w="180" w:type="dxa"/>
            <w:vAlign w:val="bottom"/>
            <w:tcBorders>
              <w:top w:val="single" w:sz="8" w:color="0000FF"/>
              <w:right w:val="single" w:sz="8" w:color="DBDBDB"/>
            </w:tcBorders>
            <w:shd w:val="clear" w:color="auto" w:fill="DBDBDB"/>
          </w:tcPr>
          <w:p>
            <w:pPr>
              <w:spacing w:after="0"/>
              <w:rPr>
                <w:sz w:val="2"/>
                <w:szCs w:val="2"/>
                <w:color w:val="auto"/>
              </w:rPr>
            </w:pPr>
          </w:p>
        </w:tc>
        <w:tc>
          <w:tcPr>
            <w:tcW w:w="20" w:type="dxa"/>
            <w:vAlign w:val="bottom"/>
            <w:tcBorders>
              <w:top w:val="single" w:sz="8" w:color="0000FF"/>
            </w:tcBorders>
            <w:shd w:val="clear" w:color="auto" w:fill="DBDBDB"/>
          </w:tcPr>
          <w:p>
            <w:pPr>
              <w:spacing w:after="0"/>
              <w:rPr>
                <w:sz w:val="2"/>
                <w:szCs w:val="2"/>
                <w:color w:val="auto"/>
              </w:rPr>
            </w:pPr>
          </w:p>
        </w:tc>
        <w:tc>
          <w:tcPr>
            <w:tcW w:w="140" w:type="dxa"/>
            <w:vAlign w:val="bottom"/>
            <w:tcBorders>
              <w:top w:val="single" w:sz="8" w:color="0000FF"/>
            </w:tcBorders>
            <w:shd w:val="clear" w:color="auto" w:fill="DBDBDB"/>
          </w:tcPr>
          <w:p>
            <w:pPr>
              <w:spacing w:after="0"/>
              <w:rPr>
                <w:sz w:val="2"/>
                <w:szCs w:val="2"/>
                <w:color w:val="auto"/>
              </w:rPr>
            </w:pPr>
          </w:p>
        </w:tc>
        <w:tc>
          <w:tcPr>
            <w:tcW w:w="220" w:type="dxa"/>
            <w:vAlign w:val="bottom"/>
            <w:tcBorders>
              <w:top w:val="single" w:sz="8" w:color="DBDBDB"/>
            </w:tcBorders>
            <w:shd w:val="clear" w:color="auto" w:fill="DBDBDB"/>
          </w:tcPr>
          <w:p>
            <w:pPr>
              <w:spacing w:after="0"/>
              <w:rPr>
                <w:sz w:val="2"/>
                <w:szCs w:val="2"/>
                <w:color w:val="auto"/>
              </w:rPr>
            </w:pPr>
          </w:p>
        </w:tc>
        <w:tc>
          <w:tcPr>
            <w:tcW w:w="400" w:type="dxa"/>
            <w:vAlign w:val="bottom"/>
            <w:tcBorders>
              <w:top w:val="single" w:sz="8" w:color="DBDBDB"/>
            </w:tcBorders>
            <w:shd w:val="clear" w:color="auto" w:fill="DBDBDB"/>
          </w:tcPr>
          <w:p>
            <w:pPr>
              <w:spacing w:after="0"/>
              <w:rPr>
                <w:sz w:val="2"/>
                <w:szCs w:val="2"/>
                <w:color w:val="auto"/>
              </w:rPr>
            </w:pPr>
          </w:p>
        </w:tc>
        <w:tc>
          <w:tcPr>
            <w:tcW w:w="20" w:type="dxa"/>
            <w:vAlign w:val="bottom"/>
            <w:tcBorders>
              <w:top w:val="single" w:sz="8" w:color="DBDBDB"/>
            </w:tcBorders>
            <w:shd w:val="clear" w:color="auto" w:fill="DBDBDB"/>
          </w:tcPr>
          <w:p>
            <w:pPr>
              <w:spacing w:after="0"/>
              <w:rPr>
                <w:sz w:val="2"/>
                <w:szCs w:val="2"/>
                <w:color w:val="auto"/>
              </w:rPr>
            </w:pPr>
          </w:p>
        </w:tc>
        <w:tc>
          <w:tcPr>
            <w:tcW w:w="280" w:type="dxa"/>
            <w:vAlign w:val="bottom"/>
            <w:tcBorders>
              <w:top w:val="single" w:sz="8" w:color="DBDBDB"/>
            </w:tcBorders>
            <w:shd w:val="clear" w:color="auto" w:fill="DBDBDB"/>
          </w:tcPr>
          <w:p>
            <w:pPr>
              <w:spacing w:after="0"/>
              <w:rPr>
                <w:sz w:val="2"/>
                <w:szCs w:val="2"/>
                <w:color w:val="auto"/>
              </w:rPr>
            </w:pPr>
          </w:p>
        </w:tc>
        <w:tc>
          <w:tcPr>
            <w:tcW w:w="260" w:type="dxa"/>
            <w:vAlign w:val="bottom"/>
            <w:tcBorders>
              <w:top w:val="single" w:sz="8" w:color="DBDBDB"/>
            </w:tcBorders>
            <w:shd w:val="clear" w:color="auto" w:fill="DBDBDB"/>
          </w:tcPr>
          <w:p>
            <w:pPr>
              <w:spacing w:after="0"/>
              <w:rPr>
                <w:sz w:val="2"/>
                <w:szCs w:val="2"/>
                <w:color w:val="auto"/>
              </w:rPr>
            </w:pPr>
          </w:p>
        </w:tc>
        <w:tc>
          <w:tcPr>
            <w:tcW w:w="20" w:type="dxa"/>
            <w:vAlign w:val="bottom"/>
            <w:tcBorders>
              <w:top w:val="single" w:sz="8" w:color="DBDBDB"/>
            </w:tcBorders>
            <w:shd w:val="clear" w:color="auto" w:fill="DBDBDB"/>
          </w:tcPr>
          <w:p>
            <w:pPr>
              <w:spacing w:after="0"/>
              <w:rPr>
                <w:sz w:val="2"/>
                <w:szCs w:val="2"/>
                <w:color w:val="auto"/>
              </w:rPr>
            </w:pPr>
          </w:p>
        </w:tc>
        <w:tc>
          <w:tcPr>
            <w:tcW w:w="140" w:type="dxa"/>
            <w:vAlign w:val="bottom"/>
            <w:tcBorders>
              <w:top w:val="single" w:sz="8" w:color="DBDBDB"/>
            </w:tcBorders>
            <w:shd w:val="clear" w:color="auto" w:fill="DBDBDB"/>
          </w:tcPr>
          <w:p>
            <w:pPr>
              <w:spacing w:after="0"/>
              <w:rPr>
                <w:sz w:val="2"/>
                <w:szCs w:val="2"/>
                <w:color w:val="auto"/>
              </w:rPr>
            </w:pPr>
          </w:p>
        </w:tc>
        <w:tc>
          <w:tcPr>
            <w:tcW w:w="220" w:type="dxa"/>
            <w:vAlign w:val="bottom"/>
            <w:tcBorders>
              <w:top w:val="single" w:sz="8" w:color="DBDBDB"/>
            </w:tcBorders>
            <w:shd w:val="clear" w:color="auto" w:fill="DBDBDB"/>
          </w:tcPr>
          <w:p>
            <w:pPr>
              <w:spacing w:after="0"/>
              <w:rPr>
                <w:sz w:val="2"/>
                <w:szCs w:val="2"/>
                <w:color w:val="auto"/>
              </w:rPr>
            </w:pPr>
          </w:p>
        </w:tc>
        <w:tc>
          <w:tcPr>
            <w:tcW w:w="940" w:type="dxa"/>
            <w:vAlign w:val="bottom"/>
            <w:tcBorders>
              <w:top w:val="single" w:sz="8" w:color="DBDBDB"/>
            </w:tcBorders>
            <w:shd w:val="clear" w:color="auto" w:fill="DBDBDB"/>
          </w:tcPr>
          <w:p>
            <w:pPr>
              <w:spacing w:after="0"/>
              <w:rPr>
                <w:sz w:val="2"/>
                <w:szCs w:val="2"/>
                <w:color w:val="auto"/>
              </w:rPr>
            </w:pPr>
          </w:p>
        </w:tc>
        <w:tc>
          <w:tcPr>
            <w:tcW w:w="200" w:type="dxa"/>
            <w:vAlign w:val="bottom"/>
            <w:tcBorders>
              <w:top w:val="single" w:sz="8" w:color="DBDBDB"/>
            </w:tcBorders>
            <w:shd w:val="clear" w:color="auto" w:fill="DBDBDB"/>
          </w:tcPr>
          <w:p>
            <w:pPr>
              <w:spacing w:after="0"/>
              <w:rPr>
                <w:sz w:val="2"/>
                <w:szCs w:val="2"/>
                <w:color w:val="auto"/>
              </w:rPr>
            </w:pPr>
          </w:p>
        </w:tc>
        <w:tc>
          <w:tcPr>
            <w:tcW w:w="480" w:type="dxa"/>
            <w:vAlign w:val="bottom"/>
            <w:tcBorders>
              <w:top w:val="single" w:sz="8" w:color="DBDBDB"/>
            </w:tcBorders>
            <w:shd w:val="clear" w:color="auto" w:fill="DBDBDB"/>
          </w:tcPr>
          <w:p>
            <w:pPr>
              <w:spacing w:after="0"/>
              <w:rPr>
                <w:sz w:val="2"/>
                <w:szCs w:val="2"/>
                <w:color w:val="auto"/>
              </w:rPr>
            </w:pPr>
          </w:p>
        </w:tc>
        <w:tc>
          <w:tcPr>
            <w:tcW w:w="220" w:type="dxa"/>
            <w:vAlign w:val="bottom"/>
            <w:tcBorders>
              <w:top w:val="single" w:sz="8" w:color="DBDBDB"/>
            </w:tcBorders>
            <w:shd w:val="clear" w:color="auto" w:fill="DBDBDB"/>
          </w:tcPr>
          <w:p>
            <w:pPr>
              <w:spacing w:after="0"/>
              <w:rPr>
                <w:sz w:val="2"/>
                <w:szCs w:val="2"/>
                <w:color w:val="auto"/>
              </w:rPr>
            </w:pPr>
          </w:p>
        </w:tc>
        <w:tc>
          <w:tcPr>
            <w:tcW w:w="1140" w:type="dxa"/>
            <w:vAlign w:val="bottom"/>
            <w:tcBorders>
              <w:top w:val="single" w:sz="8" w:color="DBDBDB"/>
            </w:tcBorders>
            <w:shd w:val="clear" w:color="auto" w:fill="DBDBDB"/>
          </w:tcPr>
          <w:p>
            <w:pPr>
              <w:spacing w:after="0"/>
              <w:rPr>
                <w:sz w:val="2"/>
                <w:szCs w:val="2"/>
                <w:color w:val="auto"/>
              </w:rPr>
            </w:pPr>
          </w:p>
        </w:tc>
        <w:tc>
          <w:tcPr>
            <w:tcW w:w="340" w:type="dxa"/>
            <w:vAlign w:val="bottom"/>
            <w:tcBorders>
              <w:top w:val="single" w:sz="8" w:color="DBDBDB"/>
            </w:tcBorders>
            <w:shd w:val="clear" w:color="auto" w:fill="DBDBDB"/>
          </w:tcPr>
          <w:p>
            <w:pPr>
              <w:spacing w:after="0"/>
              <w:rPr>
                <w:sz w:val="2"/>
                <w:szCs w:val="2"/>
                <w:color w:val="auto"/>
              </w:rPr>
            </w:pPr>
          </w:p>
        </w:tc>
        <w:tc>
          <w:tcPr>
            <w:tcW w:w="820" w:type="dxa"/>
            <w:vAlign w:val="bottom"/>
            <w:tcBorders>
              <w:top w:val="single" w:sz="8" w:color="DBDBDB"/>
            </w:tcBorders>
            <w:shd w:val="clear" w:color="auto" w:fill="DBDBDB"/>
          </w:tcPr>
          <w:p>
            <w:pPr>
              <w:spacing w:after="0"/>
              <w:rPr>
                <w:sz w:val="2"/>
                <w:szCs w:val="2"/>
                <w:color w:val="auto"/>
              </w:rPr>
            </w:pPr>
          </w:p>
        </w:tc>
        <w:tc>
          <w:tcPr>
            <w:tcW w:w="640" w:type="dxa"/>
            <w:vAlign w:val="bottom"/>
            <w:tcBorders>
              <w:top w:val="single" w:sz="8" w:color="DBDBDB"/>
            </w:tcBorders>
            <w:shd w:val="clear" w:color="auto" w:fill="DBDBDB"/>
          </w:tcPr>
          <w:p>
            <w:pPr>
              <w:spacing w:after="0"/>
              <w:rPr>
                <w:sz w:val="2"/>
                <w:szCs w:val="2"/>
                <w:color w:val="auto"/>
              </w:rPr>
            </w:pPr>
          </w:p>
        </w:tc>
        <w:tc>
          <w:tcPr>
            <w:tcW w:w="100" w:type="dxa"/>
            <w:vAlign w:val="bottom"/>
            <w:tcBorders>
              <w:top w:val="single" w:sz="8" w:color="DBDBDB"/>
            </w:tcBorders>
            <w:shd w:val="clear" w:color="auto" w:fill="DBDBDB"/>
          </w:tcPr>
          <w:p>
            <w:pPr>
              <w:spacing w:after="0"/>
              <w:rPr>
                <w:sz w:val="2"/>
                <w:szCs w:val="2"/>
                <w:color w:val="auto"/>
              </w:rPr>
            </w:pPr>
          </w:p>
        </w:tc>
        <w:tc>
          <w:tcPr>
            <w:tcW w:w="80" w:type="dxa"/>
            <w:vAlign w:val="bottom"/>
            <w:tcBorders>
              <w:top w:val="single" w:sz="8" w:color="DBDBDB"/>
            </w:tcBorders>
            <w:shd w:val="clear" w:color="auto" w:fill="DBDBDB"/>
          </w:tcPr>
          <w:p>
            <w:pPr>
              <w:spacing w:after="0"/>
              <w:rPr>
                <w:sz w:val="2"/>
                <w:szCs w:val="2"/>
                <w:color w:val="auto"/>
              </w:rPr>
            </w:pPr>
          </w:p>
        </w:tc>
        <w:tc>
          <w:tcPr>
            <w:tcW w:w="160" w:type="dxa"/>
            <w:vAlign w:val="bottom"/>
            <w:tcBorders>
              <w:top w:val="single" w:sz="8" w:color="DBDBDB"/>
            </w:tcBorders>
            <w:shd w:val="clear" w:color="auto" w:fill="DBDBDB"/>
          </w:tcPr>
          <w:p>
            <w:pPr>
              <w:spacing w:after="0"/>
              <w:rPr>
                <w:sz w:val="2"/>
                <w:szCs w:val="2"/>
                <w:color w:val="auto"/>
              </w:rPr>
            </w:pPr>
          </w:p>
        </w:tc>
        <w:tc>
          <w:tcPr>
            <w:tcW w:w="80" w:type="dxa"/>
            <w:vAlign w:val="bottom"/>
            <w:tcBorders>
              <w:top w:val="single" w:sz="8" w:color="DBDBDB"/>
            </w:tcBorders>
            <w:shd w:val="clear" w:color="auto" w:fill="DBDBDB"/>
          </w:tcPr>
          <w:p>
            <w:pPr>
              <w:spacing w:after="0"/>
              <w:rPr>
                <w:sz w:val="2"/>
                <w:szCs w:val="2"/>
                <w:color w:val="auto"/>
              </w:rPr>
            </w:pPr>
          </w:p>
        </w:tc>
        <w:tc>
          <w:tcPr>
            <w:tcW w:w="1260" w:type="dxa"/>
            <w:vAlign w:val="bottom"/>
            <w:tcBorders>
              <w:top w:val="single" w:sz="8" w:color="DBDBDB"/>
            </w:tcBorders>
            <w:shd w:val="clear" w:color="auto" w:fill="DBDBDB"/>
          </w:tcPr>
          <w:p>
            <w:pPr>
              <w:spacing w:after="0"/>
              <w:rPr>
                <w:sz w:val="2"/>
                <w:szCs w:val="2"/>
                <w:color w:val="auto"/>
              </w:rPr>
            </w:pPr>
          </w:p>
        </w:tc>
        <w:tc>
          <w:tcPr>
            <w:tcW w:w="100" w:type="dxa"/>
            <w:vAlign w:val="bottom"/>
            <w:tcBorders>
              <w:top w:val="single" w:sz="8" w:color="0000EE"/>
            </w:tcBorders>
            <w:shd w:val="clear" w:color="auto" w:fill="DBDBDB"/>
          </w:tcPr>
          <w:p>
            <w:pPr>
              <w:spacing w:after="0"/>
              <w:rPr>
                <w:sz w:val="2"/>
                <w:szCs w:val="2"/>
                <w:color w:val="auto"/>
              </w:rPr>
            </w:pPr>
          </w:p>
        </w:tc>
        <w:tc>
          <w:tcPr>
            <w:tcW w:w="80" w:type="dxa"/>
            <w:vAlign w:val="bottom"/>
            <w:tcBorders>
              <w:top w:val="single" w:sz="8" w:color="0000EE"/>
            </w:tcBorders>
            <w:shd w:val="clear" w:color="auto" w:fill="DBDBDB"/>
          </w:tcPr>
          <w:p>
            <w:pPr>
              <w:spacing w:after="0"/>
              <w:rPr>
                <w:sz w:val="2"/>
                <w:szCs w:val="2"/>
                <w:color w:val="auto"/>
              </w:rPr>
            </w:pPr>
          </w:p>
        </w:tc>
        <w:tc>
          <w:tcPr>
            <w:tcW w:w="20" w:type="dxa"/>
            <w:vAlign w:val="bottom"/>
            <w:tcBorders>
              <w:top w:val="single" w:sz="8" w:color="DBDBDB"/>
            </w:tcBorders>
            <w:shd w:val="clear" w:color="auto" w:fill="DBDBDB"/>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40" w:type="dxa"/>
            <w:vAlign w:val="bottom"/>
            <w:gridSpan w:val="3"/>
          </w:tcPr>
          <w:p>
            <w:pPr>
              <w:spacing w:after="0" w:line="202" w:lineRule="exact"/>
              <w:rPr>
                <w:sz w:val="20"/>
                <w:szCs w:val="20"/>
                <w:color w:val="auto"/>
              </w:rPr>
            </w:pPr>
            <w:r>
              <w:rPr>
                <w:rFonts w:ascii="Times New Roman" w:cs="Times New Roman" w:eastAsia="Times New Roman" w:hAnsi="Times New Roman"/>
                <w:sz w:val="18"/>
                <w:szCs w:val="18"/>
                <w:color w:val="0000FF"/>
                <w:w w:val="98"/>
              </w:rPr>
              <w:t>Item 1B.</w:t>
            </w:r>
          </w:p>
        </w:tc>
        <w:tc>
          <w:tcPr>
            <w:tcW w:w="1040" w:type="dxa"/>
            <w:vAlign w:val="bottom"/>
            <w:gridSpan w:val="2"/>
          </w:tcPr>
          <w:p>
            <w:pPr>
              <w:spacing w:after="0"/>
              <w:rPr>
                <w:sz w:val="17"/>
                <w:szCs w:val="17"/>
                <w:color w:val="auto"/>
              </w:rPr>
            </w:pPr>
          </w:p>
        </w:tc>
        <w:tc>
          <w:tcPr>
            <w:tcW w:w="9260" w:type="dxa"/>
            <w:vAlign w:val="bottom"/>
            <w:gridSpan w:val="26"/>
          </w:tcPr>
          <w:p>
            <w:pPr>
              <w:spacing w:after="0" w:line="202" w:lineRule="exact"/>
              <w:rPr>
                <w:sz w:val="20"/>
                <w:szCs w:val="20"/>
                <w:color w:val="auto"/>
              </w:rPr>
            </w:pPr>
            <w:r>
              <w:rPr>
                <w:rFonts w:ascii="Times New Roman" w:cs="Times New Roman" w:eastAsia="Times New Roman" w:hAnsi="Times New Roman"/>
                <w:sz w:val="18"/>
                <w:szCs w:val="18"/>
                <w:color w:val="0000FF"/>
              </w:rPr>
              <w:t>UNRESOLVED STAFF COMMENTS</w:t>
            </w:r>
          </w:p>
        </w:tc>
        <w:tc>
          <w:tcPr>
            <w:tcW w:w="18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0000EE"/>
                <w:w w:val="88"/>
              </w:rPr>
              <w:t>19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52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60" w:type="dxa"/>
            <w:vAlign w:val="bottom"/>
          </w:tcPr>
          <w:p>
            <w:pPr>
              <w:spacing w:after="0"/>
              <w:rPr>
                <w:sz w:val="2"/>
                <w:szCs w:val="2"/>
                <w:color w:val="auto"/>
              </w:rPr>
            </w:pPr>
          </w:p>
        </w:tc>
        <w:tc>
          <w:tcPr>
            <w:tcW w:w="980" w:type="dxa"/>
            <w:vAlign w:val="bottom"/>
          </w:tcPr>
          <w:p>
            <w:pPr>
              <w:spacing w:after="0"/>
              <w:rPr>
                <w:sz w:val="2"/>
                <w:szCs w:val="2"/>
                <w:color w:val="auto"/>
              </w:rPr>
            </w:pPr>
          </w:p>
        </w:tc>
        <w:tc>
          <w:tcPr>
            <w:tcW w:w="84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shd w:val="clear" w:color="auto" w:fill="DBDBDB"/>
          </w:tcPr>
          <w:p>
            <w:pPr>
              <w:spacing w:after="0"/>
              <w:rPr>
                <w:sz w:val="17"/>
                <w:szCs w:val="17"/>
                <w:color w:val="auto"/>
              </w:rPr>
            </w:pPr>
          </w:p>
        </w:tc>
        <w:tc>
          <w:tcPr>
            <w:tcW w:w="640" w:type="dxa"/>
            <w:vAlign w:val="bottom"/>
            <w:gridSpan w:val="3"/>
            <w:shd w:val="clear" w:color="auto" w:fill="DBDBDB"/>
          </w:tcPr>
          <w:p>
            <w:pPr>
              <w:spacing w:after="0" w:line="202" w:lineRule="exact"/>
              <w:rPr>
                <w:sz w:val="20"/>
                <w:szCs w:val="20"/>
                <w:color w:val="auto"/>
              </w:rPr>
            </w:pPr>
            <w:r>
              <w:rPr>
                <w:rFonts w:ascii="Times New Roman" w:cs="Times New Roman" w:eastAsia="Times New Roman" w:hAnsi="Times New Roman"/>
                <w:sz w:val="18"/>
                <w:szCs w:val="18"/>
                <w:color w:val="0000FF"/>
                <w:w w:val="98"/>
              </w:rPr>
              <w:t>Item 1C.</w:t>
            </w:r>
          </w:p>
        </w:tc>
        <w:tc>
          <w:tcPr>
            <w:tcW w:w="1040" w:type="dxa"/>
            <w:vAlign w:val="bottom"/>
            <w:tcBorders>
              <w:right w:val="single" w:sz="8" w:color="DBDBDB"/>
            </w:tcBorders>
            <w:gridSpan w:val="2"/>
            <w:shd w:val="clear" w:color="auto" w:fill="DBDBDB"/>
          </w:tcPr>
          <w:p>
            <w:pPr>
              <w:spacing w:after="0"/>
              <w:rPr>
                <w:sz w:val="17"/>
                <w:szCs w:val="17"/>
                <w:color w:val="auto"/>
              </w:rPr>
            </w:pPr>
          </w:p>
        </w:tc>
        <w:tc>
          <w:tcPr>
            <w:tcW w:w="9260" w:type="dxa"/>
            <w:vAlign w:val="bottom"/>
            <w:gridSpan w:val="26"/>
            <w:shd w:val="clear" w:color="auto" w:fill="DBDBDB"/>
          </w:tcPr>
          <w:p>
            <w:pPr>
              <w:spacing w:after="0" w:line="202" w:lineRule="exact"/>
              <w:rPr>
                <w:sz w:val="20"/>
                <w:szCs w:val="20"/>
                <w:color w:val="auto"/>
              </w:rPr>
            </w:pPr>
            <w:r>
              <w:rPr>
                <w:rFonts w:ascii="Times New Roman" w:cs="Times New Roman" w:eastAsia="Times New Roman" w:hAnsi="Times New Roman"/>
                <w:sz w:val="18"/>
                <w:szCs w:val="18"/>
                <w:color w:val="0000FF"/>
              </w:rPr>
              <w:t>CYBERSECURITY</w:t>
            </w:r>
          </w:p>
        </w:tc>
        <w:tc>
          <w:tcPr>
            <w:tcW w:w="180" w:type="dxa"/>
            <w:vAlign w:val="bottom"/>
            <w:gridSpan w:val="2"/>
            <w:shd w:val="clear" w:color="auto" w:fill="DBDBDB"/>
          </w:tcPr>
          <w:p>
            <w:pPr>
              <w:jc w:val="right"/>
              <w:spacing w:after="0" w:line="202" w:lineRule="exact"/>
              <w:rPr>
                <w:sz w:val="20"/>
                <w:szCs w:val="20"/>
                <w:color w:val="auto"/>
              </w:rPr>
            </w:pPr>
            <w:r>
              <w:rPr>
                <w:rFonts w:ascii="Times New Roman" w:cs="Times New Roman" w:eastAsia="Times New Roman" w:hAnsi="Times New Roman"/>
                <w:sz w:val="18"/>
                <w:szCs w:val="18"/>
                <w:color w:val="0000EE"/>
                <w:w w:val="88"/>
              </w:rPr>
              <w:t>19</w:t>
            </w:r>
          </w:p>
        </w:tc>
        <w:tc>
          <w:tcPr>
            <w:tcW w:w="2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20" w:type="dxa"/>
            <w:vAlign w:val="bottom"/>
            <w:tcBorders>
              <w:top w:val="single" w:sz="8" w:color="DBDBDB"/>
            </w:tcBorders>
            <w:shd w:val="clear" w:color="auto" w:fill="DBDBDB"/>
          </w:tcPr>
          <w:p>
            <w:pPr>
              <w:spacing w:after="0"/>
              <w:rPr>
                <w:sz w:val="2"/>
                <w:szCs w:val="2"/>
                <w:color w:val="auto"/>
              </w:rPr>
            </w:pPr>
          </w:p>
        </w:tc>
        <w:tc>
          <w:tcPr>
            <w:tcW w:w="520" w:type="dxa"/>
            <w:vAlign w:val="bottom"/>
            <w:tcBorders>
              <w:top w:val="single" w:sz="8" w:color="0000FF"/>
            </w:tcBorders>
            <w:shd w:val="clear" w:color="auto" w:fill="DBDBDB"/>
          </w:tcPr>
          <w:p>
            <w:pPr>
              <w:spacing w:after="0"/>
              <w:rPr>
                <w:sz w:val="2"/>
                <w:szCs w:val="2"/>
                <w:color w:val="auto"/>
              </w:rPr>
            </w:pPr>
          </w:p>
        </w:tc>
        <w:tc>
          <w:tcPr>
            <w:tcW w:w="80" w:type="dxa"/>
            <w:vAlign w:val="bottom"/>
            <w:tcBorders>
              <w:top w:val="single" w:sz="8" w:color="0000FF"/>
            </w:tcBorders>
            <w:shd w:val="clear" w:color="auto" w:fill="DBDBDB"/>
          </w:tcPr>
          <w:p>
            <w:pPr>
              <w:spacing w:after="0"/>
              <w:rPr>
                <w:sz w:val="2"/>
                <w:szCs w:val="2"/>
                <w:color w:val="auto"/>
              </w:rPr>
            </w:pPr>
          </w:p>
        </w:tc>
        <w:tc>
          <w:tcPr>
            <w:tcW w:w="40" w:type="dxa"/>
            <w:vAlign w:val="bottom"/>
            <w:tcBorders>
              <w:top w:val="single" w:sz="8" w:color="0000FF"/>
            </w:tcBorders>
            <w:shd w:val="clear" w:color="auto" w:fill="DBDBDB"/>
          </w:tcPr>
          <w:p>
            <w:pPr>
              <w:spacing w:after="0"/>
              <w:rPr>
                <w:sz w:val="2"/>
                <w:szCs w:val="2"/>
                <w:color w:val="auto"/>
              </w:rPr>
            </w:pPr>
          </w:p>
        </w:tc>
        <w:tc>
          <w:tcPr>
            <w:tcW w:w="60" w:type="dxa"/>
            <w:vAlign w:val="bottom"/>
            <w:tcBorders>
              <w:top w:val="single" w:sz="8" w:color="DBDBDB"/>
            </w:tcBorders>
            <w:shd w:val="clear" w:color="auto" w:fill="DBDBDB"/>
          </w:tcPr>
          <w:p>
            <w:pPr>
              <w:spacing w:after="0"/>
              <w:rPr>
                <w:sz w:val="2"/>
                <w:szCs w:val="2"/>
                <w:color w:val="auto"/>
              </w:rPr>
            </w:pPr>
          </w:p>
        </w:tc>
        <w:tc>
          <w:tcPr>
            <w:tcW w:w="980" w:type="dxa"/>
            <w:vAlign w:val="bottom"/>
            <w:tcBorders>
              <w:top w:val="single" w:sz="8" w:color="DBDBDB"/>
              <w:right w:val="single" w:sz="8" w:color="DBDBDB"/>
            </w:tcBorders>
            <w:shd w:val="clear" w:color="auto" w:fill="DBDBDB"/>
          </w:tcPr>
          <w:p>
            <w:pPr>
              <w:spacing w:after="0"/>
              <w:rPr>
                <w:sz w:val="2"/>
                <w:szCs w:val="2"/>
                <w:color w:val="auto"/>
              </w:rPr>
            </w:pPr>
          </w:p>
        </w:tc>
        <w:tc>
          <w:tcPr>
            <w:tcW w:w="840" w:type="dxa"/>
            <w:vAlign w:val="bottom"/>
            <w:tcBorders>
              <w:top w:val="single" w:sz="8" w:color="0000FF"/>
            </w:tcBorders>
            <w:shd w:val="clear" w:color="auto" w:fill="DBDBDB"/>
          </w:tcPr>
          <w:p>
            <w:pPr>
              <w:spacing w:after="0"/>
              <w:rPr>
                <w:sz w:val="2"/>
                <w:szCs w:val="2"/>
                <w:color w:val="auto"/>
              </w:rPr>
            </w:pPr>
          </w:p>
        </w:tc>
        <w:tc>
          <w:tcPr>
            <w:tcW w:w="60" w:type="dxa"/>
            <w:vAlign w:val="bottom"/>
            <w:tcBorders>
              <w:top w:val="single" w:sz="8" w:color="0000FF"/>
            </w:tcBorders>
            <w:shd w:val="clear" w:color="auto" w:fill="DBDBDB"/>
          </w:tcPr>
          <w:p>
            <w:pPr>
              <w:spacing w:after="0"/>
              <w:rPr>
                <w:sz w:val="2"/>
                <w:szCs w:val="2"/>
                <w:color w:val="auto"/>
              </w:rPr>
            </w:pPr>
          </w:p>
        </w:tc>
        <w:tc>
          <w:tcPr>
            <w:tcW w:w="180" w:type="dxa"/>
            <w:vAlign w:val="bottom"/>
            <w:tcBorders>
              <w:top w:val="single" w:sz="8" w:color="0000FF"/>
              <w:right w:val="single" w:sz="8" w:color="DBDBDB"/>
            </w:tcBorders>
            <w:shd w:val="clear" w:color="auto" w:fill="DBDBDB"/>
          </w:tcPr>
          <w:p>
            <w:pPr>
              <w:spacing w:after="0"/>
              <w:rPr>
                <w:sz w:val="2"/>
                <w:szCs w:val="2"/>
                <w:color w:val="auto"/>
              </w:rPr>
            </w:pPr>
          </w:p>
        </w:tc>
        <w:tc>
          <w:tcPr>
            <w:tcW w:w="20" w:type="dxa"/>
            <w:vAlign w:val="bottom"/>
            <w:tcBorders>
              <w:top w:val="single" w:sz="8" w:color="0000FF"/>
            </w:tcBorders>
            <w:shd w:val="clear" w:color="auto" w:fill="DBDBDB"/>
          </w:tcPr>
          <w:p>
            <w:pPr>
              <w:spacing w:after="0"/>
              <w:rPr>
                <w:sz w:val="2"/>
                <w:szCs w:val="2"/>
                <w:color w:val="auto"/>
              </w:rPr>
            </w:pPr>
          </w:p>
        </w:tc>
        <w:tc>
          <w:tcPr>
            <w:tcW w:w="140" w:type="dxa"/>
            <w:vAlign w:val="bottom"/>
            <w:tcBorders>
              <w:top w:val="single" w:sz="8" w:color="0000FF"/>
            </w:tcBorders>
            <w:shd w:val="clear" w:color="auto" w:fill="DBDBDB"/>
          </w:tcPr>
          <w:p>
            <w:pPr>
              <w:spacing w:after="0"/>
              <w:rPr>
                <w:sz w:val="2"/>
                <w:szCs w:val="2"/>
                <w:color w:val="auto"/>
              </w:rPr>
            </w:pPr>
          </w:p>
        </w:tc>
        <w:tc>
          <w:tcPr>
            <w:tcW w:w="220" w:type="dxa"/>
            <w:vAlign w:val="bottom"/>
            <w:tcBorders>
              <w:top w:val="single" w:sz="8" w:color="0000FF"/>
            </w:tcBorders>
            <w:shd w:val="clear" w:color="auto" w:fill="DBDBDB"/>
          </w:tcPr>
          <w:p>
            <w:pPr>
              <w:spacing w:after="0"/>
              <w:rPr>
                <w:sz w:val="2"/>
                <w:szCs w:val="2"/>
                <w:color w:val="auto"/>
              </w:rPr>
            </w:pPr>
          </w:p>
        </w:tc>
        <w:tc>
          <w:tcPr>
            <w:tcW w:w="400" w:type="dxa"/>
            <w:vAlign w:val="bottom"/>
            <w:tcBorders>
              <w:top w:val="single" w:sz="8" w:color="DBDBDB"/>
            </w:tcBorders>
            <w:shd w:val="clear" w:color="auto" w:fill="DBDBDB"/>
          </w:tcPr>
          <w:p>
            <w:pPr>
              <w:spacing w:after="0"/>
              <w:rPr>
                <w:sz w:val="2"/>
                <w:szCs w:val="2"/>
                <w:color w:val="auto"/>
              </w:rPr>
            </w:pPr>
          </w:p>
        </w:tc>
        <w:tc>
          <w:tcPr>
            <w:tcW w:w="20" w:type="dxa"/>
            <w:vAlign w:val="bottom"/>
            <w:tcBorders>
              <w:top w:val="single" w:sz="8" w:color="DBDBDB"/>
            </w:tcBorders>
            <w:shd w:val="clear" w:color="auto" w:fill="DBDBDB"/>
          </w:tcPr>
          <w:p>
            <w:pPr>
              <w:spacing w:after="0"/>
              <w:rPr>
                <w:sz w:val="2"/>
                <w:szCs w:val="2"/>
                <w:color w:val="auto"/>
              </w:rPr>
            </w:pPr>
          </w:p>
        </w:tc>
        <w:tc>
          <w:tcPr>
            <w:tcW w:w="280" w:type="dxa"/>
            <w:vAlign w:val="bottom"/>
            <w:tcBorders>
              <w:top w:val="single" w:sz="8" w:color="DBDBDB"/>
            </w:tcBorders>
            <w:shd w:val="clear" w:color="auto" w:fill="DBDBDB"/>
          </w:tcPr>
          <w:p>
            <w:pPr>
              <w:spacing w:after="0"/>
              <w:rPr>
                <w:sz w:val="2"/>
                <w:szCs w:val="2"/>
                <w:color w:val="auto"/>
              </w:rPr>
            </w:pPr>
          </w:p>
        </w:tc>
        <w:tc>
          <w:tcPr>
            <w:tcW w:w="260" w:type="dxa"/>
            <w:vAlign w:val="bottom"/>
            <w:tcBorders>
              <w:top w:val="single" w:sz="8" w:color="DBDBDB"/>
            </w:tcBorders>
            <w:shd w:val="clear" w:color="auto" w:fill="DBDBDB"/>
          </w:tcPr>
          <w:p>
            <w:pPr>
              <w:spacing w:after="0"/>
              <w:rPr>
                <w:sz w:val="2"/>
                <w:szCs w:val="2"/>
                <w:color w:val="auto"/>
              </w:rPr>
            </w:pPr>
          </w:p>
        </w:tc>
        <w:tc>
          <w:tcPr>
            <w:tcW w:w="20" w:type="dxa"/>
            <w:vAlign w:val="bottom"/>
            <w:tcBorders>
              <w:top w:val="single" w:sz="8" w:color="DBDBDB"/>
            </w:tcBorders>
            <w:shd w:val="clear" w:color="auto" w:fill="DBDBDB"/>
          </w:tcPr>
          <w:p>
            <w:pPr>
              <w:spacing w:after="0"/>
              <w:rPr>
                <w:sz w:val="2"/>
                <w:szCs w:val="2"/>
                <w:color w:val="auto"/>
              </w:rPr>
            </w:pPr>
          </w:p>
        </w:tc>
        <w:tc>
          <w:tcPr>
            <w:tcW w:w="140" w:type="dxa"/>
            <w:vAlign w:val="bottom"/>
            <w:tcBorders>
              <w:top w:val="single" w:sz="8" w:color="DBDBDB"/>
            </w:tcBorders>
            <w:shd w:val="clear" w:color="auto" w:fill="DBDBDB"/>
          </w:tcPr>
          <w:p>
            <w:pPr>
              <w:spacing w:after="0"/>
              <w:rPr>
                <w:sz w:val="2"/>
                <w:szCs w:val="2"/>
                <w:color w:val="auto"/>
              </w:rPr>
            </w:pPr>
          </w:p>
        </w:tc>
        <w:tc>
          <w:tcPr>
            <w:tcW w:w="220" w:type="dxa"/>
            <w:vAlign w:val="bottom"/>
            <w:tcBorders>
              <w:top w:val="single" w:sz="8" w:color="DBDBDB"/>
            </w:tcBorders>
            <w:shd w:val="clear" w:color="auto" w:fill="DBDBDB"/>
          </w:tcPr>
          <w:p>
            <w:pPr>
              <w:spacing w:after="0"/>
              <w:rPr>
                <w:sz w:val="2"/>
                <w:szCs w:val="2"/>
                <w:color w:val="auto"/>
              </w:rPr>
            </w:pPr>
          </w:p>
        </w:tc>
        <w:tc>
          <w:tcPr>
            <w:tcW w:w="940" w:type="dxa"/>
            <w:vAlign w:val="bottom"/>
            <w:tcBorders>
              <w:top w:val="single" w:sz="8" w:color="DBDBDB"/>
            </w:tcBorders>
            <w:shd w:val="clear" w:color="auto" w:fill="DBDBDB"/>
          </w:tcPr>
          <w:p>
            <w:pPr>
              <w:spacing w:after="0"/>
              <w:rPr>
                <w:sz w:val="2"/>
                <w:szCs w:val="2"/>
                <w:color w:val="auto"/>
              </w:rPr>
            </w:pPr>
          </w:p>
        </w:tc>
        <w:tc>
          <w:tcPr>
            <w:tcW w:w="200" w:type="dxa"/>
            <w:vAlign w:val="bottom"/>
            <w:tcBorders>
              <w:top w:val="single" w:sz="8" w:color="DBDBDB"/>
            </w:tcBorders>
            <w:shd w:val="clear" w:color="auto" w:fill="DBDBDB"/>
          </w:tcPr>
          <w:p>
            <w:pPr>
              <w:spacing w:after="0"/>
              <w:rPr>
                <w:sz w:val="2"/>
                <w:szCs w:val="2"/>
                <w:color w:val="auto"/>
              </w:rPr>
            </w:pPr>
          </w:p>
        </w:tc>
        <w:tc>
          <w:tcPr>
            <w:tcW w:w="480" w:type="dxa"/>
            <w:vAlign w:val="bottom"/>
            <w:tcBorders>
              <w:top w:val="single" w:sz="8" w:color="DBDBDB"/>
            </w:tcBorders>
            <w:shd w:val="clear" w:color="auto" w:fill="DBDBDB"/>
          </w:tcPr>
          <w:p>
            <w:pPr>
              <w:spacing w:after="0"/>
              <w:rPr>
                <w:sz w:val="2"/>
                <w:szCs w:val="2"/>
                <w:color w:val="auto"/>
              </w:rPr>
            </w:pPr>
          </w:p>
        </w:tc>
        <w:tc>
          <w:tcPr>
            <w:tcW w:w="220" w:type="dxa"/>
            <w:vAlign w:val="bottom"/>
            <w:tcBorders>
              <w:top w:val="single" w:sz="8" w:color="DBDBDB"/>
            </w:tcBorders>
            <w:shd w:val="clear" w:color="auto" w:fill="DBDBDB"/>
          </w:tcPr>
          <w:p>
            <w:pPr>
              <w:spacing w:after="0"/>
              <w:rPr>
                <w:sz w:val="2"/>
                <w:szCs w:val="2"/>
                <w:color w:val="auto"/>
              </w:rPr>
            </w:pPr>
          </w:p>
        </w:tc>
        <w:tc>
          <w:tcPr>
            <w:tcW w:w="1140" w:type="dxa"/>
            <w:vAlign w:val="bottom"/>
            <w:tcBorders>
              <w:top w:val="single" w:sz="8" w:color="DBDBDB"/>
            </w:tcBorders>
            <w:shd w:val="clear" w:color="auto" w:fill="DBDBDB"/>
          </w:tcPr>
          <w:p>
            <w:pPr>
              <w:spacing w:after="0"/>
              <w:rPr>
                <w:sz w:val="2"/>
                <w:szCs w:val="2"/>
                <w:color w:val="auto"/>
              </w:rPr>
            </w:pPr>
          </w:p>
        </w:tc>
        <w:tc>
          <w:tcPr>
            <w:tcW w:w="340" w:type="dxa"/>
            <w:vAlign w:val="bottom"/>
            <w:tcBorders>
              <w:top w:val="single" w:sz="8" w:color="DBDBDB"/>
            </w:tcBorders>
            <w:shd w:val="clear" w:color="auto" w:fill="DBDBDB"/>
          </w:tcPr>
          <w:p>
            <w:pPr>
              <w:spacing w:after="0"/>
              <w:rPr>
                <w:sz w:val="2"/>
                <w:szCs w:val="2"/>
                <w:color w:val="auto"/>
              </w:rPr>
            </w:pPr>
          </w:p>
        </w:tc>
        <w:tc>
          <w:tcPr>
            <w:tcW w:w="820" w:type="dxa"/>
            <w:vAlign w:val="bottom"/>
            <w:tcBorders>
              <w:top w:val="single" w:sz="8" w:color="DBDBDB"/>
            </w:tcBorders>
            <w:shd w:val="clear" w:color="auto" w:fill="DBDBDB"/>
          </w:tcPr>
          <w:p>
            <w:pPr>
              <w:spacing w:after="0"/>
              <w:rPr>
                <w:sz w:val="2"/>
                <w:szCs w:val="2"/>
                <w:color w:val="auto"/>
              </w:rPr>
            </w:pPr>
          </w:p>
        </w:tc>
        <w:tc>
          <w:tcPr>
            <w:tcW w:w="640" w:type="dxa"/>
            <w:vAlign w:val="bottom"/>
            <w:tcBorders>
              <w:top w:val="single" w:sz="8" w:color="DBDBDB"/>
            </w:tcBorders>
            <w:shd w:val="clear" w:color="auto" w:fill="DBDBDB"/>
          </w:tcPr>
          <w:p>
            <w:pPr>
              <w:spacing w:after="0"/>
              <w:rPr>
                <w:sz w:val="2"/>
                <w:szCs w:val="2"/>
                <w:color w:val="auto"/>
              </w:rPr>
            </w:pPr>
          </w:p>
        </w:tc>
        <w:tc>
          <w:tcPr>
            <w:tcW w:w="100" w:type="dxa"/>
            <w:vAlign w:val="bottom"/>
            <w:tcBorders>
              <w:top w:val="single" w:sz="8" w:color="DBDBDB"/>
            </w:tcBorders>
            <w:shd w:val="clear" w:color="auto" w:fill="DBDBDB"/>
          </w:tcPr>
          <w:p>
            <w:pPr>
              <w:spacing w:after="0"/>
              <w:rPr>
                <w:sz w:val="2"/>
                <w:szCs w:val="2"/>
                <w:color w:val="auto"/>
              </w:rPr>
            </w:pPr>
          </w:p>
        </w:tc>
        <w:tc>
          <w:tcPr>
            <w:tcW w:w="80" w:type="dxa"/>
            <w:vAlign w:val="bottom"/>
            <w:tcBorders>
              <w:top w:val="single" w:sz="8" w:color="DBDBDB"/>
            </w:tcBorders>
            <w:shd w:val="clear" w:color="auto" w:fill="DBDBDB"/>
          </w:tcPr>
          <w:p>
            <w:pPr>
              <w:spacing w:after="0"/>
              <w:rPr>
                <w:sz w:val="2"/>
                <w:szCs w:val="2"/>
                <w:color w:val="auto"/>
              </w:rPr>
            </w:pPr>
          </w:p>
        </w:tc>
        <w:tc>
          <w:tcPr>
            <w:tcW w:w="160" w:type="dxa"/>
            <w:vAlign w:val="bottom"/>
            <w:tcBorders>
              <w:top w:val="single" w:sz="8" w:color="DBDBDB"/>
            </w:tcBorders>
            <w:shd w:val="clear" w:color="auto" w:fill="DBDBDB"/>
          </w:tcPr>
          <w:p>
            <w:pPr>
              <w:spacing w:after="0"/>
              <w:rPr>
                <w:sz w:val="2"/>
                <w:szCs w:val="2"/>
                <w:color w:val="auto"/>
              </w:rPr>
            </w:pPr>
          </w:p>
        </w:tc>
        <w:tc>
          <w:tcPr>
            <w:tcW w:w="80" w:type="dxa"/>
            <w:vAlign w:val="bottom"/>
            <w:tcBorders>
              <w:top w:val="single" w:sz="8" w:color="DBDBDB"/>
            </w:tcBorders>
            <w:shd w:val="clear" w:color="auto" w:fill="DBDBDB"/>
          </w:tcPr>
          <w:p>
            <w:pPr>
              <w:spacing w:after="0"/>
              <w:rPr>
                <w:sz w:val="2"/>
                <w:szCs w:val="2"/>
                <w:color w:val="auto"/>
              </w:rPr>
            </w:pPr>
          </w:p>
        </w:tc>
        <w:tc>
          <w:tcPr>
            <w:tcW w:w="1260" w:type="dxa"/>
            <w:vAlign w:val="bottom"/>
            <w:tcBorders>
              <w:top w:val="single" w:sz="8" w:color="DBDBDB"/>
            </w:tcBorders>
            <w:shd w:val="clear" w:color="auto" w:fill="DBDBDB"/>
          </w:tcPr>
          <w:p>
            <w:pPr>
              <w:spacing w:after="0"/>
              <w:rPr>
                <w:sz w:val="2"/>
                <w:szCs w:val="2"/>
                <w:color w:val="auto"/>
              </w:rPr>
            </w:pPr>
          </w:p>
        </w:tc>
        <w:tc>
          <w:tcPr>
            <w:tcW w:w="100" w:type="dxa"/>
            <w:vAlign w:val="bottom"/>
            <w:tcBorders>
              <w:top w:val="single" w:sz="8" w:color="0000EE"/>
            </w:tcBorders>
            <w:shd w:val="clear" w:color="auto" w:fill="DBDBDB"/>
          </w:tcPr>
          <w:p>
            <w:pPr>
              <w:spacing w:after="0"/>
              <w:rPr>
                <w:sz w:val="2"/>
                <w:szCs w:val="2"/>
                <w:color w:val="auto"/>
              </w:rPr>
            </w:pPr>
          </w:p>
        </w:tc>
        <w:tc>
          <w:tcPr>
            <w:tcW w:w="80" w:type="dxa"/>
            <w:vAlign w:val="bottom"/>
            <w:tcBorders>
              <w:top w:val="single" w:sz="8" w:color="0000EE"/>
            </w:tcBorders>
            <w:shd w:val="clear" w:color="auto" w:fill="DBDBDB"/>
          </w:tcPr>
          <w:p>
            <w:pPr>
              <w:spacing w:after="0"/>
              <w:rPr>
                <w:sz w:val="2"/>
                <w:szCs w:val="2"/>
                <w:color w:val="auto"/>
              </w:rPr>
            </w:pPr>
          </w:p>
        </w:tc>
        <w:tc>
          <w:tcPr>
            <w:tcW w:w="20" w:type="dxa"/>
            <w:vAlign w:val="bottom"/>
            <w:tcBorders>
              <w:top w:val="single" w:sz="8" w:color="DBDBDB"/>
            </w:tcBorders>
            <w:shd w:val="clear" w:color="auto" w:fill="DBDBDB"/>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40" w:type="dxa"/>
            <w:vAlign w:val="bottom"/>
            <w:gridSpan w:val="3"/>
          </w:tcPr>
          <w:p>
            <w:pPr>
              <w:spacing w:after="0" w:line="202" w:lineRule="exact"/>
              <w:rPr>
                <w:sz w:val="20"/>
                <w:szCs w:val="20"/>
                <w:color w:val="auto"/>
              </w:rPr>
            </w:pPr>
            <w:r>
              <w:rPr>
                <w:rFonts w:ascii="Times New Roman" w:cs="Times New Roman" w:eastAsia="Times New Roman" w:hAnsi="Times New Roman"/>
                <w:sz w:val="18"/>
                <w:szCs w:val="18"/>
                <w:color w:val="0000FF"/>
              </w:rPr>
              <w:t>Item 2.</w:t>
            </w:r>
          </w:p>
        </w:tc>
        <w:tc>
          <w:tcPr>
            <w:tcW w:w="1040" w:type="dxa"/>
            <w:vAlign w:val="bottom"/>
            <w:gridSpan w:val="2"/>
          </w:tcPr>
          <w:p>
            <w:pPr>
              <w:spacing w:after="0"/>
              <w:rPr>
                <w:sz w:val="17"/>
                <w:szCs w:val="17"/>
                <w:color w:val="auto"/>
              </w:rPr>
            </w:pPr>
          </w:p>
        </w:tc>
        <w:tc>
          <w:tcPr>
            <w:tcW w:w="9260" w:type="dxa"/>
            <w:vAlign w:val="bottom"/>
            <w:gridSpan w:val="26"/>
          </w:tcPr>
          <w:p>
            <w:pPr>
              <w:spacing w:after="0" w:line="202" w:lineRule="exact"/>
              <w:rPr>
                <w:sz w:val="20"/>
                <w:szCs w:val="20"/>
                <w:color w:val="auto"/>
              </w:rPr>
            </w:pPr>
            <w:r>
              <w:rPr>
                <w:rFonts w:ascii="Times New Roman" w:cs="Times New Roman" w:eastAsia="Times New Roman" w:hAnsi="Times New Roman"/>
                <w:sz w:val="18"/>
                <w:szCs w:val="18"/>
                <w:color w:val="0000FF"/>
              </w:rPr>
              <w:t>PROPERTIES</w:t>
            </w:r>
          </w:p>
        </w:tc>
        <w:tc>
          <w:tcPr>
            <w:tcW w:w="18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0000EE"/>
                <w:w w:val="88"/>
              </w:rPr>
              <w:t>21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520" w:type="dxa"/>
            <w:vAlign w:val="bottom"/>
            <w:tcBorders>
              <w:top w:val="single" w:sz="8" w:color="0000FF"/>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980" w:type="dxa"/>
            <w:vAlign w:val="bottom"/>
          </w:tcPr>
          <w:p>
            <w:pPr>
              <w:spacing w:after="0"/>
              <w:rPr>
                <w:sz w:val="2"/>
                <w:szCs w:val="2"/>
                <w:color w:val="auto"/>
              </w:rPr>
            </w:pPr>
          </w:p>
        </w:tc>
        <w:tc>
          <w:tcPr>
            <w:tcW w:w="84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shd w:val="clear" w:color="auto" w:fill="DBDBDB"/>
          </w:tcPr>
          <w:p>
            <w:pPr>
              <w:spacing w:after="0"/>
              <w:rPr>
                <w:sz w:val="17"/>
                <w:szCs w:val="17"/>
                <w:color w:val="auto"/>
              </w:rPr>
            </w:pPr>
          </w:p>
        </w:tc>
        <w:tc>
          <w:tcPr>
            <w:tcW w:w="520" w:type="dxa"/>
            <w:vAlign w:val="bottom"/>
            <w:shd w:val="clear" w:color="auto" w:fill="DBDBDB"/>
          </w:tcPr>
          <w:p>
            <w:pPr>
              <w:spacing w:after="0" w:line="202" w:lineRule="exact"/>
              <w:rPr>
                <w:sz w:val="20"/>
                <w:szCs w:val="20"/>
                <w:color w:val="auto"/>
              </w:rPr>
            </w:pPr>
            <w:r>
              <w:rPr>
                <w:rFonts w:ascii="Times New Roman" w:cs="Times New Roman" w:eastAsia="Times New Roman" w:hAnsi="Times New Roman"/>
                <w:sz w:val="18"/>
                <w:szCs w:val="18"/>
                <w:color w:val="0000FF"/>
                <w:w w:val="97"/>
              </w:rPr>
              <w:t>Item 3.</w:t>
            </w:r>
          </w:p>
        </w:tc>
        <w:tc>
          <w:tcPr>
            <w:tcW w:w="1160" w:type="dxa"/>
            <w:vAlign w:val="bottom"/>
            <w:tcBorders>
              <w:right w:val="single" w:sz="8" w:color="DBDBDB"/>
            </w:tcBorders>
            <w:gridSpan w:val="4"/>
            <w:shd w:val="clear" w:color="auto" w:fill="DBDBDB"/>
          </w:tcPr>
          <w:p>
            <w:pPr>
              <w:spacing w:after="0"/>
              <w:rPr>
                <w:sz w:val="17"/>
                <w:szCs w:val="17"/>
                <w:color w:val="auto"/>
              </w:rPr>
            </w:pPr>
          </w:p>
        </w:tc>
        <w:tc>
          <w:tcPr>
            <w:tcW w:w="9260" w:type="dxa"/>
            <w:vAlign w:val="bottom"/>
            <w:gridSpan w:val="26"/>
            <w:shd w:val="clear" w:color="auto" w:fill="DBDBDB"/>
          </w:tcPr>
          <w:p>
            <w:pPr>
              <w:spacing w:after="0" w:line="202" w:lineRule="exact"/>
              <w:rPr>
                <w:sz w:val="20"/>
                <w:szCs w:val="20"/>
                <w:color w:val="auto"/>
              </w:rPr>
            </w:pPr>
            <w:r>
              <w:rPr>
                <w:rFonts w:ascii="Times New Roman" w:cs="Times New Roman" w:eastAsia="Times New Roman" w:hAnsi="Times New Roman"/>
                <w:sz w:val="18"/>
                <w:szCs w:val="18"/>
                <w:color w:val="0000FF"/>
              </w:rPr>
              <w:t>LEGAL PROCEEDINGS</w:t>
            </w:r>
          </w:p>
        </w:tc>
        <w:tc>
          <w:tcPr>
            <w:tcW w:w="180" w:type="dxa"/>
            <w:vAlign w:val="bottom"/>
            <w:gridSpan w:val="2"/>
            <w:shd w:val="clear" w:color="auto" w:fill="DBDBDB"/>
          </w:tcPr>
          <w:p>
            <w:pPr>
              <w:jc w:val="right"/>
              <w:spacing w:after="0" w:line="202" w:lineRule="exact"/>
              <w:rPr>
                <w:sz w:val="20"/>
                <w:szCs w:val="20"/>
                <w:color w:val="auto"/>
              </w:rPr>
            </w:pPr>
            <w:r>
              <w:rPr>
                <w:rFonts w:ascii="Times New Roman" w:cs="Times New Roman" w:eastAsia="Times New Roman" w:hAnsi="Times New Roman"/>
                <w:sz w:val="18"/>
                <w:szCs w:val="18"/>
                <w:color w:val="0000EE"/>
                <w:w w:val="88"/>
              </w:rPr>
              <w:t>21</w:t>
            </w:r>
          </w:p>
        </w:tc>
        <w:tc>
          <w:tcPr>
            <w:tcW w:w="2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20" w:type="dxa"/>
            <w:vAlign w:val="bottom"/>
            <w:tcBorders>
              <w:top w:val="single" w:sz="8" w:color="DBDBDB"/>
            </w:tcBorders>
            <w:shd w:val="clear" w:color="auto" w:fill="DBDBDB"/>
          </w:tcPr>
          <w:p>
            <w:pPr>
              <w:spacing w:after="0"/>
              <w:rPr>
                <w:sz w:val="2"/>
                <w:szCs w:val="2"/>
                <w:color w:val="auto"/>
              </w:rPr>
            </w:pPr>
          </w:p>
        </w:tc>
        <w:tc>
          <w:tcPr>
            <w:tcW w:w="520" w:type="dxa"/>
            <w:vAlign w:val="bottom"/>
            <w:tcBorders>
              <w:top w:val="single" w:sz="8" w:color="0000FF"/>
            </w:tcBorders>
            <w:shd w:val="clear" w:color="auto" w:fill="DBDBDB"/>
          </w:tcPr>
          <w:p>
            <w:pPr>
              <w:spacing w:after="0"/>
              <w:rPr>
                <w:sz w:val="2"/>
                <w:szCs w:val="2"/>
                <w:color w:val="auto"/>
              </w:rPr>
            </w:pPr>
          </w:p>
        </w:tc>
        <w:tc>
          <w:tcPr>
            <w:tcW w:w="80" w:type="dxa"/>
            <w:vAlign w:val="bottom"/>
            <w:tcBorders>
              <w:top w:val="single" w:sz="8" w:color="DBDBDB"/>
            </w:tcBorders>
            <w:shd w:val="clear" w:color="auto" w:fill="DBDBDB"/>
          </w:tcPr>
          <w:p>
            <w:pPr>
              <w:spacing w:after="0"/>
              <w:rPr>
                <w:sz w:val="2"/>
                <w:szCs w:val="2"/>
                <w:color w:val="auto"/>
              </w:rPr>
            </w:pPr>
          </w:p>
        </w:tc>
        <w:tc>
          <w:tcPr>
            <w:tcW w:w="40" w:type="dxa"/>
            <w:vAlign w:val="bottom"/>
            <w:tcBorders>
              <w:top w:val="single" w:sz="8" w:color="DBDBDB"/>
            </w:tcBorders>
            <w:shd w:val="clear" w:color="auto" w:fill="DBDBDB"/>
          </w:tcPr>
          <w:p>
            <w:pPr>
              <w:spacing w:after="0"/>
              <w:rPr>
                <w:sz w:val="2"/>
                <w:szCs w:val="2"/>
                <w:color w:val="auto"/>
              </w:rPr>
            </w:pPr>
          </w:p>
        </w:tc>
        <w:tc>
          <w:tcPr>
            <w:tcW w:w="60" w:type="dxa"/>
            <w:vAlign w:val="bottom"/>
            <w:tcBorders>
              <w:top w:val="single" w:sz="8" w:color="DBDBDB"/>
            </w:tcBorders>
            <w:shd w:val="clear" w:color="auto" w:fill="DBDBDB"/>
          </w:tcPr>
          <w:p>
            <w:pPr>
              <w:spacing w:after="0"/>
              <w:rPr>
                <w:sz w:val="2"/>
                <w:szCs w:val="2"/>
                <w:color w:val="auto"/>
              </w:rPr>
            </w:pPr>
          </w:p>
        </w:tc>
        <w:tc>
          <w:tcPr>
            <w:tcW w:w="980" w:type="dxa"/>
            <w:vAlign w:val="bottom"/>
            <w:tcBorders>
              <w:top w:val="single" w:sz="8" w:color="DBDBDB"/>
              <w:right w:val="single" w:sz="8" w:color="DBDBDB"/>
            </w:tcBorders>
            <w:shd w:val="clear" w:color="auto" w:fill="DBDBDB"/>
          </w:tcPr>
          <w:p>
            <w:pPr>
              <w:spacing w:after="0"/>
              <w:rPr>
                <w:sz w:val="2"/>
                <w:szCs w:val="2"/>
                <w:color w:val="auto"/>
              </w:rPr>
            </w:pPr>
          </w:p>
        </w:tc>
        <w:tc>
          <w:tcPr>
            <w:tcW w:w="840" w:type="dxa"/>
            <w:vAlign w:val="bottom"/>
            <w:tcBorders>
              <w:top w:val="single" w:sz="8" w:color="0000FF"/>
            </w:tcBorders>
            <w:shd w:val="clear" w:color="auto" w:fill="DBDBDB"/>
          </w:tcPr>
          <w:p>
            <w:pPr>
              <w:spacing w:after="0"/>
              <w:rPr>
                <w:sz w:val="2"/>
                <w:szCs w:val="2"/>
                <w:color w:val="auto"/>
              </w:rPr>
            </w:pPr>
          </w:p>
        </w:tc>
        <w:tc>
          <w:tcPr>
            <w:tcW w:w="60" w:type="dxa"/>
            <w:vAlign w:val="bottom"/>
            <w:tcBorders>
              <w:top w:val="single" w:sz="8" w:color="0000FF"/>
            </w:tcBorders>
            <w:shd w:val="clear" w:color="auto" w:fill="DBDBDB"/>
          </w:tcPr>
          <w:p>
            <w:pPr>
              <w:spacing w:after="0"/>
              <w:rPr>
                <w:sz w:val="2"/>
                <w:szCs w:val="2"/>
                <w:color w:val="auto"/>
              </w:rPr>
            </w:pPr>
          </w:p>
        </w:tc>
        <w:tc>
          <w:tcPr>
            <w:tcW w:w="180" w:type="dxa"/>
            <w:vAlign w:val="bottom"/>
            <w:tcBorders>
              <w:top w:val="single" w:sz="8" w:color="0000FF"/>
              <w:right w:val="single" w:sz="8" w:color="DBDBDB"/>
            </w:tcBorders>
            <w:shd w:val="clear" w:color="auto" w:fill="DBDBDB"/>
          </w:tcPr>
          <w:p>
            <w:pPr>
              <w:spacing w:after="0"/>
              <w:rPr>
                <w:sz w:val="2"/>
                <w:szCs w:val="2"/>
                <w:color w:val="auto"/>
              </w:rPr>
            </w:pPr>
          </w:p>
        </w:tc>
        <w:tc>
          <w:tcPr>
            <w:tcW w:w="20" w:type="dxa"/>
            <w:vAlign w:val="bottom"/>
            <w:tcBorders>
              <w:top w:val="single" w:sz="8" w:color="0000FF"/>
            </w:tcBorders>
            <w:shd w:val="clear" w:color="auto" w:fill="DBDBDB"/>
          </w:tcPr>
          <w:p>
            <w:pPr>
              <w:spacing w:after="0"/>
              <w:rPr>
                <w:sz w:val="2"/>
                <w:szCs w:val="2"/>
                <w:color w:val="auto"/>
              </w:rPr>
            </w:pPr>
          </w:p>
        </w:tc>
        <w:tc>
          <w:tcPr>
            <w:tcW w:w="140" w:type="dxa"/>
            <w:vAlign w:val="bottom"/>
            <w:tcBorders>
              <w:top w:val="single" w:sz="8" w:color="0000FF"/>
            </w:tcBorders>
            <w:shd w:val="clear" w:color="auto" w:fill="DBDBDB"/>
          </w:tcPr>
          <w:p>
            <w:pPr>
              <w:spacing w:after="0"/>
              <w:rPr>
                <w:sz w:val="2"/>
                <w:szCs w:val="2"/>
                <w:color w:val="auto"/>
              </w:rPr>
            </w:pPr>
          </w:p>
        </w:tc>
        <w:tc>
          <w:tcPr>
            <w:tcW w:w="220" w:type="dxa"/>
            <w:vAlign w:val="bottom"/>
            <w:tcBorders>
              <w:top w:val="single" w:sz="8" w:color="0000FF"/>
            </w:tcBorders>
            <w:shd w:val="clear" w:color="auto" w:fill="DBDBDB"/>
          </w:tcPr>
          <w:p>
            <w:pPr>
              <w:spacing w:after="0"/>
              <w:rPr>
                <w:sz w:val="2"/>
                <w:szCs w:val="2"/>
                <w:color w:val="auto"/>
              </w:rPr>
            </w:pPr>
          </w:p>
        </w:tc>
        <w:tc>
          <w:tcPr>
            <w:tcW w:w="400" w:type="dxa"/>
            <w:vAlign w:val="bottom"/>
            <w:tcBorders>
              <w:top w:val="single" w:sz="8" w:color="0000FF"/>
            </w:tcBorders>
            <w:shd w:val="clear" w:color="auto" w:fill="DBDBDB"/>
          </w:tcPr>
          <w:p>
            <w:pPr>
              <w:spacing w:after="0"/>
              <w:rPr>
                <w:sz w:val="2"/>
                <w:szCs w:val="2"/>
                <w:color w:val="auto"/>
              </w:rPr>
            </w:pPr>
          </w:p>
        </w:tc>
        <w:tc>
          <w:tcPr>
            <w:tcW w:w="20" w:type="dxa"/>
            <w:vAlign w:val="bottom"/>
            <w:tcBorders>
              <w:top w:val="single" w:sz="8" w:color="DBDBDB"/>
            </w:tcBorders>
            <w:shd w:val="clear" w:color="auto" w:fill="DBDBDB"/>
          </w:tcPr>
          <w:p>
            <w:pPr>
              <w:spacing w:after="0"/>
              <w:rPr>
                <w:sz w:val="2"/>
                <w:szCs w:val="2"/>
                <w:color w:val="auto"/>
              </w:rPr>
            </w:pPr>
          </w:p>
        </w:tc>
        <w:tc>
          <w:tcPr>
            <w:tcW w:w="280" w:type="dxa"/>
            <w:vAlign w:val="bottom"/>
            <w:tcBorders>
              <w:top w:val="single" w:sz="8" w:color="DBDBDB"/>
            </w:tcBorders>
            <w:shd w:val="clear" w:color="auto" w:fill="DBDBDB"/>
          </w:tcPr>
          <w:p>
            <w:pPr>
              <w:spacing w:after="0"/>
              <w:rPr>
                <w:sz w:val="2"/>
                <w:szCs w:val="2"/>
                <w:color w:val="auto"/>
              </w:rPr>
            </w:pPr>
          </w:p>
        </w:tc>
        <w:tc>
          <w:tcPr>
            <w:tcW w:w="260" w:type="dxa"/>
            <w:vAlign w:val="bottom"/>
            <w:tcBorders>
              <w:top w:val="single" w:sz="8" w:color="DBDBDB"/>
            </w:tcBorders>
            <w:shd w:val="clear" w:color="auto" w:fill="DBDBDB"/>
          </w:tcPr>
          <w:p>
            <w:pPr>
              <w:spacing w:after="0"/>
              <w:rPr>
                <w:sz w:val="2"/>
                <w:szCs w:val="2"/>
                <w:color w:val="auto"/>
              </w:rPr>
            </w:pPr>
          </w:p>
        </w:tc>
        <w:tc>
          <w:tcPr>
            <w:tcW w:w="20" w:type="dxa"/>
            <w:vAlign w:val="bottom"/>
            <w:tcBorders>
              <w:top w:val="single" w:sz="8" w:color="DBDBDB"/>
            </w:tcBorders>
            <w:shd w:val="clear" w:color="auto" w:fill="DBDBDB"/>
          </w:tcPr>
          <w:p>
            <w:pPr>
              <w:spacing w:after="0"/>
              <w:rPr>
                <w:sz w:val="2"/>
                <w:szCs w:val="2"/>
                <w:color w:val="auto"/>
              </w:rPr>
            </w:pPr>
          </w:p>
        </w:tc>
        <w:tc>
          <w:tcPr>
            <w:tcW w:w="140" w:type="dxa"/>
            <w:vAlign w:val="bottom"/>
            <w:tcBorders>
              <w:top w:val="single" w:sz="8" w:color="DBDBDB"/>
            </w:tcBorders>
            <w:shd w:val="clear" w:color="auto" w:fill="DBDBDB"/>
          </w:tcPr>
          <w:p>
            <w:pPr>
              <w:spacing w:after="0"/>
              <w:rPr>
                <w:sz w:val="2"/>
                <w:szCs w:val="2"/>
                <w:color w:val="auto"/>
              </w:rPr>
            </w:pPr>
          </w:p>
        </w:tc>
        <w:tc>
          <w:tcPr>
            <w:tcW w:w="220" w:type="dxa"/>
            <w:vAlign w:val="bottom"/>
            <w:tcBorders>
              <w:top w:val="single" w:sz="8" w:color="DBDBDB"/>
            </w:tcBorders>
            <w:shd w:val="clear" w:color="auto" w:fill="DBDBDB"/>
          </w:tcPr>
          <w:p>
            <w:pPr>
              <w:spacing w:after="0"/>
              <w:rPr>
                <w:sz w:val="2"/>
                <w:szCs w:val="2"/>
                <w:color w:val="auto"/>
              </w:rPr>
            </w:pPr>
          </w:p>
        </w:tc>
        <w:tc>
          <w:tcPr>
            <w:tcW w:w="940" w:type="dxa"/>
            <w:vAlign w:val="bottom"/>
            <w:tcBorders>
              <w:top w:val="single" w:sz="8" w:color="DBDBDB"/>
            </w:tcBorders>
            <w:shd w:val="clear" w:color="auto" w:fill="DBDBDB"/>
          </w:tcPr>
          <w:p>
            <w:pPr>
              <w:spacing w:after="0"/>
              <w:rPr>
                <w:sz w:val="2"/>
                <w:szCs w:val="2"/>
                <w:color w:val="auto"/>
              </w:rPr>
            </w:pPr>
          </w:p>
        </w:tc>
        <w:tc>
          <w:tcPr>
            <w:tcW w:w="200" w:type="dxa"/>
            <w:vAlign w:val="bottom"/>
            <w:tcBorders>
              <w:top w:val="single" w:sz="8" w:color="DBDBDB"/>
            </w:tcBorders>
            <w:shd w:val="clear" w:color="auto" w:fill="DBDBDB"/>
          </w:tcPr>
          <w:p>
            <w:pPr>
              <w:spacing w:after="0"/>
              <w:rPr>
                <w:sz w:val="2"/>
                <w:szCs w:val="2"/>
                <w:color w:val="auto"/>
              </w:rPr>
            </w:pPr>
          </w:p>
        </w:tc>
        <w:tc>
          <w:tcPr>
            <w:tcW w:w="480" w:type="dxa"/>
            <w:vAlign w:val="bottom"/>
            <w:tcBorders>
              <w:top w:val="single" w:sz="8" w:color="DBDBDB"/>
            </w:tcBorders>
            <w:shd w:val="clear" w:color="auto" w:fill="DBDBDB"/>
          </w:tcPr>
          <w:p>
            <w:pPr>
              <w:spacing w:after="0"/>
              <w:rPr>
                <w:sz w:val="2"/>
                <w:szCs w:val="2"/>
                <w:color w:val="auto"/>
              </w:rPr>
            </w:pPr>
          </w:p>
        </w:tc>
        <w:tc>
          <w:tcPr>
            <w:tcW w:w="220" w:type="dxa"/>
            <w:vAlign w:val="bottom"/>
            <w:tcBorders>
              <w:top w:val="single" w:sz="8" w:color="DBDBDB"/>
            </w:tcBorders>
            <w:shd w:val="clear" w:color="auto" w:fill="DBDBDB"/>
          </w:tcPr>
          <w:p>
            <w:pPr>
              <w:spacing w:after="0"/>
              <w:rPr>
                <w:sz w:val="2"/>
                <w:szCs w:val="2"/>
                <w:color w:val="auto"/>
              </w:rPr>
            </w:pPr>
          </w:p>
        </w:tc>
        <w:tc>
          <w:tcPr>
            <w:tcW w:w="1140" w:type="dxa"/>
            <w:vAlign w:val="bottom"/>
            <w:tcBorders>
              <w:top w:val="single" w:sz="8" w:color="DBDBDB"/>
            </w:tcBorders>
            <w:shd w:val="clear" w:color="auto" w:fill="DBDBDB"/>
          </w:tcPr>
          <w:p>
            <w:pPr>
              <w:spacing w:after="0"/>
              <w:rPr>
                <w:sz w:val="2"/>
                <w:szCs w:val="2"/>
                <w:color w:val="auto"/>
              </w:rPr>
            </w:pPr>
          </w:p>
        </w:tc>
        <w:tc>
          <w:tcPr>
            <w:tcW w:w="340" w:type="dxa"/>
            <w:vAlign w:val="bottom"/>
            <w:tcBorders>
              <w:top w:val="single" w:sz="8" w:color="DBDBDB"/>
            </w:tcBorders>
            <w:shd w:val="clear" w:color="auto" w:fill="DBDBDB"/>
          </w:tcPr>
          <w:p>
            <w:pPr>
              <w:spacing w:after="0"/>
              <w:rPr>
                <w:sz w:val="2"/>
                <w:szCs w:val="2"/>
                <w:color w:val="auto"/>
              </w:rPr>
            </w:pPr>
          </w:p>
        </w:tc>
        <w:tc>
          <w:tcPr>
            <w:tcW w:w="820" w:type="dxa"/>
            <w:vAlign w:val="bottom"/>
            <w:tcBorders>
              <w:top w:val="single" w:sz="8" w:color="DBDBDB"/>
            </w:tcBorders>
            <w:shd w:val="clear" w:color="auto" w:fill="DBDBDB"/>
          </w:tcPr>
          <w:p>
            <w:pPr>
              <w:spacing w:after="0"/>
              <w:rPr>
                <w:sz w:val="2"/>
                <w:szCs w:val="2"/>
                <w:color w:val="auto"/>
              </w:rPr>
            </w:pPr>
          </w:p>
        </w:tc>
        <w:tc>
          <w:tcPr>
            <w:tcW w:w="640" w:type="dxa"/>
            <w:vAlign w:val="bottom"/>
            <w:tcBorders>
              <w:top w:val="single" w:sz="8" w:color="DBDBDB"/>
            </w:tcBorders>
            <w:shd w:val="clear" w:color="auto" w:fill="DBDBDB"/>
          </w:tcPr>
          <w:p>
            <w:pPr>
              <w:spacing w:after="0"/>
              <w:rPr>
                <w:sz w:val="2"/>
                <w:szCs w:val="2"/>
                <w:color w:val="auto"/>
              </w:rPr>
            </w:pPr>
          </w:p>
        </w:tc>
        <w:tc>
          <w:tcPr>
            <w:tcW w:w="100" w:type="dxa"/>
            <w:vAlign w:val="bottom"/>
            <w:tcBorders>
              <w:top w:val="single" w:sz="8" w:color="DBDBDB"/>
            </w:tcBorders>
            <w:shd w:val="clear" w:color="auto" w:fill="DBDBDB"/>
          </w:tcPr>
          <w:p>
            <w:pPr>
              <w:spacing w:after="0"/>
              <w:rPr>
                <w:sz w:val="2"/>
                <w:szCs w:val="2"/>
                <w:color w:val="auto"/>
              </w:rPr>
            </w:pPr>
          </w:p>
        </w:tc>
        <w:tc>
          <w:tcPr>
            <w:tcW w:w="80" w:type="dxa"/>
            <w:vAlign w:val="bottom"/>
            <w:tcBorders>
              <w:top w:val="single" w:sz="8" w:color="DBDBDB"/>
            </w:tcBorders>
            <w:shd w:val="clear" w:color="auto" w:fill="DBDBDB"/>
          </w:tcPr>
          <w:p>
            <w:pPr>
              <w:spacing w:after="0"/>
              <w:rPr>
                <w:sz w:val="2"/>
                <w:szCs w:val="2"/>
                <w:color w:val="auto"/>
              </w:rPr>
            </w:pPr>
          </w:p>
        </w:tc>
        <w:tc>
          <w:tcPr>
            <w:tcW w:w="160" w:type="dxa"/>
            <w:vAlign w:val="bottom"/>
            <w:tcBorders>
              <w:top w:val="single" w:sz="8" w:color="DBDBDB"/>
            </w:tcBorders>
            <w:shd w:val="clear" w:color="auto" w:fill="DBDBDB"/>
          </w:tcPr>
          <w:p>
            <w:pPr>
              <w:spacing w:after="0"/>
              <w:rPr>
                <w:sz w:val="2"/>
                <w:szCs w:val="2"/>
                <w:color w:val="auto"/>
              </w:rPr>
            </w:pPr>
          </w:p>
        </w:tc>
        <w:tc>
          <w:tcPr>
            <w:tcW w:w="80" w:type="dxa"/>
            <w:vAlign w:val="bottom"/>
            <w:tcBorders>
              <w:top w:val="single" w:sz="8" w:color="DBDBDB"/>
            </w:tcBorders>
            <w:shd w:val="clear" w:color="auto" w:fill="DBDBDB"/>
          </w:tcPr>
          <w:p>
            <w:pPr>
              <w:spacing w:after="0"/>
              <w:rPr>
                <w:sz w:val="2"/>
                <w:szCs w:val="2"/>
                <w:color w:val="auto"/>
              </w:rPr>
            </w:pPr>
          </w:p>
        </w:tc>
        <w:tc>
          <w:tcPr>
            <w:tcW w:w="1260" w:type="dxa"/>
            <w:vAlign w:val="bottom"/>
            <w:tcBorders>
              <w:top w:val="single" w:sz="8" w:color="DBDBDB"/>
            </w:tcBorders>
            <w:shd w:val="clear" w:color="auto" w:fill="DBDBDB"/>
          </w:tcPr>
          <w:p>
            <w:pPr>
              <w:spacing w:after="0"/>
              <w:rPr>
                <w:sz w:val="2"/>
                <w:szCs w:val="2"/>
                <w:color w:val="auto"/>
              </w:rPr>
            </w:pPr>
          </w:p>
        </w:tc>
        <w:tc>
          <w:tcPr>
            <w:tcW w:w="100" w:type="dxa"/>
            <w:vAlign w:val="bottom"/>
            <w:tcBorders>
              <w:top w:val="single" w:sz="8" w:color="0000EE"/>
            </w:tcBorders>
            <w:shd w:val="clear" w:color="auto" w:fill="DBDBDB"/>
          </w:tcPr>
          <w:p>
            <w:pPr>
              <w:spacing w:after="0"/>
              <w:rPr>
                <w:sz w:val="2"/>
                <w:szCs w:val="2"/>
                <w:color w:val="auto"/>
              </w:rPr>
            </w:pPr>
          </w:p>
        </w:tc>
        <w:tc>
          <w:tcPr>
            <w:tcW w:w="80" w:type="dxa"/>
            <w:vAlign w:val="bottom"/>
            <w:tcBorders>
              <w:top w:val="single" w:sz="8" w:color="0000EE"/>
            </w:tcBorders>
            <w:shd w:val="clear" w:color="auto" w:fill="DBDBDB"/>
          </w:tcPr>
          <w:p>
            <w:pPr>
              <w:spacing w:after="0"/>
              <w:rPr>
                <w:sz w:val="2"/>
                <w:szCs w:val="2"/>
                <w:color w:val="auto"/>
              </w:rPr>
            </w:pPr>
          </w:p>
        </w:tc>
        <w:tc>
          <w:tcPr>
            <w:tcW w:w="20" w:type="dxa"/>
            <w:vAlign w:val="bottom"/>
            <w:tcBorders>
              <w:top w:val="single" w:sz="8" w:color="DBDBDB"/>
            </w:tcBorders>
            <w:shd w:val="clear" w:color="auto" w:fill="DBDBDB"/>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20" w:type="dxa"/>
            <w:vAlign w:val="bottom"/>
          </w:tcPr>
          <w:p>
            <w:pPr>
              <w:spacing w:after="0" w:line="202" w:lineRule="exact"/>
              <w:rPr>
                <w:sz w:val="20"/>
                <w:szCs w:val="20"/>
                <w:color w:val="auto"/>
              </w:rPr>
            </w:pPr>
            <w:r>
              <w:rPr>
                <w:rFonts w:ascii="Times New Roman" w:cs="Times New Roman" w:eastAsia="Times New Roman" w:hAnsi="Times New Roman"/>
                <w:sz w:val="18"/>
                <w:szCs w:val="18"/>
                <w:color w:val="0000FF"/>
                <w:w w:val="97"/>
              </w:rPr>
              <w:t>Item 4.</w:t>
            </w:r>
          </w:p>
        </w:tc>
        <w:tc>
          <w:tcPr>
            <w:tcW w:w="1160" w:type="dxa"/>
            <w:vAlign w:val="bottom"/>
            <w:gridSpan w:val="4"/>
          </w:tcPr>
          <w:p>
            <w:pPr>
              <w:spacing w:after="0"/>
              <w:rPr>
                <w:sz w:val="17"/>
                <w:szCs w:val="17"/>
                <w:color w:val="auto"/>
              </w:rPr>
            </w:pPr>
          </w:p>
        </w:tc>
        <w:tc>
          <w:tcPr>
            <w:tcW w:w="9260" w:type="dxa"/>
            <w:vAlign w:val="bottom"/>
            <w:gridSpan w:val="26"/>
          </w:tcPr>
          <w:p>
            <w:pPr>
              <w:spacing w:after="0" w:line="202" w:lineRule="exact"/>
              <w:rPr>
                <w:sz w:val="20"/>
                <w:szCs w:val="20"/>
                <w:color w:val="auto"/>
              </w:rPr>
            </w:pPr>
            <w:r>
              <w:rPr>
                <w:rFonts w:ascii="Times New Roman" w:cs="Times New Roman" w:eastAsia="Times New Roman" w:hAnsi="Times New Roman"/>
                <w:sz w:val="18"/>
                <w:szCs w:val="18"/>
                <w:color w:val="0000FF"/>
              </w:rPr>
              <w:t>MINE SAFETY DISCLOSURES</w:t>
            </w:r>
          </w:p>
        </w:tc>
        <w:tc>
          <w:tcPr>
            <w:tcW w:w="18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0000EE"/>
                <w:w w:val="88"/>
              </w:rPr>
              <w:t>21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520" w:type="dxa"/>
            <w:vAlign w:val="bottom"/>
            <w:tcBorders>
              <w:top w:val="single" w:sz="8" w:color="0000FF"/>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980" w:type="dxa"/>
            <w:vAlign w:val="bottom"/>
          </w:tcPr>
          <w:p>
            <w:pPr>
              <w:spacing w:after="0"/>
              <w:rPr>
                <w:sz w:val="2"/>
                <w:szCs w:val="2"/>
                <w:color w:val="auto"/>
              </w:rPr>
            </w:pPr>
          </w:p>
        </w:tc>
        <w:tc>
          <w:tcPr>
            <w:tcW w:w="84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shd w:val="clear" w:color="auto" w:fill="DBDBDB"/>
          </w:tcPr>
          <w:p>
            <w:pPr>
              <w:spacing w:after="0"/>
              <w:rPr>
                <w:sz w:val="20"/>
                <w:szCs w:val="20"/>
                <w:color w:val="auto"/>
              </w:rPr>
            </w:pPr>
          </w:p>
        </w:tc>
        <w:tc>
          <w:tcPr>
            <w:tcW w:w="1680" w:type="dxa"/>
            <w:vAlign w:val="bottom"/>
            <w:tcBorders>
              <w:right w:val="single" w:sz="8" w:color="DBDBDB"/>
            </w:tcBorders>
            <w:gridSpan w:val="5"/>
            <w:shd w:val="clear" w:color="auto" w:fill="DBDBDB"/>
          </w:tcPr>
          <w:p>
            <w:pPr>
              <w:spacing w:after="0" w:line="202" w:lineRule="exact"/>
              <w:rPr>
                <w:sz w:val="20"/>
                <w:szCs w:val="20"/>
                <w:color w:val="auto"/>
              </w:rPr>
            </w:pPr>
            <w:r>
              <w:rPr>
                <w:rFonts w:ascii="Times New Roman" w:cs="Times New Roman" w:eastAsia="Times New Roman" w:hAnsi="Times New Roman"/>
                <w:sz w:val="18"/>
                <w:szCs w:val="18"/>
                <w:color w:val="0000FF"/>
              </w:rPr>
              <w:t>PART II.</w:t>
            </w:r>
          </w:p>
        </w:tc>
        <w:tc>
          <w:tcPr>
            <w:tcW w:w="840" w:type="dxa"/>
            <w:vAlign w:val="bottom"/>
            <w:shd w:val="clear" w:color="auto" w:fill="DBDBDB"/>
          </w:tcPr>
          <w:p>
            <w:pPr>
              <w:spacing w:after="0"/>
              <w:rPr>
                <w:sz w:val="20"/>
                <w:szCs w:val="20"/>
                <w:color w:val="auto"/>
              </w:rPr>
            </w:pPr>
          </w:p>
        </w:tc>
        <w:tc>
          <w:tcPr>
            <w:tcW w:w="60" w:type="dxa"/>
            <w:vAlign w:val="bottom"/>
            <w:shd w:val="clear" w:color="auto" w:fill="DBDBDB"/>
          </w:tcPr>
          <w:p>
            <w:pPr>
              <w:spacing w:after="0"/>
              <w:rPr>
                <w:sz w:val="20"/>
                <w:szCs w:val="20"/>
                <w:color w:val="auto"/>
              </w:rPr>
            </w:pPr>
          </w:p>
        </w:tc>
        <w:tc>
          <w:tcPr>
            <w:tcW w:w="180" w:type="dxa"/>
            <w:vAlign w:val="bottom"/>
            <w:tcBorders>
              <w:right w:val="single" w:sz="8" w:color="DBDBDB"/>
            </w:tcBorders>
            <w:shd w:val="clear" w:color="auto" w:fill="DBDBDB"/>
          </w:tcPr>
          <w:p>
            <w:pPr>
              <w:spacing w:after="0"/>
              <w:rPr>
                <w:sz w:val="20"/>
                <w:szCs w:val="20"/>
                <w:color w:val="auto"/>
              </w:rPr>
            </w:pPr>
          </w:p>
        </w:tc>
        <w:tc>
          <w:tcPr>
            <w:tcW w:w="20" w:type="dxa"/>
            <w:vAlign w:val="bottom"/>
            <w:shd w:val="clear" w:color="auto" w:fill="DBDBDB"/>
          </w:tcPr>
          <w:p>
            <w:pPr>
              <w:spacing w:after="0"/>
              <w:rPr>
                <w:sz w:val="20"/>
                <w:szCs w:val="20"/>
                <w:color w:val="auto"/>
              </w:rPr>
            </w:pPr>
          </w:p>
        </w:tc>
        <w:tc>
          <w:tcPr>
            <w:tcW w:w="140" w:type="dxa"/>
            <w:vAlign w:val="bottom"/>
            <w:shd w:val="clear" w:color="auto" w:fill="DBDBDB"/>
          </w:tcPr>
          <w:p>
            <w:pPr>
              <w:spacing w:after="0"/>
              <w:rPr>
                <w:sz w:val="20"/>
                <w:szCs w:val="20"/>
                <w:color w:val="auto"/>
              </w:rPr>
            </w:pPr>
          </w:p>
        </w:tc>
        <w:tc>
          <w:tcPr>
            <w:tcW w:w="220" w:type="dxa"/>
            <w:vAlign w:val="bottom"/>
            <w:shd w:val="clear" w:color="auto" w:fill="DBDBDB"/>
          </w:tcPr>
          <w:p>
            <w:pPr>
              <w:spacing w:after="0"/>
              <w:rPr>
                <w:sz w:val="20"/>
                <w:szCs w:val="20"/>
                <w:color w:val="auto"/>
              </w:rPr>
            </w:pPr>
          </w:p>
        </w:tc>
        <w:tc>
          <w:tcPr>
            <w:tcW w:w="400" w:type="dxa"/>
            <w:vAlign w:val="bottom"/>
            <w:shd w:val="clear" w:color="auto" w:fill="DBDBDB"/>
          </w:tcPr>
          <w:p>
            <w:pPr>
              <w:spacing w:after="0"/>
              <w:rPr>
                <w:sz w:val="20"/>
                <w:szCs w:val="20"/>
                <w:color w:val="auto"/>
              </w:rPr>
            </w:pPr>
          </w:p>
        </w:tc>
        <w:tc>
          <w:tcPr>
            <w:tcW w:w="20" w:type="dxa"/>
            <w:vAlign w:val="bottom"/>
            <w:shd w:val="clear" w:color="auto" w:fill="DBDBDB"/>
          </w:tcPr>
          <w:p>
            <w:pPr>
              <w:spacing w:after="0"/>
              <w:rPr>
                <w:sz w:val="20"/>
                <w:szCs w:val="20"/>
                <w:color w:val="auto"/>
              </w:rPr>
            </w:pPr>
          </w:p>
        </w:tc>
        <w:tc>
          <w:tcPr>
            <w:tcW w:w="280" w:type="dxa"/>
            <w:vAlign w:val="bottom"/>
            <w:shd w:val="clear" w:color="auto" w:fill="DBDBDB"/>
          </w:tcPr>
          <w:p>
            <w:pPr>
              <w:spacing w:after="0"/>
              <w:rPr>
                <w:sz w:val="20"/>
                <w:szCs w:val="20"/>
                <w:color w:val="auto"/>
              </w:rPr>
            </w:pPr>
          </w:p>
        </w:tc>
        <w:tc>
          <w:tcPr>
            <w:tcW w:w="260" w:type="dxa"/>
            <w:vAlign w:val="bottom"/>
            <w:shd w:val="clear" w:color="auto" w:fill="DBDBDB"/>
          </w:tcPr>
          <w:p>
            <w:pPr>
              <w:spacing w:after="0"/>
              <w:rPr>
                <w:sz w:val="20"/>
                <w:szCs w:val="20"/>
                <w:color w:val="auto"/>
              </w:rPr>
            </w:pPr>
          </w:p>
        </w:tc>
        <w:tc>
          <w:tcPr>
            <w:tcW w:w="20" w:type="dxa"/>
            <w:vAlign w:val="bottom"/>
            <w:shd w:val="clear" w:color="auto" w:fill="DBDBDB"/>
          </w:tcPr>
          <w:p>
            <w:pPr>
              <w:spacing w:after="0"/>
              <w:rPr>
                <w:sz w:val="20"/>
                <w:szCs w:val="20"/>
                <w:color w:val="auto"/>
              </w:rPr>
            </w:pPr>
          </w:p>
        </w:tc>
        <w:tc>
          <w:tcPr>
            <w:tcW w:w="140" w:type="dxa"/>
            <w:vAlign w:val="bottom"/>
            <w:shd w:val="clear" w:color="auto" w:fill="DBDBDB"/>
          </w:tcPr>
          <w:p>
            <w:pPr>
              <w:spacing w:after="0"/>
              <w:rPr>
                <w:sz w:val="20"/>
                <w:szCs w:val="20"/>
                <w:color w:val="auto"/>
              </w:rPr>
            </w:pPr>
          </w:p>
        </w:tc>
        <w:tc>
          <w:tcPr>
            <w:tcW w:w="220" w:type="dxa"/>
            <w:vAlign w:val="bottom"/>
            <w:shd w:val="clear" w:color="auto" w:fill="DBDBDB"/>
          </w:tcPr>
          <w:p>
            <w:pPr>
              <w:spacing w:after="0"/>
              <w:rPr>
                <w:sz w:val="20"/>
                <w:szCs w:val="20"/>
                <w:color w:val="auto"/>
              </w:rPr>
            </w:pPr>
          </w:p>
        </w:tc>
        <w:tc>
          <w:tcPr>
            <w:tcW w:w="940" w:type="dxa"/>
            <w:vAlign w:val="bottom"/>
            <w:shd w:val="clear" w:color="auto" w:fill="DBDBDB"/>
          </w:tcPr>
          <w:p>
            <w:pPr>
              <w:spacing w:after="0"/>
              <w:rPr>
                <w:sz w:val="20"/>
                <w:szCs w:val="20"/>
                <w:color w:val="auto"/>
              </w:rPr>
            </w:pPr>
          </w:p>
        </w:tc>
        <w:tc>
          <w:tcPr>
            <w:tcW w:w="200" w:type="dxa"/>
            <w:vAlign w:val="bottom"/>
            <w:shd w:val="clear" w:color="auto" w:fill="DBDBDB"/>
          </w:tcPr>
          <w:p>
            <w:pPr>
              <w:spacing w:after="0"/>
              <w:rPr>
                <w:sz w:val="20"/>
                <w:szCs w:val="20"/>
                <w:color w:val="auto"/>
              </w:rPr>
            </w:pPr>
          </w:p>
        </w:tc>
        <w:tc>
          <w:tcPr>
            <w:tcW w:w="480" w:type="dxa"/>
            <w:vAlign w:val="bottom"/>
            <w:shd w:val="clear" w:color="auto" w:fill="DBDBDB"/>
          </w:tcPr>
          <w:p>
            <w:pPr>
              <w:spacing w:after="0"/>
              <w:rPr>
                <w:sz w:val="20"/>
                <w:szCs w:val="20"/>
                <w:color w:val="auto"/>
              </w:rPr>
            </w:pPr>
          </w:p>
        </w:tc>
        <w:tc>
          <w:tcPr>
            <w:tcW w:w="220" w:type="dxa"/>
            <w:vAlign w:val="bottom"/>
            <w:shd w:val="clear" w:color="auto" w:fill="DBDBDB"/>
          </w:tcPr>
          <w:p>
            <w:pPr>
              <w:spacing w:after="0"/>
              <w:rPr>
                <w:sz w:val="20"/>
                <w:szCs w:val="20"/>
                <w:color w:val="auto"/>
              </w:rPr>
            </w:pPr>
          </w:p>
        </w:tc>
        <w:tc>
          <w:tcPr>
            <w:tcW w:w="1140" w:type="dxa"/>
            <w:vAlign w:val="bottom"/>
            <w:shd w:val="clear" w:color="auto" w:fill="DBDBDB"/>
          </w:tcPr>
          <w:p>
            <w:pPr>
              <w:spacing w:after="0"/>
              <w:rPr>
                <w:sz w:val="20"/>
                <w:szCs w:val="20"/>
                <w:color w:val="auto"/>
              </w:rPr>
            </w:pPr>
          </w:p>
        </w:tc>
        <w:tc>
          <w:tcPr>
            <w:tcW w:w="340" w:type="dxa"/>
            <w:vAlign w:val="bottom"/>
            <w:shd w:val="clear" w:color="auto" w:fill="DBDBDB"/>
          </w:tcPr>
          <w:p>
            <w:pPr>
              <w:spacing w:after="0"/>
              <w:rPr>
                <w:sz w:val="20"/>
                <w:szCs w:val="20"/>
                <w:color w:val="auto"/>
              </w:rPr>
            </w:pPr>
          </w:p>
        </w:tc>
        <w:tc>
          <w:tcPr>
            <w:tcW w:w="820" w:type="dxa"/>
            <w:vAlign w:val="bottom"/>
            <w:shd w:val="clear" w:color="auto" w:fill="DBDBDB"/>
          </w:tcPr>
          <w:p>
            <w:pPr>
              <w:spacing w:after="0"/>
              <w:rPr>
                <w:sz w:val="20"/>
                <w:szCs w:val="20"/>
                <w:color w:val="auto"/>
              </w:rPr>
            </w:pPr>
          </w:p>
        </w:tc>
        <w:tc>
          <w:tcPr>
            <w:tcW w:w="64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80" w:type="dxa"/>
            <w:vAlign w:val="bottom"/>
            <w:shd w:val="clear" w:color="auto" w:fill="DBDBDB"/>
          </w:tcPr>
          <w:p>
            <w:pPr>
              <w:spacing w:after="0"/>
              <w:rPr>
                <w:sz w:val="20"/>
                <w:szCs w:val="20"/>
                <w:color w:val="auto"/>
              </w:rPr>
            </w:pPr>
          </w:p>
        </w:tc>
        <w:tc>
          <w:tcPr>
            <w:tcW w:w="160" w:type="dxa"/>
            <w:vAlign w:val="bottom"/>
            <w:shd w:val="clear" w:color="auto" w:fill="DBDBDB"/>
          </w:tcPr>
          <w:p>
            <w:pPr>
              <w:spacing w:after="0"/>
              <w:rPr>
                <w:sz w:val="20"/>
                <w:szCs w:val="20"/>
                <w:color w:val="auto"/>
              </w:rPr>
            </w:pPr>
          </w:p>
        </w:tc>
        <w:tc>
          <w:tcPr>
            <w:tcW w:w="80" w:type="dxa"/>
            <w:vAlign w:val="bottom"/>
            <w:shd w:val="clear" w:color="auto" w:fill="DBDBDB"/>
          </w:tcPr>
          <w:p>
            <w:pPr>
              <w:spacing w:after="0"/>
              <w:rPr>
                <w:sz w:val="20"/>
                <w:szCs w:val="20"/>
                <w:color w:val="auto"/>
              </w:rPr>
            </w:pPr>
          </w:p>
        </w:tc>
        <w:tc>
          <w:tcPr>
            <w:tcW w:w="126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80" w:type="dxa"/>
            <w:vAlign w:val="bottom"/>
            <w:shd w:val="clear" w:color="auto" w:fill="DBDBDB"/>
          </w:tcPr>
          <w:p>
            <w:pPr>
              <w:spacing w:after="0"/>
              <w:rPr>
                <w:sz w:val="20"/>
                <w:szCs w:val="20"/>
                <w:color w:val="auto"/>
              </w:rPr>
            </w:pPr>
          </w:p>
        </w:tc>
        <w:tc>
          <w:tcPr>
            <w:tcW w:w="20" w:type="dxa"/>
            <w:vAlign w:val="bottom"/>
            <w:shd w:val="clear" w:color="auto" w:fill="DBDBDB"/>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Borders>
              <w:top w:val="single" w:sz="8" w:color="DBDBDB"/>
            </w:tcBorders>
          </w:tcPr>
          <w:p>
            <w:pPr>
              <w:spacing w:after="0"/>
              <w:rPr>
                <w:sz w:val="17"/>
                <w:szCs w:val="17"/>
                <w:color w:val="auto"/>
              </w:rPr>
            </w:pPr>
          </w:p>
        </w:tc>
        <w:tc>
          <w:tcPr>
            <w:tcW w:w="640" w:type="dxa"/>
            <w:vAlign w:val="bottom"/>
            <w:tcBorders>
              <w:top w:val="single" w:sz="8" w:color="0000FF"/>
            </w:tcBorders>
            <w:gridSpan w:val="3"/>
          </w:tcPr>
          <w:p>
            <w:pPr>
              <w:spacing w:after="0" w:line="202" w:lineRule="exact"/>
              <w:rPr>
                <w:sz w:val="20"/>
                <w:szCs w:val="20"/>
                <w:color w:val="auto"/>
              </w:rPr>
            </w:pPr>
            <w:r>
              <w:rPr>
                <w:rFonts w:ascii="Times New Roman" w:cs="Times New Roman" w:eastAsia="Times New Roman" w:hAnsi="Times New Roman"/>
                <w:sz w:val="18"/>
                <w:szCs w:val="18"/>
                <w:color w:val="0000FF"/>
              </w:rPr>
              <w:t>Item 5.</w:t>
            </w:r>
          </w:p>
        </w:tc>
        <w:tc>
          <w:tcPr>
            <w:tcW w:w="1040" w:type="dxa"/>
            <w:vAlign w:val="bottom"/>
            <w:tcBorders>
              <w:top w:val="single" w:sz="8" w:color="DBDBDB"/>
            </w:tcBorders>
            <w:gridSpan w:val="2"/>
          </w:tcPr>
          <w:p>
            <w:pPr>
              <w:spacing w:after="0"/>
              <w:rPr>
                <w:sz w:val="17"/>
                <w:szCs w:val="17"/>
                <w:color w:val="auto"/>
              </w:rPr>
            </w:pPr>
          </w:p>
        </w:tc>
        <w:tc>
          <w:tcPr>
            <w:tcW w:w="9260" w:type="dxa"/>
            <w:vAlign w:val="bottom"/>
            <w:tcBorders>
              <w:top w:val="single" w:sz="8" w:color="DBDBDB"/>
            </w:tcBorders>
            <w:gridSpan w:val="26"/>
          </w:tcPr>
          <w:p>
            <w:pPr>
              <w:spacing w:after="0" w:line="202" w:lineRule="exact"/>
              <w:rPr>
                <w:sz w:val="20"/>
                <w:szCs w:val="20"/>
                <w:color w:val="auto"/>
              </w:rPr>
            </w:pPr>
            <w:r>
              <w:rPr>
                <w:rFonts w:ascii="Times New Roman" w:cs="Times New Roman" w:eastAsia="Times New Roman" w:hAnsi="Times New Roman"/>
                <w:sz w:val="18"/>
                <w:szCs w:val="18"/>
                <w:color w:val="0000FF"/>
              </w:rPr>
              <w:t>MARKET FOR REGISTRANT’S COMMON EQUITY, RELATED STOCKHOLDER MATTERS AND</w:t>
            </w:r>
          </w:p>
        </w:tc>
        <w:tc>
          <w:tcPr>
            <w:tcW w:w="180" w:type="dxa"/>
            <w:vAlign w:val="bottom"/>
            <w:tcBorders>
              <w:top w:val="single" w:sz="8" w:color="DBDBDB"/>
            </w:tcBorders>
            <w:gridSpan w:val="2"/>
            <w:vMerge w:val="restart"/>
          </w:tcPr>
          <w:p>
            <w:pPr>
              <w:jc w:val="right"/>
              <w:spacing w:after="0"/>
              <w:rPr>
                <w:sz w:val="20"/>
                <w:szCs w:val="20"/>
                <w:color w:val="auto"/>
              </w:rPr>
            </w:pPr>
            <w:r>
              <w:rPr>
                <w:rFonts w:ascii="Times New Roman" w:cs="Times New Roman" w:eastAsia="Times New Roman" w:hAnsi="Times New Roman"/>
                <w:sz w:val="18"/>
                <w:szCs w:val="18"/>
                <w:color w:val="0000EE"/>
                <w:w w:val="88"/>
              </w:rPr>
              <w:t>22</w:t>
            </w:r>
          </w:p>
        </w:tc>
        <w:tc>
          <w:tcPr>
            <w:tcW w:w="20" w:type="dxa"/>
            <w:vAlign w:val="bottom"/>
            <w:tcBorders>
              <w:top w:val="single" w:sz="8" w:color="DBDBDB"/>
            </w:tcBorders>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20" w:type="dxa"/>
            <w:vAlign w:val="bottom"/>
            <w:tcBorders>
              <w:top w:val="single" w:sz="8" w:color="0000FF"/>
            </w:tcBorders>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580" w:type="dxa"/>
            <w:vAlign w:val="bottom"/>
            <w:tcBorders>
              <w:top w:val="single" w:sz="8" w:color="0000FF"/>
            </w:tcBorders>
            <w:gridSpan w:val="21"/>
          </w:tcPr>
          <w:p>
            <w:pPr>
              <w:spacing w:after="0" w:line="182" w:lineRule="exact"/>
              <w:rPr>
                <w:sz w:val="20"/>
                <w:szCs w:val="20"/>
                <w:color w:val="auto"/>
              </w:rPr>
            </w:pPr>
            <w:r>
              <w:rPr>
                <w:rFonts w:ascii="Times New Roman" w:cs="Times New Roman" w:eastAsia="Times New Roman" w:hAnsi="Times New Roman"/>
                <w:sz w:val="18"/>
                <w:szCs w:val="18"/>
                <w:color w:val="0000FF"/>
              </w:rPr>
              <w:t>ISSUER PURCHASES OF EQUITY SECURITIES</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80" w:type="dxa"/>
            <w:vAlign w:val="bottom"/>
            <w:tcBorders>
              <w:top w:val="single" w:sz="8" w:color="DBDBDB"/>
            </w:tcBorders>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980" w:type="dxa"/>
            <w:vAlign w:val="bottom"/>
          </w:tcPr>
          <w:p>
            <w:pPr>
              <w:spacing w:after="0"/>
              <w:rPr>
                <w:sz w:val="2"/>
                <w:szCs w:val="2"/>
                <w:color w:val="auto"/>
              </w:rPr>
            </w:pPr>
          </w:p>
        </w:tc>
        <w:tc>
          <w:tcPr>
            <w:tcW w:w="84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940" w:type="dxa"/>
            <w:vAlign w:val="bottom"/>
            <w:tcBorders>
              <w:top w:val="single" w:sz="8" w:color="0000FF"/>
            </w:tcBorders>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shd w:val="clear" w:color="auto" w:fill="DBDBDB"/>
          </w:tcPr>
          <w:p>
            <w:pPr>
              <w:spacing w:after="0"/>
              <w:rPr>
                <w:sz w:val="17"/>
                <w:szCs w:val="17"/>
                <w:color w:val="auto"/>
              </w:rPr>
            </w:pPr>
          </w:p>
        </w:tc>
        <w:tc>
          <w:tcPr>
            <w:tcW w:w="520" w:type="dxa"/>
            <w:vAlign w:val="bottom"/>
            <w:shd w:val="clear" w:color="auto" w:fill="DBDBDB"/>
          </w:tcPr>
          <w:p>
            <w:pPr>
              <w:spacing w:after="0" w:line="202" w:lineRule="exact"/>
              <w:rPr>
                <w:sz w:val="20"/>
                <w:szCs w:val="20"/>
                <w:color w:val="auto"/>
              </w:rPr>
            </w:pPr>
            <w:r>
              <w:rPr>
                <w:rFonts w:ascii="Times New Roman" w:cs="Times New Roman" w:eastAsia="Times New Roman" w:hAnsi="Times New Roman"/>
                <w:sz w:val="18"/>
                <w:szCs w:val="18"/>
                <w:color w:val="0000FF"/>
                <w:w w:val="97"/>
              </w:rPr>
              <w:t>Item 6.</w:t>
            </w:r>
          </w:p>
        </w:tc>
        <w:tc>
          <w:tcPr>
            <w:tcW w:w="1160" w:type="dxa"/>
            <w:vAlign w:val="bottom"/>
            <w:tcBorders>
              <w:right w:val="single" w:sz="8" w:color="DBDBDB"/>
            </w:tcBorders>
            <w:gridSpan w:val="4"/>
            <w:shd w:val="clear" w:color="auto" w:fill="DBDBDB"/>
          </w:tcPr>
          <w:p>
            <w:pPr>
              <w:spacing w:after="0"/>
              <w:rPr>
                <w:sz w:val="17"/>
                <w:szCs w:val="17"/>
                <w:color w:val="auto"/>
              </w:rPr>
            </w:pPr>
          </w:p>
        </w:tc>
        <w:tc>
          <w:tcPr>
            <w:tcW w:w="9260" w:type="dxa"/>
            <w:vAlign w:val="bottom"/>
            <w:gridSpan w:val="26"/>
            <w:shd w:val="clear" w:color="auto" w:fill="DBDBDB"/>
          </w:tcPr>
          <w:p>
            <w:pPr>
              <w:spacing w:after="0" w:line="202" w:lineRule="exact"/>
              <w:rPr>
                <w:sz w:val="20"/>
                <w:szCs w:val="20"/>
                <w:color w:val="auto"/>
              </w:rPr>
            </w:pPr>
            <w:r>
              <w:rPr>
                <w:rFonts w:ascii="Times New Roman" w:cs="Times New Roman" w:eastAsia="Times New Roman" w:hAnsi="Times New Roman"/>
                <w:sz w:val="18"/>
                <w:szCs w:val="18"/>
                <w:color w:val="0000FF"/>
              </w:rPr>
              <w:t>RESERVED</w:t>
            </w:r>
          </w:p>
        </w:tc>
        <w:tc>
          <w:tcPr>
            <w:tcW w:w="180" w:type="dxa"/>
            <w:vAlign w:val="bottom"/>
            <w:gridSpan w:val="2"/>
            <w:shd w:val="clear" w:color="auto" w:fill="DBDBDB"/>
          </w:tcPr>
          <w:p>
            <w:pPr>
              <w:jc w:val="right"/>
              <w:spacing w:after="0" w:line="202" w:lineRule="exact"/>
              <w:rPr>
                <w:sz w:val="20"/>
                <w:szCs w:val="20"/>
                <w:color w:val="auto"/>
              </w:rPr>
            </w:pPr>
            <w:r>
              <w:rPr>
                <w:rFonts w:ascii="Times New Roman" w:cs="Times New Roman" w:eastAsia="Times New Roman" w:hAnsi="Times New Roman"/>
                <w:sz w:val="18"/>
                <w:szCs w:val="18"/>
                <w:color w:val="0000EE"/>
                <w:w w:val="88"/>
              </w:rPr>
              <w:t>23</w:t>
            </w:r>
          </w:p>
        </w:tc>
        <w:tc>
          <w:tcPr>
            <w:tcW w:w="2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20" w:type="dxa"/>
            <w:vAlign w:val="bottom"/>
            <w:tcBorders>
              <w:top w:val="single" w:sz="8" w:color="DBDBDB"/>
            </w:tcBorders>
            <w:shd w:val="clear" w:color="auto" w:fill="DBDBDB"/>
          </w:tcPr>
          <w:p>
            <w:pPr>
              <w:spacing w:after="0"/>
              <w:rPr>
                <w:sz w:val="2"/>
                <w:szCs w:val="2"/>
                <w:color w:val="auto"/>
              </w:rPr>
            </w:pPr>
          </w:p>
        </w:tc>
        <w:tc>
          <w:tcPr>
            <w:tcW w:w="520" w:type="dxa"/>
            <w:vAlign w:val="bottom"/>
            <w:tcBorders>
              <w:top w:val="single" w:sz="8" w:color="0000FF"/>
            </w:tcBorders>
            <w:shd w:val="clear" w:color="auto" w:fill="DBDBDB"/>
          </w:tcPr>
          <w:p>
            <w:pPr>
              <w:spacing w:after="0"/>
              <w:rPr>
                <w:sz w:val="2"/>
                <w:szCs w:val="2"/>
                <w:color w:val="auto"/>
              </w:rPr>
            </w:pPr>
          </w:p>
        </w:tc>
        <w:tc>
          <w:tcPr>
            <w:tcW w:w="80" w:type="dxa"/>
            <w:vAlign w:val="bottom"/>
            <w:tcBorders>
              <w:top w:val="single" w:sz="8" w:color="DBDBDB"/>
            </w:tcBorders>
            <w:shd w:val="clear" w:color="auto" w:fill="DBDBDB"/>
          </w:tcPr>
          <w:p>
            <w:pPr>
              <w:spacing w:after="0"/>
              <w:rPr>
                <w:sz w:val="2"/>
                <w:szCs w:val="2"/>
                <w:color w:val="auto"/>
              </w:rPr>
            </w:pPr>
          </w:p>
        </w:tc>
        <w:tc>
          <w:tcPr>
            <w:tcW w:w="40" w:type="dxa"/>
            <w:vAlign w:val="bottom"/>
            <w:tcBorders>
              <w:top w:val="single" w:sz="8" w:color="DBDBDB"/>
            </w:tcBorders>
            <w:shd w:val="clear" w:color="auto" w:fill="DBDBDB"/>
          </w:tcPr>
          <w:p>
            <w:pPr>
              <w:spacing w:after="0"/>
              <w:rPr>
                <w:sz w:val="2"/>
                <w:szCs w:val="2"/>
                <w:color w:val="auto"/>
              </w:rPr>
            </w:pPr>
          </w:p>
        </w:tc>
        <w:tc>
          <w:tcPr>
            <w:tcW w:w="60" w:type="dxa"/>
            <w:vAlign w:val="bottom"/>
            <w:tcBorders>
              <w:top w:val="single" w:sz="8" w:color="DBDBDB"/>
            </w:tcBorders>
            <w:shd w:val="clear" w:color="auto" w:fill="DBDBDB"/>
          </w:tcPr>
          <w:p>
            <w:pPr>
              <w:spacing w:after="0"/>
              <w:rPr>
                <w:sz w:val="2"/>
                <w:szCs w:val="2"/>
                <w:color w:val="auto"/>
              </w:rPr>
            </w:pPr>
          </w:p>
        </w:tc>
        <w:tc>
          <w:tcPr>
            <w:tcW w:w="980" w:type="dxa"/>
            <w:vAlign w:val="bottom"/>
            <w:tcBorders>
              <w:top w:val="single" w:sz="8" w:color="DBDBDB"/>
              <w:right w:val="single" w:sz="8" w:color="DBDBDB"/>
            </w:tcBorders>
            <w:shd w:val="clear" w:color="auto" w:fill="DBDBDB"/>
          </w:tcPr>
          <w:p>
            <w:pPr>
              <w:spacing w:after="0"/>
              <w:rPr>
                <w:sz w:val="2"/>
                <w:szCs w:val="2"/>
                <w:color w:val="auto"/>
              </w:rPr>
            </w:pPr>
          </w:p>
        </w:tc>
        <w:tc>
          <w:tcPr>
            <w:tcW w:w="840" w:type="dxa"/>
            <w:vAlign w:val="bottom"/>
            <w:tcBorders>
              <w:top w:val="single" w:sz="8" w:color="0000FF"/>
            </w:tcBorders>
            <w:shd w:val="clear" w:color="auto" w:fill="DBDBDB"/>
          </w:tcPr>
          <w:p>
            <w:pPr>
              <w:spacing w:after="0"/>
              <w:rPr>
                <w:sz w:val="2"/>
                <w:szCs w:val="2"/>
                <w:color w:val="auto"/>
              </w:rPr>
            </w:pPr>
          </w:p>
        </w:tc>
        <w:tc>
          <w:tcPr>
            <w:tcW w:w="60" w:type="dxa"/>
            <w:vAlign w:val="bottom"/>
            <w:tcBorders>
              <w:top w:val="single" w:sz="8" w:color="0000FF"/>
            </w:tcBorders>
            <w:shd w:val="clear" w:color="auto" w:fill="DBDBDB"/>
          </w:tcPr>
          <w:p>
            <w:pPr>
              <w:spacing w:after="0"/>
              <w:rPr>
                <w:sz w:val="2"/>
                <w:szCs w:val="2"/>
                <w:color w:val="auto"/>
              </w:rPr>
            </w:pPr>
          </w:p>
        </w:tc>
        <w:tc>
          <w:tcPr>
            <w:tcW w:w="180" w:type="dxa"/>
            <w:vAlign w:val="bottom"/>
            <w:tcBorders>
              <w:top w:val="single" w:sz="8" w:color="DBDBDB"/>
              <w:right w:val="single" w:sz="8" w:color="DBDBDB"/>
            </w:tcBorders>
            <w:shd w:val="clear" w:color="auto" w:fill="DBDBDB"/>
          </w:tcPr>
          <w:p>
            <w:pPr>
              <w:spacing w:after="0"/>
              <w:rPr>
                <w:sz w:val="2"/>
                <w:szCs w:val="2"/>
                <w:color w:val="auto"/>
              </w:rPr>
            </w:pPr>
          </w:p>
        </w:tc>
        <w:tc>
          <w:tcPr>
            <w:tcW w:w="20" w:type="dxa"/>
            <w:vAlign w:val="bottom"/>
            <w:tcBorders>
              <w:top w:val="single" w:sz="8" w:color="DBDBDB"/>
            </w:tcBorders>
            <w:shd w:val="clear" w:color="auto" w:fill="DBDBDB"/>
          </w:tcPr>
          <w:p>
            <w:pPr>
              <w:spacing w:after="0"/>
              <w:rPr>
                <w:sz w:val="2"/>
                <w:szCs w:val="2"/>
                <w:color w:val="auto"/>
              </w:rPr>
            </w:pPr>
          </w:p>
        </w:tc>
        <w:tc>
          <w:tcPr>
            <w:tcW w:w="140" w:type="dxa"/>
            <w:vAlign w:val="bottom"/>
            <w:tcBorders>
              <w:top w:val="single" w:sz="8" w:color="DBDBDB"/>
            </w:tcBorders>
            <w:shd w:val="clear" w:color="auto" w:fill="DBDBDB"/>
          </w:tcPr>
          <w:p>
            <w:pPr>
              <w:spacing w:after="0"/>
              <w:rPr>
                <w:sz w:val="2"/>
                <w:szCs w:val="2"/>
                <w:color w:val="auto"/>
              </w:rPr>
            </w:pPr>
          </w:p>
        </w:tc>
        <w:tc>
          <w:tcPr>
            <w:tcW w:w="220" w:type="dxa"/>
            <w:vAlign w:val="bottom"/>
            <w:tcBorders>
              <w:top w:val="single" w:sz="8" w:color="DBDBDB"/>
            </w:tcBorders>
            <w:shd w:val="clear" w:color="auto" w:fill="DBDBDB"/>
          </w:tcPr>
          <w:p>
            <w:pPr>
              <w:spacing w:after="0"/>
              <w:rPr>
                <w:sz w:val="2"/>
                <w:szCs w:val="2"/>
                <w:color w:val="auto"/>
              </w:rPr>
            </w:pPr>
          </w:p>
        </w:tc>
        <w:tc>
          <w:tcPr>
            <w:tcW w:w="400" w:type="dxa"/>
            <w:vAlign w:val="bottom"/>
            <w:tcBorders>
              <w:top w:val="single" w:sz="8" w:color="DBDBDB"/>
            </w:tcBorders>
            <w:shd w:val="clear" w:color="auto" w:fill="DBDBDB"/>
          </w:tcPr>
          <w:p>
            <w:pPr>
              <w:spacing w:after="0"/>
              <w:rPr>
                <w:sz w:val="2"/>
                <w:szCs w:val="2"/>
                <w:color w:val="auto"/>
              </w:rPr>
            </w:pPr>
          </w:p>
        </w:tc>
        <w:tc>
          <w:tcPr>
            <w:tcW w:w="20" w:type="dxa"/>
            <w:vAlign w:val="bottom"/>
            <w:tcBorders>
              <w:top w:val="single" w:sz="8" w:color="DBDBDB"/>
            </w:tcBorders>
            <w:shd w:val="clear" w:color="auto" w:fill="DBDBDB"/>
          </w:tcPr>
          <w:p>
            <w:pPr>
              <w:spacing w:after="0"/>
              <w:rPr>
                <w:sz w:val="2"/>
                <w:szCs w:val="2"/>
                <w:color w:val="auto"/>
              </w:rPr>
            </w:pPr>
          </w:p>
        </w:tc>
        <w:tc>
          <w:tcPr>
            <w:tcW w:w="280" w:type="dxa"/>
            <w:vAlign w:val="bottom"/>
            <w:tcBorders>
              <w:top w:val="single" w:sz="8" w:color="DBDBDB"/>
            </w:tcBorders>
            <w:shd w:val="clear" w:color="auto" w:fill="DBDBDB"/>
          </w:tcPr>
          <w:p>
            <w:pPr>
              <w:spacing w:after="0"/>
              <w:rPr>
                <w:sz w:val="2"/>
                <w:szCs w:val="2"/>
                <w:color w:val="auto"/>
              </w:rPr>
            </w:pPr>
          </w:p>
        </w:tc>
        <w:tc>
          <w:tcPr>
            <w:tcW w:w="260" w:type="dxa"/>
            <w:vAlign w:val="bottom"/>
            <w:tcBorders>
              <w:top w:val="single" w:sz="8" w:color="DBDBDB"/>
            </w:tcBorders>
            <w:shd w:val="clear" w:color="auto" w:fill="DBDBDB"/>
          </w:tcPr>
          <w:p>
            <w:pPr>
              <w:spacing w:after="0"/>
              <w:rPr>
                <w:sz w:val="2"/>
                <w:szCs w:val="2"/>
                <w:color w:val="auto"/>
              </w:rPr>
            </w:pPr>
          </w:p>
        </w:tc>
        <w:tc>
          <w:tcPr>
            <w:tcW w:w="20" w:type="dxa"/>
            <w:vAlign w:val="bottom"/>
            <w:tcBorders>
              <w:top w:val="single" w:sz="8" w:color="DBDBDB"/>
            </w:tcBorders>
            <w:shd w:val="clear" w:color="auto" w:fill="DBDBDB"/>
          </w:tcPr>
          <w:p>
            <w:pPr>
              <w:spacing w:after="0"/>
              <w:rPr>
                <w:sz w:val="2"/>
                <w:szCs w:val="2"/>
                <w:color w:val="auto"/>
              </w:rPr>
            </w:pPr>
          </w:p>
        </w:tc>
        <w:tc>
          <w:tcPr>
            <w:tcW w:w="140" w:type="dxa"/>
            <w:vAlign w:val="bottom"/>
            <w:tcBorders>
              <w:top w:val="single" w:sz="8" w:color="DBDBDB"/>
            </w:tcBorders>
            <w:shd w:val="clear" w:color="auto" w:fill="DBDBDB"/>
          </w:tcPr>
          <w:p>
            <w:pPr>
              <w:spacing w:after="0"/>
              <w:rPr>
                <w:sz w:val="2"/>
                <w:szCs w:val="2"/>
                <w:color w:val="auto"/>
              </w:rPr>
            </w:pPr>
          </w:p>
        </w:tc>
        <w:tc>
          <w:tcPr>
            <w:tcW w:w="220" w:type="dxa"/>
            <w:vAlign w:val="bottom"/>
            <w:tcBorders>
              <w:top w:val="single" w:sz="8" w:color="DBDBDB"/>
            </w:tcBorders>
            <w:shd w:val="clear" w:color="auto" w:fill="DBDBDB"/>
          </w:tcPr>
          <w:p>
            <w:pPr>
              <w:spacing w:after="0"/>
              <w:rPr>
                <w:sz w:val="2"/>
                <w:szCs w:val="2"/>
                <w:color w:val="auto"/>
              </w:rPr>
            </w:pPr>
          </w:p>
        </w:tc>
        <w:tc>
          <w:tcPr>
            <w:tcW w:w="940" w:type="dxa"/>
            <w:vAlign w:val="bottom"/>
            <w:tcBorders>
              <w:top w:val="single" w:sz="8" w:color="DBDBDB"/>
            </w:tcBorders>
            <w:shd w:val="clear" w:color="auto" w:fill="DBDBDB"/>
          </w:tcPr>
          <w:p>
            <w:pPr>
              <w:spacing w:after="0"/>
              <w:rPr>
                <w:sz w:val="2"/>
                <w:szCs w:val="2"/>
                <w:color w:val="auto"/>
              </w:rPr>
            </w:pPr>
          </w:p>
        </w:tc>
        <w:tc>
          <w:tcPr>
            <w:tcW w:w="200" w:type="dxa"/>
            <w:vAlign w:val="bottom"/>
            <w:tcBorders>
              <w:top w:val="single" w:sz="8" w:color="DBDBDB"/>
            </w:tcBorders>
            <w:shd w:val="clear" w:color="auto" w:fill="DBDBDB"/>
          </w:tcPr>
          <w:p>
            <w:pPr>
              <w:spacing w:after="0"/>
              <w:rPr>
                <w:sz w:val="2"/>
                <w:szCs w:val="2"/>
                <w:color w:val="auto"/>
              </w:rPr>
            </w:pPr>
          </w:p>
        </w:tc>
        <w:tc>
          <w:tcPr>
            <w:tcW w:w="480" w:type="dxa"/>
            <w:vAlign w:val="bottom"/>
            <w:tcBorders>
              <w:top w:val="single" w:sz="8" w:color="DBDBDB"/>
            </w:tcBorders>
            <w:shd w:val="clear" w:color="auto" w:fill="DBDBDB"/>
          </w:tcPr>
          <w:p>
            <w:pPr>
              <w:spacing w:after="0"/>
              <w:rPr>
                <w:sz w:val="2"/>
                <w:szCs w:val="2"/>
                <w:color w:val="auto"/>
              </w:rPr>
            </w:pPr>
          </w:p>
        </w:tc>
        <w:tc>
          <w:tcPr>
            <w:tcW w:w="220" w:type="dxa"/>
            <w:vAlign w:val="bottom"/>
            <w:tcBorders>
              <w:top w:val="single" w:sz="8" w:color="DBDBDB"/>
            </w:tcBorders>
            <w:shd w:val="clear" w:color="auto" w:fill="DBDBDB"/>
          </w:tcPr>
          <w:p>
            <w:pPr>
              <w:spacing w:after="0"/>
              <w:rPr>
                <w:sz w:val="2"/>
                <w:szCs w:val="2"/>
                <w:color w:val="auto"/>
              </w:rPr>
            </w:pPr>
          </w:p>
        </w:tc>
        <w:tc>
          <w:tcPr>
            <w:tcW w:w="1140" w:type="dxa"/>
            <w:vAlign w:val="bottom"/>
            <w:tcBorders>
              <w:top w:val="single" w:sz="8" w:color="DBDBDB"/>
            </w:tcBorders>
            <w:shd w:val="clear" w:color="auto" w:fill="DBDBDB"/>
          </w:tcPr>
          <w:p>
            <w:pPr>
              <w:spacing w:after="0"/>
              <w:rPr>
                <w:sz w:val="2"/>
                <w:szCs w:val="2"/>
                <w:color w:val="auto"/>
              </w:rPr>
            </w:pPr>
          </w:p>
        </w:tc>
        <w:tc>
          <w:tcPr>
            <w:tcW w:w="340" w:type="dxa"/>
            <w:vAlign w:val="bottom"/>
            <w:tcBorders>
              <w:top w:val="single" w:sz="8" w:color="DBDBDB"/>
            </w:tcBorders>
            <w:shd w:val="clear" w:color="auto" w:fill="DBDBDB"/>
          </w:tcPr>
          <w:p>
            <w:pPr>
              <w:spacing w:after="0"/>
              <w:rPr>
                <w:sz w:val="2"/>
                <w:szCs w:val="2"/>
                <w:color w:val="auto"/>
              </w:rPr>
            </w:pPr>
          </w:p>
        </w:tc>
        <w:tc>
          <w:tcPr>
            <w:tcW w:w="820" w:type="dxa"/>
            <w:vAlign w:val="bottom"/>
            <w:tcBorders>
              <w:top w:val="single" w:sz="8" w:color="DBDBDB"/>
            </w:tcBorders>
            <w:shd w:val="clear" w:color="auto" w:fill="DBDBDB"/>
          </w:tcPr>
          <w:p>
            <w:pPr>
              <w:spacing w:after="0"/>
              <w:rPr>
                <w:sz w:val="2"/>
                <w:szCs w:val="2"/>
                <w:color w:val="auto"/>
              </w:rPr>
            </w:pPr>
          </w:p>
        </w:tc>
        <w:tc>
          <w:tcPr>
            <w:tcW w:w="640" w:type="dxa"/>
            <w:vAlign w:val="bottom"/>
            <w:tcBorders>
              <w:top w:val="single" w:sz="8" w:color="DBDBDB"/>
            </w:tcBorders>
            <w:shd w:val="clear" w:color="auto" w:fill="DBDBDB"/>
          </w:tcPr>
          <w:p>
            <w:pPr>
              <w:spacing w:after="0"/>
              <w:rPr>
                <w:sz w:val="2"/>
                <w:szCs w:val="2"/>
                <w:color w:val="auto"/>
              </w:rPr>
            </w:pPr>
          </w:p>
        </w:tc>
        <w:tc>
          <w:tcPr>
            <w:tcW w:w="100" w:type="dxa"/>
            <w:vAlign w:val="bottom"/>
            <w:tcBorders>
              <w:top w:val="single" w:sz="8" w:color="DBDBDB"/>
            </w:tcBorders>
            <w:shd w:val="clear" w:color="auto" w:fill="DBDBDB"/>
          </w:tcPr>
          <w:p>
            <w:pPr>
              <w:spacing w:after="0"/>
              <w:rPr>
                <w:sz w:val="2"/>
                <w:szCs w:val="2"/>
                <w:color w:val="auto"/>
              </w:rPr>
            </w:pPr>
          </w:p>
        </w:tc>
        <w:tc>
          <w:tcPr>
            <w:tcW w:w="80" w:type="dxa"/>
            <w:vAlign w:val="bottom"/>
            <w:tcBorders>
              <w:top w:val="single" w:sz="8" w:color="DBDBDB"/>
            </w:tcBorders>
            <w:shd w:val="clear" w:color="auto" w:fill="DBDBDB"/>
          </w:tcPr>
          <w:p>
            <w:pPr>
              <w:spacing w:after="0"/>
              <w:rPr>
                <w:sz w:val="2"/>
                <w:szCs w:val="2"/>
                <w:color w:val="auto"/>
              </w:rPr>
            </w:pPr>
          </w:p>
        </w:tc>
        <w:tc>
          <w:tcPr>
            <w:tcW w:w="160" w:type="dxa"/>
            <w:vAlign w:val="bottom"/>
            <w:tcBorders>
              <w:top w:val="single" w:sz="8" w:color="DBDBDB"/>
            </w:tcBorders>
            <w:shd w:val="clear" w:color="auto" w:fill="DBDBDB"/>
          </w:tcPr>
          <w:p>
            <w:pPr>
              <w:spacing w:after="0"/>
              <w:rPr>
                <w:sz w:val="2"/>
                <w:szCs w:val="2"/>
                <w:color w:val="auto"/>
              </w:rPr>
            </w:pPr>
          </w:p>
        </w:tc>
        <w:tc>
          <w:tcPr>
            <w:tcW w:w="80" w:type="dxa"/>
            <w:vAlign w:val="bottom"/>
            <w:tcBorders>
              <w:top w:val="single" w:sz="8" w:color="DBDBDB"/>
            </w:tcBorders>
            <w:shd w:val="clear" w:color="auto" w:fill="DBDBDB"/>
          </w:tcPr>
          <w:p>
            <w:pPr>
              <w:spacing w:after="0"/>
              <w:rPr>
                <w:sz w:val="2"/>
                <w:szCs w:val="2"/>
                <w:color w:val="auto"/>
              </w:rPr>
            </w:pPr>
          </w:p>
        </w:tc>
        <w:tc>
          <w:tcPr>
            <w:tcW w:w="1260" w:type="dxa"/>
            <w:vAlign w:val="bottom"/>
            <w:tcBorders>
              <w:top w:val="single" w:sz="8" w:color="DBDBDB"/>
            </w:tcBorders>
            <w:shd w:val="clear" w:color="auto" w:fill="DBDBDB"/>
          </w:tcPr>
          <w:p>
            <w:pPr>
              <w:spacing w:after="0"/>
              <w:rPr>
                <w:sz w:val="2"/>
                <w:szCs w:val="2"/>
                <w:color w:val="auto"/>
              </w:rPr>
            </w:pPr>
          </w:p>
        </w:tc>
        <w:tc>
          <w:tcPr>
            <w:tcW w:w="100" w:type="dxa"/>
            <w:vAlign w:val="bottom"/>
            <w:tcBorders>
              <w:top w:val="single" w:sz="8" w:color="0000EE"/>
            </w:tcBorders>
            <w:shd w:val="clear" w:color="auto" w:fill="DBDBDB"/>
          </w:tcPr>
          <w:p>
            <w:pPr>
              <w:spacing w:after="0"/>
              <w:rPr>
                <w:sz w:val="2"/>
                <w:szCs w:val="2"/>
                <w:color w:val="auto"/>
              </w:rPr>
            </w:pPr>
          </w:p>
        </w:tc>
        <w:tc>
          <w:tcPr>
            <w:tcW w:w="80" w:type="dxa"/>
            <w:vAlign w:val="bottom"/>
            <w:tcBorders>
              <w:top w:val="single" w:sz="8" w:color="0000EE"/>
            </w:tcBorders>
            <w:shd w:val="clear" w:color="auto" w:fill="DBDBDB"/>
          </w:tcPr>
          <w:p>
            <w:pPr>
              <w:spacing w:after="0"/>
              <w:rPr>
                <w:sz w:val="2"/>
                <w:szCs w:val="2"/>
                <w:color w:val="auto"/>
              </w:rPr>
            </w:pPr>
          </w:p>
        </w:tc>
        <w:tc>
          <w:tcPr>
            <w:tcW w:w="20" w:type="dxa"/>
            <w:vAlign w:val="bottom"/>
            <w:tcBorders>
              <w:top w:val="single" w:sz="8" w:color="DBDBDB"/>
            </w:tcBorders>
            <w:shd w:val="clear" w:color="auto" w:fill="DBDBDB"/>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20" w:type="dxa"/>
            <w:vAlign w:val="bottom"/>
          </w:tcPr>
          <w:p>
            <w:pPr>
              <w:spacing w:after="0" w:line="202" w:lineRule="exact"/>
              <w:rPr>
                <w:sz w:val="20"/>
                <w:szCs w:val="20"/>
                <w:color w:val="auto"/>
              </w:rPr>
            </w:pPr>
            <w:r>
              <w:rPr>
                <w:rFonts w:ascii="Times New Roman" w:cs="Times New Roman" w:eastAsia="Times New Roman" w:hAnsi="Times New Roman"/>
                <w:sz w:val="18"/>
                <w:szCs w:val="18"/>
                <w:color w:val="0000FF"/>
                <w:w w:val="97"/>
              </w:rPr>
              <w:t>Item 7.</w:t>
            </w:r>
          </w:p>
        </w:tc>
        <w:tc>
          <w:tcPr>
            <w:tcW w:w="1160" w:type="dxa"/>
            <w:vAlign w:val="bottom"/>
            <w:gridSpan w:val="4"/>
          </w:tcPr>
          <w:p>
            <w:pPr>
              <w:spacing w:after="0"/>
              <w:rPr>
                <w:sz w:val="17"/>
                <w:szCs w:val="17"/>
                <w:color w:val="auto"/>
              </w:rPr>
            </w:pPr>
          </w:p>
        </w:tc>
        <w:tc>
          <w:tcPr>
            <w:tcW w:w="9260" w:type="dxa"/>
            <w:vAlign w:val="bottom"/>
            <w:gridSpan w:val="26"/>
          </w:tcPr>
          <w:p>
            <w:pPr>
              <w:spacing w:after="0" w:line="202"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w:t>
            </w: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0000EE"/>
                <w:w w:val="88"/>
              </w:rPr>
              <w:t>23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20" w:type="dxa"/>
            <w:vAlign w:val="bottom"/>
            <w:tcBorders>
              <w:top w:val="single" w:sz="8" w:color="0000FF"/>
            </w:tcBorders>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760" w:type="dxa"/>
            <w:vAlign w:val="bottom"/>
            <w:tcBorders>
              <w:top w:val="single" w:sz="8" w:color="0000FF"/>
            </w:tcBorders>
            <w:gridSpan w:val="23"/>
          </w:tcPr>
          <w:p>
            <w:pPr>
              <w:spacing w:after="0" w:line="182" w:lineRule="exact"/>
              <w:rPr>
                <w:sz w:val="20"/>
                <w:szCs w:val="20"/>
                <w:color w:val="auto"/>
              </w:rPr>
            </w:pPr>
            <w:r>
              <w:rPr>
                <w:rFonts w:ascii="Times New Roman" w:cs="Times New Roman" w:eastAsia="Times New Roman" w:hAnsi="Times New Roman"/>
                <w:sz w:val="18"/>
                <w:szCs w:val="18"/>
                <w:color w:val="0000FF"/>
              </w:rPr>
              <w:t>OPERATIONS</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8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980" w:type="dxa"/>
            <w:vAlign w:val="bottom"/>
          </w:tcPr>
          <w:p>
            <w:pPr>
              <w:spacing w:after="0"/>
              <w:rPr>
                <w:sz w:val="2"/>
                <w:szCs w:val="2"/>
                <w:color w:val="auto"/>
              </w:rPr>
            </w:pPr>
          </w:p>
        </w:tc>
        <w:tc>
          <w:tcPr>
            <w:tcW w:w="84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shd w:val="clear" w:color="auto" w:fill="DBDBDB"/>
          </w:tcPr>
          <w:p>
            <w:pPr>
              <w:spacing w:after="0"/>
              <w:rPr>
                <w:sz w:val="17"/>
                <w:szCs w:val="17"/>
                <w:color w:val="auto"/>
              </w:rPr>
            </w:pPr>
          </w:p>
        </w:tc>
        <w:tc>
          <w:tcPr>
            <w:tcW w:w="1680" w:type="dxa"/>
            <w:vAlign w:val="bottom"/>
            <w:tcBorders>
              <w:right w:val="single" w:sz="8" w:color="DBDBDB"/>
            </w:tcBorders>
            <w:gridSpan w:val="5"/>
            <w:shd w:val="clear" w:color="auto" w:fill="DBDBDB"/>
          </w:tcPr>
          <w:p>
            <w:pPr>
              <w:spacing w:after="0" w:line="202" w:lineRule="exact"/>
              <w:rPr>
                <w:sz w:val="20"/>
                <w:szCs w:val="20"/>
                <w:color w:val="auto"/>
              </w:rPr>
            </w:pPr>
            <w:r>
              <w:rPr>
                <w:rFonts w:ascii="Times New Roman" w:cs="Times New Roman" w:eastAsia="Times New Roman" w:hAnsi="Times New Roman"/>
                <w:sz w:val="18"/>
                <w:szCs w:val="18"/>
                <w:color w:val="0000FF"/>
              </w:rPr>
              <w:t>Item 7A.</w:t>
            </w:r>
          </w:p>
        </w:tc>
        <w:tc>
          <w:tcPr>
            <w:tcW w:w="9260" w:type="dxa"/>
            <w:vAlign w:val="bottom"/>
            <w:gridSpan w:val="26"/>
            <w:shd w:val="clear" w:color="auto" w:fill="DBDBDB"/>
          </w:tcPr>
          <w:p>
            <w:pPr>
              <w:spacing w:after="0" w:line="202"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180" w:type="dxa"/>
            <w:vAlign w:val="bottom"/>
            <w:gridSpan w:val="2"/>
            <w:shd w:val="clear" w:color="auto" w:fill="DBDBDB"/>
          </w:tcPr>
          <w:p>
            <w:pPr>
              <w:jc w:val="right"/>
              <w:spacing w:after="0" w:line="202" w:lineRule="exact"/>
              <w:rPr>
                <w:sz w:val="20"/>
                <w:szCs w:val="20"/>
                <w:color w:val="auto"/>
              </w:rPr>
            </w:pPr>
            <w:r>
              <w:rPr>
                <w:rFonts w:ascii="Times New Roman" w:cs="Times New Roman" w:eastAsia="Times New Roman" w:hAnsi="Times New Roman"/>
                <w:sz w:val="18"/>
                <w:szCs w:val="18"/>
                <w:color w:val="0000EE"/>
                <w:w w:val="88"/>
              </w:rPr>
              <w:t>38</w:t>
            </w:r>
          </w:p>
        </w:tc>
        <w:tc>
          <w:tcPr>
            <w:tcW w:w="2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20" w:type="dxa"/>
            <w:vAlign w:val="bottom"/>
            <w:tcBorders>
              <w:top w:val="single" w:sz="8" w:color="DBDBDB"/>
            </w:tcBorders>
            <w:shd w:val="clear" w:color="auto" w:fill="DBDBDB"/>
          </w:tcPr>
          <w:p>
            <w:pPr>
              <w:spacing w:after="0"/>
              <w:rPr>
                <w:sz w:val="2"/>
                <w:szCs w:val="2"/>
                <w:color w:val="auto"/>
              </w:rPr>
            </w:pPr>
          </w:p>
        </w:tc>
        <w:tc>
          <w:tcPr>
            <w:tcW w:w="520" w:type="dxa"/>
            <w:vAlign w:val="bottom"/>
            <w:tcBorders>
              <w:top w:val="single" w:sz="8" w:color="0000FF"/>
            </w:tcBorders>
            <w:shd w:val="clear" w:color="auto" w:fill="DBDBDB"/>
          </w:tcPr>
          <w:p>
            <w:pPr>
              <w:spacing w:after="0"/>
              <w:rPr>
                <w:sz w:val="2"/>
                <w:szCs w:val="2"/>
                <w:color w:val="auto"/>
              </w:rPr>
            </w:pPr>
          </w:p>
        </w:tc>
        <w:tc>
          <w:tcPr>
            <w:tcW w:w="80" w:type="dxa"/>
            <w:vAlign w:val="bottom"/>
            <w:tcBorders>
              <w:top w:val="single" w:sz="8" w:color="0000FF"/>
            </w:tcBorders>
            <w:shd w:val="clear" w:color="auto" w:fill="DBDBDB"/>
          </w:tcPr>
          <w:p>
            <w:pPr>
              <w:spacing w:after="0"/>
              <w:rPr>
                <w:sz w:val="2"/>
                <w:szCs w:val="2"/>
                <w:color w:val="auto"/>
              </w:rPr>
            </w:pPr>
          </w:p>
        </w:tc>
        <w:tc>
          <w:tcPr>
            <w:tcW w:w="40" w:type="dxa"/>
            <w:vAlign w:val="bottom"/>
            <w:tcBorders>
              <w:top w:val="single" w:sz="8" w:color="0000FF"/>
            </w:tcBorders>
            <w:shd w:val="clear" w:color="auto" w:fill="DBDBDB"/>
          </w:tcPr>
          <w:p>
            <w:pPr>
              <w:spacing w:after="0"/>
              <w:rPr>
                <w:sz w:val="2"/>
                <w:szCs w:val="2"/>
                <w:color w:val="auto"/>
              </w:rPr>
            </w:pPr>
          </w:p>
        </w:tc>
        <w:tc>
          <w:tcPr>
            <w:tcW w:w="60" w:type="dxa"/>
            <w:vAlign w:val="bottom"/>
            <w:tcBorders>
              <w:top w:val="single" w:sz="8" w:color="DBDBDB"/>
            </w:tcBorders>
            <w:shd w:val="clear" w:color="auto" w:fill="DBDBDB"/>
          </w:tcPr>
          <w:p>
            <w:pPr>
              <w:spacing w:after="0"/>
              <w:rPr>
                <w:sz w:val="2"/>
                <w:szCs w:val="2"/>
                <w:color w:val="auto"/>
              </w:rPr>
            </w:pPr>
          </w:p>
        </w:tc>
        <w:tc>
          <w:tcPr>
            <w:tcW w:w="980" w:type="dxa"/>
            <w:vAlign w:val="bottom"/>
            <w:tcBorders>
              <w:top w:val="single" w:sz="8" w:color="DBDBDB"/>
              <w:right w:val="single" w:sz="8" w:color="DBDBDB"/>
            </w:tcBorders>
            <w:shd w:val="clear" w:color="auto" w:fill="DBDBDB"/>
          </w:tcPr>
          <w:p>
            <w:pPr>
              <w:spacing w:after="0"/>
              <w:rPr>
                <w:sz w:val="2"/>
                <w:szCs w:val="2"/>
                <w:color w:val="auto"/>
              </w:rPr>
            </w:pPr>
          </w:p>
        </w:tc>
        <w:tc>
          <w:tcPr>
            <w:tcW w:w="840" w:type="dxa"/>
            <w:vAlign w:val="bottom"/>
            <w:tcBorders>
              <w:top w:val="single" w:sz="8" w:color="0000FF"/>
            </w:tcBorders>
            <w:shd w:val="clear" w:color="auto" w:fill="DBDBDB"/>
          </w:tcPr>
          <w:p>
            <w:pPr>
              <w:spacing w:after="0"/>
              <w:rPr>
                <w:sz w:val="2"/>
                <w:szCs w:val="2"/>
                <w:color w:val="auto"/>
              </w:rPr>
            </w:pPr>
          </w:p>
        </w:tc>
        <w:tc>
          <w:tcPr>
            <w:tcW w:w="60" w:type="dxa"/>
            <w:vAlign w:val="bottom"/>
            <w:tcBorders>
              <w:top w:val="single" w:sz="8" w:color="0000FF"/>
            </w:tcBorders>
            <w:shd w:val="clear" w:color="auto" w:fill="DBDBDB"/>
          </w:tcPr>
          <w:p>
            <w:pPr>
              <w:spacing w:after="0"/>
              <w:rPr>
                <w:sz w:val="2"/>
                <w:szCs w:val="2"/>
                <w:color w:val="auto"/>
              </w:rPr>
            </w:pPr>
          </w:p>
        </w:tc>
        <w:tc>
          <w:tcPr>
            <w:tcW w:w="180" w:type="dxa"/>
            <w:vAlign w:val="bottom"/>
            <w:tcBorders>
              <w:top w:val="single" w:sz="8" w:color="0000FF"/>
              <w:right w:val="single" w:sz="8" w:color="DBDBDB"/>
            </w:tcBorders>
            <w:shd w:val="clear" w:color="auto" w:fill="DBDBDB"/>
          </w:tcPr>
          <w:p>
            <w:pPr>
              <w:spacing w:after="0"/>
              <w:rPr>
                <w:sz w:val="2"/>
                <w:szCs w:val="2"/>
                <w:color w:val="auto"/>
              </w:rPr>
            </w:pPr>
          </w:p>
        </w:tc>
        <w:tc>
          <w:tcPr>
            <w:tcW w:w="20" w:type="dxa"/>
            <w:vAlign w:val="bottom"/>
            <w:tcBorders>
              <w:top w:val="single" w:sz="8" w:color="0000FF"/>
            </w:tcBorders>
            <w:shd w:val="clear" w:color="auto" w:fill="DBDBDB"/>
          </w:tcPr>
          <w:p>
            <w:pPr>
              <w:spacing w:after="0"/>
              <w:rPr>
                <w:sz w:val="2"/>
                <w:szCs w:val="2"/>
                <w:color w:val="auto"/>
              </w:rPr>
            </w:pPr>
          </w:p>
        </w:tc>
        <w:tc>
          <w:tcPr>
            <w:tcW w:w="140" w:type="dxa"/>
            <w:vAlign w:val="bottom"/>
            <w:tcBorders>
              <w:top w:val="single" w:sz="8" w:color="0000FF"/>
            </w:tcBorders>
            <w:shd w:val="clear" w:color="auto" w:fill="DBDBDB"/>
          </w:tcPr>
          <w:p>
            <w:pPr>
              <w:spacing w:after="0"/>
              <w:rPr>
                <w:sz w:val="2"/>
                <w:szCs w:val="2"/>
                <w:color w:val="auto"/>
              </w:rPr>
            </w:pPr>
          </w:p>
        </w:tc>
        <w:tc>
          <w:tcPr>
            <w:tcW w:w="220" w:type="dxa"/>
            <w:vAlign w:val="bottom"/>
            <w:tcBorders>
              <w:top w:val="single" w:sz="8" w:color="0000FF"/>
            </w:tcBorders>
            <w:shd w:val="clear" w:color="auto" w:fill="DBDBDB"/>
          </w:tcPr>
          <w:p>
            <w:pPr>
              <w:spacing w:after="0"/>
              <w:rPr>
                <w:sz w:val="2"/>
                <w:szCs w:val="2"/>
                <w:color w:val="auto"/>
              </w:rPr>
            </w:pPr>
          </w:p>
        </w:tc>
        <w:tc>
          <w:tcPr>
            <w:tcW w:w="400" w:type="dxa"/>
            <w:vAlign w:val="bottom"/>
            <w:tcBorders>
              <w:top w:val="single" w:sz="8" w:color="0000FF"/>
            </w:tcBorders>
            <w:shd w:val="clear" w:color="auto" w:fill="DBDBDB"/>
          </w:tcPr>
          <w:p>
            <w:pPr>
              <w:spacing w:after="0"/>
              <w:rPr>
                <w:sz w:val="2"/>
                <w:szCs w:val="2"/>
                <w:color w:val="auto"/>
              </w:rPr>
            </w:pPr>
          </w:p>
        </w:tc>
        <w:tc>
          <w:tcPr>
            <w:tcW w:w="20" w:type="dxa"/>
            <w:vAlign w:val="bottom"/>
            <w:tcBorders>
              <w:top w:val="single" w:sz="8" w:color="0000FF"/>
            </w:tcBorders>
            <w:shd w:val="clear" w:color="auto" w:fill="DBDBDB"/>
          </w:tcPr>
          <w:p>
            <w:pPr>
              <w:spacing w:after="0"/>
              <w:rPr>
                <w:sz w:val="2"/>
                <w:szCs w:val="2"/>
                <w:color w:val="auto"/>
              </w:rPr>
            </w:pPr>
          </w:p>
        </w:tc>
        <w:tc>
          <w:tcPr>
            <w:tcW w:w="280" w:type="dxa"/>
            <w:vAlign w:val="bottom"/>
            <w:tcBorders>
              <w:top w:val="single" w:sz="8" w:color="0000FF"/>
            </w:tcBorders>
            <w:shd w:val="clear" w:color="auto" w:fill="DBDBDB"/>
          </w:tcPr>
          <w:p>
            <w:pPr>
              <w:spacing w:after="0"/>
              <w:rPr>
                <w:sz w:val="2"/>
                <w:szCs w:val="2"/>
                <w:color w:val="auto"/>
              </w:rPr>
            </w:pPr>
          </w:p>
        </w:tc>
        <w:tc>
          <w:tcPr>
            <w:tcW w:w="260" w:type="dxa"/>
            <w:vAlign w:val="bottom"/>
            <w:tcBorders>
              <w:top w:val="single" w:sz="8" w:color="0000FF"/>
            </w:tcBorders>
            <w:shd w:val="clear" w:color="auto" w:fill="DBDBDB"/>
          </w:tcPr>
          <w:p>
            <w:pPr>
              <w:spacing w:after="0"/>
              <w:rPr>
                <w:sz w:val="2"/>
                <w:szCs w:val="2"/>
                <w:color w:val="auto"/>
              </w:rPr>
            </w:pPr>
          </w:p>
        </w:tc>
        <w:tc>
          <w:tcPr>
            <w:tcW w:w="20" w:type="dxa"/>
            <w:vAlign w:val="bottom"/>
            <w:tcBorders>
              <w:top w:val="single" w:sz="8" w:color="0000FF"/>
            </w:tcBorders>
            <w:shd w:val="clear" w:color="auto" w:fill="DBDBDB"/>
          </w:tcPr>
          <w:p>
            <w:pPr>
              <w:spacing w:after="0"/>
              <w:rPr>
                <w:sz w:val="2"/>
                <w:szCs w:val="2"/>
                <w:color w:val="auto"/>
              </w:rPr>
            </w:pPr>
          </w:p>
        </w:tc>
        <w:tc>
          <w:tcPr>
            <w:tcW w:w="140" w:type="dxa"/>
            <w:vAlign w:val="bottom"/>
            <w:tcBorders>
              <w:top w:val="single" w:sz="8" w:color="0000FF"/>
            </w:tcBorders>
            <w:shd w:val="clear" w:color="auto" w:fill="DBDBDB"/>
          </w:tcPr>
          <w:p>
            <w:pPr>
              <w:spacing w:after="0"/>
              <w:rPr>
                <w:sz w:val="2"/>
                <w:szCs w:val="2"/>
                <w:color w:val="auto"/>
              </w:rPr>
            </w:pPr>
          </w:p>
        </w:tc>
        <w:tc>
          <w:tcPr>
            <w:tcW w:w="220" w:type="dxa"/>
            <w:vAlign w:val="bottom"/>
            <w:tcBorders>
              <w:top w:val="single" w:sz="8" w:color="0000FF"/>
            </w:tcBorders>
            <w:shd w:val="clear" w:color="auto" w:fill="DBDBDB"/>
          </w:tcPr>
          <w:p>
            <w:pPr>
              <w:spacing w:after="0"/>
              <w:rPr>
                <w:sz w:val="2"/>
                <w:szCs w:val="2"/>
                <w:color w:val="auto"/>
              </w:rPr>
            </w:pPr>
          </w:p>
        </w:tc>
        <w:tc>
          <w:tcPr>
            <w:tcW w:w="940" w:type="dxa"/>
            <w:vAlign w:val="bottom"/>
            <w:tcBorders>
              <w:top w:val="single" w:sz="8" w:color="0000FF"/>
            </w:tcBorders>
            <w:shd w:val="clear" w:color="auto" w:fill="DBDBDB"/>
          </w:tcPr>
          <w:p>
            <w:pPr>
              <w:spacing w:after="0"/>
              <w:rPr>
                <w:sz w:val="2"/>
                <w:szCs w:val="2"/>
                <w:color w:val="auto"/>
              </w:rPr>
            </w:pPr>
          </w:p>
        </w:tc>
        <w:tc>
          <w:tcPr>
            <w:tcW w:w="200" w:type="dxa"/>
            <w:vAlign w:val="bottom"/>
            <w:tcBorders>
              <w:top w:val="single" w:sz="8" w:color="0000FF"/>
            </w:tcBorders>
            <w:shd w:val="clear" w:color="auto" w:fill="DBDBDB"/>
          </w:tcPr>
          <w:p>
            <w:pPr>
              <w:spacing w:after="0"/>
              <w:rPr>
                <w:sz w:val="2"/>
                <w:szCs w:val="2"/>
                <w:color w:val="auto"/>
              </w:rPr>
            </w:pPr>
          </w:p>
        </w:tc>
        <w:tc>
          <w:tcPr>
            <w:tcW w:w="480" w:type="dxa"/>
            <w:vAlign w:val="bottom"/>
            <w:tcBorders>
              <w:top w:val="single" w:sz="8" w:color="0000FF"/>
            </w:tcBorders>
            <w:shd w:val="clear" w:color="auto" w:fill="DBDBDB"/>
          </w:tcPr>
          <w:p>
            <w:pPr>
              <w:spacing w:after="0"/>
              <w:rPr>
                <w:sz w:val="2"/>
                <w:szCs w:val="2"/>
                <w:color w:val="auto"/>
              </w:rPr>
            </w:pPr>
          </w:p>
        </w:tc>
        <w:tc>
          <w:tcPr>
            <w:tcW w:w="220" w:type="dxa"/>
            <w:vAlign w:val="bottom"/>
            <w:tcBorders>
              <w:top w:val="single" w:sz="8" w:color="0000FF"/>
            </w:tcBorders>
            <w:shd w:val="clear" w:color="auto" w:fill="DBDBDB"/>
          </w:tcPr>
          <w:p>
            <w:pPr>
              <w:spacing w:after="0"/>
              <w:rPr>
                <w:sz w:val="2"/>
                <w:szCs w:val="2"/>
                <w:color w:val="auto"/>
              </w:rPr>
            </w:pPr>
          </w:p>
        </w:tc>
        <w:tc>
          <w:tcPr>
            <w:tcW w:w="1140" w:type="dxa"/>
            <w:vAlign w:val="bottom"/>
            <w:tcBorders>
              <w:top w:val="single" w:sz="8" w:color="0000FF"/>
            </w:tcBorders>
            <w:shd w:val="clear" w:color="auto" w:fill="DBDBDB"/>
          </w:tcPr>
          <w:p>
            <w:pPr>
              <w:spacing w:after="0"/>
              <w:rPr>
                <w:sz w:val="2"/>
                <w:szCs w:val="2"/>
                <w:color w:val="auto"/>
              </w:rPr>
            </w:pPr>
          </w:p>
        </w:tc>
        <w:tc>
          <w:tcPr>
            <w:tcW w:w="340" w:type="dxa"/>
            <w:vAlign w:val="bottom"/>
            <w:tcBorders>
              <w:top w:val="single" w:sz="8" w:color="0000FF"/>
            </w:tcBorders>
            <w:shd w:val="clear" w:color="auto" w:fill="DBDBDB"/>
          </w:tcPr>
          <w:p>
            <w:pPr>
              <w:spacing w:after="0"/>
              <w:rPr>
                <w:sz w:val="2"/>
                <w:szCs w:val="2"/>
                <w:color w:val="auto"/>
              </w:rPr>
            </w:pPr>
          </w:p>
        </w:tc>
        <w:tc>
          <w:tcPr>
            <w:tcW w:w="820" w:type="dxa"/>
            <w:vAlign w:val="bottom"/>
            <w:tcBorders>
              <w:top w:val="single" w:sz="8" w:color="DBDBDB"/>
            </w:tcBorders>
            <w:shd w:val="clear" w:color="auto" w:fill="DBDBDB"/>
          </w:tcPr>
          <w:p>
            <w:pPr>
              <w:spacing w:after="0"/>
              <w:rPr>
                <w:sz w:val="2"/>
                <w:szCs w:val="2"/>
                <w:color w:val="auto"/>
              </w:rPr>
            </w:pPr>
          </w:p>
        </w:tc>
        <w:tc>
          <w:tcPr>
            <w:tcW w:w="640" w:type="dxa"/>
            <w:vAlign w:val="bottom"/>
            <w:tcBorders>
              <w:top w:val="single" w:sz="8" w:color="DBDBDB"/>
            </w:tcBorders>
            <w:shd w:val="clear" w:color="auto" w:fill="DBDBDB"/>
          </w:tcPr>
          <w:p>
            <w:pPr>
              <w:spacing w:after="0"/>
              <w:rPr>
                <w:sz w:val="2"/>
                <w:szCs w:val="2"/>
                <w:color w:val="auto"/>
              </w:rPr>
            </w:pPr>
          </w:p>
        </w:tc>
        <w:tc>
          <w:tcPr>
            <w:tcW w:w="100" w:type="dxa"/>
            <w:vAlign w:val="bottom"/>
            <w:tcBorders>
              <w:top w:val="single" w:sz="8" w:color="DBDBDB"/>
            </w:tcBorders>
            <w:shd w:val="clear" w:color="auto" w:fill="DBDBDB"/>
          </w:tcPr>
          <w:p>
            <w:pPr>
              <w:spacing w:after="0"/>
              <w:rPr>
                <w:sz w:val="2"/>
                <w:szCs w:val="2"/>
                <w:color w:val="auto"/>
              </w:rPr>
            </w:pPr>
          </w:p>
        </w:tc>
        <w:tc>
          <w:tcPr>
            <w:tcW w:w="80" w:type="dxa"/>
            <w:vAlign w:val="bottom"/>
            <w:tcBorders>
              <w:top w:val="single" w:sz="8" w:color="DBDBDB"/>
            </w:tcBorders>
            <w:shd w:val="clear" w:color="auto" w:fill="DBDBDB"/>
          </w:tcPr>
          <w:p>
            <w:pPr>
              <w:spacing w:after="0"/>
              <w:rPr>
                <w:sz w:val="2"/>
                <w:szCs w:val="2"/>
                <w:color w:val="auto"/>
              </w:rPr>
            </w:pPr>
          </w:p>
        </w:tc>
        <w:tc>
          <w:tcPr>
            <w:tcW w:w="160" w:type="dxa"/>
            <w:vAlign w:val="bottom"/>
            <w:tcBorders>
              <w:top w:val="single" w:sz="8" w:color="DBDBDB"/>
            </w:tcBorders>
            <w:shd w:val="clear" w:color="auto" w:fill="DBDBDB"/>
          </w:tcPr>
          <w:p>
            <w:pPr>
              <w:spacing w:after="0"/>
              <w:rPr>
                <w:sz w:val="2"/>
                <w:szCs w:val="2"/>
                <w:color w:val="auto"/>
              </w:rPr>
            </w:pPr>
          </w:p>
        </w:tc>
        <w:tc>
          <w:tcPr>
            <w:tcW w:w="80" w:type="dxa"/>
            <w:vAlign w:val="bottom"/>
            <w:tcBorders>
              <w:top w:val="single" w:sz="8" w:color="DBDBDB"/>
            </w:tcBorders>
            <w:shd w:val="clear" w:color="auto" w:fill="DBDBDB"/>
          </w:tcPr>
          <w:p>
            <w:pPr>
              <w:spacing w:after="0"/>
              <w:rPr>
                <w:sz w:val="2"/>
                <w:szCs w:val="2"/>
                <w:color w:val="auto"/>
              </w:rPr>
            </w:pPr>
          </w:p>
        </w:tc>
        <w:tc>
          <w:tcPr>
            <w:tcW w:w="1260" w:type="dxa"/>
            <w:vAlign w:val="bottom"/>
            <w:tcBorders>
              <w:top w:val="single" w:sz="8" w:color="DBDBDB"/>
            </w:tcBorders>
            <w:shd w:val="clear" w:color="auto" w:fill="DBDBDB"/>
          </w:tcPr>
          <w:p>
            <w:pPr>
              <w:spacing w:after="0"/>
              <w:rPr>
                <w:sz w:val="2"/>
                <w:szCs w:val="2"/>
                <w:color w:val="auto"/>
              </w:rPr>
            </w:pPr>
          </w:p>
        </w:tc>
        <w:tc>
          <w:tcPr>
            <w:tcW w:w="100" w:type="dxa"/>
            <w:vAlign w:val="bottom"/>
            <w:tcBorders>
              <w:top w:val="single" w:sz="8" w:color="0000EE"/>
            </w:tcBorders>
            <w:shd w:val="clear" w:color="auto" w:fill="DBDBDB"/>
          </w:tcPr>
          <w:p>
            <w:pPr>
              <w:spacing w:after="0"/>
              <w:rPr>
                <w:sz w:val="2"/>
                <w:szCs w:val="2"/>
                <w:color w:val="auto"/>
              </w:rPr>
            </w:pPr>
          </w:p>
        </w:tc>
        <w:tc>
          <w:tcPr>
            <w:tcW w:w="80" w:type="dxa"/>
            <w:vAlign w:val="bottom"/>
            <w:tcBorders>
              <w:top w:val="single" w:sz="8" w:color="0000EE"/>
            </w:tcBorders>
            <w:shd w:val="clear" w:color="auto" w:fill="DBDBDB"/>
          </w:tcPr>
          <w:p>
            <w:pPr>
              <w:spacing w:after="0"/>
              <w:rPr>
                <w:sz w:val="2"/>
                <w:szCs w:val="2"/>
                <w:color w:val="auto"/>
              </w:rPr>
            </w:pPr>
          </w:p>
        </w:tc>
        <w:tc>
          <w:tcPr>
            <w:tcW w:w="20" w:type="dxa"/>
            <w:vAlign w:val="bottom"/>
            <w:tcBorders>
              <w:top w:val="single" w:sz="8" w:color="DBDBDB"/>
            </w:tcBorders>
            <w:shd w:val="clear" w:color="auto" w:fill="DBDBDB"/>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40" w:type="dxa"/>
            <w:vAlign w:val="bottom"/>
            <w:gridSpan w:val="3"/>
          </w:tcPr>
          <w:p>
            <w:pPr>
              <w:spacing w:after="0" w:line="202" w:lineRule="exact"/>
              <w:rPr>
                <w:sz w:val="20"/>
                <w:szCs w:val="20"/>
                <w:color w:val="auto"/>
              </w:rPr>
            </w:pPr>
            <w:r>
              <w:rPr>
                <w:rFonts w:ascii="Times New Roman" w:cs="Times New Roman" w:eastAsia="Times New Roman" w:hAnsi="Times New Roman"/>
                <w:sz w:val="18"/>
                <w:szCs w:val="18"/>
                <w:color w:val="0000FF"/>
              </w:rPr>
              <w:t>Item 8.</w:t>
            </w:r>
          </w:p>
        </w:tc>
        <w:tc>
          <w:tcPr>
            <w:tcW w:w="1040" w:type="dxa"/>
            <w:vAlign w:val="bottom"/>
            <w:gridSpan w:val="2"/>
          </w:tcPr>
          <w:p>
            <w:pPr>
              <w:spacing w:after="0"/>
              <w:rPr>
                <w:sz w:val="17"/>
                <w:szCs w:val="17"/>
                <w:color w:val="auto"/>
              </w:rPr>
            </w:pPr>
          </w:p>
        </w:tc>
        <w:tc>
          <w:tcPr>
            <w:tcW w:w="9260" w:type="dxa"/>
            <w:vAlign w:val="bottom"/>
            <w:gridSpan w:val="26"/>
          </w:tcPr>
          <w:p>
            <w:pPr>
              <w:spacing w:after="0" w:line="202" w:lineRule="exact"/>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18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0000EE"/>
                <w:w w:val="88"/>
              </w:rPr>
              <w:t>40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520" w:type="dxa"/>
            <w:vAlign w:val="bottom"/>
            <w:tcBorders>
              <w:top w:val="single" w:sz="8" w:color="0000FF"/>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980" w:type="dxa"/>
            <w:vAlign w:val="bottom"/>
          </w:tcPr>
          <w:p>
            <w:pPr>
              <w:spacing w:after="0"/>
              <w:rPr>
                <w:sz w:val="2"/>
                <w:szCs w:val="2"/>
                <w:color w:val="auto"/>
              </w:rPr>
            </w:pPr>
          </w:p>
        </w:tc>
        <w:tc>
          <w:tcPr>
            <w:tcW w:w="84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94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48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1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shd w:val="clear" w:color="auto" w:fill="DBDBDB"/>
          </w:tcPr>
          <w:p>
            <w:pPr>
              <w:spacing w:after="0"/>
              <w:rPr>
                <w:sz w:val="17"/>
                <w:szCs w:val="17"/>
                <w:color w:val="auto"/>
              </w:rPr>
            </w:pPr>
          </w:p>
        </w:tc>
        <w:tc>
          <w:tcPr>
            <w:tcW w:w="1680" w:type="dxa"/>
            <w:vAlign w:val="bottom"/>
            <w:tcBorders>
              <w:right w:val="single" w:sz="8" w:color="DBDBDB"/>
            </w:tcBorders>
            <w:gridSpan w:val="5"/>
            <w:shd w:val="clear" w:color="auto" w:fill="DBDBDB"/>
          </w:tcPr>
          <w:p>
            <w:pPr>
              <w:spacing w:after="0" w:line="202" w:lineRule="exact"/>
              <w:rPr>
                <w:sz w:val="20"/>
                <w:szCs w:val="20"/>
                <w:color w:val="auto"/>
              </w:rPr>
            </w:pPr>
            <w:r>
              <w:rPr>
                <w:rFonts w:ascii="Times New Roman" w:cs="Times New Roman" w:eastAsia="Times New Roman" w:hAnsi="Times New Roman"/>
                <w:sz w:val="18"/>
                <w:szCs w:val="18"/>
                <w:color w:val="0000FF"/>
              </w:rPr>
              <w:t>Item 9.</w:t>
            </w:r>
          </w:p>
        </w:tc>
        <w:tc>
          <w:tcPr>
            <w:tcW w:w="9260" w:type="dxa"/>
            <w:vAlign w:val="bottom"/>
            <w:gridSpan w:val="26"/>
            <w:shd w:val="clear" w:color="auto" w:fill="DBDBDB"/>
          </w:tcPr>
          <w:p>
            <w:pPr>
              <w:spacing w:after="0" w:line="202" w:lineRule="exact"/>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w:t>
            </w:r>
          </w:p>
        </w:tc>
        <w:tc>
          <w:tcPr>
            <w:tcW w:w="180" w:type="dxa"/>
            <w:vAlign w:val="bottom"/>
            <w:gridSpan w:val="2"/>
            <w:vMerge w:val="restart"/>
            <w:shd w:val="clear" w:color="auto" w:fill="DBDBDB"/>
          </w:tcPr>
          <w:p>
            <w:pPr>
              <w:jc w:val="right"/>
              <w:spacing w:after="0"/>
              <w:rPr>
                <w:sz w:val="20"/>
                <w:szCs w:val="20"/>
                <w:color w:val="auto"/>
              </w:rPr>
            </w:pPr>
            <w:r>
              <w:rPr>
                <w:rFonts w:ascii="Times New Roman" w:cs="Times New Roman" w:eastAsia="Times New Roman" w:hAnsi="Times New Roman"/>
                <w:sz w:val="18"/>
                <w:szCs w:val="18"/>
                <w:color w:val="0000EE"/>
                <w:w w:val="88"/>
              </w:rPr>
              <w:t>79</w:t>
            </w:r>
          </w:p>
        </w:tc>
        <w:tc>
          <w:tcPr>
            <w:tcW w:w="2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DBDBDB"/>
              <w:bottom w:val="single" w:sz="8" w:color="DBDBDB"/>
            </w:tcBorders>
            <w:shd w:val="clear" w:color="auto" w:fill="DBDBDB"/>
          </w:tcPr>
          <w:p>
            <w:pPr>
              <w:spacing w:after="0"/>
              <w:rPr>
                <w:sz w:val="18"/>
                <w:szCs w:val="18"/>
                <w:color w:val="auto"/>
              </w:rPr>
            </w:pPr>
          </w:p>
        </w:tc>
        <w:tc>
          <w:tcPr>
            <w:tcW w:w="520" w:type="dxa"/>
            <w:vAlign w:val="bottom"/>
            <w:tcBorders>
              <w:top w:val="single" w:sz="8" w:color="0000FF"/>
              <w:bottom w:val="single" w:sz="8" w:color="DBDBDB"/>
            </w:tcBorders>
            <w:shd w:val="clear" w:color="auto" w:fill="DBDBDB"/>
          </w:tcPr>
          <w:p>
            <w:pPr>
              <w:spacing w:after="0"/>
              <w:rPr>
                <w:sz w:val="18"/>
                <w:szCs w:val="18"/>
                <w:color w:val="auto"/>
              </w:rPr>
            </w:pPr>
          </w:p>
        </w:tc>
        <w:tc>
          <w:tcPr>
            <w:tcW w:w="80" w:type="dxa"/>
            <w:vAlign w:val="bottom"/>
            <w:tcBorders>
              <w:top w:val="single" w:sz="8" w:color="DBDBDB"/>
              <w:bottom w:val="single" w:sz="8" w:color="DBDBDB"/>
            </w:tcBorders>
            <w:shd w:val="clear" w:color="auto" w:fill="DBDBDB"/>
          </w:tcPr>
          <w:p>
            <w:pPr>
              <w:spacing w:after="0"/>
              <w:rPr>
                <w:sz w:val="18"/>
                <w:szCs w:val="18"/>
                <w:color w:val="auto"/>
              </w:rPr>
            </w:pPr>
          </w:p>
        </w:tc>
        <w:tc>
          <w:tcPr>
            <w:tcW w:w="40" w:type="dxa"/>
            <w:vAlign w:val="bottom"/>
            <w:tcBorders>
              <w:top w:val="single" w:sz="8" w:color="DBDBDB"/>
              <w:bottom w:val="single" w:sz="8" w:color="DBDBDB"/>
            </w:tcBorders>
            <w:shd w:val="clear" w:color="auto" w:fill="DBDBDB"/>
          </w:tcPr>
          <w:p>
            <w:pPr>
              <w:spacing w:after="0"/>
              <w:rPr>
                <w:sz w:val="18"/>
                <w:szCs w:val="18"/>
                <w:color w:val="auto"/>
              </w:rPr>
            </w:pPr>
          </w:p>
        </w:tc>
        <w:tc>
          <w:tcPr>
            <w:tcW w:w="60" w:type="dxa"/>
            <w:vAlign w:val="bottom"/>
            <w:tcBorders>
              <w:top w:val="single" w:sz="8" w:color="DBDBDB"/>
              <w:bottom w:val="single" w:sz="8" w:color="DBDBDB"/>
            </w:tcBorders>
            <w:shd w:val="clear" w:color="auto" w:fill="DBDBDB"/>
          </w:tcPr>
          <w:p>
            <w:pPr>
              <w:spacing w:after="0"/>
              <w:rPr>
                <w:sz w:val="18"/>
                <w:szCs w:val="18"/>
                <w:color w:val="auto"/>
              </w:rPr>
            </w:pPr>
          </w:p>
        </w:tc>
        <w:tc>
          <w:tcPr>
            <w:tcW w:w="980" w:type="dxa"/>
            <w:vAlign w:val="bottom"/>
            <w:tcBorders>
              <w:top w:val="single" w:sz="8" w:color="DBDBDB"/>
              <w:bottom w:val="single" w:sz="8" w:color="DBDBDB"/>
              <w:right w:val="single" w:sz="8" w:color="DBDBDB"/>
            </w:tcBorders>
            <w:shd w:val="clear" w:color="auto" w:fill="DBDBDB"/>
          </w:tcPr>
          <w:p>
            <w:pPr>
              <w:spacing w:after="0"/>
              <w:rPr>
                <w:sz w:val="18"/>
                <w:szCs w:val="18"/>
                <w:color w:val="auto"/>
              </w:rPr>
            </w:pPr>
          </w:p>
        </w:tc>
        <w:tc>
          <w:tcPr>
            <w:tcW w:w="1100" w:type="dxa"/>
            <w:vAlign w:val="bottom"/>
            <w:tcBorders>
              <w:top w:val="single" w:sz="8" w:color="0000FF"/>
              <w:bottom w:val="single" w:sz="8" w:color="0000FF"/>
            </w:tcBorders>
            <w:gridSpan w:val="4"/>
            <w:shd w:val="clear" w:color="auto" w:fill="DBDBDB"/>
          </w:tcPr>
          <w:p>
            <w:pPr>
              <w:spacing w:after="0" w:line="182" w:lineRule="exact"/>
              <w:rPr>
                <w:sz w:val="20"/>
                <w:szCs w:val="20"/>
                <w:color w:val="auto"/>
              </w:rPr>
            </w:pPr>
            <w:r>
              <w:rPr>
                <w:rFonts w:ascii="Times New Roman" w:cs="Times New Roman" w:eastAsia="Times New Roman" w:hAnsi="Times New Roman"/>
                <w:sz w:val="18"/>
                <w:szCs w:val="18"/>
                <w:color w:val="0000FF"/>
                <w:w w:val="97"/>
              </w:rPr>
              <w:t>DISCLOSURE</w:t>
            </w:r>
          </w:p>
        </w:tc>
        <w:tc>
          <w:tcPr>
            <w:tcW w:w="6820" w:type="dxa"/>
            <w:vAlign w:val="bottom"/>
            <w:tcBorders>
              <w:top w:val="single" w:sz="8" w:color="0000FF"/>
              <w:bottom w:val="single" w:sz="8" w:color="DBDBDB"/>
            </w:tcBorders>
            <w:gridSpan w:val="20"/>
            <w:shd w:val="clear" w:color="auto" w:fill="DBDBDB"/>
          </w:tcPr>
          <w:p>
            <w:pPr>
              <w:spacing w:after="0"/>
              <w:rPr>
                <w:sz w:val="18"/>
                <w:szCs w:val="18"/>
                <w:color w:val="auto"/>
              </w:rPr>
            </w:pPr>
          </w:p>
        </w:tc>
        <w:tc>
          <w:tcPr>
            <w:tcW w:w="80" w:type="dxa"/>
            <w:vAlign w:val="bottom"/>
            <w:tcBorders>
              <w:top w:val="single" w:sz="8" w:color="DBDBDB"/>
              <w:bottom w:val="single" w:sz="8" w:color="DBDBDB"/>
            </w:tcBorders>
            <w:shd w:val="clear" w:color="auto" w:fill="DBDBDB"/>
          </w:tcPr>
          <w:p>
            <w:pPr>
              <w:spacing w:after="0"/>
              <w:rPr>
                <w:sz w:val="18"/>
                <w:szCs w:val="18"/>
                <w:color w:val="auto"/>
              </w:rPr>
            </w:pPr>
          </w:p>
        </w:tc>
        <w:tc>
          <w:tcPr>
            <w:tcW w:w="1260" w:type="dxa"/>
            <w:vAlign w:val="bottom"/>
            <w:tcBorders>
              <w:top w:val="single" w:sz="8" w:color="DBDBDB"/>
              <w:bottom w:val="single" w:sz="8" w:color="DBDBDB"/>
            </w:tcBorders>
            <w:shd w:val="clear" w:color="auto" w:fill="DBDBDB"/>
          </w:tcPr>
          <w:p>
            <w:pPr>
              <w:spacing w:after="0"/>
              <w:rPr>
                <w:sz w:val="18"/>
                <w:szCs w:val="18"/>
                <w:color w:val="auto"/>
              </w:rPr>
            </w:pPr>
          </w:p>
        </w:tc>
        <w:tc>
          <w:tcPr>
            <w:tcW w:w="180" w:type="dxa"/>
            <w:vAlign w:val="bottom"/>
            <w:tcBorders>
              <w:top w:val="single" w:sz="8" w:color="DBDBDB"/>
              <w:bottom w:val="single" w:sz="8" w:color="0000EE"/>
            </w:tcBorders>
            <w:gridSpan w:val="2"/>
            <w:vMerge w:val="continue"/>
            <w:shd w:val="clear" w:color="auto" w:fill="DBDBDB"/>
          </w:tcPr>
          <w:p>
            <w:pPr>
              <w:spacing w:after="0"/>
              <w:rPr>
                <w:sz w:val="18"/>
                <w:szCs w:val="18"/>
                <w:color w:val="auto"/>
              </w:rPr>
            </w:pPr>
          </w:p>
        </w:tc>
        <w:tc>
          <w:tcPr>
            <w:tcW w:w="20" w:type="dxa"/>
            <w:vAlign w:val="bottom"/>
            <w:tcBorders>
              <w:top w:val="single" w:sz="8" w:color="DBDBDB"/>
              <w:bottom w:val="single" w:sz="8" w:color="DBDBDB"/>
            </w:tcBorders>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680" w:type="dxa"/>
            <w:vAlign w:val="bottom"/>
            <w:gridSpan w:val="5"/>
          </w:tcPr>
          <w:p>
            <w:pPr>
              <w:spacing w:after="0" w:line="202" w:lineRule="exact"/>
              <w:rPr>
                <w:sz w:val="20"/>
                <w:szCs w:val="20"/>
                <w:color w:val="auto"/>
              </w:rPr>
            </w:pPr>
            <w:r>
              <w:rPr>
                <w:rFonts w:ascii="Times New Roman" w:cs="Times New Roman" w:eastAsia="Times New Roman" w:hAnsi="Times New Roman"/>
                <w:sz w:val="18"/>
                <w:szCs w:val="18"/>
                <w:color w:val="0000FF"/>
              </w:rPr>
              <w:t>Item 9A.</w:t>
            </w:r>
          </w:p>
        </w:tc>
        <w:tc>
          <w:tcPr>
            <w:tcW w:w="9260" w:type="dxa"/>
            <w:vAlign w:val="bottom"/>
            <w:gridSpan w:val="26"/>
          </w:tcPr>
          <w:p>
            <w:pPr>
              <w:spacing w:after="0" w:line="202" w:lineRule="exact"/>
              <w:rPr>
                <w:sz w:val="20"/>
                <w:szCs w:val="20"/>
                <w:color w:val="auto"/>
              </w:rPr>
            </w:pPr>
            <w:r>
              <w:rPr>
                <w:rFonts w:ascii="Times New Roman" w:cs="Times New Roman" w:eastAsia="Times New Roman" w:hAnsi="Times New Roman"/>
                <w:sz w:val="18"/>
                <w:szCs w:val="18"/>
                <w:color w:val="0000FF"/>
              </w:rPr>
              <w:t>CONTROLS AND PROCEDURES</w:t>
            </w:r>
          </w:p>
        </w:tc>
        <w:tc>
          <w:tcPr>
            <w:tcW w:w="18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0000EE"/>
                <w:w w:val="88"/>
              </w:rPr>
              <w:t>79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52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60" w:type="dxa"/>
            <w:vAlign w:val="bottom"/>
          </w:tcPr>
          <w:p>
            <w:pPr>
              <w:spacing w:after="0"/>
              <w:rPr>
                <w:sz w:val="2"/>
                <w:szCs w:val="2"/>
                <w:color w:val="auto"/>
              </w:rPr>
            </w:pPr>
          </w:p>
        </w:tc>
        <w:tc>
          <w:tcPr>
            <w:tcW w:w="980" w:type="dxa"/>
            <w:vAlign w:val="bottom"/>
          </w:tcPr>
          <w:p>
            <w:pPr>
              <w:spacing w:after="0"/>
              <w:rPr>
                <w:sz w:val="2"/>
                <w:szCs w:val="2"/>
                <w:color w:val="auto"/>
              </w:rPr>
            </w:pPr>
          </w:p>
        </w:tc>
        <w:tc>
          <w:tcPr>
            <w:tcW w:w="84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shd w:val="clear" w:color="auto" w:fill="DBDBDB"/>
          </w:tcPr>
          <w:p>
            <w:pPr>
              <w:spacing w:after="0"/>
              <w:rPr>
                <w:sz w:val="17"/>
                <w:szCs w:val="17"/>
                <w:color w:val="auto"/>
              </w:rPr>
            </w:pPr>
          </w:p>
        </w:tc>
        <w:tc>
          <w:tcPr>
            <w:tcW w:w="640" w:type="dxa"/>
            <w:vAlign w:val="bottom"/>
            <w:gridSpan w:val="3"/>
            <w:shd w:val="clear" w:color="auto" w:fill="DBDBDB"/>
          </w:tcPr>
          <w:p>
            <w:pPr>
              <w:spacing w:after="0" w:line="202" w:lineRule="exact"/>
              <w:rPr>
                <w:sz w:val="20"/>
                <w:szCs w:val="20"/>
                <w:color w:val="auto"/>
              </w:rPr>
            </w:pPr>
            <w:r>
              <w:rPr>
                <w:rFonts w:ascii="Times New Roman" w:cs="Times New Roman" w:eastAsia="Times New Roman" w:hAnsi="Times New Roman"/>
                <w:sz w:val="18"/>
                <w:szCs w:val="18"/>
                <w:color w:val="0000FF"/>
                <w:w w:val="98"/>
              </w:rPr>
              <w:t>Item 9B.</w:t>
            </w:r>
          </w:p>
        </w:tc>
        <w:tc>
          <w:tcPr>
            <w:tcW w:w="1040" w:type="dxa"/>
            <w:vAlign w:val="bottom"/>
            <w:tcBorders>
              <w:right w:val="single" w:sz="8" w:color="DBDBDB"/>
            </w:tcBorders>
            <w:gridSpan w:val="2"/>
            <w:shd w:val="clear" w:color="auto" w:fill="DBDBDB"/>
          </w:tcPr>
          <w:p>
            <w:pPr>
              <w:spacing w:after="0"/>
              <w:rPr>
                <w:sz w:val="17"/>
                <w:szCs w:val="17"/>
                <w:color w:val="auto"/>
              </w:rPr>
            </w:pPr>
          </w:p>
        </w:tc>
        <w:tc>
          <w:tcPr>
            <w:tcW w:w="9260" w:type="dxa"/>
            <w:vAlign w:val="bottom"/>
            <w:gridSpan w:val="26"/>
            <w:shd w:val="clear" w:color="auto" w:fill="DBDBDB"/>
          </w:tcPr>
          <w:p>
            <w:pPr>
              <w:spacing w:after="0" w:line="202" w:lineRule="exact"/>
              <w:rPr>
                <w:sz w:val="20"/>
                <w:szCs w:val="20"/>
                <w:color w:val="auto"/>
              </w:rPr>
            </w:pPr>
            <w:r>
              <w:rPr>
                <w:rFonts w:ascii="Times New Roman" w:cs="Times New Roman" w:eastAsia="Times New Roman" w:hAnsi="Times New Roman"/>
                <w:sz w:val="18"/>
                <w:szCs w:val="18"/>
                <w:color w:val="0000FF"/>
              </w:rPr>
              <w:t>OTHER INFORMATION</w:t>
            </w:r>
          </w:p>
        </w:tc>
        <w:tc>
          <w:tcPr>
            <w:tcW w:w="180" w:type="dxa"/>
            <w:vAlign w:val="bottom"/>
            <w:gridSpan w:val="2"/>
            <w:shd w:val="clear" w:color="auto" w:fill="DBDBDB"/>
          </w:tcPr>
          <w:p>
            <w:pPr>
              <w:jc w:val="right"/>
              <w:spacing w:after="0" w:line="202" w:lineRule="exact"/>
              <w:rPr>
                <w:sz w:val="20"/>
                <w:szCs w:val="20"/>
                <w:color w:val="auto"/>
              </w:rPr>
            </w:pPr>
            <w:r>
              <w:rPr>
                <w:rFonts w:ascii="Times New Roman" w:cs="Times New Roman" w:eastAsia="Times New Roman" w:hAnsi="Times New Roman"/>
                <w:sz w:val="18"/>
                <w:szCs w:val="18"/>
                <w:color w:val="0000EE"/>
                <w:w w:val="88"/>
              </w:rPr>
              <w:t>81</w:t>
            </w:r>
          </w:p>
        </w:tc>
        <w:tc>
          <w:tcPr>
            <w:tcW w:w="2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20" w:type="dxa"/>
            <w:vAlign w:val="bottom"/>
            <w:tcBorders>
              <w:top w:val="single" w:sz="8" w:color="DBDBDB"/>
            </w:tcBorders>
            <w:shd w:val="clear" w:color="auto" w:fill="DBDBDB"/>
          </w:tcPr>
          <w:p>
            <w:pPr>
              <w:spacing w:after="0"/>
              <w:rPr>
                <w:sz w:val="2"/>
                <w:szCs w:val="2"/>
                <w:color w:val="auto"/>
              </w:rPr>
            </w:pPr>
          </w:p>
        </w:tc>
        <w:tc>
          <w:tcPr>
            <w:tcW w:w="520" w:type="dxa"/>
            <w:vAlign w:val="bottom"/>
            <w:tcBorders>
              <w:top w:val="single" w:sz="8" w:color="0000FF"/>
            </w:tcBorders>
            <w:shd w:val="clear" w:color="auto" w:fill="DBDBDB"/>
          </w:tcPr>
          <w:p>
            <w:pPr>
              <w:spacing w:after="0"/>
              <w:rPr>
                <w:sz w:val="2"/>
                <w:szCs w:val="2"/>
                <w:color w:val="auto"/>
              </w:rPr>
            </w:pPr>
          </w:p>
        </w:tc>
        <w:tc>
          <w:tcPr>
            <w:tcW w:w="80" w:type="dxa"/>
            <w:vAlign w:val="bottom"/>
            <w:tcBorders>
              <w:top w:val="single" w:sz="8" w:color="0000FF"/>
            </w:tcBorders>
            <w:shd w:val="clear" w:color="auto" w:fill="DBDBDB"/>
          </w:tcPr>
          <w:p>
            <w:pPr>
              <w:spacing w:after="0"/>
              <w:rPr>
                <w:sz w:val="2"/>
                <w:szCs w:val="2"/>
                <w:color w:val="auto"/>
              </w:rPr>
            </w:pPr>
          </w:p>
        </w:tc>
        <w:tc>
          <w:tcPr>
            <w:tcW w:w="40" w:type="dxa"/>
            <w:vAlign w:val="bottom"/>
            <w:tcBorders>
              <w:top w:val="single" w:sz="8" w:color="0000FF"/>
            </w:tcBorders>
            <w:shd w:val="clear" w:color="auto" w:fill="DBDBDB"/>
          </w:tcPr>
          <w:p>
            <w:pPr>
              <w:spacing w:after="0"/>
              <w:rPr>
                <w:sz w:val="2"/>
                <w:szCs w:val="2"/>
                <w:color w:val="auto"/>
              </w:rPr>
            </w:pPr>
          </w:p>
        </w:tc>
        <w:tc>
          <w:tcPr>
            <w:tcW w:w="60" w:type="dxa"/>
            <w:vAlign w:val="bottom"/>
            <w:tcBorders>
              <w:top w:val="single" w:sz="8" w:color="DBDBDB"/>
            </w:tcBorders>
            <w:shd w:val="clear" w:color="auto" w:fill="DBDBDB"/>
          </w:tcPr>
          <w:p>
            <w:pPr>
              <w:spacing w:after="0"/>
              <w:rPr>
                <w:sz w:val="2"/>
                <w:szCs w:val="2"/>
                <w:color w:val="auto"/>
              </w:rPr>
            </w:pPr>
          </w:p>
        </w:tc>
        <w:tc>
          <w:tcPr>
            <w:tcW w:w="980" w:type="dxa"/>
            <w:vAlign w:val="bottom"/>
            <w:tcBorders>
              <w:top w:val="single" w:sz="8" w:color="DBDBDB"/>
              <w:right w:val="single" w:sz="8" w:color="DBDBDB"/>
            </w:tcBorders>
            <w:shd w:val="clear" w:color="auto" w:fill="DBDBDB"/>
          </w:tcPr>
          <w:p>
            <w:pPr>
              <w:spacing w:after="0"/>
              <w:rPr>
                <w:sz w:val="2"/>
                <w:szCs w:val="2"/>
                <w:color w:val="auto"/>
              </w:rPr>
            </w:pPr>
          </w:p>
        </w:tc>
        <w:tc>
          <w:tcPr>
            <w:tcW w:w="840" w:type="dxa"/>
            <w:vAlign w:val="bottom"/>
            <w:tcBorders>
              <w:top w:val="single" w:sz="8" w:color="0000FF"/>
            </w:tcBorders>
            <w:shd w:val="clear" w:color="auto" w:fill="DBDBDB"/>
          </w:tcPr>
          <w:p>
            <w:pPr>
              <w:spacing w:after="0"/>
              <w:rPr>
                <w:sz w:val="2"/>
                <w:szCs w:val="2"/>
                <w:color w:val="auto"/>
              </w:rPr>
            </w:pPr>
          </w:p>
        </w:tc>
        <w:tc>
          <w:tcPr>
            <w:tcW w:w="60" w:type="dxa"/>
            <w:vAlign w:val="bottom"/>
            <w:tcBorders>
              <w:top w:val="single" w:sz="8" w:color="0000FF"/>
            </w:tcBorders>
            <w:shd w:val="clear" w:color="auto" w:fill="DBDBDB"/>
          </w:tcPr>
          <w:p>
            <w:pPr>
              <w:spacing w:after="0"/>
              <w:rPr>
                <w:sz w:val="2"/>
                <w:szCs w:val="2"/>
                <w:color w:val="auto"/>
              </w:rPr>
            </w:pPr>
          </w:p>
        </w:tc>
        <w:tc>
          <w:tcPr>
            <w:tcW w:w="180" w:type="dxa"/>
            <w:vAlign w:val="bottom"/>
            <w:tcBorders>
              <w:top w:val="single" w:sz="8" w:color="0000FF"/>
              <w:right w:val="single" w:sz="8" w:color="DBDBDB"/>
            </w:tcBorders>
            <w:shd w:val="clear" w:color="auto" w:fill="DBDBDB"/>
          </w:tcPr>
          <w:p>
            <w:pPr>
              <w:spacing w:after="0"/>
              <w:rPr>
                <w:sz w:val="2"/>
                <w:szCs w:val="2"/>
                <w:color w:val="auto"/>
              </w:rPr>
            </w:pPr>
          </w:p>
        </w:tc>
        <w:tc>
          <w:tcPr>
            <w:tcW w:w="20" w:type="dxa"/>
            <w:vAlign w:val="bottom"/>
            <w:tcBorders>
              <w:top w:val="single" w:sz="8" w:color="0000FF"/>
            </w:tcBorders>
            <w:shd w:val="clear" w:color="auto" w:fill="DBDBDB"/>
          </w:tcPr>
          <w:p>
            <w:pPr>
              <w:spacing w:after="0"/>
              <w:rPr>
                <w:sz w:val="2"/>
                <w:szCs w:val="2"/>
                <w:color w:val="auto"/>
              </w:rPr>
            </w:pPr>
          </w:p>
        </w:tc>
        <w:tc>
          <w:tcPr>
            <w:tcW w:w="140" w:type="dxa"/>
            <w:vAlign w:val="bottom"/>
            <w:tcBorders>
              <w:top w:val="single" w:sz="8" w:color="0000FF"/>
            </w:tcBorders>
            <w:shd w:val="clear" w:color="auto" w:fill="DBDBDB"/>
          </w:tcPr>
          <w:p>
            <w:pPr>
              <w:spacing w:after="0"/>
              <w:rPr>
                <w:sz w:val="2"/>
                <w:szCs w:val="2"/>
                <w:color w:val="auto"/>
              </w:rPr>
            </w:pPr>
          </w:p>
        </w:tc>
        <w:tc>
          <w:tcPr>
            <w:tcW w:w="220" w:type="dxa"/>
            <w:vAlign w:val="bottom"/>
            <w:tcBorders>
              <w:top w:val="single" w:sz="8" w:color="0000FF"/>
            </w:tcBorders>
            <w:shd w:val="clear" w:color="auto" w:fill="DBDBDB"/>
          </w:tcPr>
          <w:p>
            <w:pPr>
              <w:spacing w:after="0"/>
              <w:rPr>
                <w:sz w:val="2"/>
                <w:szCs w:val="2"/>
                <w:color w:val="auto"/>
              </w:rPr>
            </w:pPr>
          </w:p>
        </w:tc>
        <w:tc>
          <w:tcPr>
            <w:tcW w:w="400" w:type="dxa"/>
            <w:vAlign w:val="bottom"/>
            <w:tcBorders>
              <w:top w:val="single" w:sz="8" w:color="0000FF"/>
            </w:tcBorders>
            <w:shd w:val="clear" w:color="auto" w:fill="DBDBDB"/>
          </w:tcPr>
          <w:p>
            <w:pPr>
              <w:spacing w:after="0"/>
              <w:rPr>
                <w:sz w:val="2"/>
                <w:szCs w:val="2"/>
                <w:color w:val="auto"/>
              </w:rPr>
            </w:pPr>
          </w:p>
        </w:tc>
        <w:tc>
          <w:tcPr>
            <w:tcW w:w="20" w:type="dxa"/>
            <w:vAlign w:val="bottom"/>
            <w:tcBorders>
              <w:top w:val="single" w:sz="8" w:color="0000FF"/>
            </w:tcBorders>
            <w:shd w:val="clear" w:color="auto" w:fill="DBDBDB"/>
          </w:tcPr>
          <w:p>
            <w:pPr>
              <w:spacing w:after="0"/>
              <w:rPr>
                <w:sz w:val="2"/>
                <w:szCs w:val="2"/>
                <w:color w:val="auto"/>
              </w:rPr>
            </w:pPr>
          </w:p>
        </w:tc>
        <w:tc>
          <w:tcPr>
            <w:tcW w:w="280" w:type="dxa"/>
            <w:vAlign w:val="bottom"/>
            <w:tcBorders>
              <w:top w:val="single" w:sz="8" w:color="DBDBDB"/>
            </w:tcBorders>
            <w:shd w:val="clear" w:color="auto" w:fill="DBDBDB"/>
          </w:tcPr>
          <w:p>
            <w:pPr>
              <w:spacing w:after="0"/>
              <w:rPr>
                <w:sz w:val="2"/>
                <w:szCs w:val="2"/>
                <w:color w:val="auto"/>
              </w:rPr>
            </w:pPr>
          </w:p>
        </w:tc>
        <w:tc>
          <w:tcPr>
            <w:tcW w:w="260" w:type="dxa"/>
            <w:vAlign w:val="bottom"/>
            <w:tcBorders>
              <w:top w:val="single" w:sz="8" w:color="DBDBDB"/>
            </w:tcBorders>
            <w:shd w:val="clear" w:color="auto" w:fill="DBDBDB"/>
          </w:tcPr>
          <w:p>
            <w:pPr>
              <w:spacing w:after="0"/>
              <w:rPr>
                <w:sz w:val="2"/>
                <w:szCs w:val="2"/>
                <w:color w:val="auto"/>
              </w:rPr>
            </w:pPr>
          </w:p>
        </w:tc>
        <w:tc>
          <w:tcPr>
            <w:tcW w:w="20" w:type="dxa"/>
            <w:vAlign w:val="bottom"/>
            <w:tcBorders>
              <w:top w:val="single" w:sz="8" w:color="DBDBDB"/>
            </w:tcBorders>
            <w:shd w:val="clear" w:color="auto" w:fill="DBDBDB"/>
          </w:tcPr>
          <w:p>
            <w:pPr>
              <w:spacing w:after="0"/>
              <w:rPr>
                <w:sz w:val="2"/>
                <w:szCs w:val="2"/>
                <w:color w:val="auto"/>
              </w:rPr>
            </w:pPr>
          </w:p>
        </w:tc>
        <w:tc>
          <w:tcPr>
            <w:tcW w:w="140" w:type="dxa"/>
            <w:vAlign w:val="bottom"/>
            <w:tcBorders>
              <w:top w:val="single" w:sz="8" w:color="DBDBDB"/>
            </w:tcBorders>
            <w:shd w:val="clear" w:color="auto" w:fill="DBDBDB"/>
          </w:tcPr>
          <w:p>
            <w:pPr>
              <w:spacing w:after="0"/>
              <w:rPr>
                <w:sz w:val="2"/>
                <w:szCs w:val="2"/>
                <w:color w:val="auto"/>
              </w:rPr>
            </w:pPr>
          </w:p>
        </w:tc>
        <w:tc>
          <w:tcPr>
            <w:tcW w:w="220" w:type="dxa"/>
            <w:vAlign w:val="bottom"/>
            <w:tcBorders>
              <w:top w:val="single" w:sz="8" w:color="DBDBDB"/>
            </w:tcBorders>
            <w:shd w:val="clear" w:color="auto" w:fill="DBDBDB"/>
          </w:tcPr>
          <w:p>
            <w:pPr>
              <w:spacing w:after="0"/>
              <w:rPr>
                <w:sz w:val="2"/>
                <w:szCs w:val="2"/>
                <w:color w:val="auto"/>
              </w:rPr>
            </w:pPr>
          </w:p>
        </w:tc>
        <w:tc>
          <w:tcPr>
            <w:tcW w:w="940" w:type="dxa"/>
            <w:vAlign w:val="bottom"/>
            <w:tcBorders>
              <w:top w:val="single" w:sz="8" w:color="DBDBDB"/>
            </w:tcBorders>
            <w:shd w:val="clear" w:color="auto" w:fill="DBDBDB"/>
          </w:tcPr>
          <w:p>
            <w:pPr>
              <w:spacing w:after="0"/>
              <w:rPr>
                <w:sz w:val="2"/>
                <w:szCs w:val="2"/>
                <w:color w:val="auto"/>
              </w:rPr>
            </w:pPr>
          </w:p>
        </w:tc>
        <w:tc>
          <w:tcPr>
            <w:tcW w:w="200" w:type="dxa"/>
            <w:vAlign w:val="bottom"/>
            <w:tcBorders>
              <w:top w:val="single" w:sz="8" w:color="DBDBDB"/>
            </w:tcBorders>
            <w:shd w:val="clear" w:color="auto" w:fill="DBDBDB"/>
          </w:tcPr>
          <w:p>
            <w:pPr>
              <w:spacing w:after="0"/>
              <w:rPr>
                <w:sz w:val="2"/>
                <w:szCs w:val="2"/>
                <w:color w:val="auto"/>
              </w:rPr>
            </w:pPr>
          </w:p>
        </w:tc>
        <w:tc>
          <w:tcPr>
            <w:tcW w:w="480" w:type="dxa"/>
            <w:vAlign w:val="bottom"/>
            <w:tcBorders>
              <w:top w:val="single" w:sz="8" w:color="DBDBDB"/>
            </w:tcBorders>
            <w:shd w:val="clear" w:color="auto" w:fill="DBDBDB"/>
          </w:tcPr>
          <w:p>
            <w:pPr>
              <w:spacing w:after="0"/>
              <w:rPr>
                <w:sz w:val="2"/>
                <w:szCs w:val="2"/>
                <w:color w:val="auto"/>
              </w:rPr>
            </w:pPr>
          </w:p>
        </w:tc>
        <w:tc>
          <w:tcPr>
            <w:tcW w:w="220" w:type="dxa"/>
            <w:vAlign w:val="bottom"/>
            <w:tcBorders>
              <w:top w:val="single" w:sz="8" w:color="DBDBDB"/>
            </w:tcBorders>
            <w:shd w:val="clear" w:color="auto" w:fill="DBDBDB"/>
          </w:tcPr>
          <w:p>
            <w:pPr>
              <w:spacing w:after="0"/>
              <w:rPr>
                <w:sz w:val="2"/>
                <w:szCs w:val="2"/>
                <w:color w:val="auto"/>
              </w:rPr>
            </w:pPr>
          </w:p>
        </w:tc>
        <w:tc>
          <w:tcPr>
            <w:tcW w:w="1140" w:type="dxa"/>
            <w:vAlign w:val="bottom"/>
            <w:tcBorders>
              <w:top w:val="single" w:sz="8" w:color="DBDBDB"/>
            </w:tcBorders>
            <w:shd w:val="clear" w:color="auto" w:fill="DBDBDB"/>
          </w:tcPr>
          <w:p>
            <w:pPr>
              <w:spacing w:after="0"/>
              <w:rPr>
                <w:sz w:val="2"/>
                <w:szCs w:val="2"/>
                <w:color w:val="auto"/>
              </w:rPr>
            </w:pPr>
          </w:p>
        </w:tc>
        <w:tc>
          <w:tcPr>
            <w:tcW w:w="340" w:type="dxa"/>
            <w:vAlign w:val="bottom"/>
            <w:tcBorders>
              <w:top w:val="single" w:sz="8" w:color="DBDBDB"/>
            </w:tcBorders>
            <w:shd w:val="clear" w:color="auto" w:fill="DBDBDB"/>
          </w:tcPr>
          <w:p>
            <w:pPr>
              <w:spacing w:after="0"/>
              <w:rPr>
                <w:sz w:val="2"/>
                <w:szCs w:val="2"/>
                <w:color w:val="auto"/>
              </w:rPr>
            </w:pPr>
          </w:p>
        </w:tc>
        <w:tc>
          <w:tcPr>
            <w:tcW w:w="820" w:type="dxa"/>
            <w:vAlign w:val="bottom"/>
            <w:tcBorders>
              <w:top w:val="single" w:sz="8" w:color="DBDBDB"/>
            </w:tcBorders>
            <w:shd w:val="clear" w:color="auto" w:fill="DBDBDB"/>
          </w:tcPr>
          <w:p>
            <w:pPr>
              <w:spacing w:after="0"/>
              <w:rPr>
                <w:sz w:val="2"/>
                <w:szCs w:val="2"/>
                <w:color w:val="auto"/>
              </w:rPr>
            </w:pPr>
          </w:p>
        </w:tc>
        <w:tc>
          <w:tcPr>
            <w:tcW w:w="640" w:type="dxa"/>
            <w:vAlign w:val="bottom"/>
            <w:tcBorders>
              <w:top w:val="single" w:sz="8" w:color="DBDBDB"/>
            </w:tcBorders>
            <w:shd w:val="clear" w:color="auto" w:fill="DBDBDB"/>
          </w:tcPr>
          <w:p>
            <w:pPr>
              <w:spacing w:after="0"/>
              <w:rPr>
                <w:sz w:val="2"/>
                <w:szCs w:val="2"/>
                <w:color w:val="auto"/>
              </w:rPr>
            </w:pPr>
          </w:p>
        </w:tc>
        <w:tc>
          <w:tcPr>
            <w:tcW w:w="100" w:type="dxa"/>
            <w:vAlign w:val="bottom"/>
            <w:tcBorders>
              <w:top w:val="single" w:sz="8" w:color="DBDBDB"/>
            </w:tcBorders>
            <w:shd w:val="clear" w:color="auto" w:fill="DBDBDB"/>
          </w:tcPr>
          <w:p>
            <w:pPr>
              <w:spacing w:after="0"/>
              <w:rPr>
                <w:sz w:val="2"/>
                <w:szCs w:val="2"/>
                <w:color w:val="auto"/>
              </w:rPr>
            </w:pPr>
          </w:p>
        </w:tc>
        <w:tc>
          <w:tcPr>
            <w:tcW w:w="80" w:type="dxa"/>
            <w:vAlign w:val="bottom"/>
            <w:tcBorders>
              <w:top w:val="single" w:sz="8" w:color="DBDBDB"/>
            </w:tcBorders>
            <w:shd w:val="clear" w:color="auto" w:fill="DBDBDB"/>
          </w:tcPr>
          <w:p>
            <w:pPr>
              <w:spacing w:after="0"/>
              <w:rPr>
                <w:sz w:val="2"/>
                <w:szCs w:val="2"/>
                <w:color w:val="auto"/>
              </w:rPr>
            </w:pPr>
          </w:p>
        </w:tc>
        <w:tc>
          <w:tcPr>
            <w:tcW w:w="160" w:type="dxa"/>
            <w:vAlign w:val="bottom"/>
            <w:tcBorders>
              <w:top w:val="single" w:sz="8" w:color="DBDBDB"/>
            </w:tcBorders>
            <w:shd w:val="clear" w:color="auto" w:fill="DBDBDB"/>
          </w:tcPr>
          <w:p>
            <w:pPr>
              <w:spacing w:after="0"/>
              <w:rPr>
                <w:sz w:val="2"/>
                <w:szCs w:val="2"/>
                <w:color w:val="auto"/>
              </w:rPr>
            </w:pPr>
          </w:p>
        </w:tc>
        <w:tc>
          <w:tcPr>
            <w:tcW w:w="80" w:type="dxa"/>
            <w:vAlign w:val="bottom"/>
            <w:tcBorders>
              <w:top w:val="single" w:sz="8" w:color="DBDBDB"/>
            </w:tcBorders>
            <w:shd w:val="clear" w:color="auto" w:fill="DBDBDB"/>
          </w:tcPr>
          <w:p>
            <w:pPr>
              <w:spacing w:after="0"/>
              <w:rPr>
                <w:sz w:val="2"/>
                <w:szCs w:val="2"/>
                <w:color w:val="auto"/>
              </w:rPr>
            </w:pPr>
          </w:p>
        </w:tc>
        <w:tc>
          <w:tcPr>
            <w:tcW w:w="1260" w:type="dxa"/>
            <w:vAlign w:val="bottom"/>
            <w:tcBorders>
              <w:top w:val="single" w:sz="8" w:color="DBDBDB"/>
            </w:tcBorders>
            <w:shd w:val="clear" w:color="auto" w:fill="DBDBDB"/>
          </w:tcPr>
          <w:p>
            <w:pPr>
              <w:spacing w:after="0"/>
              <w:rPr>
                <w:sz w:val="2"/>
                <w:szCs w:val="2"/>
                <w:color w:val="auto"/>
              </w:rPr>
            </w:pPr>
          </w:p>
        </w:tc>
        <w:tc>
          <w:tcPr>
            <w:tcW w:w="100" w:type="dxa"/>
            <w:vAlign w:val="bottom"/>
            <w:tcBorders>
              <w:top w:val="single" w:sz="8" w:color="0000EE"/>
            </w:tcBorders>
            <w:shd w:val="clear" w:color="auto" w:fill="DBDBDB"/>
          </w:tcPr>
          <w:p>
            <w:pPr>
              <w:spacing w:after="0"/>
              <w:rPr>
                <w:sz w:val="2"/>
                <w:szCs w:val="2"/>
                <w:color w:val="auto"/>
              </w:rPr>
            </w:pPr>
          </w:p>
        </w:tc>
        <w:tc>
          <w:tcPr>
            <w:tcW w:w="80" w:type="dxa"/>
            <w:vAlign w:val="bottom"/>
            <w:tcBorders>
              <w:top w:val="single" w:sz="8" w:color="0000EE"/>
            </w:tcBorders>
            <w:shd w:val="clear" w:color="auto" w:fill="DBDBDB"/>
          </w:tcPr>
          <w:p>
            <w:pPr>
              <w:spacing w:after="0"/>
              <w:rPr>
                <w:sz w:val="2"/>
                <w:szCs w:val="2"/>
                <w:color w:val="auto"/>
              </w:rPr>
            </w:pPr>
          </w:p>
        </w:tc>
        <w:tc>
          <w:tcPr>
            <w:tcW w:w="20" w:type="dxa"/>
            <w:vAlign w:val="bottom"/>
            <w:tcBorders>
              <w:top w:val="single" w:sz="8" w:color="DBDBDB"/>
            </w:tcBorders>
            <w:shd w:val="clear" w:color="auto" w:fill="DBDBDB"/>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40" w:type="dxa"/>
            <w:vAlign w:val="bottom"/>
            <w:gridSpan w:val="3"/>
          </w:tcPr>
          <w:p>
            <w:pPr>
              <w:spacing w:after="0" w:line="202" w:lineRule="exact"/>
              <w:rPr>
                <w:sz w:val="20"/>
                <w:szCs w:val="20"/>
                <w:color w:val="auto"/>
              </w:rPr>
            </w:pPr>
            <w:r>
              <w:rPr>
                <w:rFonts w:ascii="Times New Roman" w:cs="Times New Roman" w:eastAsia="Times New Roman" w:hAnsi="Times New Roman"/>
                <w:sz w:val="18"/>
                <w:szCs w:val="18"/>
                <w:color w:val="0000FF"/>
                <w:w w:val="98"/>
              </w:rPr>
              <w:t>Item 9C.</w:t>
            </w:r>
          </w:p>
        </w:tc>
        <w:tc>
          <w:tcPr>
            <w:tcW w:w="1040" w:type="dxa"/>
            <w:vAlign w:val="bottom"/>
            <w:gridSpan w:val="2"/>
          </w:tcPr>
          <w:p>
            <w:pPr>
              <w:spacing w:after="0"/>
              <w:rPr>
                <w:sz w:val="17"/>
                <w:szCs w:val="17"/>
                <w:color w:val="auto"/>
              </w:rPr>
            </w:pPr>
          </w:p>
        </w:tc>
        <w:tc>
          <w:tcPr>
            <w:tcW w:w="9260" w:type="dxa"/>
            <w:vAlign w:val="bottom"/>
            <w:gridSpan w:val="26"/>
          </w:tcPr>
          <w:p>
            <w:pPr>
              <w:spacing w:after="0" w:line="202" w:lineRule="exact"/>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18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0000EE"/>
                <w:w w:val="88"/>
              </w:rPr>
              <w:t>81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52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60" w:type="dxa"/>
            <w:vAlign w:val="bottom"/>
          </w:tcPr>
          <w:p>
            <w:pPr>
              <w:spacing w:after="0"/>
              <w:rPr>
                <w:sz w:val="2"/>
                <w:szCs w:val="2"/>
                <w:color w:val="auto"/>
              </w:rPr>
            </w:pPr>
          </w:p>
        </w:tc>
        <w:tc>
          <w:tcPr>
            <w:tcW w:w="980" w:type="dxa"/>
            <w:vAlign w:val="bottom"/>
          </w:tcPr>
          <w:p>
            <w:pPr>
              <w:spacing w:after="0"/>
              <w:rPr>
                <w:sz w:val="2"/>
                <w:szCs w:val="2"/>
                <w:color w:val="auto"/>
              </w:rPr>
            </w:pPr>
          </w:p>
        </w:tc>
        <w:tc>
          <w:tcPr>
            <w:tcW w:w="84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94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48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1140" w:type="dxa"/>
            <w:vAlign w:val="bottom"/>
            <w:tcBorders>
              <w:top w:val="single" w:sz="8" w:color="0000FF"/>
            </w:tcBorders>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820" w:type="dxa"/>
            <w:vAlign w:val="bottom"/>
            <w:tcBorders>
              <w:top w:val="single" w:sz="8" w:color="0000FF"/>
            </w:tcBorders>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shd w:val="clear" w:color="auto" w:fill="DBDBDB"/>
          </w:tcPr>
          <w:p>
            <w:pPr>
              <w:spacing w:after="0"/>
              <w:rPr>
                <w:sz w:val="20"/>
                <w:szCs w:val="20"/>
                <w:color w:val="auto"/>
              </w:rPr>
            </w:pPr>
          </w:p>
        </w:tc>
        <w:tc>
          <w:tcPr>
            <w:tcW w:w="1680" w:type="dxa"/>
            <w:vAlign w:val="bottom"/>
            <w:tcBorders>
              <w:right w:val="single" w:sz="8" w:color="DBDBDB"/>
            </w:tcBorders>
            <w:gridSpan w:val="5"/>
            <w:shd w:val="clear" w:color="auto" w:fill="DBDBDB"/>
          </w:tcPr>
          <w:p>
            <w:pPr>
              <w:spacing w:after="0" w:line="202" w:lineRule="exact"/>
              <w:rPr>
                <w:sz w:val="20"/>
                <w:szCs w:val="20"/>
                <w:color w:val="auto"/>
              </w:rPr>
            </w:pPr>
            <w:r>
              <w:rPr>
                <w:rFonts w:ascii="Times New Roman" w:cs="Times New Roman" w:eastAsia="Times New Roman" w:hAnsi="Times New Roman"/>
                <w:sz w:val="18"/>
                <w:szCs w:val="18"/>
                <w:color w:val="0000FF"/>
              </w:rPr>
              <w:t>PART III.</w:t>
            </w:r>
          </w:p>
        </w:tc>
        <w:tc>
          <w:tcPr>
            <w:tcW w:w="840" w:type="dxa"/>
            <w:vAlign w:val="bottom"/>
            <w:shd w:val="clear" w:color="auto" w:fill="DBDBDB"/>
          </w:tcPr>
          <w:p>
            <w:pPr>
              <w:spacing w:after="0"/>
              <w:rPr>
                <w:sz w:val="20"/>
                <w:szCs w:val="20"/>
                <w:color w:val="auto"/>
              </w:rPr>
            </w:pPr>
          </w:p>
        </w:tc>
        <w:tc>
          <w:tcPr>
            <w:tcW w:w="60" w:type="dxa"/>
            <w:vAlign w:val="bottom"/>
            <w:shd w:val="clear" w:color="auto" w:fill="DBDBDB"/>
          </w:tcPr>
          <w:p>
            <w:pPr>
              <w:spacing w:after="0"/>
              <w:rPr>
                <w:sz w:val="20"/>
                <w:szCs w:val="20"/>
                <w:color w:val="auto"/>
              </w:rPr>
            </w:pPr>
          </w:p>
        </w:tc>
        <w:tc>
          <w:tcPr>
            <w:tcW w:w="180" w:type="dxa"/>
            <w:vAlign w:val="bottom"/>
            <w:tcBorders>
              <w:right w:val="single" w:sz="8" w:color="DBDBDB"/>
            </w:tcBorders>
            <w:shd w:val="clear" w:color="auto" w:fill="DBDBDB"/>
          </w:tcPr>
          <w:p>
            <w:pPr>
              <w:spacing w:after="0"/>
              <w:rPr>
                <w:sz w:val="20"/>
                <w:szCs w:val="20"/>
                <w:color w:val="auto"/>
              </w:rPr>
            </w:pPr>
          </w:p>
        </w:tc>
        <w:tc>
          <w:tcPr>
            <w:tcW w:w="20" w:type="dxa"/>
            <w:vAlign w:val="bottom"/>
            <w:shd w:val="clear" w:color="auto" w:fill="DBDBDB"/>
          </w:tcPr>
          <w:p>
            <w:pPr>
              <w:spacing w:after="0"/>
              <w:rPr>
                <w:sz w:val="20"/>
                <w:szCs w:val="20"/>
                <w:color w:val="auto"/>
              </w:rPr>
            </w:pPr>
          </w:p>
        </w:tc>
        <w:tc>
          <w:tcPr>
            <w:tcW w:w="140" w:type="dxa"/>
            <w:vAlign w:val="bottom"/>
            <w:shd w:val="clear" w:color="auto" w:fill="DBDBDB"/>
          </w:tcPr>
          <w:p>
            <w:pPr>
              <w:spacing w:after="0"/>
              <w:rPr>
                <w:sz w:val="20"/>
                <w:szCs w:val="20"/>
                <w:color w:val="auto"/>
              </w:rPr>
            </w:pPr>
          </w:p>
        </w:tc>
        <w:tc>
          <w:tcPr>
            <w:tcW w:w="220" w:type="dxa"/>
            <w:vAlign w:val="bottom"/>
            <w:shd w:val="clear" w:color="auto" w:fill="DBDBDB"/>
          </w:tcPr>
          <w:p>
            <w:pPr>
              <w:spacing w:after="0"/>
              <w:rPr>
                <w:sz w:val="20"/>
                <w:szCs w:val="20"/>
                <w:color w:val="auto"/>
              </w:rPr>
            </w:pPr>
          </w:p>
        </w:tc>
        <w:tc>
          <w:tcPr>
            <w:tcW w:w="400" w:type="dxa"/>
            <w:vAlign w:val="bottom"/>
            <w:shd w:val="clear" w:color="auto" w:fill="DBDBDB"/>
          </w:tcPr>
          <w:p>
            <w:pPr>
              <w:spacing w:after="0"/>
              <w:rPr>
                <w:sz w:val="20"/>
                <w:szCs w:val="20"/>
                <w:color w:val="auto"/>
              </w:rPr>
            </w:pPr>
          </w:p>
        </w:tc>
        <w:tc>
          <w:tcPr>
            <w:tcW w:w="20" w:type="dxa"/>
            <w:vAlign w:val="bottom"/>
            <w:shd w:val="clear" w:color="auto" w:fill="DBDBDB"/>
          </w:tcPr>
          <w:p>
            <w:pPr>
              <w:spacing w:after="0"/>
              <w:rPr>
                <w:sz w:val="20"/>
                <w:szCs w:val="20"/>
                <w:color w:val="auto"/>
              </w:rPr>
            </w:pPr>
          </w:p>
        </w:tc>
        <w:tc>
          <w:tcPr>
            <w:tcW w:w="280" w:type="dxa"/>
            <w:vAlign w:val="bottom"/>
            <w:shd w:val="clear" w:color="auto" w:fill="DBDBDB"/>
          </w:tcPr>
          <w:p>
            <w:pPr>
              <w:spacing w:after="0"/>
              <w:rPr>
                <w:sz w:val="20"/>
                <w:szCs w:val="20"/>
                <w:color w:val="auto"/>
              </w:rPr>
            </w:pPr>
          </w:p>
        </w:tc>
        <w:tc>
          <w:tcPr>
            <w:tcW w:w="260" w:type="dxa"/>
            <w:vAlign w:val="bottom"/>
            <w:shd w:val="clear" w:color="auto" w:fill="DBDBDB"/>
          </w:tcPr>
          <w:p>
            <w:pPr>
              <w:spacing w:after="0"/>
              <w:rPr>
                <w:sz w:val="20"/>
                <w:szCs w:val="20"/>
                <w:color w:val="auto"/>
              </w:rPr>
            </w:pPr>
          </w:p>
        </w:tc>
        <w:tc>
          <w:tcPr>
            <w:tcW w:w="20" w:type="dxa"/>
            <w:vAlign w:val="bottom"/>
            <w:shd w:val="clear" w:color="auto" w:fill="DBDBDB"/>
          </w:tcPr>
          <w:p>
            <w:pPr>
              <w:spacing w:after="0"/>
              <w:rPr>
                <w:sz w:val="20"/>
                <w:szCs w:val="20"/>
                <w:color w:val="auto"/>
              </w:rPr>
            </w:pPr>
          </w:p>
        </w:tc>
        <w:tc>
          <w:tcPr>
            <w:tcW w:w="140" w:type="dxa"/>
            <w:vAlign w:val="bottom"/>
            <w:shd w:val="clear" w:color="auto" w:fill="DBDBDB"/>
          </w:tcPr>
          <w:p>
            <w:pPr>
              <w:spacing w:after="0"/>
              <w:rPr>
                <w:sz w:val="20"/>
                <w:szCs w:val="20"/>
                <w:color w:val="auto"/>
              </w:rPr>
            </w:pPr>
          </w:p>
        </w:tc>
        <w:tc>
          <w:tcPr>
            <w:tcW w:w="220" w:type="dxa"/>
            <w:vAlign w:val="bottom"/>
            <w:shd w:val="clear" w:color="auto" w:fill="DBDBDB"/>
          </w:tcPr>
          <w:p>
            <w:pPr>
              <w:spacing w:after="0"/>
              <w:rPr>
                <w:sz w:val="20"/>
                <w:szCs w:val="20"/>
                <w:color w:val="auto"/>
              </w:rPr>
            </w:pPr>
          </w:p>
        </w:tc>
        <w:tc>
          <w:tcPr>
            <w:tcW w:w="940" w:type="dxa"/>
            <w:vAlign w:val="bottom"/>
            <w:shd w:val="clear" w:color="auto" w:fill="DBDBDB"/>
          </w:tcPr>
          <w:p>
            <w:pPr>
              <w:spacing w:after="0"/>
              <w:rPr>
                <w:sz w:val="20"/>
                <w:szCs w:val="20"/>
                <w:color w:val="auto"/>
              </w:rPr>
            </w:pPr>
          </w:p>
        </w:tc>
        <w:tc>
          <w:tcPr>
            <w:tcW w:w="200" w:type="dxa"/>
            <w:vAlign w:val="bottom"/>
            <w:shd w:val="clear" w:color="auto" w:fill="DBDBDB"/>
          </w:tcPr>
          <w:p>
            <w:pPr>
              <w:spacing w:after="0"/>
              <w:rPr>
                <w:sz w:val="20"/>
                <w:szCs w:val="20"/>
                <w:color w:val="auto"/>
              </w:rPr>
            </w:pPr>
          </w:p>
        </w:tc>
        <w:tc>
          <w:tcPr>
            <w:tcW w:w="480" w:type="dxa"/>
            <w:vAlign w:val="bottom"/>
            <w:shd w:val="clear" w:color="auto" w:fill="DBDBDB"/>
          </w:tcPr>
          <w:p>
            <w:pPr>
              <w:spacing w:after="0"/>
              <w:rPr>
                <w:sz w:val="20"/>
                <w:szCs w:val="20"/>
                <w:color w:val="auto"/>
              </w:rPr>
            </w:pPr>
          </w:p>
        </w:tc>
        <w:tc>
          <w:tcPr>
            <w:tcW w:w="220" w:type="dxa"/>
            <w:vAlign w:val="bottom"/>
            <w:shd w:val="clear" w:color="auto" w:fill="DBDBDB"/>
          </w:tcPr>
          <w:p>
            <w:pPr>
              <w:spacing w:after="0"/>
              <w:rPr>
                <w:sz w:val="20"/>
                <w:szCs w:val="20"/>
                <w:color w:val="auto"/>
              </w:rPr>
            </w:pPr>
          </w:p>
        </w:tc>
        <w:tc>
          <w:tcPr>
            <w:tcW w:w="1140" w:type="dxa"/>
            <w:vAlign w:val="bottom"/>
            <w:shd w:val="clear" w:color="auto" w:fill="DBDBDB"/>
          </w:tcPr>
          <w:p>
            <w:pPr>
              <w:spacing w:after="0"/>
              <w:rPr>
                <w:sz w:val="20"/>
                <w:szCs w:val="20"/>
                <w:color w:val="auto"/>
              </w:rPr>
            </w:pPr>
          </w:p>
        </w:tc>
        <w:tc>
          <w:tcPr>
            <w:tcW w:w="340" w:type="dxa"/>
            <w:vAlign w:val="bottom"/>
            <w:shd w:val="clear" w:color="auto" w:fill="DBDBDB"/>
          </w:tcPr>
          <w:p>
            <w:pPr>
              <w:spacing w:after="0"/>
              <w:rPr>
                <w:sz w:val="20"/>
                <w:szCs w:val="20"/>
                <w:color w:val="auto"/>
              </w:rPr>
            </w:pPr>
          </w:p>
        </w:tc>
        <w:tc>
          <w:tcPr>
            <w:tcW w:w="820" w:type="dxa"/>
            <w:vAlign w:val="bottom"/>
            <w:shd w:val="clear" w:color="auto" w:fill="DBDBDB"/>
          </w:tcPr>
          <w:p>
            <w:pPr>
              <w:spacing w:after="0"/>
              <w:rPr>
                <w:sz w:val="20"/>
                <w:szCs w:val="20"/>
                <w:color w:val="auto"/>
              </w:rPr>
            </w:pPr>
          </w:p>
        </w:tc>
        <w:tc>
          <w:tcPr>
            <w:tcW w:w="64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80" w:type="dxa"/>
            <w:vAlign w:val="bottom"/>
            <w:shd w:val="clear" w:color="auto" w:fill="DBDBDB"/>
          </w:tcPr>
          <w:p>
            <w:pPr>
              <w:spacing w:after="0"/>
              <w:rPr>
                <w:sz w:val="20"/>
                <w:szCs w:val="20"/>
                <w:color w:val="auto"/>
              </w:rPr>
            </w:pPr>
          </w:p>
        </w:tc>
        <w:tc>
          <w:tcPr>
            <w:tcW w:w="160" w:type="dxa"/>
            <w:vAlign w:val="bottom"/>
            <w:shd w:val="clear" w:color="auto" w:fill="DBDBDB"/>
          </w:tcPr>
          <w:p>
            <w:pPr>
              <w:spacing w:after="0"/>
              <w:rPr>
                <w:sz w:val="20"/>
                <w:szCs w:val="20"/>
                <w:color w:val="auto"/>
              </w:rPr>
            </w:pPr>
          </w:p>
        </w:tc>
        <w:tc>
          <w:tcPr>
            <w:tcW w:w="80" w:type="dxa"/>
            <w:vAlign w:val="bottom"/>
            <w:shd w:val="clear" w:color="auto" w:fill="DBDBDB"/>
          </w:tcPr>
          <w:p>
            <w:pPr>
              <w:spacing w:after="0"/>
              <w:rPr>
                <w:sz w:val="20"/>
                <w:szCs w:val="20"/>
                <w:color w:val="auto"/>
              </w:rPr>
            </w:pPr>
          </w:p>
        </w:tc>
        <w:tc>
          <w:tcPr>
            <w:tcW w:w="126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80" w:type="dxa"/>
            <w:vAlign w:val="bottom"/>
            <w:shd w:val="clear" w:color="auto" w:fill="DBDBDB"/>
          </w:tcPr>
          <w:p>
            <w:pPr>
              <w:spacing w:after="0"/>
              <w:rPr>
                <w:sz w:val="20"/>
                <w:szCs w:val="20"/>
                <w:color w:val="auto"/>
              </w:rPr>
            </w:pPr>
          </w:p>
        </w:tc>
        <w:tc>
          <w:tcPr>
            <w:tcW w:w="20" w:type="dxa"/>
            <w:vAlign w:val="bottom"/>
            <w:shd w:val="clear" w:color="auto" w:fill="DBDBDB"/>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tcBorders>
              <w:top w:val="single" w:sz="8" w:color="DBDBDB"/>
            </w:tcBorders>
          </w:tcPr>
          <w:p>
            <w:pPr>
              <w:spacing w:after="0"/>
              <w:rPr>
                <w:sz w:val="17"/>
                <w:szCs w:val="17"/>
                <w:color w:val="auto"/>
              </w:rPr>
            </w:pPr>
          </w:p>
        </w:tc>
        <w:tc>
          <w:tcPr>
            <w:tcW w:w="700" w:type="dxa"/>
            <w:vAlign w:val="bottom"/>
            <w:tcBorders>
              <w:top w:val="single" w:sz="8" w:color="0000FF"/>
            </w:tcBorders>
            <w:gridSpan w:val="4"/>
          </w:tcPr>
          <w:p>
            <w:pPr>
              <w:spacing w:after="0" w:line="202" w:lineRule="exact"/>
              <w:rPr>
                <w:sz w:val="20"/>
                <w:szCs w:val="20"/>
                <w:color w:val="auto"/>
              </w:rPr>
            </w:pPr>
            <w:r>
              <w:rPr>
                <w:rFonts w:ascii="Times New Roman" w:cs="Times New Roman" w:eastAsia="Times New Roman" w:hAnsi="Times New Roman"/>
                <w:sz w:val="18"/>
                <w:szCs w:val="18"/>
                <w:color w:val="0000FF"/>
              </w:rPr>
              <w:t>Item 10.</w:t>
            </w:r>
          </w:p>
        </w:tc>
        <w:tc>
          <w:tcPr>
            <w:tcW w:w="980" w:type="dxa"/>
            <w:vAlign w:val="bottom"/>
            <w:tcBorders>
              <w:top w:val="single" w:sz="8" w:color="DBDBDB"/>
            </w:tcBorders>
          </w:tcPr>
          <w:p>
            <w:pPr>
              <w:spacing w:after="0"/>
              <w:rPr>
                <w:sz w:val="17"/>
                <w:szCs w:val="17"/>
                <w:color w:val="auto"/>
              </w:rPr>
            </w:pPr>
          </w:p>
        </w:tc>
        <w:tc>
          <w:tcPr>
            <w:tcW w:w="9260" w:type="dxa"/>
            <w:vAlign w:val="bottom"/>
            <w:tcBorders>
              <w:top w:val="single" w:sz="8" w:color="DBDBDB"/>
            </w:tcBorders>
            <w:gridSpan w:val="26"/>
          </w:tcPr>
          <w:p>
            <w:pPr>
              <w:spacing w:after="0" w:line="202" w:lineRule="exact"/>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180" w:type="dxa"/>
            <w:vAlign w:val="bottom"/>
            <w:tcBorders>
              <w:top w:val="single" w:sz="8" w:color="DBDBDB"/>
            </w:tcBorders>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0000EE"/>
                <w:w w:val="88"/>
              </w:rPr>
              <w:t>82</w:t>
            </w:r>
          </w:p>
        </w:tc>
        <w:tc>
          <w:tcPr>
            <w:tcW w:w="20" w:type="dxa"/>
            <w:vAlign w:val="bottom"/>
            <w:tcBorders>
              <w:top w:val="single" w:sz="8" w:color="DBDBDB"/>
            </w:tcBorders>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52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980" w:type="dxa"/>
            <w:vAlign w:val="bottom"/>
          </w:tcPr>
          <w:p>
            <w:pPr>
              <w:spacing w:after="0"/>
              <w:rPr>
                <w:sz w:val="2"/>
                <w:szCs w:val="2"/>
                <w:color w:val="auto"/>
              </w:rPr>
            </w:pPr>
          </w:p>
        </w:tc>
        <w:tc>
          <w:tcPr>
            <w:tcW w:w="84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94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48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1140" w:type="dxa"/>
            <w:vAlign w:val="bottom"/>
            <w:tcBorders>
              <w:top w:val="single" w:sz="8" w:color="0000FF"/>
            </w:tcBorders>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shd w:val="clear" w:color="auto" w:fill="DBDBDB"/>
          </w:tcPr>
          <w:p>
            <w:pPr>
              <w:spacing w:after="0"/>
              <w:rPr>
                <w:sz w:val="17"/>
                <w:szCs w:val="17"/>
                <w:color w:val="auto"/>
              </w:rPr>
            </w:pPr>
          </w:p>
        </w:tc>
        <w:tc>
          <w:tcPr>
            <w:tcW w:w="600" w:type="dxa"/>
            <w:vAlign w:val="bottom"/>
            <w:gridSpan w:val="2"/>
            <w:shd w:val="clear" w:color="auto" w:fill="DBDBDB"/>
          </w:tcPr>
          <w:p>
            <w:pPr>
              <w:spacing w:after="0" w:line="202" w:lineRule="exact"/>
              <w:rPr>
                <w:sz w:val="20"/>
                <w:szCs w:val="20"/>
                <w:color w:val="auto"/>
              </w:rPr>
            </w:pPr>
            <w:r>
              <w:rPr>
                <w:rFonts w:ascii="Times New Roman" w:cs="Times New Roman" w:eastAsia="Times New Roman" w:hAnsi="Times New Roman"/>
                <w:sz w:val="18"/>
                <w:szCs w:val="18"/>
                <w:color w:val="0000FF"/>
                <w:w w:val="96"/>
              </w:rPr>
              <w:t>Item 11.</w:t>
            </w:r>
          </w:p>
        </w:tc>
        <w:tc>
          <w:tcPr>
            <w:tcW w:w="1080" w:type="dxa"/>
            <w:vAlign w:val="bottom"/>
            <w:tcBorders>
              <w:right w:val="single" w:sz="8" w:color="DBDBDB"/>
            </w:tcBorders>
            <w:gridSpan w:val="3"/>
            <w:shd w:val="clear" w:color="auto" w:fill="DBDBDB"/>
          </w:tcPr>
          <w:p>
            <w:pPr>
              <w:spacing w:after="0"/>
              <w:rPr>
                <w:sz w:val="17"/>
                <w:szCs w:val="17"/>
                <w:color w:val="auto"/>
              </w:rPr>
            </w:pPr>
          </w:p>
        </w:tc>
        <w:tc>
          <w:tcPr>
            <w:tcW w:w="9260" w:type="dxa"/>
            <w:vAlign w:val="bottom"/>
            <w:gridSpan w:val="26"/>
            <w:shd w:val="clear" w:color="auto" w:fill="DBDBDB"/>
          </w:tcPr>
          <w:p>
            <w:pPr>
              <w:spacing w:after="0" w:line="202" w:lineRule="exact"/>
              <w:rPr>
                <w:sz w:val="20"/>
                <w:szCs w:val="20"/>
                <w:color w:val="auto"/>
              </w:rPr>
            </w:pPr>
            <w:r>
              <w:rPr>
                <w:rFonts w:ascii="Times New Roman" w:cs="Times New Roman" w:eastAsia="Times New Roman" w:hAnsi="Times New Roman"/>
                <w:sz w:val="18"/>
                <w:szCs w:val="18"/>
                <w:color w:val="0000FF"/>
              </w:rPr>
              <w:t>EXECUTIVE COMPENSATION</w:t>
            </w:r>
          </w:p>
        </w:tc>
        <w:tc>
          <w:tcPr>
            <w:tcW w:w="180" w:type="dxa"/>
            <w:vAlign w:val="bottom"/>
            <w:gridSpan w:val="2"/>
            <w:shd w:val="clear" w:color="auto" w:fill="DBDBDB"/>
          </w:tcPr>
          <w:p>
            <w:pPr>
              <w:jc w:val="right"/>
              <w:spacing w:after="0" w:line="202" w:lineRule="exact"/>
              <w:rPr>
                <w:sz w:val="20"/>
                <w:szCs w:val="20"/>
                <w:color w:val="auto"/>
              </w:rPr>
            </w:pPr>
            <w:r>
              <w:rPr>
                <w:rFonts w:ascii="Times New Roman" w:cs="Times New Roman" w:eastAsia="Times New Roman" w:hAnsi="Times New Roman"/>
                <w:sz w:val="18"/>
                <w:szCs w:val="18"/>
                <w:color w:val="0000EE"/>
                <w:w w:val="88"/>
              </w:rPr>
              <w:t>82</w:t>
            </w:r>
          </w:p>
        </w:tc>
        <w:tc>
          <w:tcPr>
            <w:tcW w:w="2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20" w:type="dxa"/>
            <w:vAlign w:val="bottom"/>
            <w:tcBorders>
              <w:top w:val="single" w:sz="8" w:color="DBDBDB"/>
            </w:tcBorders>
            <w:shd w:val="clear" w:color="auto" w:fill="DBDBDB"/>
          </w:tcPr>
          <w:p>
            <w:pPr>
              <w:spacing w:after="0"/>
              <w:rPr>
                <w:sz w:val="2"/>
                <w:szCs w:val="2"/>
                <w:color w:val="auto"/>
              </w:rPr>
            </w:pPr>
          </w:p>
        </w:tc>
        <w:tc>
          <w:tcPr>
            <w:tcW w:w="520" w:type="dxa"/>
            <w:vAlign w:val="bottom"/>
            <w:tcBorders>
              <w:top w:val="single" w:sz="8" w:color="0000FF"/>
            </w:tcBorders>
            <w:shd w:val="clear" w:color="auto" w:fill="DBDBDB"/>
          </w:tcPr>
          <w:p>
            <w:pPr>
              <w:spacing w:after="0"/>
              <w:rPr>
                <w:sz w:val="2"/>
                <w:szCs w:val="2"/>
                <w:color w:val="auto"/>
              </w:rPr>
            </w:pPr>
          </w:p>
        </w:tc>
        <w:tc>
          <w:tcPr>
            <w:tcW w:w="80" w:type="dxa"/>
            <w:vAlign w:val="bottom"/>
            <w:tcBorders>
              <w:top w:val="single" w:sz="8" w:color="0000FF"/>
            </w:tcBorders>
            <w:shd w:val="clear" w:color="auto" w:fill="DBDBDB"/>
          </w:tcPr>
          <w:p>
            <w:pPr>
              <w:spacing w:after="0"/>
              <w:rPr>
                <w:sz w:val="2"/>
                <w:szCs w:val="2"/>
                <w:color w:val="auto"/>
              </w:rPr>
            </w:pPr>
          </w:p>
        </w:tc>
        <w:tc>
          <w:tcPr>
            <w:tcW w:w="40" w:type="dxa"/>
            <w:vAlign w:val="bottom"/>
            <w:tcBorders>
              <w:top w:val="single" w:sz="8" w:color="DBDBDB"/>
            </w:tcBorders>
            <w:shd w:val="clear" w:color="auto" w:fill="DBDBDB"/>
          </w:tcPr>
          <w:p>
            <w:pPr>
              <w:spacing w:after="0"/>
              <w:rPr>
                <w:sz w:val="2"/>
                <w:szCs w:val="2"/>
                <w:color w:val="auto"/>
              </w:rPr>
            </w:pPr>
          </w:p>
        </w:tc>
        <w:tc>
          <w:tcPr>
            <w:tcW w:w="60" w:type="dxa"/>
            <w:vAlign w:val="bottom"/>
            <w:tcBorders>
              <w:top w:val="single" w:sz="8" w:color="DBDBDB"/>
            </w:tcBorders>
            <w:shd w:val="clear" w:color="auto" w:fill="DBDBDB"/>
          </w:tcPr>
          <w:p>
            <w:pPr>
              <w:spacing w:after="0"/>
              <w:rPr>
                <w:sz w:val="2"/>
                <w:szCs w:val="2"/>
                <w:color w:val="auto"/>
              </w:rPr>
            </w:pPr>
          </w:p>
        </w:tc>
        <w:tc>
          <w:tcPr>
            <w:tcW w:w="980" w:type="dxa"/>
            <w:vAlign w:val="bottom"/>
            <w:tcBorders>
              <w:top w:val="single" w:sz="8" w:color="DBDBDB"/>
              <w:right w:val="single" w:sz="8" w:color="DBDBDB"/>
            </w:tcBorders>
            <w:shd w:val="clear" w:color="auto" w:fill="DBDBDB"/>
          </w:tcPr>
          <w:p>
            <w:pPr>
              <w:spacing w:after="0"/>
              <w:rPr>
                <w:sz w:val="2"/>
                <w:szCs w:val="2"/>
                <w:color w:val="auto"/>
              </w:rPr>
            </w:pPr>
          </w:p>
        </w:tc>
        <w:tc>
          <w:tcPr>
            <w:tcW w:w="840" w:type="dxa"/>
            <w:vAlign w:val="bottom"/>
            <w:tcBorders>
              <w:top w:val="single" w:sz="8" w:color="0000FF"/>
            </w:tcBorders>
            <w:shd w:val="clear" w:color="auto" w:fill="DBDBDB"/>
          </w:tcPr>
          <w:p>
            <w:pPr>
              <w:spacing w:after="0"/>
              <w:rPr>
                <w:sz w:val="2"/>
                <w:szCs w:val="2"/>
                <w:color w:val="auto"/>
              </w:rPr>
            </w:pPr>
          </w:p>
        </w:tc>
        <w:tc>
          <w:tcPr>
            <w:tcW w:w="60" w:type="dxa"/>
            <w:vAlign w:val="bottom"/>
            <w:tcBorders>
              <w:top w:val="single" w:sz="8" w:color="0000FF"/>
            </w:tcBorders>
            <w:shd w:val="clear" w:color="auto" w:fill="DBDBDB"/>
          </w:tcPr>
          <w:p>
            <w:pPr>
              <w:spacing w:after="0"/>
              <w:rPr>
                <w:sz w:val="2"/>
                <w:szCs w:val="2"/>
                <w:color w:val="auto"/>
              </w:rPr>
            </w:pPr>
          </w:p>
        </w:tc>
        <w:tc>
          <w:tcPr>
            <w:tcW w:w="180" w:type="dxa"/>
            <w:vAlign w:val="bottom"/>
            <w:tcBorders>
              <w:top w:val="single" w:sz="8" w:color="0000FF"/>
              <w:right w:val="single" w:sz="8" w:color="DBDBDB"/>
            </w:tcBorders>
            <w:shd w:val="clear" w:color="auto" w:fill="DBDBDB"/>
          </w:tcPr>
          <w:p>
            <w:pPr>
              <w:spacing w:after="0"/>
              <w:rPr>
                <w:sz w:val="2"/>
                <w:szCs w:val="2"/>
                <w:color w:val="auto"/>
              </w:rPr>
            </w:pPr>
          </w:p>
        </w:tc>
        <w:tc>
          <w:tcPr>
            <w:tcW w:w="20" w:type="dxa"/>
            <w:vAlign w:val="bottom"/>
            <w:tcBorders>
              <w:top w:val="single" w:sz="8" w:color="0000FF"/>
            </w:tcBorders>
            <w:shd w:val="clear" w:color="auto" w:fill="DBDBDB"/>
          </w:tcPr>
          <w:p>
            <w:pPr>
              <w:spacing w:after="0"/>
              <w:rPr>
                <w:sz w:val="2"/>
                <w:szCs w:val="2"/>
                <w:color w:val="auto"/>
              </w:rPr>
            </w:pPr>
          </w:p>
        </w:tc>
        <w:tc>
          <w:tcPr>
            <w:tcW w:w="140" w:type="dxa"/>
            <w:vAlign w:val="bottom"/>
            <w:tcBorders>
              <w:top w:val="single" w:sz="8" w:color="0000FF"/>
            </w:tcBorders>
            <w:shd w:val="clear" w:color="auto" w:fill="DBDBDB"/>
          </w:tcPr>
          <w:p>
            <w:pPr>
              <w:spacing w:after="0"/>
              <w:rPr>
                <w:sz w:val="2"/>
                <w:szCs w:val="2"/>
                <w:color w:val="auto"/>
              </w:rPr>
            </w:pPr>
          </w:p>
        </w:tc>
        <w:tc>
          <w:tcPr>
            <w:tcW w:w="220" w:type="dxa"/>
            <w:vAlign w:val="bottom"/>
            <w:tcBorders>
              <w:top w:val="single" w:sz="8" w:color="0000FF"/>
            </w:tcBorders>
            <w:shd w:val="clear" w:color="auto" w:fill="DBDBDB"/>
          </w:tcPr>
          <w:p>
            <w:pPr>
              <w:spacing w:after="0"/>
              <w:rPr>
                <w:sz w:val="2"/>
                <w:szCs w:val="2"/>
                <w:color w:val="auto"/>
              </w:rPr>
            </w:pPr>
          </w:p>
        </w:tc>
        <w:tc>
          <w:tcPr>
            <w:tcW w:w="400" w:type="dxa"/>
            <w:vAlign w:val="bottom"/>
            <w:tcBorders>
              <w:top w:val="single" w:sz="8" w:color="0000FF"/>
            </w:tcBorders>
            <w:shd w:val="clear" w:color="auto" w:fill="DBDBDB"/>
          </w:tcPr>
          <w:p>
            <w:pPr>
              <w:spacing w:after="0"/>
              <w:rPr>
                <w:sz w:val="2"/>
                <w:szCs w:val="2"/>
                <w:color w:val="auto"/>
              </w:rPr>
            </w:pPr>
          </w:p>
        </w:tc>
        <w:tc>
          <w:tcPr>
            <w:tcW w:w="20" w:type="dxa"/>
            <w:vAlign w:val="bottom"/>
            <w:tcBorders>
              <w:top w:val="single" w:sz="8" w:color="0000FF"/>
            </w:tcBorders>
            <w:shd w:val="clear" w:color="auto" w:fill="DBDBDB"/>
          </w:tcPr>
          <w:p>
            <w:pPr>
              <w:spacing w:after="0"/>
              <w:rPr>
                <w:sz w:val="2"/>
                <w:szCs w:val="2"/>
                <w:color w:val="auto"/>
              </w:rPr>
            </w:pPr>
          </w:p>
        </w:tc>
        <w:tc>
          <w:tcPr>
            <w:tcW w:w="280" w:type="dxa"/>
            <w:vAlign w:val="bottom"/>
            <w:tcBorders>
              <w:top w:val="single" w:sz="8" w:color="0000FF"/>
            </w:tcBorders>
            <w:shd w:val="clear" w:color="auto" w:fill="DBDBDB"/>
          </w:tcPr>
          <w:p>
            <w:pPr>
              <w:spacing w:after="0"/>
              <w:rPr>
                <w:sz w:val="2"/>
                <w:szCs w:val="2"/>
                <w:color w:val="auto"/>
              </w:rPr>
            </w:pPr>
          </w:p>
        </w:tc>
        <w:tc>
          <w:tcPr>
            <w:tcW w:w="260" w:type="dxa"/>
            <w:vAlign w:val="bottom"/>
            <w:tcBorders>
              <w:top w:val="single" w:sz="8" w:color="0000FF"/>
            </w:tcBorders>
            <w:shd w:val="clear" w:color="auto" w:fill="DBDBDB"/>
          </w:tcPr>
          <w:p>
            <w:pPr>
              <w:spacing w:after="0"/>
              <w:rPr>
                <w:sz w:val="2"/>
                <w:szCs w:val="2"/>
                <w:color w:val="auto"/>
              </w:rPr>
            </w:pPr>
          </w:p>
        </w:tc>
        <w:tc>
          <w:tcPr>
            <w:tcW w:w="20" w:type="dxa"/>
            <w:vAlign w:val="bottom"/>
            <w:tcBorders>
              <w:top w:val="single" w:sz="8" w:color="0000FF"/>
            </w:tcBorders>
            <w:shd w:val="clear" w:color="auto" w:fill="DBDBDB"/>
          </w:tcPr>
          <w:p>
            <w:pPr>
              <w:spacing w:after="0"/>
              <w:rPr>
                <w:sz w:val="2"/>
                <w:szCs w:val="2"/>
                <w:color w:val="auto"/>
              </w:rPr>
            </w:pPr>
          </w:p>
        </w:tc>
        <w:tc>
          <w:tcPr>
            <w:tcW w:w="140" w:type="dxa"/>
            <w:vAlign w:val="bottom"/>
            <w:tcBorders>
              <w:top w:val="single" w:sz="8" w:color="DBDBDB"/>
            </w:tcBorders>
            <w:shd w:val="clear" w:color="auto" w:fill="DBDBDB"/>
          </w:tcPr>
          <w:p>
            <w:pPr>
              <w:spacing w:after="0"/>
              <w:rPr>
                <w:sz w:val="2"/>
                <w:szCs w:val="2"/>
                <w:color w:val="auto"/>
              </w:rPr>
            </w:pPr>
          </w:p>
        </w:tc>
        <w:tc>
          <w:tcPr>
            <w:tcW w:w="220" w:type="dxa"/>
            <w:vAlign w:val="bottom"/>
            <w:tcBorders>
              <w:top w:val="single" w:sz="8" w:color="DBDBDB"/>
            </w:tcBorders>
            <w:shd w:val="clear" w:color="auto" w:fill="DBDBDB"/>
          </w:tcPr>
          <w:p>
            <w:pPr>
              <w:spacing w:after="0"/>
              <w:rPr>
                <w:sz w:val="2"/>
                <w:szCs w:val="2"/>
                <w:color w:val="auto"/>
              </w:rPr>
            </w:pPr>
          </w:p>
        </w:tc>
        <w:tc>
          <w:tcPr>
            <w:tcW w:w="940" w:type="dxa"/>
            <w:vAlign w:val="bottom"/>
            <w:tcBorders>
              <w:top w:val="single" w:sz="8" w:color="DBDBDB"/>
            </w:tcBorders>
            <w:shd w:val="clear" w:color="auto" w:fill="DBDBDB"/>
          </w:tcPr>
          <w:p>
            <w:pPr>
              <w:spacing w:after="0"/>
              <w:rPr>
                <w:sz w:val="2"/>
                <w:szCs w:val="2"/>
                <w:color w:val="auto"/>
              </w:rPr>
            </w:pPr>
          </w:p>
        </w:tc>
        <w:tc>
          <w:tcPr>
            <w:tcW w:w="200" w:type="dxa"/>
            <w:vAlign w:val="bottom"/>
            <w:tcBorders>
              <w:top w:val="single" w:sz="8" w:color="DBDBDB"/>
            </w:tcBorders>
            <w:shd w:val="clear" w:color="auto" w:fill="DBDBDB"/>
          </w:tcPr>
          <w:p>
            <w:pPr>
              <w:spacing w:after="0"/>
              <w:rPr>
                <w:sz w:val="2"/>
                <w:szCs w:val="2"/>
                <w:color w:val="auto"/>
              </w:rPr>
            </w:pPr>
          </w:p>
        </w:tc>
        <w:tc>
          <w:tcPr>
            <w:tcW w:w="480" w:type="dxa"/>
            <w:vAlign w:val="bottom"/>
            <w:tcBorders>
              <w:top w:val="single" w:sz="8" w:color="DBDBDB"/>
            </w:tcBorders>
            <w:shd w:val="clear" w:color="auto" w:fill="DBDBDB"/>
          </w:tcPr>
          <w:p>
            <w:pPr>
              <w:spacing w:after="0"/>
              <w:rPr>
                <w:sz w:val="2"/>
                <w:szCs w:val="2"/>
                <w:color w:val="auto"/>
              </w:rPr>
            </w:pPr>
          </w:p>
        </w:tc>
        <w:tc>
          <w:tcPr>
            <w:tcW w:w="220" w:type="dxa"/>
            <w:vAlign w:val="bottom"/>
            <w:tcBorders>
              <w:top w:val="single" w:sz="8" w:color="DBDBDB"/>
            </w:tcBorders>
            <w:shd w:val="clear" w:color="auto" w:fill="DBDBDB"/>
          </w:tcPr>
          <w:p>
            <w:pPr>
              <w:spacing w:after="0"/>
              <w:rPr>
                <w:sz w:val="2"/>
                <w:szCs w:val="2"/>
                <w:color w:val="auto"/>
              </w:rPr>
            </w:pPr>
          </w:p>
        </w:tc>
        <w:tc>
          <w:tcPr>
            <w:tcW w:w="1140" w:type="dxa"/>
            <w:vAlign w:val="bottom"/>
            <w:tcBorders>
              <w:top w:val="single" w:sz="8" w:color="DBDBDB"/>
            </w:tcBorders>
            <w:shd w:val="clear" w:color="auto" w:fill="DBDBDB"/>
          </w:tcPr>
          <w:p>
            <w:pPr>
              <w:spacing w:after="0"/>
              <w:rPr>
                <w:sz w:val="2"/>
                <w:szCs w:val="2"/>
                <w:color w:val="auto"/>
              </w:rPr>
            </w:pPr>
          </w:p>
        </w:tc>
        <w:tc>
          <w:tcPr>
            <w:tcW w:w="340" w:type="dxa"/>
            <w:vAlign w:val="bottom"/>
            <w:tcBorders>
              <w:top w:val="single" w:sz="8" w:color="DBDBDB"/>
            </w:tcBorders>
            <w:shd w:val="clear" w:color="auto" w:fill="DBDBDB"/>
          </w:tcPr>
          <w:p>
            <w:pPr>
              <w:spacing w:after="0"/>
              <w:rPr>
                <w:sz w:val="2"/>
                <w:szCs w:val="2"/>
                <w:color w:val="auto"/>
              </w:rPr>
            </w:pPr>
          </w:p>
        </w:tc>
        <w:tc>
          <w:tcPr>
            <w:tcW w:w="820" w:type="dxa"/>
            <w:vAlign w:val="bottom"/>
            <w:tcBorders>
              <w:top w:val="single" w:sz="8" w:color="DBDBDB"/>
            </w:tcBorders>
            <w:shd w:val="clear" w:color="auto" w:fill="DBDBDB"/>
          </w:tcPr>
          <w:p>
            <w:pPr>
              <w:spacing w:after="0"/>
              <w:rPr>
                <w:sz w:val="2"/>
                <w:szCs w:val="2"/>
                <w:color w:val="auto"/>
              </w:rPr>
            </w:pPr>
          </w:p>
        </w:tc>
        <w:tc>
          <w:tcPr>
            <w:tcW w:w="640" w:type="dxa"/>
            <w:vAlign w:val="bottom"/>
            <w:tcBorders>
              <w:top w:val="single" w:sz="8" w:color="DBDBDB"/>
            </w:tcBorders>
            <w:shd w:val="clear" w:color="auto" w:fill="DBDBDB"/>
          </w:tcPr>
          <w:p>
            <w:pPr>
              <w:spacing w:after="0"/>
              <w:rPr>
                <w:sz w:val="2"/>
                <w:szCs w:val="2"/>
                <w:color w:val="auto"/>
              </w:rPr>
            </w:pPr>
          </w:p>
        </w:tc>
        <w:tc>
          <w:tcPr>
            <w:tcW w:w="100" w:type="dxa"/>
            <w:vAlign w:val="bottom"/>
            <w:tcBorders>
              <w:top w:val="single" w:sz="8" w:color="DBDBDB"/>
            </w:tcBorders>
            <w:shd w:val="clear" w:color="auto" w:fill="DBDBDB"/>
          </w:tcPr>
          <w:p>
            <w:pPr>
              <w:spacing w:after="0"/>
              <w:rPr>
                <w:sz w:val="2"/>
                <w:szCs w:val="2"/>
                <w:color w:val="auto"/>
              </w:rPr>
            </w:pPr>
          </w:p>
        </w:tc>
        <w:tc>
          <w:tcPr>
            <w:tcW w:w="80" w:type="dxa"/>
            <w:vAlign w:val="bottom"/>
            <w:tcBorders>
              <w:top w:val="single" w:sz="8" w:color="DBDBDB"/>
            </w:tcBorders>
            <w:shd w:val="clear" w:color="auto" w:fill="DBDBDB"/>
          </w:tcPr>
          <w:p>
            <w:pPr>
              <w:spacing w:after="0"/>
              <w:rPr>
                <w:sz w:val="2"/>
                <w:szCs w:val="2"/>
                <w:color w:val="auto"/>
              </w:rPr>
            </w:pPr>
          </w:p>
        </w:tc>
        <w:tc>
          <w:tcPr>
            <w:tcW w:w="160" w:type="dxa"/>
            <w:vAlign w:val="bottom"/>
            <w:tcBorders>
              <w:top w:val="single" w:sz="8" w:color="DBDBDB"/>
            </w:tcBorders>
            <w:shd w:val="clear" w:color="auto" w:fill="DBDBDB"/>
          </w:tcPr>
          <w:p>
            <w:pPr>
              <w:spacing w:after="0"/>
              <w:rPr>
                <w:sz w:val="2"/>
                <w:szCs w:val="2"/>
                <w:color w:val="auto"/>
              </w:rPr>
            </w:pPr>
          </w:p>
        </w:tc>
        <w:tc>
          <w:tcPr>
            <w:tcW w:w="80" w:type="dxa"/>
            <w:vAlign w:val="bottom"/>
            <w:tcBorders>
              <w:top w:val="single" w:sz="8" w:color="DBDBDB"/>
            </w:tcBorders>
            <w:shd w:val="clear" w:color="auto" w:fill="DBDBDB"/>
          </w:tcPr>
          <w:p>
            <w:pPr>
              <w:spacing w:after="0"/>
              <w:rPr>
                <w:sz w:val="2"/>
                <w:szCs w:val="2"/>
                <w:color w:val="auto"/>
              </w:rPr>
            </w:pPr>
          </w:p>
        </w:tc>
        <w:tc>
          <w:tcPr>
            <w:tcW w:w="1260" w:type="dxa"/>
            <w:vAlign w:val="bottom"/>
            <w:tcBorders>
              <w:top w:val="single" w:sz="8" w:color="DBDBDB"/>
            </w:tcBorders>
            <w:shd w:val="clear" w:color="auto" w:fill="DBDBDB"/>
          </w:tcPr>
          <w:p>
            <w:pPr>
              <w:spacing w:after="0"/>
              <w:rPr>
                <w:sz w:val="2"/>
                <w:szCs w:val="2"/>
                <w:color w:val="auto"/>
              </w:rPr>
            </w:pPr>
          </w:p>
        </w:tc>
        <w:tc>
          <w:tcPr>
            <w:tcW w:w="100" w:type="dxa"/>
            <w:vAlign w:val="bottom"/>
            <w:tcBorders>
              <w:top w:val="single" w:sz="8" w:color="0000EE"/>
            </w:tcBorders>
            <w:shd w:val="clear" w:color="auto" w:fill="DBDBDB"/>
          </w:tcPr>
          <w:p>
            <w:pPr>
              <w:spacing w:after="0"/>
              <w:rPr>
                <w:sz w:val="2"/>
                <w:szCs w:val="2"/>
                <w:color w:val="auto"/>
              </w:rPr>
            </w:pPr>
          </w:p>
        </w:tc>
        <w:tc>
          <w:tcPr>
            <w:tcW w:w="80" w:type="dxa"/>
            <w:vAlign w:val="bottom"/>
            <w:tcBorders>
              <w:top w:val="single" w:sz="8" w:color="0000EE"/>
            </w:tcBorders>
            <w:shd w:val="clear" w:color="auto" w:fill="DBDBDB"/>
          </w:tcPr>
          <w:p>
            <w:pPr>
              <w:spacing w:after="0"/>
              <w:rPr>
                <w:sz w:val="2"/>
                <w:szCs w:val="2"/>
                <w:color w:val="auto"/>
              </w:rPr>
            </w:pPr>
          </w:p>
        </w:tc>
        <w:tc>
          <w:tcPr>
            <w:tcW w:w="20" w:type="dxa"/>
            <w:vAlign w:val="bottom"/>
            <w:tcBorders>
              <w:top w:val="single" w:sz="8" w:color="DBDBDB"/>
            </w:tcBorders>
            <w:shd w:val="clear" w:color="auto" w:fill="DBDBDB"/>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680" w:type="dxa"/>
            <w:vAlign w:val="bottom"/>
            <w:gridSpan w:val="5"/>
          </w:tcPr>
          <w:p>
            <w:pPr>
              <w:spacing w:after="0" w:line="202" w:lineRule="exact"/>
              <w:rPr>
                <w:sz w:val="20"/>
                <w:szCs w:val="20"/>
                <w:color w:val="auto"/>
              </w:rPr>
            </w:pPr>
            <w:r>
              <w:rPr>
                <w:rFonts w:ascii="Times New Roman" w:cs="Times New Roman" w:eastAsia="Times New Roman" w:hAnsi="Times New Roman"/>
                <w:sz w:val="18"/>
                <w:szCs w:val="18"/>
                <w:color w:val="0000FF"/>
              </w:rPr>
              <w:t>Item 12.</w:t>
            </w:r>
          </w:p>
        </w:tc>
        <w:tc>
          <w:tcPr>
            <w:tcW w:w="9260" w:type="dxa"/>
            <w:vAlign w:val="bottom"/>
            <w:gridSpan w:val="26"/>
          </w:tcPr>
          <w:p>
            <w:pPr>
              <w:spacing w:after="0" w:line="202" w:lineRule="exact"/>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w:t>
            </w: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0000EE"/>
                <w:w w:val="88"/>
              </w:rPr>
              <w:t>82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2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00" w:type="dxa"/>
            <w:vAlign w:val="bottom"/>
            <w:tcBorders>
              <w:top w:val="single" w:sz="8" w:color="0000FF"/>
            </w:tcBorders>
            <w:gridSpan w:val="25"/>
          </w:tcPr>
          <w:p>
            <w:pPr>
              <w:spacing w:after="0" w:line="182" w:lineRule="exact"/>
              <w:rPr>
                <w:sz w:val="20"/>
                <w:szCs w:val="20"/>
                <w:color w:val="auto"/>
              </w:rPr>
            </w:pPr>
            <w:r>
              <w:rPr>
                <w:rFonts w:ascii="Times New Roman" w:cs="Times New Roman" w:eastAsia="Times New Roman" w:hAnsi="Times New Roman"/>
                <w:sz w:val="18"/>
                <w:szCs w:val="18"/>
                <w:color w:val="0000FF"/>
              </w:rPr>
              <w:t>STOCKHOLDER MATTERS</w:t>
            </w:r>
          </w:p>
        </w:tc>
        <w:tc>
          <w:tcPr>
            <w:tcW w:w="1260" w:type="dxa"/>
            <w:vAlign w:val="bottom"/>
          </w:tcPr>
          <w:p>
            <w:pPr>
              <w:spacing w:after="0"/>
              <w:rPr>
                <w:sz w:val="15"/>
                <w:szCs w:val="15"/>
                <w:color w:val="auto"/>
              </w:rPr>
            </w:pPr>
          </w:p>
        </w:tc>
        <w:tc>
          <w:tcPr>
            <w:tcW w:w="18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980" w:type="dxa"/>
            <w:vAlign w:val="bottom"/>
          </w:tcPr>
          <w:p>
            <w:pPr>
              <w:spacing w:after="0"/>
              <w:rPr>
                <w:sz w:val="2"/>
                <w:szCs w:val="2"/>
                <w:color w:val="auto"/>
              </w:rPr>
            </w:pPr>
          </w:p>
        </w:tc>
        <w:tc>
          <w:tcPr>
            <w:tcW w:w="84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shd w:val="clear" w:color="auto" w:fill="DBDBDB"/>
          </w:tcPr>
          <w:p>
            <w:pPr>
              <w:spacing w:after="0"/>
              <w:rPr>
                <w:sz w:val="17"/>
                <w:szCs w:val="17"/>
                <w:color w:val="auto"/>
              </w:rPr>
            </w:pPr>
          </w:p>
        </w:tc>
        <w:tc>
          <w:tcPr>
            <w:tcW w:w="1680" w:type="dxa"/>
            <w:vAlign w:val="bottom"/>
            <w:tcBorders>
              <w:right w:val="single" w:sz="8" w:color="DBDBDB"/>
            </w:tcBorders>
            <w:gridSpan w:val="5"/>
            <w:shd w:val="clear" w:color="auto" w:fill="DBDBDB"/>
          </w:tcPr>
          <w:p>
            <w:pPr>
              <w:spacing w:after="0" w:line="202" w:lineRule="exact"/>
              <w:rPr>
                <w:sz w:val="20"/>
                <w:szCs w:val="20"/>
                <w:color w:val="auto"/>
              </w:rPr>
            </w:pPr>
            <w:r>
              <w:rPr>
                <w:rFonts w:ascii="Times New Roman" w:cs="Times New Roman" w:eastAsia="Times New Roman" w:hAnsi="Times New Roman"/>
                <w:sz w:val="18"/>
                <w:szCs w:val="18"/>
                <w:color w:val="0000FF"/>
              </w:rPr>
              <w:t>Item 13.</w:t>
            </w:r>
          </w:p>
        </w:tc>
        <w:tc>
          <w:tcPr>
            <w:tcW w:w="9260" w:type="dxa"/>
            <w:vAlign w:val="bottom"/>
            <w:gridSpan w:val="26"/>
            <w:shd w:val="clear" w:color="auto" w:fill="DBDBDB"/>
          </w:tcPr>
          <w:p>
            <w:pPr>
              <w:spacing w:after="0" w:line="202" w:lineRule="exact"/>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180" w:type="dxa"/>
            <w:vAlign w:val="bottom"/>
            <w:gridSpan w:val="2"/>
            <w:shd w:val="clear" w:color="auto" w:fill="DBDBDB"/>
          </w:tcPr>
          <w:p>
            <w:pPr>
              <w:jc w:val="right"/>
              <w:spacing w:after="0" w:line="202" w:lineRule="exact"/>
              <w:rPr>
                <w:sz w:val="20"/>
                <w:szCs w:val="20"/>
                <w:color w:val="auto"/>
              </w:rPr>
            </w:pPr>
            <w:r>
              <w:rPr>
                <w:rFonts w:ascii="Times New Roman" w:cs="Times New Roman" w:eastAsia="Times New Roman" w:hAnsi="Times New Roman"/>
                <w:sz w:val="18"/>
                <w:szCs w:val="18"/>
                <w:color w:val="0000EE"/>
                <w:w w:val="88"/>
              </w:rPr>
              <w:t>83</w:t>
            </w:r>
          </w:p>
        </w:tc>
        <w:tc>
          <w:tcPr>
            <w:tcW w:w="2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20" w:type="dxa"/>
            <w:vAlign w:val="bottom"/>
            <w:tcBorders>
              <w:top w:val="single" w:sz="8" w:color="DBDBDB"/>
            </w:tcBorders>
            <w:shd w:val="clear" w:color="auto" w:fill="DBDBDB"/>
          </w:tcPr>
          <w:p>
            <w:pPr>
              <w:spacing w:after="0"/>
              <w:rPr>
                <w:sz w:val="2"/>
                <w:szCs w:val="2"/>
                <w:color w:val="auto"/>
              </w:rPr>
            </w:pPr>
          </w:p>
        </w:tc>
        <w:tc>
          <w:tcPr>
            <w:tcW w:w="520" w:type="dxa"/>
            <w:vAlign w:val="bottom"/>
            <w:tcBorders>
              <w:top w:val="single" w:sz="8" w:color="0000FF"/>
            </w:tcBorders>
            <w:shd w:val="clear" w:color="auto" w:fill="DBDBDB"/>
          </w:tcPr>
          <w:p>
            <w:pPr>
              <w:spacing w:after="0"/>
              <w:rPr>
                <w:sz w:val="2"/>
                <w:szCs w:val="2"/>
                <w:color w:val="auto"/>
              </w:rPr>
            </w:pPr>
          </w:p>
        </w:tc>
        <w:tc>
          <w:tcPr>
            <w:tcW w:w="80" w:type="dxa"/>
            <w:vAlign w:val="bottom"/>
            <w:tcBorders>
              <w:top w:val="single" w:sz="8" w:color="0000FF"/>
            </w:tcBorders>
            <w:shd w:val="clear" w:color="auto" w:fill="DBDBDB"/>
          </w:tcPr>
          <w:p>
            <w:pPr>
              <w:spacing w:after="0"/>
              <w:rPr>
                <w:sz w:val="2"/>
                <w:szCs w:val="2"/>
                <w:color w:val="auto"/>
              </w:rPr>
            </w:pPr>
          </w:p>
        </w:tc>
        <w:tc>
          <w:tcPr>
            <w:tcW w:w="40" w:type="dxa"/>
            <w:vAlign w:val="bottom"/>
            <w:tcBorders>
              <w:top w:val="single" w:sz="8" w:color="DBDBDB"/>
            </w:tcBorders>
            <w:shd w:val="clear" w:color="auto" w:fill="DBDBDB"/>
          </w:tcPr>
          <w:p>
            <w:pPr>
              <w:spacing w:after="0"/>
              <w:rPr>
                <w:sz w:val="2"/>
                <w:szCs w:val="2"/>
                <w:color w:val="auto"/>
              </w:rPr>
            </w:pPr>
          </w:p>
        </w:tc>
        <w:tc>
          <w:tcPr>
            <w:tcW w:w="60" w:type="dxa"/>
            <w:vAlign w:val="bottom"/>
            <w:tcBorders>
              <w:top w:val="single" w:sz="8" w:color="DBDBDB"/>
            </w:tcBorders>
            <w:shd w:val="clear" w:color="auto" w:fill="DBDBDB"/>
          </w:tcPr>
          <w:p>
            <w:pPr>
              <w:spacing w:after="0"/>
              <w:rPr>
                <w:sz w:val="2"/>
                <w:szCs w:val="2"/>
                <w:color w:val="auto"/>
              </w:rPr>
            </w:pPr>
          </w:p>
        </w:tc>
        <w:tc>
          <w:tcPr>
            <w:tcW w:w="980" w:type="dxa"/>
            <w:vAlign w:val="bottom"/>
            <w:tcBorders>
              <w:top w:val="single" w:sz="8" w:color="DBDBDB"/>
              <w:right w:val="single" w:sz="8" w:color="DBDBDB"/>
            </w:tcBorders>
            <w:shd w:val="clear" w:color="auto" w:fill="DBDBDB"/>
          </w:tcPr>
          <w:p>
            <w:pPr>
              <w:spacing w:after="0"/>
              <w:rPr>
                <w:sz w:val="2"/>
                <w:szCs w:val="2"/>
                <w:color w:val="auto"/>
              </w:rPr>
            </w:pPr>
          </w:p>
        </w:tc>
        <w:tc>
          <w:tcPr>
            <w:tcW w:w="840" w:type="dxa"/>
            <w:vAlign w:val="bottom"/>
            <w:tcBorders>
              <w:top w:val="single" w:sz="8" w:color="0000FF"/>
            </w:tcBorders>
            <w:shd w:val="clear" w:color="auto" w:fill="DBDBDB"/>
          </w:tcPr>
          <w:p>
            <w:pPr>
              <w:spacing w:after="0"/>
              <w:rPr>
                <w:sz w:val="2"/>
                <w:szCs w:val="2"/>
                <w:color w:val="auto"/>
              </w:rPr>
            </w:pPr>
          </w:p>
        </w:tc>
        <w:tc>
          <w:tcPr>
            <w:tcW w:w="60" w:type="dxa"/>
            <w:vAlign w:val="bottom"/>
            <w:tcBorders>
              <w:top w:val="single" w:sz="8" w:color="0000FF"/>
            </w:tcBorders>
            <w:shd w:val="clear" w:color="auto" w:fill="DBDBDB"/>
          </w:tcPr>
          <w:p>
            <w:pPr>
              <w:spacing w:after="0"/>
              <w:rPr>
                <w:sz w:val="2"/>
                <w:szCs w:val="2"/>
                <w:color w:val="auto"/>
              </w:rPr>
            </w:pPr>
          </w:p>
        </w:tc>
        <w:tc>
          <w:tcPr>
            <w:tcW w:w="180" w:type="dxa"/>
            <w:vAlign w:val="bottom"/>
            <w:tcBorders>
              <w:top w:val="single" w:sz="8" w:color="0000FF"/>
              <w:right w:val="single" w:sz="8" w:color="DBDBDB"/>
            </w:tcBorders>
            <w:shd w:val="clear" w:color="auto" w:fill="DBDBDB"/>
          </w:tcPr>
          <w:p>
            <w:pPr>
              <w:spacing w:after="0"/>
              <w:rPr>
                <w:sz w:val="2"/>
                <w:szCs w:val="2"/>
                <w:color w:val="auto"/>
              </w:rPr>
            </w:pPr>
          </w:p>
        </w:tc>
        <w:tc>
          <w:tcPr>
            <w:tcW w:w="20" w:type="dxa"/>
            <w:vAlign w:val="bottom"/>
            <w:tcBorders>
              <w:top w:val="single" w:sz="8" w:color="0000FF"/>
            </w:tcBorders>
            <w:shd w:val="clear" w:color="auto" w:fill="DBDBDB"/>
          </w:tcPr>
          <w:p>
            <w:pPr>
              <w:spacing w:after="0"/>
              <w:rPr>
                <w:sz w:val="2"/>
                <w:szCs w:val="2"/>
                <w:color w:val="auto"/>
              </w:rPr>
            </w:pPr>
          </w:p>
        </w:tc>
        <w:tc>
          <w:tcPr>
            <w:tcW w:w="140" w:type="dxa"/>
            <w:vAlign w:val="bottom"/>
            <w:tcBorders>
              <w:top w:val="single" w:sz="8" w:color="0000FF"/>
            </w:tcBorders>
            <w:shd w:val="clear" w:color="auto" w:fill="DBDBDB"/>
          </w:tcPr>
          <w:p>
            <w:pPr>
              <w:spacing w:after="0"/>
              <w:rPr>
                <w:sz w:val="2"/>
                <w:szCs w:val="2"/>
                <w:color w:val="auto"/>
              </w:rPr>
            </w:pPr>
          </w:p>
        </w:tc>
        <w:tc>
          <w:tcPr>
            <w:tcW w:w="220" w:type="dxa"/>
            <w:vAlign w:val="bottom"/>
            <w:tcBorders>
              <w:top w:val="single" w:sz="8" w:color="0000FF"/>
            </w:tcBorders>
            <w:shd w:val="clear" w:color="auto" w:fill="DBDBDB"/>
          </w:tcPr>
          <w:p>
            <w:pPr>
              <w:spacing w:after="0"/>
              <w:rPr>
                <w:sz w:val="2"/>
                <w:szCs w:val="2"/>
                <w:color w:val="auto"/>
              </w:rPr>
            </w:pPr>
          </w:p>
        </w:tc>
        <w:tc>
          <w:tcPr>
            <w:tcW w:w="400" w:type="dxa"/>
            <w:vAlign w:val="bottom"/>
            <w:tcBorders>
              <w:top w:val="single" w:sz="8" w:color="0000FF"/>
            </w:tcBorders>
            <w:shd w:val="clear" w:color="auto" w:fill="DBDBDB"/>
          </w:tcPr>
          <w:p>
            <w:pPr>
              <w:spacing w:after="0"/>
              <w:rPr>
                <w:sz w:val="2"/>
                <w:szCs w:val="2"/>
                <w:color w:val="auto"/>
              </w:rPr>
            </w:pPr>
          </w:p>
        </w:tc>
        <w:tc>
          <w:tcPr>
            <w:tcW w:w="20" w:type="dxa"/>
            <w:vAlign w:val="bottom"/>
            <w:tcBorders>
              <w:top w:val="single" w:sz="8" w:color="0000FF"/>
            </w:tcBorders>
            <w:shd w:val="clear" w:color="auto" w:fill="DBDBDB"/>
          </w:tcPr>
          <w:p>
            <w:pPr>
              <w:spacing w:after="0"/>
              <w:rPr>
                <w:sz w:val="2"/>
                <w:szCs w:val="2"/>
                <w:color w:val="auto"/>
              </w:rPr>
            </w:pPr>
          </w:p>
        </w:tc>
        <w:tc>
          <w:tcPr>
            <w:tcW w:w="280" w:type="dxa"/>
            <w:vAlign w:val="bottom"/>
            <w:tcBorders>
              <w:top w:val="single" w:sz="8" w:color="0000FF"/>
            </w:tcBorders>
            <w:shd w:val="clear" w:color="auto" w:fill="DBDBDB"/>
          </w:tcPr>
          <w:p>
            <w:pPr>
              <w:spacing w:after="0"/>
              <w:rPr>
                <w:sz w:val="2"/>
                <w:szCs w:val="2"/>
                <w:color w:val="auto"/>
              </w:rPr>
            </w:pPr>
          </w:p>
        </w:tc>
        <w:tc>
          <w:tcPr>
            <w:tcW w:w="260" w:type="dxa"/>
            <w:vAlign w:val="bottom"/>
            <w:tcBorders>
              <w:top w:val="single" w:sz="8" w:color="0000FF"/>
            </w:tcBorders>
            <w:shd w:val="clear" w:color="auto" w:fill="DBDBDB"/>
          </w:tcPr>
          <w:p>
            <w:pPr>
              <w:spacing w:after="0"/>
              <w:rPr>
                <w:sz w:val="2"/>
                <w:szCs w:val="2"/>
                <w:color w:val="auto"/>
              </w:rPr>
            </w:pPr>
          </w:p>
        </w:tc>
        <w:tc>
          <w:tcPr>
            <w:tcW w:w="20" w:type="dxa"/>
            <w:vAlign w:val="bottom"/>
            <w:tcBorders>
              <w:top w:val="single" w:sz="8" w:color="0000FF"/>
            </w:tcBorders>
            <w:shd w:val="clear" w:color="auto" w:fill="DBDBDB"/>
          </w:tcPr>
          <w:p>
            <w:pPr>
              <w:spacing w:after="0"/>
              <w:rPr>
                <w:sz w:val="2"/>
                <w:szCs w:val="2"/>
                <w:color w:val="auto"/>
              </w:rPr>
            </w:pPr>
          </w:p>
        </w:tc>
        <w:tc>
          <w:tcPr>
            <w:tcW w:w="140" w:type="dxa"/>
            <w:vAlign w:val="bottom"/>
            <w:tcBorders>
              <w:top w:val="single" w:sz="8" w:color="0000FF"/>
            </w:tcBorders>
            <w:shd w:val="clear" w:color="auto" w:fill="DBDBDB"/>
          </w:tcPr>
          <w:p>
            <w:pPr>
              <w:spacing w:after="0"/>
              <w:rPr>
                <w:sz w:val="2"/>
                <w:szCs w:val="2"/>
                <w:color w:val="auto"/>
              </w:rPr>
            </w:pPr>
          </w:p>
        </w:tc>
        <w:tc>
          <w:tcPr>
            <w:tcW w:w="220" w:type="dxa"/>
            <w:vAlign w:val="bottom"/>
            <w:tcBorders>
              <w:top w:val="single" w:sz="8" w:color="0000FF"/>
            </w:tcBorders>
            <w:shd w:val="clear" w:color="auto" w:fill="DBDBDB"/>
          </w:tcPr>
          <w:p>
            <w:pPr>
              <w:spacing w:after="0"/>
              <w:rPr>
                <w:sz w:val="2"/>
                <w:szCs w:val="2"/>
                <w:color w:val="auto"/>
              </w:rPr>
            </w:pPr>
          </w:p>
        </w:tc>
        <w:tc>
          <w:tcPr>
            <w:tcW w:w="940" w:type="dxa"/>
            <w:vAlign w:val="bottom"/>
            <w:tcBorders>
              <w:top w:val="single" w:sz="8" w:color="0000FF"/>
            </w:tcBorders>
            <w:shd w:val="clear" w:color="auto" w:fill="DBDBDB"/>
          </w:tcPr>
          <w:p>
            <w:pPr>
              <w:spacing w:after="0"/>
              <w:rPr>
                <w:sz w:val="2"/>
                <w:szCs w:val="2"/>
                <w:color w:val="auto"/>
              </w:rPr>
            </w:pPr>
          </w:p>
        </w:tc>
        <w:tc>
          <w:tcPr>
            <w:tcW w:w="200" w:type="dxa"/>
            <w:vAlign w:val="bottom"/>
            <w:tcBorders>
              <w:top w:val="single" w:sz="8" w:color="0000FF"/>
            </w:tcBorders>
            <w:shd w:val="clear" w:color="auto" w:fill="DBDBDB"/>
          </w:tcPr>
          <w:p>
            <w:pPr>
              <w:spacing w:after="0"/>
              <w:rPr>
                <w:sz w:val="2"/>
                <w:szCs w:val="2"/>
                <w:color w:val="auto"/>
              </w:rPr>
            </w:pPr>
          </w:p>
        </w:tc>
        <w:tc>
          <w:tcPr>
            <w:tcW w:w="480" w:type="dxa"/>
            <w:vAlign w:val="bottom"/>
            <w:tcBorders>
              <w:top w:val="single" w:sz="8" w:color="0000FF"/>
            </w:tcBorders>
            <w:shd w:val="clear" w:color="auto" w:fill="DBDBDB"/>
          </w:tcPr>
          <w:p>
            <w:pPr>
              <w:spacing w:after="0"/>
              <w:rPr>
                <w:sz w:val="2"/>
                <w:szCs w:val="2"/>
                <w:color w:val="auto"/>
              </w:rPr>
            </w:pPr>
          </w:p>
        </w:tc>
        <w:tc>
          <w:tcPr>
            <w:tcW w:w="220" w:type="dxa"/>
            <w:vAlign w:val="bottom"/>
            <w:tcBorders>
              <w:top w:val="single" w:sz="8" w:color="0000FF"/>
            </w:tcBorders>
            <w:shd w:val="clear" w:color="auto" w:fill="DBDBDB"/>
          </w:tcPr>
          <w:p>
            <w:pPr>
              <w:spacing w:after="0"/>
              <w:rPr>
                <w:sz w:val="2"/>
                <w:szCs w:val="2"/>
                <w:color w:val="auto"/>
              </w:rPr>
            </w:pPr>
          </w:p>
        </w:tc>
        <w:tc>
          <w:tcPr>
            <w:tcW w:w="1140" w:type="dxa"/>
            <w:vAlign w:val="bottom"/>
            <w:tcBorders>
              <w:top w:val="single" w:sz="8" w:color="0000FF"/>
            </w:tcBorders>
            <w:shd w:val="clear" w:color="auto" w:fill="DBDBDB"/>
          </w:tcPr>
          <w:p>
            <w:pPr>
              <w:spacing w:after="0"/>
              <w:rPr>
                <w:sz w:val="2"/>
                <w:szCs w:val="2"/>
                <w:color w:val="auto"/>
              </w:rPr>
            </w:pPr>
          </w:p>
        </w:tc>
        <w:tc>
          <w:tcPr>
            <w:tcW w:w="340" w:type="dxa"/>
            <w:vAlign w:val="bottom"/>
            <w:tcBorders>
              <w:top w:val="single" w:sz="8" w:color="0000FF"/>
            </w:tcBorders>
            <w:shd w:val="clear" w:color="auto" w:fill="DBDBDB"/>
          </w:tcPr>
          <w:p>
            <w:pPr>
              <w:spacing w:after="0"/>
              <w:rPr>
                <w:sz w:val="2"/>
                <w:szCs w:val="2"/>
                <w:color w:val="auto"/>
              </w:rPr>
            </w:pPr>
          </w:p>
        </w:tc>
        <w:tc>
          <w:tcPr>
            <w:tcW w:w="820" w:type="dxa"/>
            <w:vAlign w:val="bottom"/>
            <w:tcBorders>
              <w:top w:val="single" w:sz="8" w:color="0000FF"/>
            </w:tcBorders>
            <w:shd w:val="clear" w:color="auto" w:fill="DBDBDB"/>
          </w:tcPr>
          <w:p>
            <w:pPr>
              <w:spacing w:after="0"/>
              <w:rPr>
                <w:sz w:val="2"/>
                <w:szCs w:val="2"/>
                <w:color w:val="auto"/>
              </w:rPr>
            </w:pPr>
          </w:p>
        </w:tc>
        <w:tc>
          <w:tcPr>
            <w:tcW w:w="640" w:type="dxa"/>
            <w:vAlign w:val="bottom"/>
            <w:tcBorders>
              <w:top w:val="single" w:sz="8" w:color="0000FF"/>
            </w:tcBorders>
            <w:shd w:val="clear" w:color="auto" w:fill="DBDBDB"/>
          </w:tcPr>
          <w:p>
            <w:pPr>
              <w:spacing w:after="0"/>
              <w:rPr>
                <w:sz w:val="2"/>
                <w:szCs w:val="2"/>
                <w:color w:val="auto"/>
              </w:rPr>
            </w:pPr>
          </w:p>
        </w:tc>
        <w:tc>
          <w:tcPr>
            <w:tcW w:w="100" w:type="dxa"/>
            <w:vAlign w:val="bottom"/>
            <w:tcBorders>
              <w:top w:val="single" w:sz="8" w:color="0000FF"/>
            </w:tcBorders>
            <w:shd w:val="clear" w:color="auto" w:fill="DBDBDB"/>
          </w:tcPr>
          <w:p>
            <w:pPr>
              <w:spacing w:after="0"/>
              <w:rPr>
                <w:sz w:val="2"/>
                <w:szCs w:val="2"/>
                <w:color w:val="auto"/>
              </w:rPr>
            </w:pPr>
          </w:p>
        </w:tc>
        <w:tc>
          <w:tcPr>
            <w:tcW w:w="80" w:type="dxa"/>
            <w:vAlign w:val="bottom"/>
            <w:tcBorders>
              <w:top w:val="single" w:sz="8" w:color="DBDBDB"/>
            </w:tcBorders>
            <w:shd w:val="clear" w:color="auto" w:fill="DBDBDB"/>
          </w:tcPr>
          <w:p>
            <w:pPr>
              <w:spacing w:after="0"/>
              <w:rPr>
                <w:sz w:val="2"/>
                <w:szCs w:val="2"/>
                <w:color w:val="auto"/>
              </w:rPr>
            </w:pPr>
          </w:p>
        </w:tc>
        <w:tc>
          <w:tcPr>
            <w:tcW w:w="160" w:type="dxa"/>
            <w:vAlign w:val="bottom"/>
            <w:tcBorders>
              <w:top w:val="single" w:sz="8" w:color="DBDBDB"/>
            </w:tcBorders>
            <w:shd w:val="clear" w:color="auto" w:fill="DBDBDB"/>
          </w:tcPr>
          <w:p>
            <w:pPr>
              <w:spacing w:after="0"/>
              <w:rPr>
                <w:sz w:val="2"/>
                <w:szCs w:val="2"/>
                <w:color w:val="auto"/>
              </w:rPr>
            </w:pPr>
          </w:p>
        </w:tc>
        <w:tc>
          <w:tcPr>
            <w:tcW w:w="80" w:type="dxa"/>
            <w:vAlign w:val="bottom"/>
            <w:tcBorders>
              <w:top w:val="single" w:sz="8" w:color="DBDBDB"/>
            </w:tcBorders>
            <w:shd w:val="clear" w:color="auto" w:fill="DBDBDB"/>
          </w:tcPr>
          <w:p>
            <w:pPr>
              <w:spacing w:after="0"/>
              <w:rPr>
                <w:sz w:val="2"/>
                <w:szCs w:val="2"/>
                <w:color w:val="auto"/>
              </w:rPr>
            </w:pPr>
          </w:p>
        </w:tc>
        <w:tc>
          <w:tcPr>
            <w:tcW w:w="1260" w:type="dxa"/>
            <w:vAlign w:val="bottom"/>
            <w:tcBorders>
              <w:top w:val="single" w:sz="8" w:color="DBDBDB"/>
            </w:tcBorders>
            <w:shd w:val="clear" w:color="auto" w:fill="DBDBDB"/>
          </w:tcPr>
          <w:p>
            <w:pPr>
              <w:spacing w:after="0"/>
              <w:rPr>
                <w:sz w:val="2"/>
                <w:szCs w:val="2"/>
                <w:color w:val="auto"/>
              </w:rPr>
            </w:pPr>
          </w:p>
        </w:tc>
        <w:tc>
          <w:tcPr>
            <w:tcW w:w="100" w:type="dxa"/>
            <w:vAlign w:val="bottom"/>
            <w:tcBorders>
              <w:top w:val="single" w:sz="8" w:color="0000EE"/>
            </w:tcBorders>
            <w:shd w:val="clear" w:color="auto" w:fill="DBDBDB"/>
          </w:tcPr>
          <w:p>
            <w:pPr>
              <w:spacing w:after="0"/>
              <w:rPr>
                <w:sz w:val="2"/>
                <w:szCs w:val="2"/>
                <w:color w:val="auto"/>
              </w:rPr>
            </w:pPr>
          </w:p>
        </w:tc>
        <w:tc>
          <w:tcPr>
            <w:tcW w:w="80" w:type="dxa"/>
            <w:vAlign w:val="bottom"/>
            <w:tcBorders>
              <w:top w:val="single" w:sz="8" w:color="0000EE"/>
            </w:tcBorders>
            <w:shd w:val="clear" w:color="auto" w:fill="DBDBDB"/>
          </w:tcPr>
          <w:p>
            <w:pPr>
              <w:spacing w:after="0"/>
              <w:rPr>
                <w:sz w:val="2"/>
                <w:szCs w:val="2"/>
                <w:color w:val="auto"/>
              </w:rPr>
            </w:pPr>
          </w:p>
        </w:tc>
        <w:tc>
          <w:tcPr>
            <w:tcW w:w="20" w:type="dxa"/>
            <w:vAlign w:val="bottom"/>
            <w:tcBorders>
              <w:top w:val="single" w:sz="8" w:color="DBDBDB"/>
            </w:tcBorders>
            <w:shd w:val="clear" w:color="auto" w:fill="DBDBDB"/>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680" w:type="dxa"/>
            <w:vAlign w:val="bottom"/>
            <w:gridSpan w:val="5"/>
          </w:tcPr>
          <w:p>
            <w:pPr>
              <w:spacing w:after="0" w:line="202" w:lineRule="exact"/>
              <w:rPr>
                <w:sz w:val="20"/>
                <w:szCs w:val="20"/>
                <w:color w:val="auto"/>
              </w:rPr>
            </w:pPr>
            <w:r>
              <w:rPr>
                <w:rFonts w:ascii="Times New Roman" w:cs="Times New Roman" w:eastAsia="Times New Roman" w:hAnsi="Times New Roman"/>
                <w:sz w:val="18"/>
                <w:szCs w:val="18"/>
                <w:color w:val="0000FF"/>
              </w:rPr>
              <w:t>Item 14.</w:t>
            </w:r>
          </w:p>
        </w:tc>
        <w:tc>
          <w:tcPr>
            <w:tcW w:w="9260" w:type="dxa"/>
            <w:vAlign w:val="bottom"/>
            <w:gridSpan w:val="26"/>
          </w:tcPr>
          <w:p>
            <w:pPr>
              <w:spacing w:after="0" w:line="202" w:lineRule="exact"/>
              <w:rPr>
                <w:sz w:val="20"/>
                <w:szCs w:val="20"/>
                <w:color w:val="auto"/>
              </w:rPr>
            </w:pPr>
            <w:r>
              <w:rPr>
                <w:rFonts w:ascii="Times New Roman" w:cs="Times New Roman" w:eastAsia="Times New Roman" w:hAnsi="Times New Roman"/>
                <w:sz w:val="18"/>
                <w:szCs w:val="18"/>
                <w:color w:val="0000FF"/>
              </w:rPr>
              <w:t>PRINCIPAL ACCOUNTANT FEES AND SERVICES</w:t>
            </w:r>
          </w:p>
        </w:tc>
        <w:tc>
          <w:tcPr>
            <w:tcW w:w="18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0000EE"/>
                <w:w w:val="88"/>
              </w:rPr>
              <w:t>83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52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980" w:type="dxa"/>
            <w:vAlign w:val="bottom"/>
          </w:tcPr>
          <w:p>
            <w:pPr>
              <w:spacing w:after="0"/>
              <w:rPr>
                <w:sz w:val="2"/>
                <w:szCs w:val="2"/>
                <w:color w:val="auto"/>
              </w:rPr>
            </w:pPr>
          </w:p>
        </w:tc>
        <w:tc>
          <w:tcPr>
            <w:tcW w:w="84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94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Borders>
              <w:bottom w:val="single" w:sz="8" w:color="DBDBDB"/>
            </w:tcBorders>
            <w:shd w:val="clear" w:color="auto" w:fill="DBDBDB"/>
          </w:tcPr>
          <w:p>
            <w:pPr>
              <w:spacing w:after="0"/>
              <w:rPr>
                <w:sz w:val="20"/>
                <w:szCs w:val="20"/>
                <w:color w:val="auto"/>
              </w:rPr>
            </w:pPr>
          </w:p>
        </w:tc>
        <w:tc>
          <w:tcPr>
            <w:tcW w:w="700" w:type="dxa"/>
            <w:vAlign w:val="bottom"/>
            <w:tcBorders>
              <w:bottom w:val="single" w:sz="8" w:color="0000FF"/>
            </w:tcBorders>
            <w:gridSpan w:val="4"/>
            <w:shd w:val="clear" w:color="auto" w:fill="DBDBDB"/>
          </w:tcPr>
          <w:p>
            <w:pPr>
              <w:spacing w:after="0" w:line="202" w:lineRule="exact"/>
              <w:rPr>
                <w:sz w:val="20"/>
                <w:szCs w:val="20"/>
                <w:color w:val="auto"/>
              </w:rPr>
            </w:pPr>
            <w:r>
              <w:rPr>
                <w:rFonts w:ascii="Times New Roman" w:cs="Times New Roman" w:eastAsia="Times New Roman" w:hAnsi="Times New Roman"/>
                <w:sz w:val="18"/>
                <w:szCs w:val="18"/>
                <w:color w:val="0000FF"/>
                <w:w w:val="91"/>
              </w:rPr>
              <w:t>PART IV.</w:t>
            </w:r>
          </w:p>
        </w:tc>
        <w:tc>
          <w:tcPr>
            <w:tcW w:w="980" w:type="dxa"/>
            <w:vAlign w:val="bottom"/>
            <w:tcBorders>
              <w:bottom w:val="single" w:sz="8" w:color="DBDBDB"/>
              <w:right w:val="single" w:sz="8" w:color="DBDBDB"/>
            </w:tcBorders>
            <w:shd w:val="clear" w:color="auto" w:fill="DBDBDB"/>
          </w:tcPr>
          <w:p>
            <w:pPr>
              <w:spacing w:after="0"/>
              <w:rPr>
                <w:sz w:val="20"/>
                <w:szCs w:val="20"/>
                <w:color w:val="auto"/>
              </w:rPr>
            </w:pPr>
          </w:p>
        </w:tc>
        <w:tc>
          <w:tcPr>
            <w:tcW w:w="840" w:type="dxa"/>
            <w:vAlign w:val="bottom"/>
            <w:tcBorders>
              <w:bottom w:val="single" w:sz="8" w:color="DBDBDB"/>
            </w:tcBorders>
            <w:shd w:val="clear" w:color="auto" w:fill="DBDBDB"/>
          </w:tcPr>
          <w:p>
            <w:pPr>
              <w:spacing w:after="0"/>
              <w:rPr>
                <w:sz w:val="20"/>
                <w:szCs w:val="20"/>
                <w:color w:val="auto"/>
              </w:rPr>
            </w:pPr>
          </w:p>
        </w:tc>
        <w:tc>
          <w:tcPr>
            <w:tcW w:w="60" w:type="dxa"/>
            <w:vAlign w:val="bottom"/>
            <w:tcBorders>
              <w:bottom w:val="single" w:sz="8" w:color="DBDBDB"/>
            </w:tcBorders>
            <w:shd w:val="clear" w:color="auto" w:fill="DBDBDB"/>
          </w:tcPr>
          <w:p>
            <w:pPr>
              <w:spacing w:after="0"/>
              <w:rPr>
                <w:sz w:val="20"/>
                <w:szCs w:val="20"/>
                <w:color w:val="auto"/>
              </w:rPr>
            </w:pPr>
          </w:p>
        </w:tc>
        <w:tc>
          <w:tcPr>
            <w:tcW w:w="180" w:type="dxa"/>
            <w:vAlign w:val="bottom"/>
            <w:tcBorders>
              <w:bottom w:val="single" w:sz="8" w:color="DBDBDB"/>
              <w:right w:val="single" w:sz="8" w:color="DBDBDB"/>
            </w:tcBorders>
            <w:shd w:val="clear" w:color="auto" w:fill="DBDBDB"/>
          </w:tcPr>
          <w:p>
            <w:pPr>
              <w:spacing w:after="0"/>
              <w:rPr>
                <w:sz w:val="20"/>
                <w:szCs w:val="20"/>
                <w:color w:val="auto"/>
              </w:rPr>
            </w:pPr>
          </w:p>
        </w:tc>
        <w:tc>
          <w:tcPr>
            <w:tcW w:w="20" w:type="dxa"/>
            <w:vAlign w:val="bottom"/>
            <w:tcBorders>
              <w:bottom w:val="single" w:sz="8" w:color="DBDBDB"/>
            </w:tcBorders>
            <w:shd w:val="clear" w:color="auto" w:fill="DBDBDB"/>
          </w:tcPr>
          <w:p>
            <w:pPr>
              <w:spacing w:after="0"/>
              <w:rPr>
                <w:sz w:val="20"/>
                <w:szCs w:val="20"/>
                <w:color w:val="auto"/>
              </w:rPr>
            </w:pPr>
          </w:p>
        </w:tc>
        <w:tc>
          <w:tcPr>
            <w:tcW w:w="140" w:type="dxa"/>
            <w:vAlign w:val="bottom"/>
            <w:tcBorders>
              <w:bottom w:val="single" w:sz="8" w:color="DBDBDB"/>
            </w:tcBorders>
            <w:shd w:val="clear" w:color="auto" w:fill="DBDBDB"/>
          </w:tcPr>
          <w:p>
            <w:pPr>
              <w:spacing w:after="0"/>
              <w:rPr>
                <w:sz w:val="20"/>
                <w:szCs w:val="20"/>
                <w:color w:val="auto"/>
              </w:rPr>
            </w:pPr>
          </w:p>
        </w:tc>
        <w:tc>
          <w:tcPr>
            <w:tcW w:w="220" w:type="dxa"/>
            <w:vAlign w:val="bottom"/>
            <w:tcBorders>
              <w:bottom w:val="single" w:sz="8" w:color="DBDBDB"/>
            </w:tcBorders>
            <w:shd w:val="clear" w:color="auto" w:fill="DBDBDB"/>
          </w:tcPr>
          <w:p>
            <w:pPr>
              <w:spacing w:after="0"/>
              <w:rPr>
                <w:sz w:val="20"/>
                <w:szCs w:val="20"/>
                <w:color w:val="auto"/>
              </w:rPr>
            </w:pPr>
          </w:p>
        </w:tc>
        <w:tc>
          <w:tcPr>
            <w:tcW w:w="400" w:type="dxa"/>
            <w:vAlign w:val="bottom"/>
            <w:tcBorders>
              <w:bottom w:val="single" w:sz="8" w:color="DBDBDB"/>
            </w:tcBorders>
            <w:shd w:val="clear" w:color="auto" w:fill="DBDBDB"/>
          </w:tcPr>
          <w:p>
            <w:pPr>
              <w:spacing w:after="0"/>
              <w:rPr>
                <w:sz w:val="20"/>
                <w:szCs w:val="20"/>
                <w:color w:val="auto"/>
              </w:rPr>
            </w:pPr>
          </w:p>
        </w:tc>
        <w:tc>
          <w:tcPr>
            <w:tcW w:w="20" w:type="dxa"/>
            <w:vAlign w:val="bottom"/>
            <w:tcBorders>
              <w:bottom w:val="single" w:sz="8" w:color="DBDBDB"/>
            </w:tcBorders>
            <w:shd w:val="clear" w:color="auto" w:fill="DBDBDB"/>
          </w:tcPr>
          <w:p>
            <w:pPr>
              <w:spacing w:after="0"/>
              <w:rPr>
                <w:sz w:val="20"/>
                <w:szCs w:val="20"/>
                <w:color w:val="auto"/>
              </w:rPr>
            </w:pPr>
          </w:p>
        </w:tc>
        <w:tc>
          <w:tcPr>
            <w:tcW w:w="280" w:type="dxa"/>
            <w:vAlign w:val="bottom"/>
            <w:tcBorders>
              <w:bottom w:val="single" w:sz="8" w:color="DBDBDB"/>
            </w:tcBorders>
            <w:shd w:val="clear" w:color="auto" w:fill="DBDBDB"/>
          </w:tcPr>
          <w:p>
            <w:pPr>
              <w:spacing w:after="0"/>
              <w:rPr>
                <w:sz w:val="20"/>
                <w:szCs w:val="20"/>
                <w:color w:val="auto"/>
              </w:rPr>
            </w:pPr>
          </w:p>
        </w:tc>
        <w:tc>
          <w:tcPr>
            <w:tcW w:w="260" w:type="dxa"/>
            <w:vAlign w:val="bottom"/>
            <w:tcBorders>
              <w:bottom w:val="single" w:sz="8" w:color="DBDBDB"/>
            </w:tcBorders>
            <w:shd w:val="clear" w:color="auto" w:fill="DBDBDB"/>
          </w:tcPr>
          <w:p>
            <w:pPr>
              <w:spacing w:after="0"/>
              <w:rPr>
                <w:sz w:val="20"/>
                <w:szCs w:val="20"/>
                <w:color w:val="auto"/>
              </w:rPr>
            </w:pPr>
          </w:p>
        </w:tc>
        <w:tc>
          <w:tcPr>
            <w:tcW w:w="20" w:type="dxa"/>
            <w:vAlign w:val="bottom"/>
            <w:tcBorders>
              <w:bottom w:val="single" w:sz="8" w:color="DBDBDB"/>
            </w:tcBorders>
            <w:shd w:val="clear" w:color="auto" w:fill="DBDBDB"/>
          </w:tcPr>
          <w:p>
            <w:pPr>
              <w:spacing w:after="0"/>
              <w:rPr>
                <w:sz w:val="20"/>
                <w:szCs w:val="20"/>
                <w:color w:val="auto"/>
              </w:rPr>
            </w:pPr>
          </w:p>
        </w:tc>
        <w:tc>
          <w:tcPr>
            <w:tcW w:w="140" w:type="dxa"/>
            <w:vAlign w:val="bottom"/>
            <w:tcBorders>
              <w:bottom w:val="single" w:sz="8" w:color="DBDBDB"/>
            </w:tcBorders>
            <w:shd w:val="clear" w:color="auto" w:fill="DBDBDB"/>
          </w:tcPr>
          <w:p>
            <w:pPr>
              <w:spacing w:after="0"/>
              <w:rPr>
                <w:sz w:val="20"/>
                <w:szCs w:val="20"/>
                <w:color w:val="auto"/>
              </w:rPr>
            </w:pPr>
          </w:p>
        </w:tc>
        <w:tc>
          <w:tcPr>
            <w:tcW w:w="220" w:type="dxa"/>
            <w:vAlign w:val="bottom"/>
            <w:tcBorders>
              <w:bottom w:val="single" w:sz="8" w:color="DBDBDB"/>
            </w:tcBorders>
            <w:shd w:val="clear" w:color="auto" w:fill="DBDBDB"/>
          </w:tcPr>
          <w:p>
            <w:pPr>
              <w:spacing w:after="0"/>
              <w:rPr>
                <w:sz w:val="20"/>
                <w:szCs w:val="20"/>
                <w:color w:val="auto"/>
              </w:rPr>
            </w:pPr>
          </w:p>
        </w:tc>
        <w:tc>
          <w:tcPr>
            <w:tcW w:w="940" w:type="dxa"/>
            <w:vAlign w:val="bottom"/>
            <w:tcBorders>
              <w:bottom w:val="single" w:sz="8" w:color="DBDBDB"/>
            </w:tcBorders>
            <w:shd w:val="clear" w:color="auto" w:fill="DBDBDB"/>
          </w:tcPr>
          <w:p>
            <w:pPr>
              <w:spacing w:after="0"/>
              <w:rPr>
                <w:sz w:val="20"/>
                <w:szCs w:val="20"/>
                <w:color w:val="auto"/>
              </w:rPr>
            </w:pPr>
          </w:p>
        </w:tc>
        <w:tc>
          <w:tcPr>
            <w:tcW w:w="200" w:type="dxa"/>
            <w:vAlign w:val="bottom"/>
            <w:tcBorders>
              <w:bottom w:val="single" w:sz="8" w:color="DBDBDB"/>
            </w:tcBorders>
            <w:shd w:val="clear" w:color="auto" w:fill="DBDBDB"/>
          </w:tcPr>
          <w:p>
            <w:pPr>
              <w:spacing w:after="0"/>
              <w:rPr>
                <w:sz w:val="20"/>
                <w:szCs w:val="20"/>
                <w:color w:val="auto"/>
              </w:rPr>
            </w:pPr>
          </w:p>
        </w:tc>
        <w:tc>
          <w:tcPr>
            <w:tcW w:w="480" w:type="dxa"/>
            <w:vAlign w:val="bottom"/>
            <w:tcBorders>
              <w:bottom w:val="single" w:sz="8" w:color="DBDBDB"/>
            </w:tcBorders>
            <w:shd w:val="clear" w:color="auto" w:fill="DBDBDB"/>
          </w:tcPr>
          <w:p>
            <w:pPr>
              <w:spacing w:after="0"/>
              <w:rPr>
                <w:sz w:val="20"/>
                <w:szCs w:val="20"/>
                <w:color w:val="auto"/>
              </w:rPr>
            </w:pPr>
          </w:p>
        </w:tc>
        <w:tc>
          <w:tcPr>
            <w:tcW w:w="220" w:type="dxa"/>
            <w:vAlign w:val="bottom"/>
            <w:tcBorders>
              <w:bottom w:val="single" w:sz="8" w:color="DBDBDB"/>
            </w:tcBorders>
            <w:shd w:val="clear" w:color="auto" w:fill="DBDBDB"/>
          </w:tcPr>
          <w:p>
            <w:pPr>
              <w:spacing w:after="0"/>
              <w:rPr>
                <w:sz w:val="20"/>
                <w:szCs w:val="20"/>
                <w:color w:val="auto"/>
              </w:rPr>
            </w:pPr>
          </w:p>
        </w:tc>
        <w:tc>
          <w:tcPr>
            <w:tcW w:w="1140" w:type="dxa"/>
            <w:vAlign w:val="bottom"/>
            <w:tcBorders>
              <w:bottom w:val="single" w:sz="8" w:color="DBDBDB"/>
            </w:tcBorders>
            <w:shd w:val="clear" w:color="auto" w:fill="DBDBDB"/>
          </w:tcPr>
          <w:p>
            <w:pPr>
              <w:spacing w:after="0"/>
              <w:rPr>
                <w:sz w:val="20"/>
                <w:szCs w:val="20"/>
                <w:color w:val="auto"/>
              </w:rPr>
            </w:pPr>
          </w:p>
        </w:tc>
        <w:tc>
          <w:tcPr>
            <w:tcW w:w="340" w:type="dxa"/>
            <w:vAlign w:val="bottom"/>
            <w:tcBorders>
              <w:bottom w:val="single" w:sz="8" w:color="DBDBDB"/>
            </w:tcBorders>
            <w:shd w:val="clear" w:color="auto" w:fill="DBDBDB"/>
          </w:tcPr>
          <w:p>
            <w:pPr>
              <w:spacing w:after="0"/>
              <w:rPr>
                <w:sz w:val="20"/>
                <w:szCs w:val="20"/>
                <w:color w:val="auto"/>
              </w:rPr>
            </w:pPr>
          </w:p>
        </w:tc>
        <w:tc>
          <w:tcPr>
            <w:tcW w:w="820" w:type="dxa"/>
            <w:vAlign w:val="bottom"/>
            <w:tcBorders>
              <w:bottom w:val="single" w:sz="8" w:color="DBDBDB"/>
            </w:tcBorders>
            <w:shd w:val="clear" w:color="auto" w:fill="DBDBDB"/>
          </w:tcPr>
          <w:p>
            <w:pPr>
              <w:spacing w:after="0"/>
              <w:rPr>
                <w:sz w:val="20"/>
                <w:szCs w:val="20"/>
                <w:color w:val="auto"/>
              </w:rPr>
            </w:pPr>
          </w:p>
        </w:tc>
        <w:tc>
          <w:tcPr>
            <w:tcW w:w="640" w:type="dxa"/>
            <w:vAlign w:val="bottom"/>
            <w:tcBorders>
              <w:bottom w:val="single" w:sz="8" w:color="DBDBDB"/>
            </w:tcBorders>
            <w:shd w:val="clear" w:color="auto" w:fill="DBDBDB"/>
          </w:tcPr>
          <w:p>
            <w:pPr>
              <w:spacing w:after="0"/>
              <w:rPr>
                <w:sz w:val="20"/>
                <w:szCs w:val="20"/>
                <w:color w:val="auto"/>
              </w:rPr>
            </w:pPr>
          </w:p>
        </w:tc>
        <w:tc>
          <w:tcPr>
            <w:tcW w:w="100" w:type="dxa"/>
            <w:vAlign w:val="bottom"/>
            <w:tcBorders>
              <w:bottom w:val="single" w:sz="8" w:color="DBDBDB"/>
            </w:tcBorders>
            <w:shd w:val="clear" w:color="auto" w:fill="DBDBDB"/>
          </w:tcPr>
          <w:p>
            <w:pPr>
              <w:spacing w:after="0"/>
              <w:rPr>
                <w:sz w:val="20"/>
                <w:szCs w:val="20"/>
                <w:color w:val="auto"/>
              </w:rPr>
            </w:pPr>
          </w:p>
        </w:tc>
        <w:tc>
          <w:tcPr>
            <w:tcW w:w="80" w:type="dxa"/>
            <w:vAlign w:val="bottom"/>
            <w:tcBorders>
              <w:bottom w:val="single" w:sz="8" w:color="DBDBDB"/>
            </w:tcBorders>
            <w:shd w:val="clear" w:color="auto" w:fill="DBDBDB"/>
          </w:tcPr>
          <w:p>
            <w:pPr>
              <w:spacing w:after="0"/>
              <w:rPr>
                <w:sz w:val="20"/>
                <w:szCs w:val="20"/>
                <w:color w:val="auto"/>
              </w:rPr>
            </w:pPr>
          </w:p>
        </w:tc>
        <w:tc>
          <w:tcPr>
            <w:tcW w:w="160" w:type="dxa"/>
            <w:vAlign w:val="bottom"/>
            <w:tcBorders>
              <w:bottom w:val="single" w:sz="8" w:color="DBDBDB"/>
            </w:tcBorders>
            <w:shd w:val="clear" w:color="auto" w:fill="DBDBDB"/>
          </w:tcPr>
          <w:p>
            <w:pPr>
              <w:spacing w:after="0"/>
              <w:rPr>
                <w:sz w:val="20"/>
                <w:szCs w:val="20"/>
                <w:color w:val="auto"/>
              </w:rPr>
            </w:pPr>
          </w:p>
        </w:tc>
        <w:tc>
          <w:tcPr>
            <w:tcW w:w="80" w:type="dxa"/>
            <w:vAlign w:val="bottom"/>
            <w:tcBorders>
              <w:bottom w:val="single" w:sz="8" w:color="DBDBDB"/>
            </w:tcBorders>
            <w:shd w:val="clear" w:color="auto" w:fill="DBDBDB"/>
          </w:tcPr>
          <w:p>
            <w:pPr>
              <w:spacing w:after="0"/>
              <w:rPr>
                <w:sz w:val="20"/>
                <w:szCs w:val="20"/>
                <w:color w:val="auto"/>
              </w:rPr>
            </w:pPr>
          </w:p>
        </w:tc>
        <w:tc>
          <w:tcPr>
            <w:tcW w:w="1260" w:type="dxa"/>
            <w:vAlign w:val="bottom"/>
            <w:tcBorders>
              <w:bottom w:val="single" w:sz="8" w:color="DBDBDB"/>
            </w:tcBorders>
            <w:shd w:val="clear" w:color="auto" w:fill="DBDBDB"/>
          </w:tcPr>
          <w:p>
            <w:pPr>
              <w:spacing w:after="0"/>
              <w:rPr>
                <w:sz w:val="20"/>
                <w:szCs w:val="20"/>
                <w:color w:val="auto"/>
              </w:rPr>
            </w:pPr>
          </w:p>
        </w:tc>
        <w:tc>
          <w:tcPr>
            <w:tcW w:w="100" w:type="dxa"/>
            <w:vAlign w:val="bottom"/>
            <w:tcBorders>
              <w:bottom w:val="single" w:sz="8" w:color="DBDBDB"/>
            </w:tcBorders>
            <w:shd w:val="clear" w:color="auto" w:fill="DBDBDB"/>
          </w:tcPr>
          <w:p>
            <w:pPr>
              <w:spacing w:after="0"/>
              <w:rPr>
                <w:sz w:val="20"/>
                <w:szCs w:val="20"/>
                <w:color w:val="auto"/>
              </w:rPr>
            </w:pPr>
          </w:p>
        </w:tc>
        <w:tc>
          <w:tcPr>
            <w:tcW w:w="80" w:type="dxa"/>
            <w:vAlign w:val="bottom"/>
            <w:tcBorders>
              <w:bottom w:val="single" w:sz="8" w:color="DBDBDB"/>
            </w:tcBorders>
            <w:shd w:val="clear" w:color="auto" w:fill="DBDBDB"/>
          </w:tcPr>
          <w:p>
            <w:pPr>
              <w:spacing w:after="0"/>
              <w:rPr>
                <w:sz w:val="20"/>
                <w:szCs w:val="20"/>
                <w:color w:val="auto"/>
              </w:rPr>
            </w:pPr>
          </w:p>
        </w:tc>
        <w:tc>
          <w:tcPr>
            <w:tcW w:w="20" w:type="dxa"/>
            <w:vAlign w:val="bottom"/>
            <w:tcBorders>
              <w:bottom w:val="single" w:sz="8" w:color="DBDBDB"/>
            </w:tcBorders>
            <w:shd w:val="clear" w:color="auto" w:fill="DBDBDB"/>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680" w:type="dxa"/>
            <w:vAlign w:val="bottom"/>
            <w:gridSpan w:val="5"/>
          </w:tcPr>
          <w:p>
            <w:pPr>
              <w:spacing w:after="0" w:line="202" w:lineRule="exact"/>
              <w:rPr>
                <w:sz w:val="20"/>
                <w:szCs w:val="20"/>
                <w:color w:val="auto"/>
              </w:rPr>
            </w:pPr>
            <w:r>
              <w:rPr>
                <w:rFonts w:ascii="Times New Roman" w:cs="Times New Roman" w:eastAsia="Times New Roman" w:hAnsi="Times New Roman"/>
                <w:sz w:val="18"/>
                <w:szCs w:val="18"/>
                <w:color w:val="0000FF"/>
              </w:rPr>
              <w:t>Item 15.</w:t>
            </w:r>
          </w:p>
        </w:tc>
        <w:tc>
          <w:tcPr>
            <w:tcW w:w="9260" w:type="dxa"/>
            <w:vAlign w:val="bottom"/>
            <w:gridSpan w:val="26"/>
          </w:tcPr>
          <w:p>
            <w:pPr>
              <w:spacing w:after="0" w:line="202" w:lineRule="exact"/>
              <w:rPr>
                <w:sz w:val="20"/>
                <w:szCs w:val="20"/>
                <w:color w:val="auto"/>
              </w:rPr>
            </w:pPr>
            <w:r>
              <w:rPr>
                <w:rFonts w:ascii="Times New Roman" w:cs="Times New Roman" w:eastAsia="Times New Roman" w:hAnsi="Times New Roman"/>
                <w:sz w:val="18"/>
                <w:szCs w:val="18"/>
                <w:color w:val="0000FF"/>
              </w:rPr>
              <w:t>EXHIBITS AND FINANCIAL STATEMENT SCHEDULES</w:t>
            </w:r>
          </w:p>
        </w:tc>
        <w:tc>
          <w:tcPr>
            <w:tcW w:w="18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0000EE"/>
                <w:w w:val="88"/>
              </w:rPr>
              <w:t>84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52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980" w:type="dxa"/>
            <w:vAlign w:val="bottom"/>
          </w:tcPr>
          <w:p>
            <w:pPr>
              <w:spacing w:after="0"/>
              <w:rPr>
                <w:sz w:val="2"/>
                <w:szCs w:val="2"/>
                <w:color w:val="auto"/>
              </w:rPr>
            </w:pPr>
          </w:p>
        </w:tc>
        <w:tc>
          <w:tcPr>
            <w:tcW w:w="84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94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480" w:type="dxa"/>
            <w:vAlign w:val="bottom"/>
            <w:tcBorders>
              <w:top w:val="single" w:sz="8" w:color="0000FF"/>
            </w:tcBorders>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shd w:val="clear" w:color="auto" w:fill="DBDBDB"/>
          </w:tcPr>
          <w:p>
            <w:pPr>
              <w:spacing w:after="0"/>
              <w:rPr>
                <w:sz w:val="17"/>
                <w:szCs w:val="17"/>
                <w:color w:val="auto"/>
              </w:rPr>
            </w:pPr>
          </w:p>
        </w:tc>
        <w:tc>
          <w:tcPr>
            <w:tcW w:w="1680" w:type="dxa"/>
            <w:vAlign w:val="bottom"/>
            <w:tcBorders>
              <w:right w:val="single" w:sz="8" w:color="DBDBDB"/>
            </w:tcBorders>
            <w:gridSpan w:val="5"/>
            <w:shd w:val="clear" w:color="auto" w:fill="DBDBDB"/>
          </w:tcPr>
          <w:p>
            <w:pPr>
              <w:spacing w:after="0" w:line="202" w:lineRule="exact"/>
              <w:rPr>
                <w:sz w:val="20"/>
                <w:szCs w:val="20"/>
                <w:color w:val="auto"/>
              </w:rPr>
            </w:pPr>
            <w:r>
              <w:rPr>
                <w:rFonts w:ascii="Times New Roman" w:cs="Times New Roman" w:eastAsia="Times New Roman" w:hAnsi="Times New Roman"/>
                <w:sz w:val="18"/>
                <w:szCs w:val="18"/>
                <w:color w:val="0000FF"/>
              </w:rPr>
              <w:t>Item 16.</w:t>
            </w:r>
          </w:p>
        </w:tc>
        <w:tc>
          <w:tcPr>
            <w:tcW w:w="9260" w:type="dxa"/>
            <w:vAlign w:val="bottom"/>
            <w:gridSpan w:val="26"/>
            <w:shd w:val="clear" w:color="auto" w:fill="DBDBDB"/>
          </w:tcPr>
          <w:p>
            <w:pPr>
              <w:spacing w:after="0" w:line="202" w:lineRule="exact"/>
              <w:rPr>
                <w:sz w:val="20"/>
                <w:szCs w:val="20"/>
                <w:color w:val="auto"/>
              </w:rPr>
            </w:pPr>
            <w:r>
              <w:rPr>
                <w:rFonts w:ascii="Times New Roman" w:cs="Times New Roman" w:eastAsia="Times New Roman" w:hAnsi="Times New Roman"/>
                <w:sz w:val="18"/>
                <w:szCs w:val="18"/>
                <w:color w:val="0000FF"/>
              </w:rPr>
              <w:t>FORM 10-K SUMMARY</w:t>
            </w:r>
          </w:p>
        </w:tc>
        <w:tc>
          <w:tcPr>
            <w:tcW w:w="180" w:type="dxa"/>
            <w:vAlign w:val="bottom"/>
            <w:gridSpan w:val="2"/>
            <w:shd w:val="clear" w:color="auto" w:fill="DBDBDB"/>
          </w:tcPr>
          <w:p>
            <w:pPr>
              <w:jc w:val="right"/>
              <w:spacing w:after="0" w:line="202" w:lineRule="exact"/>
              <w:rPr>
                <w:sz w:val="20"/>
                <w:szCs w:val="20"/>
                <w:color w:val="auto"/>
              </w:rPr>
            </w:pPr>
            <w:r>
              <w:rPr>
                <w:rFonts w:ascii="Times New Roman" w:cs="Times New Roman" w:eastAsia="Times New Roman" w:hAnsi="Times New Roman"/>
                <w:sz w:val="18"/>
                <w:szCs w:val="18"/>
                <w:color w:val="0000EE"/>
                <w:w w:val="88"/>
              </w:rPr>
              <w:t>84</w:t>
            </w:r>
          </w:p>
        </w:tc>
        <w:tc>
          <w:tcPr>
            <w:tcW w:w="2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20" w:type="dxa"/>
            <w:vAlign w:val="bottom"/>
            <w:tcBorders>
              <w:top w:val="single" w:sz="8" w:color="DBDBDB"/>
            </w:tcBorders>
            <w:shd w:val="clear" w:color="auto" w:fill="DBDBDB"/>
          </w:tcPr>
          <w:p>
            <w:pPr>
              <w:spacing w:after="0"/>
              <w:rPr>
                <w:sz w:val="2"/>
                <w:szCs w:val="2"/>
                <w:color w:val="auto"/>
              </w:rPr>
            </w:pPr>
          </w:p>
        </w:tc>
        <w:tc>
          <w:tcPr>
            <w:tcW w:w="520" w:type="dxa"/>
            <w:vAlign w:val="bottom"/>
            <w:tcBorders>
              <w:top w:val="single" w:sz="8" w:color="0000FF"/>
            </w:tcBorders>
            <w:shd w:val="clear" w:color="auto" w:fill="DBDBDB"/>
          </w:tcPr>
          <w:p>
            <w:pPr>
              <w:spacing w:after="0"/>
              <w:rPr>
                <w:sz w:val="2"/>
                <w:szCs w:val="2"/>
                <w:color w:val="auto"/>
              </w:rPr>
            </w:pPr>
          </w:p>
        </w:tc>
        <w:tc>
          <w:tcPr>
            <w:tcW w:w="80" w:type="dxa"/>
            <w:vAlign w:val="bottom"/>
            <w:tcBorders>
              <w:top w:val="single" w:sz="8" w:color="0000FF"/>
            </w:tcBorders>
            <w:shd w:val="clear" w:color="auto" w:fill="DBDBDB"/>
          </w:tcPr>
          <w:p>
            <w:pPr>
              <w:spacing w:after="0"/>
              <w:rPr>
                <w:sz w:val="2"/>
                <w:szCs w:val="2"/>
                <w:color w:val="auto"/>
              </w:rPr>
            </w:pPr>
          </w:p>
        </w:tc>
        <w:tc>
          <w:tcPr>
            <w:tcW w:w="40" w:type="dxa"/>
            <w:vAlign w:val="bottom"/>
            <w:tcBorders>
              <w:top w:val="single" w:sz="8" w:color="DBDBDB"/>
            </w:tcBorders>
            <w:shd w:val="clear" w:color="auto" w:fill="DBDBDB"/>
          </w:tcPr>
          <w:p>
            <w:pPr>
              <w:spacing w:after="0"/>
              <w:rPr>
                <w:sz w:val="2"/>
                <w:szCs w:val="2"/>
                <w:color w:val="auto"/>
              </w:rPr>
            </w:pPr>
          </w:p>
        </w:tc>
        <w:tc>
          <w:tcPr>
            <w:tcW w:w="60" w:type="dxa"/>
            <w:vAlign w:val="bottom"/>
            <w:tcBorders>
              <w:top w:val="single" w:sz="8" w:color="DBDBDB"/>
            </w:tcBorders>
            <w:shd w:val="clear" w:color="auto" w:fill="DBDBDB"/>
          </w:tcPr>
          <w:p>
            <w:pPr>
              <w:spacing w:after="0"/>
              <w:rPr>
                <w:sz w:val="2"/>
                <w:szCs w:val="2"/>
                <w:color w:val="auto"/>
              </w:rPr>
            </w:pPr>
          </w:p>
        </w:tc>
        <w:tc>
          <w:tcPr>
            <w:tcW w:w="980" w:type="dxa"/>
            <w:vAlign w:val="bottom"/>
            <w:tcBorders>
              <w:top w:val="single" w:sz="8" w:color="DBDBDB"/>
              <w:right w:val="single" w:sz="8" w:color="DBDBDB"/>
            </w:tcBorders>
            <w:shd w:val="clear" w:color="auto" w:fill="DBDBDB"/>
          </w:tcPr>
          <w:p>
            <w:pPr>
              <w:spacing w:after="0"/>
              <w:rPr>
                <w:sz w:val="2"/>
                <w:szCs w:val="2"/>
                <w:color w:val="auto"/>
              </w:rPr>
            </w:pPr>
          </w:p>
        </w:tc>
        <w:tc>
          <w:tcPr>
            <w:tcW w:w="840" w:type="dxa"/>
            <w:vAlign w:val="bottom"/>
            <w:tcBorders>
              <w:top w:val="single" w:sz="8" w:color="0000FF"/>
            </w:tcBorders>
            <w:shd w:val="clear" w:color="auto" w:fill="DBDBDB"/>
          </w:tcPr>
          <w:p>
            <w:pPr>
              <w:spacing w:after="0"/>
              <w:rPr>
                <w:sz w:val="2"/>
                <w:szCs w:val="2"/>
                <w:color w:val="auto"/>
              </w:rPr>
            </w:pPr>
          </w:p>
        </w:tc>
        <w:tc>
          <w:tcPr>
            <w:tcW w:w="60" w:type="dxa"/>
            <w:vAlign w:val="bottom"/>
            <w:tcBorders>
              <w:top w:val="single" w:sz="8" w:color="0000FF"/>
            </w:tcBorders>
            <w:shd w:val="clear" w:color="auto" w:fill="DBDBDB"/>
          </w:tcPr>
          <w:p>
            <w:pPr>
              <w:spacing w:after="0"/>
              <w:rPr>
                <w:sz w:val="2"/>
                <w:szCs w:val="2"/>
                <w:color w:val="auto"/>
              </w:rPr>
            </w:pPr>
          </w:p>
        </w:tc>
        <w:tc>
          <w:tcPr>
            <w:tcW w:w="180" w:type="dxa"/>
            <w:vAlign w:val="bottom"/>
            <w:tcBorders>
              <w:top w:val="single" w:sz="8" w:color="0000FF"/>
              <w:right w:val="single" w:sz="8" w:color="DBDBDB"/>
            </w:tcBorders>
            <w:shd w:val="clear" w:color="auto" w:fill="DBDBDB"/>
          </w:tcPr>
          <w:p>
            <w:pPr>
              <w:spacing w:after="0"/>
              <w:rPr>
                <w:sz w:val="2"/>
                <w:szCs w:val="2"/>
                <w:color w:val="auto"/>
              </w:rPr>
            </w:pPr>
          </w:p>
        </w:tc>
        <w:tc>
          <w:tcPr>
            <w:tcW w:w="20" w:type="dxa"/>
            <w:vAlign w:val="bottom"/>
            <w:tcBorders>
              <w:top w:val="single" w:sz="8" w:color="0000FF"/>
            </w:tcBorders>
            <w:shd w:val="clear" w:color="auto" w:fill="DBDBDB"/>
          </w:tcPr>
          <w:p>
            <w:pPr>
              <w:spacing w:after="0"/>
              <w:rPr>
                <w:sz w:val="2"/>
                <w:szCs w:val="2"/>
                <w:color w:val="auto"/>
              </w:rPr>
            </w:pPr>
          </w:p>
        </w:tc>
        <w:tc>
          <w:tcPr>
            <w:tcW w:w="140" w:type="dxa"/>
            <w:vAlign w:val="bottom"/>
            <w:tcBorders>
              <w:top w:val="single" w:sz="8" w:color="0000FF"/>
            </w:tcBorders>
            <w:shd w:val="clear" w:color="auto" w:fill="DBDBDB"/>
          </w:tcPr>
          <w:p>
            <w:pPr>
              <w:spacing w:after="0"/>
              <w:rPr>
                <w:sz w:val="2"/>
                <w:szCs w:val="2"/>
                <w:color w:val="auto"/>
              </w:rPr>
            </w:pPr>
          </w:p>
        </w:tc>
        <w:tc>
          <w:tcPr>
            <w:tcW w:w="220" w:type="dxa"/>
            <w:vAlign w:val="bottom"/>
            <w:tcBorders>
              <w:top w:val="single" w:sz="8" w:color="0000FF"/>
            </w:tcBorders>
            <w:shd w:val="clear" w:color="auto" w:fill="DBDBDB"/>
          </w:tcPr>
          <w:p>
            <w:pPr>
              <w:spacing w:after="0"/>
              <w:rPr>
                <w:sz w:val="2"/>
                <w:szCs w:val="2"/>
                <w:color w:val="auto"/>
              </w:rPr>
            </w:pPr>
          </w:p>
        </w:tc>
        <w:tc>
          <w:tcPr>
            <w:tcW w:w="400" w:type="dxa"/>
            <w:vAlign w:val="bottom"/>
            <w:tcBorders>
              <w:top w:val="single" w:sz="8" w:color="0000FF"/>
            </w:tcBorders>
            <w:shd w:val="clear" w:color="auto" w:fill="DBDBDB"/>
          </w:tcPr>
          <w:p>
            <w:pPr>
              <w:spacing w:after="0"/>
              <w:rPr>
                <w:sz w:val="2"/>
                <w:szCs w:val="2"/>
                <w:color w:val="auto"/>
              </w:rPr>
            </w:pPr>
          </w:p>
        </w:tc>
        <w:tc>
          <w:tcPr>
            <w:tcW w:w="20" w:type="dxa"/>
            <w:vAlign w:val="bottom"/>
            <w:tcBorders>
              <w:top w:val="single" w:sz="8" w:color="0000FF"/>
            </w:tcBorders>
            <w:shd w:val="clear" w:color="auto" w:fill="DBDBDB"/>
          </w:tcPr>
          <w:p>
            <w:pPr>
              <w:spacing w:after="0"/>
              <w:rPr>
                <w:sz w:val="2"/>
                <w:szCs w:val="2"/>
                <w:color w:val="auto"/>
              </w:rPr>
            </w:pPr>
          </w:p>
        </w:tc>
        <w:tc>
          <w:tcPr>
            <w:tcW w:w="280" w:type="dxa"/>
            <w:vAlign w:val="bottom"/>
            <w:tcBorders>
              <w:top w:val="single" w:sz="8" w:color="DBDBDB"/>
            </w:tcBorders>
            <w:shd w:val="clear" w:color="auto" w:fill="DBDBDB"/>
          </w:tcPr>
          <w:p>
            <w:pPr>
              <w:spacing w:after="0"/>
              <w:rPr>
                <w:sz w:val="2"/>
                <w:szCs w:val="2"/>
                <w:color w:val="auto"/>
              </w:rPr>
            </w:pPr>
          </w:p>
        </w:tc>
        <w:tc>
          <w:tcPr>
            <w:tcW w:w="260" w:type="dxa"/>
            <w:vAlign w:val="bottom"/>
            <w:tcBorders>
              <w:top w:val="single" w:sz="8" w:color="DBDBDB"/>
            </w:tcBorders>
            <w:shd w:val="clear" w:color="auto" w:fill="DBDBDB"/>
          </w:tcPr>
          <w:p>
            <w:pPr>
              <w:spacing w:after="0"/>
              <w:rPr>
                <w:sz w:val="2"/>
                <w:szCs w:val="2"/>
                <w:color w:val="auto"/>
              </w:rPr>
            </w:pPr>
          </w:p>
        </w:tc>
        <w:tc>
          <w:tcPr>
            <w:tcW w:w="20" w:type="dxa"/>
            <w:vAlign w:val="bottom"/>
            <w:tcBorders>
              <w:top w:val="single" w:sz="8" w:color="DBDBDB"/>
            </w:tcBorders>
            <w:shd w:val="clear" w:color="auto" w:fill="DBDBDB"/>
          </w:tcPr>
          <w:p>
            <w:pPr>
              <w:spacing w:after="0"/>
              <w:rPr>
                <w:sz w:val="2"/>
                <w:szCs w:val="2"/>
                <w:color w:val="auto"/>
              </w:rPr>
            </w:pPr>
          </w:p>
        </w:tc>
        <w:tc>
          <w:tcPr>
            <w:tcW w:w="140" w:type="dxa"/>
            <w:vAlign w:val="bottom"/>
            <w:tcBorders>
              <w:top w:val="single" w:sz="8" w:color="DBDBDB"/>
            </w:tcBorders>
            <w:shd w:val="clear" w:color="auto" w:fill="DBDBDB"/>
          </w:tcPr>
          <w:p>
            <w:pPr>
              <w:spacing w:after="0"/>
              <w:rPr>
                <w:sz w:val="2"/>
                <w:szCs w:val="2"/>
                <w:color w:val="auto"/>
              </w:rPr>
            </w:pPr>
          </w:p>
        </w:tc>
        <w:tc>
          <w:tcPr>
            <w:tcW w:w="220" w:type="dxa"/>
            <w:vAlign w:val="bottom"/>
            <w:tcBorders>
              <w:top w:val="single" w:sz="8" w:color="DBDBDB"/>
            </w:tcBorders>
            <w:shd w:val="clear" w:color="auto" w:fill="DBDBDB"/>
          </w:tcPr>
          <w:p>
            <w:pPr>
              <w:spacing w:after="0"/>
              <w:rPr>
                <w:sz w:val="2"/>
                <w:szCs w:val="2"/>
                <w:color w:val="auto"/>
              </w:rPr>
            </w:pPr>
          </w:p>
        </w:tc>
        <w:tc>
          <w:tcPr>
            <w:tcW w:w="940" w:type="dxa"/>
            <w:vAlign w:val="bottom"/>
            <w:tcBorders>
              <w:top w:val="single" w:sz="8" w:color="DBDBDB"/>
            </w:tcBorders>
            <w:shd w:val="clear" w:color="auto" w:fill="DBDBDB"/>
          </w:tcPr>
          <w:p>
            <w:pPr>
              <w:spacing w:after="0"/>
              <w:rPr>
                <w:sz w:val="2"/>
                <w:szCs w:val="2"/>
                <w:color w:val="auto"/>
              </w:rPr>
            </w:pPr>
          </w:p>
        </w:tc>
        <w:tc>
          <w:tcPr>
            <w:tcW w:w="200" w:type="dxa"/>
            <w:vAlign w:val="bottom"/>
            <w:tcBorders>
              <w:top w:val="single" w:sz="8" w:color="DBDBDB"/>
            </w:tcBorders>
            <w:shd w:val="clear" w:color="auto" w:fill="DBDBDB"/>
          </w:tcPr>
          <w:p>
            <w:pPr>
              <w:spacing w:after="0"/>
              <w:rPr>
                <w:sz w:val="2"/>
                <w:szCs w:val="2"/>
                <w:color w:val="auto"/>
              </w:rPr>
            </w:pPr>
          </w:p>
        </w:tc>
        <w:tc>
          <w:tcPr>
            <w:tcW w:w="480" w:type="dxa"/>
            <w:vAlign w:val="bottom"/>
            <w:tcBorders>
              <w:top w:val="single" w:sz="8" w:color="DBDBDB"/>
            </w:tcBorders>
            <w:shd w:val="clear" w:color="auto" w:fill="DBDBDB"/>
          </w:tcPr>
          <w:p>
            <w:pPr>
              <w:spacing w:after="0"/>
              <w:rPr>
                <w:sz w:val="2"/>
                <w:szCs w:val="2"/>
                <w:color w:val="auto"/>
              </w:rPr>
            </w:pPr>
          </w:p>
        </w:tc>
        <w:tc>
          <w:tcPr>
            <w:tcW w:w="220" w:type="dxa"/>
            <w:vAlign w:val="bottom"/>
            <w:tcBorders>
              <w:top w:val="single" w:sz="8" w:color="DBDBDB"/>
            </w:tcBorders>
            <w:shd w:val="clear" w:color="auto" w:fill="DBDBDB"/>
          </w:tcPr>
          <w:p>
            <w:pPr>
              <w:spacing w:after="0"/>
              <w:rPr>
                <w:sz w:val="2"/>
                <w:szCs w:val="2"/>
                <w:color w:val="auto"/>
              </w:rPr>
            </w:pPr>
          </w:p>
        </w:tc>
        <w:tc>
          <w:tcPr>
            <w:tcW w:w="1140" w:type="dxa"/>
            <w:vAlign w:val="bottom"/>
            <w:tcBorders>
              <w:top w:val="single" w:sz="8" w:color="DBDBDB"/>
            </w:tcBorders>
            <w:shd w:val="clear" w:color="auto" w:fill="DBDBDB"/>
          </w:tcPr>
          <w:p>
            <w:pPr>
              <w:spacing w:after="0"/>
              <w:rPr>
                <w:sz w:val="2"/>
                <w:szCs w:val="2"/>
                <w:color w:val="auto"/>
              </w:rPr>
            </w:pPr>
          </w:p>
        </w:tc>
        <w:tc>
          <w:tcPr>
            <w:tcW w:w="340" w:type="dxa"/>
            <w:vAlign w:val="bottom"/>
            <w:tcBorders>
              <w:top w:val="single" w:sz="8" w:color="DBDBDB"/>
            </w:tcBorders>
            <w:shd w:val="clear" w:color="auto" w:fill="DBDBDB"/>
          </w:tcPr>
          <w:p>
            <w:pPr>
              <w:spacing w:after="0"/>
              <w:rPr>
                <w:sz w:val="2"/>
                <w:szCs w:val="2"/>
                <w:color w:val="auto"/>
              </w:rPr>
            </w:pPr>
          </w:p>
        </w:tc>
        <w:tc>
          <w:tcPr>
            <w:tcW w:w="820" w:type="dxa"/>
            <w:vAlign w:val="bottom"/>
            <w:tcBorders>
              <w:top w:val="single" w:sz="8" w:color="DBDBDB"/>
            </w:tcBorders>
            <w:shd w:val="clear" w:color="auto" w:fill="DBDBDB"/>
          </w:tcPr>
          <w:p>
            <w:pPr>
              <w:spacing w:after="0"/>
              <w:rPr>
                <w:sz w:val="2"/>
                <w:szCs w:val="2"/>
                <w:color w:val="auto"/>
              </w:rPr>
            </w:pPr>
          </w:p>
        </w:tc>
        <w:tc>
          <w:tcPr>
            <w:tcW w:w="640" w:type="dxa"/>
            <w:vAlign w:val="bottom"/>
            <w:tcBorders>
              <w:top w:val="single" w:sz="8" w:color="DBDBDB"/>
            </w:tcBorders>
            <w:shd w:val="clear" w:color="auto" w:fill="DBDBDB"/>
          </w:tcPr>
          <w:p>
            <w:pPr>
              <w:spacing w:after="0"/>
              <w:rPr>
                <w:sz w:val="2"/>
                <w:szCs w:val="2"/>
                <w:color w:val="auto"/>
              </w:rPr>
            </w:pPr>
          </w:p>
        </w:tc>
        <w:tc>
          <w:tcPr>
            <w:tcW w:w="100" w:type="dxa"/>
            <w:vAlign w:val="bottom"/>
            <w:tcBorders>
              <w:top w:val="single" w:sz="8" w:color="DBDBDB"/>
            </w:tcBorders>
            <w:shd w:val="clear" w:color="auto" w:fill="DBDBDB"/>
          </w:tcPr>
          <w:p>
            <w:pPr>
              <w:spacing w:after="0"/>
              <w:rPr>
                <w:sz w:val="2"/>
                <w:szCs w:val="2"/>
                <w:color w:val="auto"/>
              </w:rPr>
            </w:pPr>
          </w:p>
        </w:tc>
        <w:tc>
          <w:tcPr>
            <w:tcW w:w="80" w:type="dxa"/>
            <w:vAlign w:val="bottom"/>
            <w:tcBorders>
              <w:top w:val="single" w:sz="8" w:color="DBDBDB"/>
            </w:tcBorders>
            <w:shd w:val="clear" w:color="auto" w:fill="DBDBDB"/>
          </w:tcPr>
          <w:p>
            <w:pPr>
              <w:spacing w:after="0"/>
              <w:rPr>
                <w:sz w:val="2"/>
                <w:szCs w:val="2"/>
                <w:color w:val="auto"/>
              </w:rPr>
            </w:pPr>
          </w:p>
        </w:tc>
        <w:tc>
          <w:tcPr>
            <w:tcW w:w="160" w:type="dxa"/>
            <w:vAlign w:val="bottom"/>
            <w:tcBorders>
              <w:top w:val="single" w:sz="8" w:color="DBDBDB"/>
            </w:tcBorders>
            <w:shd w:val="clear" w:color="auto" w:fill="DBDBDB"/>
          </w:tcPr>
          <w:p>
            <w:pPr>
              <w:spacing w:after="0"/>
              <w:rPr>
                <w:sz w:val="2"/>
                <w:szCs w:val="2"/>
                <w:color w:val="auto"/>
              </w:rPr>
            </w:pPr>
          </w:p>
        </w:tc>
        <w:tc>
          <w:tcPr>
            <w:tcW w:w="80" w:type="dxa"/>
            <w:vAlign w:val="bottom"/>
            <w:tcBorders>
              <w:top w:val="single" w:sz="8" w:color="DBDBDB"/>
            </w:tcBorders>
            <w:shd w:val="clear" w:color="auto" w:fill="DBDBDB"/>
          </w:tcPr>
          <w:p>
            <w:pPr>
              <w:spacing w:after="0"/>
              <w:rPr>
                <w:sz w:val="2"/>
                <w:szCs w:val="2"/>
                <w:color w:val="auto"/>
              </w:rPr>
            </w:pPr>
          </w:p>
        </w:tc>
        <w:tc>
          <w:tcPr>
            <w:tcW w:w="1260" w:type="dxa"/>
            <w:vAlign w:val="bottom"/>
            <w:tcBorders>
              <w:top w:val="single" w:sz="8" w:color="DBDBDB"/>
            </w:tcBorders>
            <w:shd w:val="clear" w:color="auto" w:fill="DBDBDB"/>
          </w:tcPr>
          <w:p>
            <w:pPr>
              <w:spacing w:after="0"/>
              <w:rPr>
                <w:sz w:val="2"/>
                <w:szCs w:val="2"/>
                <w:color w:val="auto"/>
              </w:rPr>
            </w:pPr>
          </w:p>
        </w:tc>
        <w:tc>
          <w:tcPr>
            <w:tcW w:w="100" w:type="dxa"/>
            <w:vAlign w:val="bottom"/>
            <w:tcBorders>
              <w:top w:val="single" w:sz="8" w:color="0000EE"/>
            </w:tcBorders>
            <w:shd w:val="clear" w:color="auto" w:fill="DBDBDB"/>
          </w:tcPr>
          <w:p>
            <w:pPr>
              <w:spacing w:after="0"/>
              <w:rPr>
                <w:sz w:val="2"/>
                <w:szCs w:val="2"/>
                <w:color w:val="auto"/>
              </w:rPr>
            </w:pPr>
          </w:p>
        </w:tc>
        <w:tc>
          <w:tcPr>
            <w:tcW w:w="80" w:type="dxa"/>
            <w:vAlign w:val="bottom"/>
            <w:tcBorders>
              <w:top w:val="single" w:sz="8" w:color="0000EE"/>
            </w:tcBorders>
            <w:shd w:val="clear" w:color="auto" w:fill="DBDBDB"/>
          </w:tcPr>
          <w:p>
            <w:pPr>
              <w:spacing w:after="0"/>
              <w:rPr>
                <w:sz w:val="2"/>
                <w:szCs w:val="2"/>
                <w:color w:val="auto"/>
              </w:rPr>
            </w:pPr>
          </w:p>
        </w:tc>
        <w:tc>
          <w:tcPr>
            <w:tcW w:w="20" w:type="dxa"/>
            <w:vAlign w:val="bottom"/>
            <w:tcBorders>
              <w:top w:val="single" w:sz="8" w:color="DBDBDB"/>
            </w:tcBorders>
            <w:shd w:val="clear" w:color="auto" w:fill="DBDBDB"/>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260" w:type="dxa"/>
            <w:vAlign w:val="bottom"/>
            <w:gridSpan w:val="26"/>
          </w:tcPr>
          <w:p>
            <w:pPr>
              <w:spacing w:after="0" w:line="202" w:lineRule="exact"/>
              <w:rPr>
                <w:sz w:val="20"/>
                <w:szCs w:val="20"/>
                <w:color w:val="auto"/>
              </w:rPr>
            </w:pPr>
            <w:r>
              <w:rPr>
                <w:rFonts w:ascii="Times New Roman" w:cs="Times New Roman" w:eastAsia="Times New Roman" w:hAnsi="Times New Roman"/>
                <w:sz w:val="18"/>
                <w:szCs w:val="18"/>
                <w:color w:val="0000FF"/>
              </w:rPr>
              <w:t>SIGNATURES</w:t>
            </w:r>
          </w:p>
        </w:tc>
        <w:tc>
          <w:tcPr>
            <w:tcW w:w="18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0000EE"/>
                <w:w w:val="88"/>
              </w:rPr>
              <w:t>85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Borders>
              <w:right w:val="single" w:sz="8" w:color="0000FF"/>
            </w:tcBorders>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 - Factors That May Affect Future Results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This report may contain or incorporate by reference forward-looking statements made pursuant to the safe harbor provisions of Section 27A of the Securities Act of 1933, as amended, and Section 21E of the Securities Exchange Act of 1934, as amended. Although we believe that, in making any such statements, our expectations are based on reasonable assumptions, forward-looking statements are not guarantees of future performance and involve risks, uncertainties, and other factors beyond our control, which may cause future performance to be materially different from expected performance summarized in the forward-looking statements. These risks, uncertainties and other factors are discussed in the section Part I, Item 1A, “Risk Factors.” We undertake no obligation to publicly update or revise any forward-looking statements to reflect changed assumptions, the occurrence of anticipated or unanticipated events, or changes to future results over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564515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u w:val="single" w:color="auto"/>
          <w:color w:val="auto"/>
        </w:rPr>
        <w:t>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Business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Cass Information Systems, Inc. (“Cass” or the “Company”) provides payment and information processing services to large manufacturing, distribution and retail enterprises across the United States. The Company’s services include freight invoice rating, payment processing, auditing, and the generation of accounting and transportation information. Cass also processes and pays facility-related invoices, which include electricity and gas as well as waste and telecommunications expenses, and is a provider of telecom expense management solutions. Cass solutions include integrated payments, a B2B payment platform for clients that require an agile fintech partner. Additionally, the Company offers a church management software solution and an on-line platform to provide generosity services for faith-based and non-profit organizations. The Company’s bank subsidiary, Cass Commercial Bank (the “Bank”), supports the Company’s payment operations. The Bank also provides banking services to its target markets, which include privately held businesses in the St. Louis metropolitan area and restaurant franchises and faith-based ministries within the United States.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Strategy and Core Competencies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Cass is an information services company with a primary focus on processing payables and payables-related transactions for large corporations located in the United States. Cass possesses four core competencies that encompass most of its processing services.</w:t>
      </w:r>
    </w:p>
    <w:p>
      <w:pPr>
        <w:spacing w:after="0" w:line="1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Data acquisition </w:t>
      </w:r>
      <w:r>
        <w:rPr>
          <w:rFonts w:ascii="Times New Roman" w:cs="Times New Roman" w:eastAsia="Times New Roman" w:hAnsi="Times New Roman"/>
          <w:sz w:val="18"/>
          <w:szCs w:val="18"/>
          <w:color w:val="auto"/>
        </w:rPr>
        <w:t>– This refers to the gathering of data elements from diverse, heterogeneous sources and the building of complete databases for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customers. Data is the raw material of the information economy. Cass gathers vital data from complex and diverse input documents, electronic media, proprietary databases and data feeds, including data acquired from vendor invoices as well as customer procurement and sales systems. Through its numerous methods of obtaining streams and pieces of raw data, Cass is able to assemble vital data into centralized data management systems and warehouses, thus producing an engine to create the power of information for managing critical corporate functions and processing systems.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Data management </w:t>
      </w:r>
      <w:r>
        <w:rPr>
          <w:rFonts w:ascii="Times New Roman" w:cs="Times New Roman" w:eastAsia="Times New Roman" w:hAnsi="Times New Roman"/>
          <w:sz w:val="18"/>
          <w:szCs w:val="18"/>
          <w:color w:val="auto"/>
        </w:rPr>
        <w:t>– Once data is assembled, Cass is able to utilize the power from derived information to produce significant savings and benefits for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clients. This information is integrated into customers’ unique financial and accounting systems, eliminating the need for internal accounting processing and providing internal and external support for these critical systems. Information is also used to produce management and exception reporting for operational control, feedback, planning assistance and performance measurement.</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Business Intelligence </w:t>
      </w:r>
      <w:r>
        <w:rPr>
          <w:rFonts w:ascii="Times New Roman" w:cs="Times New Roman" w:eastAsia="Times New Roman" w:hAnsi="Times New Roman"/>
          <w:sz w:val="18"/>
          <w:szCs w:val="18"/>
          <w:color w:val="auto"/>
        </w:rPr>
        <w:t>– Receiving information in the right place at the right time and in the required format is paramount for business survival. Cass’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information delivery solutions provide reports, digital images, data files and retrieval capabilities through the internet or directly into customer internal systems. Cass’ proprietary internet management delivery system is the foundation for driving these critical functions. Transaction, operational, control, status and processing exception information are all delivered through this system creating an efficient, accessible and highly reliable asset for Cass customers.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Financial exchange </w:t>
      </w:r>
      <w:r>
        <w:rPr>
          <w:rFonts w:ascii="Times New Roman" w:cs="Times New Roman" w:eastAsia="Times New Roman" w:hAnsi="Times New Roman"/>
          <w:sz w:val="18"/>
          <w:szCs w:val="18"/>
          <w:color w:val="auto"/>
        </w:rPr>
        <w:t>– Since Cass is unique among its competition in that it owns a commercial bank, it is also able to manage the movement of funds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its customers to their suppliers. This is a distinguishing factor, which clearly requires the processing capability, operating systems and financial integrity of a banking organization. Cass provides immediate, accurate, controlled and protected funds management and transfer system capabilities for all of its customers. Old and costly check processing and delivery mechanisms are replaced with more efficient electronic cash management and funds transfer systems.</w:t>
      </w:r>
    </w:p>
    <w:p>
      <w:pPr>
        <w:spacing w:after="0" w:line="18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Cass’ core competencies allow it to perform the highest volumes of transaction processing in an integrated, efficient and systematic approach. Not only is Cass able to process the transaction, it is also able to collect the data defining the transaction and effect the financial payment governing its terms.</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These core competencies, enhanced through shared business processes, drive Cass’ strategic business units. Building upon these foundations, Cass continues to explore new business opportunities that leverage these competencies and processes.</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Marketing, Customers and Competition</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Company, through its Transportation Information Services business unit, is one of the largest firms in the transportation bill processing and payment industry in the United States based on the total dollars of transportation bills paid and items processed. Competition consists of a few primary competitors and numerous small transportation bill audit firms located throughout the United States. While offering transportation payment services, few of these audit firms compete on a national basis. These competitors compete mainly on price, functionality and service levels. The Company, through its Utility Expense Management business unit, also competes with other companies located throughout the United States that pay utility bills and provide management reporting. Available data indicates that the Company is one of the largest providers of utility information processing and payment services. Cass is unique among these competitors in that it is not exclusively affiliated with any one energy service provider (“ESP”). Various ESPs market the Company’s services, adding value with their unique auditing, consulting and technological capabilities. Many of Cass’ services are customized for the ESPs, providing a full-featured solution without any development costs to the ESP. The Company, through its Telecom Information Services business unit, is a leader in the growing telecom expense management market and competes with other companies located throughout the United States in this market. The Company, through its Waste Expense Management business, is one of the largest providers of waste invoice management solutions and competes against small expense management companies along with large national account programs of major haulers. The Company's TouchPoint division offers a church management software solution and an on-line platform to provide generosity services for faith-based and non-profit organizations, which is a complementary service offering to the Bank’s faith-based customers. Also, the Company, through its CassPay operation, competes with providers of corporate payment solutions.</w:t>
      </w:r>
    </w:p>
    <w:p>
      <w:pPr>
        <w:spacing w:after="0" w:line="19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Bank is organized as a Missouri trust company with banking powers and was founded in 1906. The Company was originally classified as a bank holding corporation due to its ownership of a federally-insured commercial bank and was originally organized in 1982 as Cass Commercial Corporation under the laws of Missouri. Approval by the Board of Governors of the Federal Reserve System was received in February 1983. The Company changed its name to Cass Information Systems, Inc. in January 2001. In December 2011, the Federal Reserve Bank (“FRB”) of St. Louis approved the election of Cass Information Systems, Inc. to become a financial holding company. As a financial holding company, Cass may engage in activities that are financial in nature or incidental to a financial activity. The Bank encounters competition from numerous banks and financial institutions located throughout the St. Louis, Missouri metropolitan area and other areas in which the Bank competes. The Bank’s principal competitors, however, are large bank holding companies that are able to offer a wide range of banking and related services through extensive branch networks. The Bank targets its services to privately held businesses, restaurant franchises, and faith-based ministries located in St. Louis, Missouri and other selected cities located throughout the United States.</w:t>
      </w:r>
    </w:p>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holds several trademarks for the payment and rating services it provides. These include: FreightPay®, Transdata®, Ratemaker®, Best Rate®, Rate Exchange®, CassPort®, Cass Freight Index®, Cass Truckload Linehaul Index®, Cass Intermodal Price Index® Expense$mart®, ExpenseSmart®, TouchPoint®, Gyve®, Generosity Made Simple®, WasteVision™ and Direct2Carrier Payments™. The Company holds patents for methods and systems for managing employee-liable expenses and methods and systems for communicating expense management information.</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and its subsidiaries have a varied client base and are not dependent on any one customer or group of customers for a significant portion of its business.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 and Human Capital Resources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and its subsidiaries had 1,061 full-time and 255 part-time employees as of February 15, 2024. Of these employees, the Bank had 66 full-time and no part-time employees.</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Cass has long been committed to comprehensive and competitive compensation and benefits programs to attract and retain talent in a competitive environment. Retention of skilled and highly trained employees is critical as the Company’s future operating results depend substantially upon the continued service of executive officers and key personnel. Furthering the philosophy to attract and retain a pool of talented and motivated employees who will continue to advance the Company’s purpose and contribute to overall success, compensation and benefits programs include: a noncontributory profit sharing program for most employees; a defined contribution 401(k) plan to provide retirement benefits to eligible employees; a performance-based equity compensation program for executive officers and key personnel; and incentive programs for loan and sales personnel. Cass also provides comprehensive health, dental, and vision plans to most employees, as well as free employee assistance programs to all employees and members of their families.</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invests in its employees’ futures by assisting with tuition reimbursement for continued education. Employees are also able to participate in educational seminars run by outside parties to maintain and expand professional knowledge.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order to develop a workforce that aligns with the Company’s corporate values, regularly sponsored campaigns and events occur, such as charitable workplace campaigns, food drives to assist local food banks, and toy drives to support charities during the holidays. The Company offers paid time off for charitable endeavors. Additionally, the Company supports a number of organizations with annual financial contributions.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recognizes the benefits of building a corporate culture that promotes diversity, equity and inclusion ("DEI") to foster unique ideas and ways of thinking. In pursuit of the Company's overall DEI mission, Cass focuses on: a) cultivating an environment that encourages collaboration, flexibility and fairness to enable all employees to contribute to their full potential; b) promoting diversity in our talent management and succession planning processes and employee development programs; and c) ensuring leadership commitment in facilitating the Company's DEI efforts.</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Company's DEI Committee was formed after a thorough process of determining a charter and actively looks to expand the Company's DEI vision. The committee members are passionate about DEI efforts and represent the Company's various business divisions and corporate departments. The Company continues to promote DEI within its culture and make improvements to human resources programs to support related initiatives. As of December 31, 2023, 69% of the Company's U.S. employees were female, and 23% were ethnically diverse. Within the management group, 52% were female, and 13% were ethnically diverse. The Company continues to support and provide diversity training to all employees. The Company also continues its commitment to providing a workplace that is free of harassment and discrimination by taking proactive measures and providing all employees with non-discrimination and sexual harassment prevention training on an annual basis. The DEI initiatives are supported and promoted to provide all employees a place where they feel welcomed, appreciated and valued.</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Equal opportunities, anti-harassment, non-discrimination, the health and safety of employees and work-life balance are actively promoted as more fully described in the Company's Environmental, Social, and Governance ("ESG") report.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Supervision and Regulation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and its bank subsidiary are extensively regulated under federal and state law. These laws and regulations are intended to primarily protect depositors, not shareholders. The Bank is subject to regulation and supervision by the Missouri Division of Finance, the FRB and the Federal Deposit Insurance Corporation (the “FDIC”). The Company is a financial holding company within the meaning of the Bank Holding Company Act of 1956, as amended (the “BHC Act”), and as such, it is subject to regulation, supervision and examination by the FRB. Significant elements of the laws and regulations applicable to the Company and the Bank are described below. The description is qualified in its entirety by reference to the full text of the statutes, regulations and policies that are described. Also, such statutes, regulations and policies are continually under review by Congress and state legislatures and federal and state regulatory agencies. A change in statutes, regulations or regulatory policies applicable to the Company and its subsidiaries could have a material effect on the business, financial condition and results of operations of the Company.</w:t>
      </w:r>
    </w:p>
    <w:p>
      <w:pPr>
        <w:spacing w:after="0" w:line="190"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7"/>
          <w:szCs w:val="17"/>
          <w:i w:val="1"/>
          <w:iCs w:val="1"/>
          <w:color w:val="auto"/>
        </w:rPr>
        <w:t xml:space="preserve">Bank Holding Company Activities </w:t>
      </w:r>
      <w:r>
        <w:rPr>
          <w:rFonts w:ascii="Times New Roman" w:cs="Times New Roman" w:eastAsia="Times New Roman" w:hAnsi="Times New Roman"/>
          <w:sz w:val="17"/>
          <w:szCs w:val="17"/>
          <w:color w:val="auto"/>
        </w:rPr>
        <w:t>– In general, the BHC Act limits the business of bank holding companies to banking, managing or controlling banks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other related activities. In addition, bank holding companies that qualify and elect to be financial holding companies, such as the Company, may engage in any activity, or acquire and retain the shares of a company engaged in any activity, that is either (i) financial in nature or incidental to such financial activity or (ii) complementary to a financial activity and does not pose a substantial risk to the safety and soundness of depository institutions or the financial system generally. Such permitted activities include securities underwriting and dealing, insurance underwriting and making merchant banking investments.</w:t>
      </w:r>
    </w:p>
    <w:p>
      <w:pPr>
        <w:spacing w:after="0" w:line="17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To maintain financial holding company status, a financial holding company and all of its depository institution subsidiaries must be “well capitalized” and “well managed.” A depository institution subsidiary is considered to be “well capitalized” if it satisfies the requirements for this status discussed in the section “Prompt Corrective Action” below. A depository institution subsidiary is considered “well managed” if it received a composite rating and management rating of at least “satisfactory” in its most recent examination. A financial holding company’s status will also depend upon it maintaining its status as “well capitalized” and “well managed’ under applicable FRB regulations. If a financial holding company ceases to meet these capital and management requirements, the FRB may impose limitations or conditions on the conduct of its activities during the non-compliance period, and the company may not commence any of the broader financial activities</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permissible for financial holding companies or acquire a company engaged in such financial activities without prior approval of the FRB. If the company does not return to compliance within 180 days, the FRB may require divestiture of the holding company’s depository institutions.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order for a financial holding company to commence any new activity permitted by the BHC Act or to acquire a company engaged in any new activity permitted by the BHC Act, each insured depository institution subsidiary of the financial holding company must have received a rating of at least “satisfactory” in its most recent examination under the Community Reinvestment Act. See “Community Reinvestment Act” below.</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FRB has the power to order any bank holding company or its subsidiaries to terminate any activity or to terminate its ownership or control of any subsidiary when the FRB has reasonable grounds to believe that continuation of such activity or such ownership or control constitutes a serious risk to the financial soundness, safety or stability of any bank subsidiary of the bank holding company.</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BHC Act, the Bank Merger Act, and other federal and state statutes regulate acquisitions of banks and banking companies. The BHC Act requires the prior approval of the FRB for the direct or indirect acquisition by the Company of more than 5% of the voting shares or substantially all of the assets of a bank or bank holding company. Under the Bank Merger Act, the prior approval of the FRB or other appropriate bank regulatory authority is required for the Bank to merge with another bank or purchase the assets or assume the deposits of another bank. In reviewing acquisition applications, the bank regulatory authorities will consider, among other things, the competitive effect and public benefits of the transactions, the capital position of the combined organization, the risks to the stability of the U.S. banking or financial system, the applicant’s performance record under the Community Reinvestment Act and its compliance with fair housing laws.</w:t>
      </w:r>
    </w:p>
    <w:p>
      <w:pPr>
        <w:spacing w:after="0" w:line="18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The Dodd-Frank Act </w:t>
      </w:r>
      <w:r>
        <w:rPr>
          <w:rFonts w:ascii="Times New Roman" w:cs="Times New Roman" w:eastAsia="Times New Roman" w:hAnsi="Times New Roman"/>
          <w:sz w:val="18"/>
          <w:szCs w:val="18"/>
          <w:color w:val="auto"/>
        </w:rPr>
        <w:t>– The Dodd-Frank Wall Street Reform and Consumer Protection Act (the “Dodd-Frank Act”), enacted in July 2010, significantly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restructured the financial regulatory environment in the United States, affecting all bank holding companies and banks, including the Company and the Bank, some of which are described in more detail below. The impact of the Dodd-Frank Act on the Company and the Bank has been substantial.</w:t>
      </w:r>
    </w:p>
    <w:p>
      <w:pPr>
        <w:spacing w:after="0" w:line="17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Enhanced Prudential Standards </w:t>
      </w:r>
      <w:r>
        <w:rPr>
          <w:rFonts w:ascii="Times New Roman" w:cs="Times New Roman" w:eastAsia="Times New Roman" w:hAnsi="Times New Roman"/>
          <w:sz w:val="18"/>
          <w:szCs w:val="18"/>
          <w:color w:val="auto"/>
        </w:rPr>
        <w:t>– The FRB is required to monitor emerging risks to financial stability and enact enhanced supervision and prudential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standards applicable to large bank holding companies and certain non-bank covered companies designated as systemically important by the Financial Stability Oversight Council. The Dodd-Frank Act mandates that certain regulatory requirements applicable to these systemically important financial institutions be more stringent than those applicable to other financial institutions. In 2019, the FRB adopted new rules impacting certain capital and liquidity requirements and other enhanced prudential standards. The final rules assign all domestic bank holding companies with $100 billion or more in total consolidated assets to one of four categories of tailored regulatory requirements. The Company and the Bank are generally not impacted by these rules. The enhanced prudential standards rules, as amended in 2019, require publicly traded bank holding companies with $50 billion or more in total consolidated assets to establish risk committees. Prior to the amendment, the requirement to establish a risk committee was applicable to publicly traded companies with $10 billion or more in consolidated assets.</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Dividends and Stock Repurchases </w:t>
      </w:r>
      <w:r>
        <w:rPr>
          <w:rFonts w:ascii="Times New Roman" w:cs="Times New Roman" w:eastAsia="Times New Roman" w:hAnsi="Times New Roman"/>
          <w:sz w:val="18"/>
          <w:szCs w:val="18"/>
          <w:color w:val="auto"/>
        </w:rPr>
        <w:t>– Both the Company and the Bank are subject to various regulations that restrict their ability to pay dividends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amount of dividends that they may pay. Under the Federal Deposit Insurance Corporation Improvement Act of 1991, a depository institution, such as the Bank, may not pay dividends if payment would cause it to become undercapitalized or if it is already undercapitalized. The payment of dividends by the Company and the Bank may also be affected or limited by other factors, such as the requirement to maintain adequate capital and, under certain circumstances, the ability of federal regulators to prohibit dividend payments as an unsound or unsafe practice.</w:t>
      </w:r>
    </w:p>
    <w:p>
      <w:pPr>
        <w:spacing w:after="0" w:line="18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From time to time, the Company's Board of Directors has authorized stock repurchase plans. Bank holding companies must consult with the Federal Reserve before redeeming any equity or other capital instrument included in tier 1 or tier 2 capital prior to stated maturity, if such redemption could have a material effect on the level or composition of the organization’s capital base. In addition, a bank holding company is unable to repurchase shares equal to 10% or more of its net worth if it would not be well-capitalized (as defined by the Federal Reserve) after giving effect to such repurchase. Bank holding companies experiencing financial weaknesses, or that are at significant risk of developing financial weaknesses, must consult with the Federal Reserve before redeeming or repurchasing common stock or other regulatory capital instruments.</w:t>
      </w:r>
    </w:p>
    <w:p>
      <w:pPr>
        <w:spacing w:after="0" w:line="18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August 2022, the Inflation Reduction Act of 2022 (the “Inflation Reduction Act") was enacted. Among other things, the Inflation Reduction Act imposes a new 1% excise tax on the fair market value of stock repurchased after December 31,</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2022 by publicly traded U.S. corporations. With certain exceptions, the value of stock repurchased is determined net of stock issued in the year, including shares issued pursuant to compensatory arrangements.</w:t>
      </w:r>
    </w:p>
    <w:p>
      <w:pPr>
        <w:spacing w:after="0" w:line="1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Capital Requirements </w:t>
      </w:r>
      <w:r>
        <w:rPr>
          <w:rFonts w:ascii="Times New Roman" w:cs="Times New Roman" w:eastAsia="Times New Roman" w:hAnsi="Times New Roman"/>
          <w:sz w:val="18"/>
          <w:szCs w:val="18"/>
          <w:color w:val="auto"/>
        </w:rPr>
        <w:t>– As a bank holding company, the Company and the Bank are subject to capital requirements pursuant to the FRB’s capital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guidelines which include (i) risk-based capital guidelines, which are designed to make capital requirements more sensitive to various risk profiles and account for off-balance sheet exposure; (ii) guidelines that consider market risk, which is the risk of loss due to change in value of assets and liabilities due to changes in interest rates; and (iii) guidelines that use a leverage ratio which places a constraint on the maximum degree of risk to which a financial holding company may leverage its equity capital base.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Basel III Capital Rules require the Company and the Bank to maintain the following:</w:t>
      </w:r>
    </w:p>
    <w:p>
      <w:pPr>
        <w:spacing w:after="0" w:line="117" w:lineRule="exact"/>
        <w:rPr>
          <w:sz w:val="20"/>
          <w:szCs w:val="20"/>
          <w:color w:val="auto"/>
        </w:rPr>
      </w:pPr>
    </w:p>
    <w:p>
      <w:pPr>
        <w:ind w:left="660" w:hanging="328"/>
        <w:spacing w:after="0" w:line="282"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minimum ratio of common equity Tier 1 capital to risk-weighted assets of at least 4.5%, plus a 2.5% capital conservation buffer (resulting in a minimum common equity Tier 1 capital ratio of 7.0%);</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minimum ratio of Tier 1 capital to risk-weighted assets of at least 6.0%, plus a 2.5% capital conservation buffer (resulting in a minimum Tier 1 capital ratio of 8.5%);</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minimum ratio of total capital (that is, Tier 1 plus Tier 2 capital) to risk-weighted assets of at least 8.0%, plus the 2.5% capital conservation buffer (resulting in a minimum total capital ratio of 10.5%); and</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minimum leverage ratio of 4.0%, calculated as the ratio of Tier 1 capital to adjusted average consolidated assets.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capital conservation buffer is designed to absorb losses during periods of economic stress. Banking institutions with a ratio of common equity Tier 1 capital to risk-weighted assets above the minimum but below the conservation buffer will face limitations on the payment of dividends, common stock repurchases and discretionary cash payments to executive officers based on the amount of the shortfall.</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Common equity Tier 1 capital is generally defined as common stockholders’ equity and retained earnings. Tier 1 capital is generally defined as common equity Tier 1 and Additional Tier 1 capital. Additional Tier 1 capital generally includes certain noncumulative perpetual preferred stock and related surplus and minority interests in equity accounts of consolidated subsidiaries. Total capital includes Tier 1 capital (common equity Tier 1 capital plus Additional Tier 1 capital) and Tier 2 capital. Tier 2 capital is comprised of capital instruments and related surplus meeting specified requirements. Also included in Tier 2 capital is the allowance for credit losses limited to a maximum of 1.25% of risk-weighted assets and, for non-advanced approaches institutions like Cass that have exercised a one-time opt-out election regarding the treatment of Accumulated Other Comprehensive Income (“AOCI”), up to 45% of net unrealized gains on available-for-sale equity securities with readily determinable fair market values.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calculation of all types of regulatory capital is subject to deductions and adjustments specified in the regulations. For instance, the Basel III Capital Rules and the capital simplification rules enacted in 2019 provide for a number of deductions from and adjustments to common equity Tier 1 capital. These include, for example, the requirement that certain deferred tax assets and significant investments in non-consolidated financial entities be deducted from Tier 1 capital to the extent that any one such category exceeds 25% of common equity Tier 1 capital.</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determining the amount of risk-weighted assets for purposes of calculating risk-based capital ratios, all assets, including certain off-balance sheet assets, are multiplied by a risk weight factor assigned by the regulations based on the risks believed inherent in the type of asset. Higher levels of capital are required for asset categories believed to present greater risk. For example, a risk weight of 0% is assigned to cash and U.S. government securities, a risk weight of 50% is generally assigned to prudently underwritten first lien one to four-family residential mortgages, a risk weight of 100% is assigned to commercial and consumer loans, a risk weight of 150% is assigned to certain past due loans, and a risk weight of between 0% to 600% is assigned to permissible equity interests, depending on certain specified factors.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FRB has authority to establish individual minimum capital requirements in appropriate cases upon a determination that an institution’s capital level is or may become inadequate in light of the particular risks or circumstances. As of December 31, 2023, the Company and the Bank met all capital adequacy requirements under the Basel III Capital Rules.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December 2017, the Basel Committee published standards that it described as the finalization of the Basel III post-crisis regulatory reforms (commonly referred to as “Basel IV”). Among other things, these standards revise the Basel Committee's standardized approach for credit risk (including by recalibrating risk weights and introducing new capital requirements for certain “unconditionally cancellable commitments,” such as unused credit card lines of credit) and</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provides a new standardized approach for operational risk capital. Under the Basel framework, these standards went into effect on January 1, 2023, with an aggregate output floor phasing in through January 1, 2027. Under the current U.S. capital rules, operational risk capital requirements and a capital floor apply only to advanced approaches institutions, and not to the Company or the Bank. The impact of Basel IV on the Company will depend on the manner in which it is implemented by the federal bank regulators.</w:t>
      </w:r>
    </w:p>
    <w:p>
      <w:pPr>
        <w:spacing w:after="0" w:line="17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Source of Strength Doctrine </w:t>
      </w:r>
      <w:r>
        <w:rPr>
          <w:rFonts w:ascii="Times New Roman" w:cs="Times New Roman" w:eastAsia="Times New Roman" w:hAnsi="Times New Roman"/>
          <w:sz w:val="18"/>
          <w:szCs w:val="18"/>
          <w:color w:val="auto"/>
        </w:rPr>
        <w:t>– FRB and other regulations require bank holding companies to act as a source of financial and managerial strength to their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subsidiary banks. Under this requirement, the Company is expected to commit resources to support the Bank. Any capital loans by a bank holding company to any of its subsidiary banks are subordinate in right of payment to depositors and to certain other indebtedness of such subsidiary banks. In the event of a bank holding company’s bankruptcy, any commitment by the bank holding company to a federal bank regulatory agency to maintain the capital of a subsidiary bank will be assumed by the bankruptcy trustee and entitled to priority of payment.</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Deposit Insurance </w:t>
      </w:r>
      <w:r>
        <w:rPr>
          <w:rFonts w:ascii="Times New Roman" w:cs="Times New Roman" w:eastAsia="Times New Roman" w:hAnsi="Times New Roman"/>
          <w:sz w:val="18"/>
          <w:szCs w:val="18"/>
          <w:color w:val="auto"/>
        </w:rPr>
        <w:t>– Substantially all of the deposits of the Bank are insured up to applicable limits by the Deposit Insurance Fund (“DIF”) of the FDIC,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the Bank is subject to deposit insurance assessments to maintain the DIF. Deposit insurance assessments are based on average consolidated total assets minus average tangible equity. Under the FDIC’s risk-based assessment system, insured institutions with less than $10 billion in assets, such as the Bank, are assigned to one of four risk categories based on supervisory evaluations, regulatory capital level, and certain other factors, with less risky institutions paying lower assessments. An institution’s assessment rate depends upon the category to which it is assigned and certain other factors.</w:t>
      </w:r>
    </w:p>
    <w:p>
      <w:pPr>
        <w:spacing w:after="0" w:line="18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October 2022, the FDIC adopted a final rule to increase the initial base deposit insurance assessment rate schedules uniformly by 2 basis points beginning with the first quarterly assessment period of 2023. The increased assessment is expected to improve the likelihood that the DIF reserve ratio would reach the statutory minimum of 1.35% by the statutory deadline prescribed under the FDIC's amended restoration plan.</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November 2023, the FDIC issued a final rule to implement a special assessment to recover losses to the DIF incurred as a result of bank failures in early 2023 and the FDIC's use of the systemic risk exception to cover certain deposits that were otherwise uninsured. The special assessment was based on estimated uninsured deposits as of December 31, 2022 (excluding the first $5.0 billion) and will be assessed at a quarterly rate of 3.36 basis points, over eight quarterly assessment periods, beginning in the first quarter of 2024. As a result of this final rule, the Company did not accrue expense related to this assessment based on the amount of uninsured deposits at December 31, 2022 of less than $5.0 billion. Under the final rule, the estimated loss pursuant to the systemic risk determination will be periodically adjusted, and the FDIC has retained the ability to cease collection early, extend the special assessment collection period, and impose a final shortfall special assessment on a one-time basis. The extent to which any such additional future assessments will impact the Company's future deposit insurance expense is currently uncertain.</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FDIC insurance expense totaled $603,000, $415,700 and $300,200 for the years ended December 31, 2023, 2022 and 2021, respectively.</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FDIC may terminate deposit insurance upon a finding that the institution has engaged in unsafe and unsound practices, is in an unsafe or unsound condition to continue operations, or has violated any applicable law, regulation, rule, order or condition imposed by the FDIC.</w:t>
      </w:r>
    </w:p>
    <w:p>
      <w:pPr>
        <w:spacing w:after="0" w:line="1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Prompt Corrective Action </w:t>
      </w:r>
      <w:r>
        <w:rPr>
          <w:rFonts w:ascii="Times New Roman" w:cs="Times New Roman" w:eastAsia="Times New Roman" w:hAnsi="Times New Roman"/>
          <w:sz w:val="18"/>
          <w:szCs w:val="18"/>
          <w:color w:val="auto"/>
        </w:rPr>
        <w:t>– The Basel III Capital Rules incorporate new requirements into the prompt correction action framework, described above.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Federal Deposit Insurance Act (“FDIA”) requires that federal banking agencies take “prompt corrective action” against depository institutions that do not meet minimum capital requirements and includes the following five capital tiers: “well-capitalized,” “adequately capitalized,” “undercapitalized,” “significantly undercapitalized” and “critically undercapitalized.” A depository institution’s capital tier will depend upon how its capital levels compare with various relevant capital measures and certain other factors, as established by regulation.</w:t>
      </w:r>
    </w:p>
    <w:p>
      <w:pPr>
        <w:spacing w:after="0" w:line="18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 depository institution is deemed to be (i) “well-capitalized” if the institution has a total risk-based capital ratio of 10% or greater, a Tier 1 risk-based capital ratio of 8% or greater, a leverage ratio of 5% or greater, a common equity Tier 1 ratio of 6.5% or greater and is not subject to any regulatory order agreement or written directive to meet and maintain a specific capital level for any capital measure; (ii) “adequately capitalized” if the institution has a total risk-based capital ratio of 8% or greater, a Tier 1 risk-based capital ratio of 6% or greater, a leverage ratio of 4% or greater, a common equity Tier 1 ratio of 4.5% or greater and does not meet the definition of “well capitalized”; (iii) “undercapitalized” if the institution has a total risk-based capital ratio that is less than 8%, a Tier 1 risk-based capital ratio of less than 6%, a leverage ratio of less</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than 4% or a common equity Tier 1 ratio of less than 4.5%; (iv) “significantly undercapitalized” if the institution has a total risk-based capital ratio of less than 6%, a Tier 1 risk-based capital ratio of less than 4%, a leverage ratio of less than 3% or a common equity Tier 1 ratio of less than 3%; and (v) “critically undercapitalized” if the institution has a ratio of tangible equity (as defined in the regulations) to total assets that is equal to or less than 2%. An institution may be deemed to be in a capital category that is lower than indicated by its capital ratios if it is determined to be in an unsafe or unsound condition or if it receives an unsatisfactory examination rating with respect to certain matters. A bank’s capital category is determined solely for the purpose of applying prompt corrective action regulations, and the capital category may not constitute an accurate representation of the bank’s overall financial condition or prospects for other purposes.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Subject to a narrow exception, a receiver or conservator is required to be appointed for an institution that is “critically undercapitalized” within specified time frames. The regulations also provide that a capital restoration plan must be filed with the FRB within 45 days of the date an institution is deemed to have received notice that it is “undercapitalized,” “significantly undercapitalized” or “critically undercapitalized.” Compliance with the plan must be guaranteed by any parent holding company up to the lesser of 5% of the institution’s total assets when it was deemed to be undercapitalized or the amount necessary to achieve compliance with applicable capital requirements. In addition, numerous mandatory supervisory actions become immediately applicable to an undercapitalized institution including, but not limited to, increased monitoring by regulators and restrictions on growth, capital distributions and expansion. The FRB could also take any one of a number of discretionary supervisory actions, including the issuance of a capital directive and the replacement of senior executive officers and directors. Significantly and critically undercapitalized institutions are subject to additional mandatory and discretionary measures.</w:t>
      </w:r>
    </w:p>
    <w:p>
      <w:pPr>
        <w:spacing w:after="0" w:line="18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December 31, 2023, the most recent notification from the regulatory agencies categorized the Company and the Bank as well-capitalized. For further information regarding the capital ratios and leverage ratio of the Company and the Bank, see Item 8, Note 2 of this report.</w:t>
      </w:r>
    </w:p>
    <w:p>
      <w:pPr>
        <w:spacing w:after="0" w:line="16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Safety and Soundness Regulations </w:t>
      </w:r>
      <w:r>
        <w:rPr>
          <w:rFonts w:ascii="Times New Roman" w:cs="Times New Roman" w:eastAsia="Times New Roman" w:hAnsi="Times New Roman"/>
          <w:sz w:val="18"/>
          <w:szCs w:val="18"/>
          <w:color w:val="auto"/>
        </w:rPr>
        <w:t>– In accordance with the FDIA, the federal banking agencies adopted guidelines establishing general standards relating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internal controls, information systems, internal audit systems, loan documentation, credit underwriting, interest rate risk exposure, asset growth, asset quality, earnings, compensation, fees and benefits. In general, the guidelines require that institutions maintain appropriate systems and practices to identify and manage the risks and exposures specified in the guidelines. The guidelines prohibit excessive compensation as an unsafe and unsound practice and describe compensation as excessive when the amounts paid are unreasonable or disproportionate to the services performed by an executive officer, employee, director or principal shareholder. In addition, regulations adopted by the federal banking agencies authorize the agencies to require that an institution that has been given notice that it is not satisfying any of such safety and soundness standards to submit a compliance plan. If the institution fails to submit an acceptable compliance plan or fails in any material respect to implement an accepted compliance plan, the agency must issue an order directing corrective actions and may issue an order directing other actions of the types to which an undercapitalized institution is subject under the “prompt corrective action” provisions of FDIA. If the institution fails to comply with such an order, the agency may seek to enforce such order in judicial proceedings and to impose civil money penalties.</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Loans-to-One-Borrower </w:t>
      </w:r>
      <w:r>
        <w:rPr>
          <w:rFonts w:ascii="Times New Roman" w:cs="Times New Roman" w:eastAsia="Times New Roman" w:hAnsi="Times New Roman"/>
          <w:sz w:val="18"/>
          <w:szCs w:val="18"/>
          <w:color w:val="auto"/>
        </w:rPr>
        <w:t>– The Bank generally may not make loans or extend credit to a single or related group of borrowers in excess of 15%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unimpaired capital and surplus. An additional amount may be loaned, up to 10% of unimpaired capital and surplus, if the loan is secured by readily marketable collateral, which generally does not include real estate. As of December 31, 2023, the Bank was in compliance with the loans-to-one-borrower limitations.</w:t>
      </w:r>
    </w:p>
    <w:p>
      <w:pPr>
        <w:spacing w:after="0" w:line="18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Depositor Preference </w:t>
      </w:r>
      <w:r>
        <w:rPr>
          <w:rFonts w:ascii="Times New Roman" w:cs="Times New Roman" w:eastAsia="Times New Roman" w:hAnsi="Times New Roman"/>
          <w:sz w:val="18"/>
          <w:szCs w:val="18"/>
          <w:color w:val="auto"/>
        </w:rPr>
        <w:t>– The FDIA provides that, in the event of the “liquidation or other resolution” of an insured depository institution, the claims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depositors of the institution, including the claims of the FDIC as subrogee of insured depositors, and certain claims for administrative expenses of the FDIC as a receiver, will have priority over other general unsecured claims against the institution. If an insured depository institution fails, insured and uninsured depositors, along with the FDIC, will have priority in payment ahead of unsecured, non-deposit creditors, including depositors whose deposits are payable only outside of the United States and the parent bank holding company, with respect to any extensions of credit they have made to such insured depository institution.</w:t>
      </w:r>
    </w:p>
    <w:p>
      <w:pPr>
        <w:spacing w:after="0" w:line="18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Community Reinvestment Act </w:t>
      </w:r>
      <w:r>
        <w:rPr>
          <w:rFonts w:ascii="Times New Roman" w:cs="Times New Roman" w:eastAsia="Times New Roman" w:hAnsi="Times New Roman"/>
          <w:sz w:val="18"/>
          <w:szCs w:val="18"/>
          <w:color w:val="auto"/>
        </w:rPr>
        <w:t>– The Community Reinvestment Act of 1977 (“CRA”) requires depository institutions to assist in meeting the credit needs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their market areas consistent with safe and sound banking practice. Under the CRA, each depository institution is required to help meet the credit needs of its market areas by, among other things, providing credit to low- and moderate-income individuals and communities. Depository institutions are periodically examined for compliance with the CRA and are assigned ratings that must be publicly disclosed. In order for a financial holding</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company to commence any new activity permitted by the BHC Act, or to acquire any company engaged in any new activity permitted by the BHC Act, each insured depository institution subsidiary of the financial holding company must have received a rating of at least “satisfactory” in its most recent examination under the CRA. The Bank received a rating of “satisfactory” in its most recent CRA exam.</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October 2023, the OCC, together with the Federal Reserve and FDIC, issued a joint final rule to modernize the CRA regulatory framework. The final rule is intended, among other things, to adapt to changes in the banking industry, including the expanded role of mobile and online banking, and to tailor performance standards to account for differences in bank size and business models. The final rule introduces new tests under which the performance of banks with over $2 billion in assets will be assessed. The new rule also includes data collection and reporting requirements, some of which are applicable only to banks larger than the Bank and updates the definitions of community development and process by which banks can seek approval of qualifying projects. Most provisions of the final rule will become effective on January 1, 2026, and the data reporting requirements will become effective on January 1, 2027.</w:t>
      </w:r>
    </w:p>
    <w:p>
      <w:pPr>
        <w:spacing w:after="0" w:line="21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Financial Privacy </w:t>
      </w:r>
      <w:r>
        <w:rPr>
          <w:rFonts w:ascii="Times New Roman" w:cs="Times New Roman" w:eastAsia="Times New Roman" w:hAnsi="Times New Roman"/>
          <w:sz w:val="18"/>
          <w:szCs w:val="18"/>
          <w:color w:val="auto"/>
        </w:rPr>
        <w:t>– Banks and other financial institutions are subject to regulations that limit their ability to disclose non-public information about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consumers to nonaffiliated third parties. These limitations require disclosure of privacy policies to consumers and affect how consumer information is transmitted through diversified financial companies and conveyed to outside vendors.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Bank is also subject to regulatory guidelines establishing standards for safeguarding customer information and maintaining information security programs. The standards set forth in the guidelines are intended to ensure the security and confidentiality of customer records and information, protect against any anticipated threats or hazards to the security or integrity of such records and protect against unauthorized access to or use of such records or information that could result in substantial harm or inconvenience to any customer.</w:t>
      </w:r>
    </w:p>
    <w:p>
      <w:pPr>
        <w:spacing w:after="0" w:line="17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Transactions with Affiliates </w:t>
      </w:r>
      <w:r>
        <w:rPr>
          <w:rFonts w:ascii="Times New Roman" w:cs="Times New Roman" w:eastAsia="Times New Roman" w:hAnsi="Times New Roman"/>
          <w:sz w:val="18"/>
          <w:szCs w:val="18"/>
          <w:color w:val="auto"/>
        </w:rPr>
        <w:t>– Transactions between the Bank and its affiliates are subject to regulations that limit the types and amounts of covered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transactions engaged in by the Bank and generally require those transactions to be on an arm’s-length basis. The term “affiliate” is defined to mean any company that controls or is under common control with the Bank and includes the Company and its non-bank subsidiaries. “Covered transactions” include a loan or extension of credit, as well as a purchase of securities issued by an affiliate, certain purchases of assets from the affiliate, certain derivative transactions that create a credit exposure to an affiliate, the acceptance of securities issued by the affiliate as collateral for a loan, and the issuance of a guarantee, acceptance or letter of credit on behalf of an affiliate. In general, these regulations require that any such transaction by the Bank (or its subsidiaries) with an affiliate must be secured by designated amounts of specified collateral and must be limited to certain thresholds on an individual and aggregate basis.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Federal law also limits the Bank’s authority to extend credit to its directors, executive officers and 10% shareholders, as well as to entities controlled by such persons. Among other things, extensions of credit to insiders are required to be made on terms that are substantially the same as, and follow credit underwriting procedures that are not less stringent than those prevailing for comparable transactions with unaffiliated persons. Also, the terms of such extensions of credit may not involve more than the normal risk of repayment or present other unfavorable features and may not exceed certain limitations on the amount of credit extended to such persons, individually and in the aggregate, which limits are based, in part, on the amount of the Bank’s capital.</w:t>
      </w:r>
    </w:p>
    <w:p>
      <w:pPr>
        <w:spacing w:after="0" w:line="1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Cybersecurity </w:t>
      </w:r>
      <w:r>
        <w:rPr>
          <w:rFonts w:ascii="Times New Roman" w:cs="Times New Roman" w:eastAsia="Times New Roman" w:hAnsi="Times New Roman"/>
          <w:sz w:val="18"/>
          <w:szCs w:val="18"/>
          <w:color w:val="auto"/>
        </w:rPr>
        <w:t>– Federal regulators regularly issue new and updated guidance and standards regarding cybersecurity intended to enhance cyber risk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management among financial institutions and public companies generally. Financial institutions are expected to comply with such guidance and standards and develop appropriate risk management processes and security controls. If the Company fails to observe the regulatory guidance, it could be subject to various regulatory sanctions, including financial penalties.</w:t>
      </w:r>
    </w:p>
    <w:p>
      <w:pPr>
        <w:spacing w:after="0" w:line="18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Recently, the federal banking agencies adopted a final rule requiring banking organizations to notify their primary banking regulator within 36 hours of determining that a “computer-security incident” has materially disrupted or degraded, or is reasonably likely to materially disrupt or degrade, the banking organization’s ability to carry out banking operations or deliver banking products and services to a material portion of its customer base, its businesses and operations that would result in material loss, or its operations that would impact the stability of the United States. Banking organizations are also required to notify each affected customer as soon as possible in the event of an incident that results in actual or potential harm to the integrity or availability of information and systems or that violates or threatens to violate the organization’s security for four or more hours.</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Risks and exposures related to cybersecurity attacks, including litigation and enforcement risks, are expected to remain high for the foreseeable future due to the rapidly evolving nature and sophistication of these threats, as well as due to the expanding use of internet banking, mobile banking and other technology-based products and services by the Company and its customers. See Item 1A, “Risk Factors” for a further discussion of risks related to cybersecurity.</w:t>
      </w:r>
    </w:p>
    <w:p>
      <w:pPr>
        <w:spacing w:after="0" w:line="17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Anti-Money Laundering Regulation and the USA PATRIOT Act - </w:t>
      </w:r>
      <w:r>
        <w:rPr>
          <w:rFonts w:ascii="Times New Roman" w:cs="Times New Roman" w:eastAsia="Times New Roman" w:hAnsi="Times New Roman"/>
          <w:sz w:val="18"/>
          <w:szCs w:val="18"/>
          <w:color w:val="auto"/>
        </w:rPr>
        <w:t>A major focus of governmental policy on financial institutions in recent years has been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aimed at combating money laundering and terrorist financing. The Bank Secrecy Act (“BSA”), the USA PATRIOT Act of 2021 (the “USA PATRIOT Act”) and other laws and regulations require financial institutions, among other duties, to institute and maintain an effective Anti-Money Laundering (“AML”) program and to file timely reports such as suspicious activity reports and currency transaction reports that assist government agencies in detecting and preventing money laundering. The USA PATRIOT Act prohibits financial institutions from entering into specified financial transactions and account relationships and requires that the institutions implement customer identification programs, and enhance due diligence procedures for certain high-risk customers. Regulatory authorities routinely examine financial institutions for compliance with these obligations. The federal banking agencies and the Financial Crimes Enforcement Network (“FinCEN”) are authorized to impose significant civil money penalties for violations of those requirements and have recently engaged in coordinated enforcement efforts against banks and other financial services providers with the Department of Justice, Drug Enforcement Administration and Internal Revenue Service. The Company is also subject to increased scrutiny of compliance with the rules enforced by the Office of Foreign Assets Control.</w:t>
      </w:r>
    </w:p>
    <w:p>
      <w:pPr>
        <w:spacing w:after="0" w:line="19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Anti-Money Laundering Act of 2020 (“AMLA”) amended the BSA and was intended to be a comprehensive reform and modernization to U.S. bank secrecy and anti-money laundering laws. Among other things, it codifies a risk-based approach to anti-money laundering compliance for financial institutions; requires the U.S. Department of the Treasury to promulgate priorities for anti-money laundering and countering the financing of terrorism policy; requires the development of standards for testing technology and internal processes for BSA compliance; expands enforcement- and investigation-related authority, including increasing available sanctions for certain BSA violations; and expands BSA whistleblower incentives and protections. Many of the statutory provisions in the AMLA will require additional rulemakings, reports and other measures, and the impact of the AMLA will depend on, among other things, rulemaking and implementation guidance.</w:t>
      </w:r>
    </w:p>
    <w:p>
      <w:pPr>
        <w:spacing w:after="0" w:line="18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2021, Congress passed the Corporate Transparency Act as part of the National Defense Authorization Act, which enacted the most significant overhaul of the BSA and related AML laws since the USA PATRIOT Act. Notable amendments include (i) significant changes to the collection of beneficial ownership information and the establishment of a beneficial ownership registry, which requires corporate entities (generally, any corporation, limited liability company or other similar entity with 20 or fewer employees and annual gross income of $5 million or less) to report beneficial ownership information to FinCEN (which information will be maintained by FinCEN and made available upon request to financial institutions); (ii) enhanced whistleblower provisions, which provide that one or more whistleblowers who voluntarily provide original information leading to the successful enforcement of violations of the AML laws in any judicial or administrative action brought by the Secretary of the Treasury or the Attorney General resulting in monetary sanctions exceeding $1 million (including disgorgement and interest but excluding forfeiture, restitution, or compensation to victims) will receive not more than 30 percent of the monetary sanctions collected and will receive increased protections; (iii) increased penalties for violations of the BSA; (iv) improvements to existing information sharing provisions that permit financial institutions to share information relating to suspicious activity reports with foreign branches, subsidiaries, and affiliates (except those located in China, Russia, or certain other jurisdictions) for the purpose of combating illicit finance risks; and (v) expanded duties and powers of FinCEN. Many of the requirements included in the AML amendments will require additional rulemakings, reports and other measures, and the impact of these rules will depend on, among other things, rulemaking and implementation guidance. FinCEN proposed three rules to implement changes to the beneficial ownership requirements and related amendments set forth in the Corporate Transparency Act. As of the date of this Form 10-K, two of the three have been finalized. The Beneficial Ownership Reporting Rule took effect on January 1, 2024 and requires certain domestic and foreign companies created, or registered to conduct business, in the United States to report beneficial ownership information to FinCEN. The Access Rule, effective as of February 20, 2024, sets forth the circumstances under which FinCEN can disclose beneficial ownership information to authorized recipients and how FinCEN and recipients of the data will protect that information. It is expected that FinCEN will issue a third rule, by January 1, 2025, to revise existing customer due diligence requirements and bring them into conformance with the Corporate Transparency Act and the Access Rule.</w:t>
      </w:r>
    </w:p>
    <w:p>
      <w:pPr>
        <w:spacing w:after="0" w:line="18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Climate-Related Regulation and Guidance </w:t>
      </w:r>
      <w:r>
        <w:rPr>
          <w:rFonts w:ascii="Times New Roman" w:cs="Times New Roman" w:eastAsia="Times New Roman" w:hAnsi="Times New Roman"/>
          <w:sz w:val="18"/>
          <w:szCs w:val="18"/>
          <w:color w:val="auto"/>
        </w:rPr>
        <w:t>- In recent years the federal banking agencies have increased their focus on climate-related risks impacting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operations of banks, the communities they serve and the broader financial system.</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Accordingly, the agencies have begun to enhance their supervisory expectations regarding the climate risk management practices of larger banking organizations, including by encouraging such banks to: ensure that management of climate-related risk exposures has been incorporated into existing governance structures; evaluate the potential impact of climate-related risks on the bank’s financial condition, operations and business objectives as part of its strategic planning process; account for the effects of climate change in stress testing scenarios and systemic risk assessments; revise expectations for credit portfolio concentrations based on climate-related factors; consider investments in climate-related initiatives and lending to communities disproportionately impacted by the effects of climate change; evaluate the impact of climate change on the bank’s borrowers and consider possible changes to underwriting criteria to account for climate-related risks to mortgaged properties; incorporate climate-related financial risk into the bank’s internal reporting, monitoring and escalation processes; and prepare for the transition risks to the bank associated with the adjustment to a low-carbon economy and related changes in laws, regulations, governmental policies, technology, and consumer behavior and expectations.</w:t>
      </w:r>
    </w:p>
    <w:p>
      <w:pPr>
        <w:spacing w:after="0" w:line="18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2021, the OCC issued proposed principles for climate-related financial risk management for national banks with more than $100 billion in total assets. In 2022, the FDIC and FRB issued their own proposed principles for climate risk management by larger banking organizations. Although these risk management principles, if adopted as proposed, would not apply to the Bank directly based upon its current size, the regulators have indicated that all banks, regardless of their size, may have material exposures to climate-related financial and other risks that require prudent management. The federal banking agencies are expected to adopt a more formal climate risk management framework for larger banking organizations in the coming months. As climate-related supervisory guidance is considered and formalized for all banks and financial institutions, the Company may be required to expend significant capital and incur compliance, operating, maintenance and remediation costs in order to conform to such requirements.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Other Regulations </w:t>
      </w:r>
      <w:r>
        <w:rPr>
          <w:rFonts w:ascii="Times New Roman" w:cs="Times New Roman" w:eastAsia="Times New Roman" w:hAnsi="Times New Roman"/>
          <w:sz w:val="18"/>
          <w:szCs w:val="18"/>
          <w:color w:val="auto"/>
        </w:rPr>
        <w:t>– The operations of the Company and the Bank are also subject to:</w:t>
      </w:r>
    </w:p>
    <w:p>
      <w:pPr>
        <w:spacing w:after="0" w:line="119"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Truth-In-Lending Act, governing disclosures of credit terms to consumer borrowers;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Fair Credit Reporting Act, governing the provision of consumer information to credit reporting agencies and the use of consumer information;</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Fair Debt Collection Act, governing the manner in which consumer debts may be collected by collection agencies;</w:t>
      </w:r>
    </w:p>
    <w:p>
      <w:pPr>
        <w:spacing w:after="0" w:line="117" w:lineRule="exact"/>
        <w:rPr>
          <w:rFonts w:ascii="Times New Roman" w:cs="Times New Roman" w:eastAsia="Times New Roman" w:hAnsi="Times New Roman"/>
          <w:sz w:val="18"/>
          <w:szCs w:val="18"/>
          <w:b w:val="1"/>
          <w:bCs w:val="1"/>
          <w:color w:val="auto"/>
        </w:rPr>
      </w:pPr>
    </w:p>
    <w:p>
      <w:pPr>
        <w:ind w:left="660" w:hanging="328"/>
        <w:spacing w:after="0" w:line="282"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Electronic Funds Transfer Act, governing automatic deposits to and withdrawals from deposit accounts and customers’ rights and liabilities arising from the use of automated teller machines and other electronic banking services.</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Fair Housing Act, Home Mortgage Disclosure Act, and Real Estate Settlement Procedures Act, prohibiting discrimination against borrowers seeking housing and mortgages; requiring transparency and public reporting on mortgage and lending activities; and requiring that borrowers for mortgage loans for one- to four-family residential real estate receive various disclosures, including good faith estimates of settlement costs, lender servicing and escrow account practices, and prohibiting certain practices that increase the cost of settlement services;</w:t>
      </w:r>
    </w:p>
    <w:p>
      <w:pPr>
        <w:spacing w:after="0" w:line="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Equal Credit Opportunity Act, prohibiting discrimination on the basis of race, creed or other prohibited factors in extending credit;</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Clearing for the 21st Century Act (also known as “Check 21”), which gives “substitute checks,” such as digital check images and copies made from that image, the same legal standing as the original paper check.</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Certain of these laws are consumer protection laws that extensively govern the Company’s relationship with its customers. Violations of applicable consumer protection laws can result in significant potential liability from litigation brought by customers, including actual damages, restitution and attorneys’ fees. Federal bank regulators, state attorneys general and state and local consumer protection agencies may also seek to enforce consumer protection requirements and obtain these and other remedies, including regulatory sanctions, customer rescission rights, action by the state and local attorneys general in each jurisdiction in which the Company operates and civil money penalties. Failure to comply with consumer protection requirements may also result in the Company’s inability to pursue merger or acquisition transactions.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Website Availability of SEC Reports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Cass files annual, quarterly and current reports with the Securities and Exchange Commission (the “SEC”). Cass will, as soon as reasonably practicable after they are electronically filed with or furnished to the SEC, make available free of charge</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its website each of its Annual Reports on Form 10-K, Quarterly Reports on Form 10-Q, Current Reports on Form 8-K, all amendments to those reports, and its definitive proxy statements. The address of Cass’ website is: www.cassinfo.com.</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reference to the Company’s website address does not constitute incorporation by reference of the information contained on the website and should not be considered part of this report.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Statistical Disclosure by Bank Holding Companies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statistical disclosure by bank holding companies, refer to Item 7, “Management’s Discussion and Analysis of Financial Condition and Results of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1A. </w:t>
      </w:r>
      <w:r>
        <w:rPr>
          <w:rFonts w:ascii="Times New Roman" w:cs="Times New Roman" w:eastAsia="Times New Roman" w:hAnsi="Times New Roman"/>
          <w:sz w:val="18"/>
          <w:szCs w:val="18"/>
          <w:b w:val="1"/>
          <w:bCs w:val="1"/>
          <w:u w:val="single" w:color="auto"/>
          <w:color w:val="auto"/>
        </w:rPr>
        <w:t>RISK FACTORS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section highlights specific risks that could affect the Company’s business. Although this section attempts to highlight key factors, please be aware that other risks may prove to be important in the future. New risks may emerge at any time, and Cass cannot predict such risks or estimate the extent to which they may affect the Company’s financial performance. In addition to the factors discussed elsewhere or incorporated by reference in this report, the identified risks that could cause actual results to differ materially include the following: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Economic and Market Conditions Risk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negative developments affecting the banking industry, and resulting media coverage, have eroded customer confidence in the banking system.</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recent high-profile bank failures have generated significant market volatility among publicly traded bank holding companies. These market developments have negatively impacted customer confidence in the safety and soundness of regional banks. As a result, customers may choose to maintain deposits with larger financial institutions or invest in higher yielding short-term fixed income securities, all of which could materially adversely impact the Company’s liquidity, loan funding capacity, net interest margin, capital and results of operations. While the Department of the Treasury, the Federal Reserve, and the FDIC have made statements ensuring that depositors of these recently failed banks would have access to their deposits, including uninsured deposit accounts, there is no guarantee that such actions will be successful in restoring customer confidence in regional banks and the banking system more broadly.</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regulatory examination scrutiny or new regulatory requirements arising from the recent events in the banking industry could increase the Company’s expenses and affect the Company’s operations.</w:t>
      </w:r>
    </w:p>
    <w:p>
      <w:pPr>
        <w:spacing w:after="0" w:line="18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Company anticipates increased regulatory scrutiny and new regulations designed to address the recent negative developments in the banking industry, all of which may increase the Company’s costs of doing business and reduce its profitability. Among other things, there may be an increased focus by regulators on deposit composition and the level of uninsured deposits. As primarily a commercial bank, the Bank has a higher degree of uninsured deposits compared to larger national banks or smaller community banks with a stronger focus on retail deposits. As a result, the Bank could face increased scrutiny or be viewed as higher risk.</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political, economic or industry conditions may be less favorable than expected.</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Local, domestic, and international economic, political and industry-specific conditions and governmental monetary and fiscal policies affect the industries in which the Company competes, directly and indirectly. Conditions such as inflation, recession, unemployment, volatile interest rates, tight money supply, real estate values, international conflicts, global pandemics, natural disasters, risks related to climate change, and other factors outside of Cass’ control may adversely affect the Company. Economic downturns could result in the delinquency of outstanding loans, which could have a material adverse impact on Cass’ earnings.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Unfavorable developments concerning customer credit quality could affect Cass’ financial results.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Although the Company regularly reviews credit exposure related to its customers and various industry sectors in which it has business relationships, default risk may arise from events or circumstances that are difficult to detect or foresee. Under such circumstances, the Company could experience an increase in the level of provision for credit losses, delinquencies, nonperforming assets, net charge-offs and allowance for credit losses.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Fluctuations in interest rates could affect Cass’ net interest income and balance sheet.</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operations of financial institutions such as the Company are dependent to a large degree on net interest income, which is the difference between interest income from loans and investments and interest expense on deposits and borrowings. Prevailing economic conditions, the fiscal and monetary policies of the federal government and the policies of various regulatory agencies all affect market rates of interest, which in turn significantly affect financial institutions’ net interest income. Fluctuations in interest rates affect Cass’ financial statements, as they do for all financial institutions. Volatility in interest rates can also result in disintermediation, which is the flow of funds away from financial institutions into direct investments, such as federal government and corporate securities and other investment vehicles, which, because of the absence of federal insurance premiums and reserve requirements, generally pay higher rates of return than financial institutions. Due in part to the recent increase in the Federal Funds rate, the Company's net interest margin increased to 3.25% in 2023 from 2.74% in 2022, therefore increasing net interest income. As discussed in greater detail in Item 7A, “Quantitative and Qualitative Disclosures about Market Risk,” a decline in market interest rates would be expected to have a negative impact on the Company’s net interest income.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value of our goodwill and other intangible assets may decline in the future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December 31, 2023, the Company had $20.7 million of goodwill and other intangible assets. A significant decline in the Company's expected future cash flows, a significant adverse change in the business climate, slower growth rates or a significant and sustained decline in the price of the Company's common stock may necessitate taking charges in the future related to the impairment of goodwill and other intangible assets which could have a material adverse effect on the Company's business, financial condition and results of operations.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 certain circumstances, Cass remits payment of invoices prior to receiving funds from its customers. As such, Cass could experience losses if such funds are not received from customers after payment is remitted.</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Although the Company regularly reviews credit exposure related to its customers and various industry sectors in which it has business relationships, default risk may arise from events or circumstances that are difficult to detect or foresee. Under such circumstances, the Company could experience losses related to funds remitted for payment to freight carriers, utility companies and other such companies, prior to receiving funds from its customers.</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Company has lending concentrations, including, but not limited to, faith-based ministries located in selected cities, franchise restaurants, and privately-held businesses located in or near St. Louis, Missouri, that could suffer a significant decline which could adversely affect the Company.</w:t>
      </w:r>
    </w:p>
    <w:p>
      <w:pPr>
        <w:spacing w:after="0" w:line="15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Cass’ customer base consists, in part, of lending concentrations in several segments and geographical areas. If any of these segments or areas is significantly affected by weak economic conditions, the Company could experience increased credit losses, and its business could be adversely affected.</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Operations of the Company’s customer base are impacted by macro-economic factors such as a strong dollar and/or volatility in commodity prices. A reduction in its customers’ operations could have a material adverse effect on Cass’ results of operations.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decline in the cost of oil worldwide can have a negative effect on both the number of freight transactions processed and the dollar amount of invoices processed. For example, lower oil prices can cause a significant drop in drilling supplies being transported to fracking operations by domestic railroads and trucks. Lower oil prices can also result in lower gas and fuel prices, negatively affecting the dollar amounts of the invoices that Cass processes for its freight and shipping customers. A decline in oil prices could have an adverse effect on the Company’s revenues and could significantly impact its results of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Operations and Strategic Risk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Operational difficulties or cybersecurity problems could damage Cass’ reputation and business.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ordinary course of business, the Company depends on the reliable operation of its computer operations and network connections from its clients to its systems. Any failure, interruption, or breach in security of these systems would cause Cass to be unable to process transactions for its clients, resulting in decreased revenues. The Company also relies on electronic communications and information systems to store sensitive customer data. Any failure, interruption, breach in</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security or loss of data, whatever the cause, could reduce client satisfaction with the Company’s products and services and harm Cass’ financial results. These types of threats may derive from human error, fraud or malice on the part of external or internal parties, or may result from accidental technological failure. Further, to access the Company’s products and services, Cass’ customers may use computers and mobile devices that are beyond the Company’s security control systems. The Company’s technologies, systems, networks and software, and those of other financial institutions have been, and are likely to continue to be, the target of cybersecurity threats and attacks, which may range from uncoordinated individual attempts to sophisticated and targeted measures directed at Cass. The risk of a security breach or disruption, particularly through cyber-attack or cyber intrusion, has increased as the number, intensity and sophistication of attempted attacks and intrusions from around the world have increased. A material security problem affecting Cass could damage its reputation, deter prospects from purchasing its products and services, deter customers from using its products and services or result in liability to Cass.</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Cloud technologies are also critical to the operation of the Company's systems, and reliance on cloud technologies is growing. Service disruptions in cloud technologies may lead to delays in accessing, or the loss of, data that is important to the Company's businesses and may hinder customers access to products and services.</w:t>
      </w:r>
    </w:p>
    <w:p>
      <w:pPr>
        <w:spacing w:after="0" w:line="17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Although the Company makes significant efforts to maintain the security and integrity of Cass’ information systems and have implemented various measures to manage the risk of a security breach or disruption, there can be no assurance that Cass’ security efforts and measures will be effective or that attempted security breaches or disruptions would not be successful or damaging. Even the most well protected information, networks, systems and facilities remain potentially vulnerable because attempted security breaches, particularly cyber-attacks and intrusions, or disruptions will occur in the future, and because the techniques used in such attempts are constantly evolving and generally are not recognized until launched against a target, and in some cases are designed not to be detected and, in fact, may not be detected. Accordingly, the Company may be unable to anticipate these techniques or to implement adequate security barriers or other preventative measures, and thus it is virtually impossible to entirely mitigate this risk. While specific “cyber” insurance coverage is maintained, which would apply in the event of various breach scenarios, the amount of coverage may not be adequate in any particular case. Furthermore, because cyber threat scenarios are inherently difficult to predict and can take many forms, some breaches may not be covered under Cass’ cyber insurance coverage. A security breach or other significant disruption of Cass’ information systems or those related to customers, merchants and third-party vendors, including as a result of cyber-attacks, could i) disrupt the proper functioning of Cass’ networks and systems and therefore operations and/or those of certain customers; ii) result in the unauthorized access to, and destruction, loss, theft, misappropriation or release of confidential, sensitive or otherwise valuable information of the Company or its customers; iii) result in a violation of applicable privacy, data breach and other laws, subjecting the Company to additional regulatory scrutiny and expose Cass to civil litigation, governmental fines and possible financial liability; iv) require significant management attention and resources to remedy the damages that result; or v) harm Cass’ reputation or cause a decrease in the number of customers that choose to do business with the Company. The occurrence of any of the foregoing could have a material adverse effect on Cass’ business, financial condition and results of operations.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Cass must respond to rapid technological changes and these changes may be more difficult or expensive than anticipated.</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If competitors introduce new products and services embodying new technologies, or if new industry standards and practices emerge, the Company’s existing product and service offerings, technology and systems may become obsolete. Further, if Cass fails to adopt or develop new technologies or to adapt its products and services to emerging industry standards, Cass may lose current and future customers. Finally, Cass’ ability to adopt these technologies can also be inhibited by intellectual property rights of third parties. Any of these could have a material adverse effect on its business, financial condition and results of operations. The payment processing and financial services industries are changing rapidly and in order to remain competitive, Cass must continue to enhance and improve the functionality and features of its products, services and technologies. These changes may be more difficult or expensive than the Company anticipates.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Methods of reducing risk exposures might not be effective.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Instruments, systems and strategies used to hedge or otherwise manage exposure to various types of credit, interest rate, market and liquidity, operational, regulatory/compliance, business risks and enterprise-wide risks could be less effective than anticipated. As a result, the Company may not be able to effectively mitigate its risk exposures in particular market environments or against particular types of risk.</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Customer borrowing, repayment, investment, deposit, and payable processing practices may be different than anticipated.</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uses a variety of financial tools, models and other methods to anticipate customer behavior as part of its strategic and financial planning and to meet certain regulatory requirements. Individual, economic, political and industry-specific conditions and other factors outside of Cass’ control could alter predicted customer borrowing, repayment, investment, deposit, and payable processing practices. Such a change in these practices could adversely affect Cass’ ability to anticipate business needs, including cash flow and its impact on liquidity, and to meet regulatory requirements.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Company’s allowance for credit losses (“ACL”) is subject to continuing evaluation and may be insufficient.</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maintains an ACL, which is a reserve established through a provision for credit losses charged to expense. The ACL is a valuation account that is deducted from the amortized cost basis to present the net amount expected to be collected on loans. Management uses a systematic, documented approach in determining the appropriate level of ACL, which represents management’s estimate of losses in loans and off-balance sheet exposures as of the balance sheet date. Management estimated the allowance balance using relevant available information from internal and external factors, relating to past events, current conditions and reasonable and supportable forecasts based on economic sources, such as Gross Domestic Product (“GDP”). Historical credit loss experience, of both the Company and similar peer banks, provides the basis for the estimation of expected credit losses. Adjustments to historical loss information are made for asset quality trends, borrower’s ability to pay, collateral, and other environmental factors. The ACL is measured on a collective pool basis when similar risk characteristics exist. The determination of the appropriate level of the allowance for credit losses inherently involves a high degree of subjectivity and requires management to make estimates based on risks and trends that are subject to material change. Continuing deterioration in economic conditions, including the possibility of a recession, affecting borrowers and securities issuers; inflation; rising interest rates; new information regarding existing loans, credit commitments and securities holdings; global pandemics; natural disasters and risks related to climate change; and identification of additional problem loans, ratings down-grades and other factors, both within and outside of the Company’s control, may require an increase in the allowances for credit losses on loans, securities and off-balance sheet credit exposures.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determination and application of the ACL accounting policy involves judgments, estimates, and uncertainties that are subject to change. Changes in these assumptions, estimates or the conditions surrounding them may have a material impact on the Company’s financial condition, liquidity or results of operations. Various regulatory agencies, as an integral part of the examination process, periodically review the ACL. Such agencies may require the Company to recognize additions to the ACL or reserve increases to adversely graded classified loans based on information available to them at the time of their examinations.</w:t>
      </w:r>
    </w:p>
    <w:p>
      <w:pPr>
        <w:spacing w:after="0" w:line="18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application of the model used to determine the ACL could result in volatility in earnings. Additionally, if charge-offs in future periods exceed the ACL, the Company will need additional provisions to increase the ACL. Any increases in the ACL will result in a decrease in net income and, possibly, capital, and may have a material adverse effect on the Company’s business, financial condition and results of operations.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See Item 7, “Management’s Discussion and Analysis of Financial Condition and Results of Operations—Provision and Allowance for Credit Losses and Unfunded Commitments” and Item 8, “Financial Statements and Supplementary Data—Note 1” for additional information.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Competitive product and pricing pressure within Cass’ markets may change.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operates in a very competitive environment, which is characterized by competition from a number of other vendors and financial institutions in each market in which it operates. The Company competes with large payment processors and national and regional financial institutions and also smaller auditing companies and banks in terms of products and pricing. If the Company is unable to compete effectively in products and pricing in its markets, business could decline.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Management’s ability to maintain and expand customer relationships may differ from expectations.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industries in which the Company operates are very competitive. The Company not only competes for business opportunities with new customers, but also competes to maintain and expand the relationships it has with its existing</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customers. The Company continues to experience pressures to maintain these relationships as its competitors attempt to capture its customers.</w:t>
      </w:r>
    </w:p>
    <w:p>
      <w:pPr>
        <w:spacing w:after="0" w:line="221"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introduction, withdrawal, success and timing of business initiatives and strategies, including, but not limited to, the expansion of payment and processing activities to new markets, the expansion of products and services to existing markets and opening of new bank branches, may be less successful or may be different than anticipated. Such a result could adversely affect Cass’ business.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makes certain projections as a basis for developing plans and strategies for its payment processing and banking products. If the Company does not accurately determine demand for its products and services, it could result in the Company incurring significant expenses without the anticipated increases in revenue, which could result in an adverse effect on its earnings.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there are risks and uncertainties associated with the introduction of new products and services, including substantial investments of time and resources. The introduction and development of new products and services may not be achieved along expected timelines, or at all, and may not be successful as a result of factors beyond the Company’s control, including regulatory, competition and external market factors. Failure to successfully manage these risks in the development and implementation of new products or services, and failure to integrate such new products and services into our existing system of internal controls, could have a material adverse effect on our business, financial condition and results of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Company and the Bank are subject to liquidity risk.</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requires liquidity to meet deposit and accounts and drafts payable obligations as they come due. Access to funding sources in amounts adequate to finance the Company’s commitments and business activities or on terms that are acceptable or favorable to the Company could be impaired by risks and uncertainties that are beyond the Company’s control, including those described in this Item 1A, “Risk Factors” section.</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access to deposits and accounts and drafts payable for liquidity purposes may also be adversely affected by the needs of the Company’s depositors and customers. A failure to maintain adequate liquidity could have a material adverse effect on the Company’s business, financial condition and results of operations.</w:t>
      </w:r>
    </w:p>
    <w:p>
      <w:pPr>
        <w:spacing w:after="0" w:line="17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Company could experience an unexpected inability to obtain needed liquidity which could adversely affect the Company's business, profitability, and viability as a going concern.</w:t>
      </w:r>
    </w:p>
    <w:p>
      <w:pPr>
        <w:spacing w:after="0" w:line="11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Liquidity measures the ability to meet current and future cash flow needs as they become due. The liquidity of a financial institution reflects its ability to meet loan requests, to accommodate possible outflows in deposits, and to take advantage of interest rate market opportunities and is essential to a financial institution’s business. The ability of a financial institution to meet its current financial obligations is a function of its balance sheet structure, its ability to liquidate assets, and its access to alternative sources of funds. The bank failures in 2023 exemplify the potential serious results of the unexpected inability of insured depository institutions to obtain needed liquidity to satisfy deposit withdrawal requests, including how quickly such requests can accelerate once uninsured depositors lose confidence in an institution's ability to satisfy its obligations to depositors. The Company seeks to ensure funding needs are met by maintaining a level of liquidity through asset and liability management. If the Company becomes unable to obtain funds when needed, it could have a material adverse effect on its business, financial condition, and results of operations.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Rising interest rates have decreased the value of the Company’s available-for-sale securities portfolio, and the Company would realize losses if it were required to sell such securities to meet liquidity needs.</w:t>
      </w:r>
    </w:p>
    <w:p>
      <w:pPr>
        <w:spacing w:after="0" w:line="18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As a result of inflationary pressures and the resulting rapid increases in interest rates over the last year, the fair value of previously issued government and other fixed income securities has declined significantly, resulting in unrealized losses. While the Company does not currently intend to sell these securities, if the Company were required to sell such securities to meet liquidity needs, it may incur losses, which could impair the Company’s capital, financial condition, and results of operations and require the Company to raise additional capital on unfavorable terms, thereby negatively impacting its profitability. While the Company has taken actions to maximize its funding sources, there is no guarantee that such actions will be successful or sufficient in the event of sudden liquidity needs. Furthermore, while the Federal Reserve Board has announced a Bank Term Funding Program available to eligible depository institutions secured by U.S. Treasuries, agency debt, mortgage-backed securities, and other qualifying assets as collateral at par to mitigate the risk of potential losses on</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sale of such instruments, there is no guarantee that such programs will be effective in addressing liquidity needs as they arise.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Management’s ability to retain key officers and employees may change.</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Cass’ future operating results depend substantially upon the continued service of Cass’ executive officers and key personnel. Cass’ future operating results also depend in significant part upon Cass’ ability to attract and retain qualified management, financial, technical, marketing, sales, and support personnel. Competition for qualified personnel is intense, and the Company cannot ensure success in attracting or retaining qualified personnel. There may be only a limited number of persons with the requisite skills to serve in these positions, and it may be increasingly difficult for the Company to hire personnel over time. Cass’ business, financial condition and results of operations could be materially adversely affected by the loss of any of its key employees, by the failure of any key employee to perform in his or her current position, or by Cass’ inability to attract and retain skilled employees.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Regulatory, Legal and Accounting Risk</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Company and the Bank are subject to extensive government regulation and supervision and possible enforcement or other legal actions that could detrimentally affect Cass’ business.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and the Bank are subject to extensive federal and state regulation and supervision, the primary focus of which is to protect customers, depositors, the deposit insurance fund and the safety and soundness of the banking system as a whole, and not shareholders. In addition, since the global financial crisis, financial institutions generally have been subject to increased scrutiny from regulatory authorities, with an increased focus on risk management and consumer compliance. This regulatory structure and heightened focus gives the regulatory authorities extensive discretion in connection with their supervisory and enforcement activities and examination policies, including policies with respect to capital levels, the timing and amount of dividend payments, the classification of assets and the establishment of adequate loan loss reserves for regulatory purposes. Failure to comply with applicable laws, regulations, policies or guidance could result in enforcement and other legal actions by federal and state authorities, including criminal and civil penalties, the loss of FDIC insurance, revocation of a banking charter, and other regulatory sanctions, as well as reputational damage, any of which could have a material adverse effect on the Company’s business, financial condition and results of operations.</w:t>
      </w:r>
    </w:p>
    <w:p>
      <w:pPr>
        <w:spacing w:after="0" w:line="1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Congress and federal regulatory agencies continually review banking laws, regulations and policies for possible changes. The substance and impact of pending or future legislation or regulation, or the application thereof, cannot be predicted, although any change could impact the regulatory structure under which the Company or its competitors operate and may significantly increase costs, impede the efficiency of internal business processes, require an increase in regulatory capital, require modifications to the Company’s business strategy, and/or limit its ability to pursue business opportunities in an efficient manner. A change in statutes, regulations or regulatory policies applicable to the Company or any of its subsidiaries could have a material, adverse effect on the Company’s business, financial condition and results of operations.</w:t>
      </w:r>
    </w:p>
    <w:p>
      <w:pPr>
        <w:spacing w:after="0" w:line="18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See Item 1, “Business—Supervision and Regulation,” and Item 8, Note 2 to the consolidated financial statements included elsewhere in this report for additional information.</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Company may need to raise additional capital or sell assets if it fails to meet regulatory capital requirements or meet commitments and liquidity needs. Such capital may not be available on favorable terms, or at all.</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Fully phased in, the Basel III Capital rules implemented stricter capital requirements and leverage limits and methods for calculating risk-weighted assets, meaning the Company is required to hold more capital against such assets. Complying with these more stringent capital requirements could result in management modifying its business strategy and could limit the Company’s ability to make distributions, including paying dividends, or buying back shares.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may also need to raise additional capital in the future to provide it with sufficient capital resources and liquidity to meet commitments and business needs. The ability to raise additional capital, if needed, will depend on, among other things, conditions in the capital markets at that time and the Company’s financial condition, as well as the need for other financial institutions to raise capital at the same time. Economic conditions and the loss of confidence in financial institutions may increase the cost of funding and limit access to certain customary sources of capital, including inter-bank borrowings, repurchase agreements and borrowings from the discount window of the Federal Reserve.</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 inability to raise additional capital on acceptable terms when needed could have a materially adverse effect on the Company’s business, financial condition and results of operations.</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Legal and regulatory proceedings and related matters with respect to the financial services industry, including those directly involving the Company and its subsidiaries, could adversely affect Cass or the financial services industry in general.</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is subject to various legal and regulatory proceedings. It is inherently difficult to assess the outcome of these matters, and there can be no assurance that the Company will prevail in any proceeding or litigation. Any such matter could result in substantial cost and diversion of Cass’ efforts, which by itself could have a material adverse effect on Cass’ financial condition and operating results. Further, adverse determinations in such matters could result in actions by Cass’ regulators that could materially adversely affect Cass’ business, financial condition or results of operations. Please refer to Item 3, “Legal Proceedings.”</w:t>
      </w:r>
    </w:p>
    <w:p>
      <w:pPr>
        <w:spacing w:after="0" w:line="17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The Company’s accounting policies and methods are the basis of how Cass reports its financial condition and results of operations, and they require management to make estimates about matters that are inherently uncertain. In addition, changes in accounting policies and practices, as may be adopted by the regulatory agencies, the Financial Accounting Standards Board, or other authoritative bodies, could materially impact Cass’ financial statements.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accounting policies and methods are fundamental to how Cass records and reports its financial condition and results of operations. Management must exercise judgment in selecting and applying many of these accounting policies and methods in order to ensure that they comply with generally accepted accounting principles and reflect management’s judgment as to the most appropriate manner in which to record and report Cass’ financial condition and results of operations. In some cases, management must select the accounting policy or method to apply from two or more alternatives, any of which might be reasonable under the circumstances yet might result in the Company reporting materially different amounts than would have been reported under a different alternative.</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Cass has identified one accounting policy as being “critical” to the presentation of its financial condition and results of operations because it requires management to make particularly subjective and/or complex judgments about matters that are inherently uncertain and because of the likelihood that materially different amounts would be reported under different conditions or using different assumptions. More information on Cass’ critical accounting policies is contained in Item 7, “Management’s Discussion and Analysis of Financial Condition and Results of Operations.”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From time to time, the regulatory agencies, the Financial Accounting Standards Board (“FASB”), and other authoritative bodies change the financial accounting and reporting standards that govern the preparation of the Company’s financial statements. These changes can be hard to predict and can materially impact how management records and reports the Company’s financial condition and results of operations.</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Cass is subject to examinations and challenges by tax authorities, which, if not resolved in the Company’s favor, could adversely affect the Company’s financial condition and results of operations.</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the normal course of business, Cass and its affiliates are routinely subject to examinations and challenges from federal and state tax authorities regarding the amount of taxes due in connection with investments it has made and the businesses in which it is engaged. Recently, federal and state taxing authorities have become increasingly aggressive in challenging tax positions taken by financial institutions. These tax positions may relate to tax compliance, sales and use, franchise, gross receipts, payroll, property and income tax issues, including tax base, apportionment and tax credit planning. The challenges made by tax authorities may result in adjustments to the timing or amount of taxable income or deductions or the allocation of income among tax jurisdictions. If any such challenges are made and are not resolved in the Company’s favor, they could have an adverse effect on Cass’ financial condition and results of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Cass’ stock price can become volatile and fluctuate widely in response to a variety of factors.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stock price can fluctuate based on factors that can include actual or anticipated variations in Cass’ quarterly results; new technology or services by competitors; unanticipated losses or gains due to unexpected events, including losses or gains on securities held for investment purposes; significant acquisitions or business combinations, strategic partnerships, joint ventures or capital commitments by or involving the Company or its competitors; changes in</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accounting policies or practices; failure to integrate acquisitions or realize anticipated benefits from acquisitions; or changes in government regulations.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General market fluctuations, industry factors and general economic and political conditions, such as economic slowdowns or recessions, governmental intervention, interest rate changes, credit loss trends, low trading volume or currency fluctuations also could cause Cass’ stock price to decrease regardless of the Company’s operating results.</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Certain events beyond the Company’s control, such as severe weather, natural disasters, terrorist activities or other hostilities, may adversely affect the general economy, financial and capital markets, specific industries, and the Company.</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Severe weather, natural disasters, acts of terrorism or other hostilities, and other adverse external events beyond the Company’s control, could have a significant impact on the Company’s ability to conduct business. Such events could disrupt Cass’ operations or those of its customers, affect the stability of the Bank’s deposit base, impair the ability of borrowers to repay outstanding loans, impair the value of collateral securing loans, cause significant property damage, result in loss of revenue and/or cause the Company to incur additional expenses. The occurrence of any such event in the future could have a material adverse effect on the Company’s business, which, in turn, could have a material adverse effect on the Company’s financial condition and results of operations.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Climate change could have a material negative impact on the Company and its clients.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business, as well as the operations and activities of it clients, could be negatively impacted by climate change. Climate change presents both immediate and long-term risks to Cass and its clients and these risks are expected to increase over time. Climate changes presents multi-faceted risks, including (i) operational risk from the physical effects of climate events on facilities and other assets as well as those of clients; (ii) credit risk from borrowers with significant exposure to climate risk; and (iii) reputational risk from stakeholder concerns about practices related to climate change, carbon footprint and business relationships with clients who operate in carbon-intensive industries. The Company's business, reputation and ability to attract and retain employees may also be harmed if the response to climate change is perceived to be ineffective or insufficient.</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Climate change exposes Cass to physical risk as its effects may lead to more frequent and more extreme weather events, such as prolonged droughts or flooding, tornados, hurricanes, wildfires and extreme seasonal weather; and longer-term shifts, such as increasing average temperatures, ozone depletion and rising sea levels. Such events and long-term shifts may damage, destroy or otherwise impact the value or productivity of the Company's properties and other assets; reduce the availability of insurance; and/or disrupt operations and other activities through prolonged outages. Such events and long-term shifts may also have a significant impact on Cass customers, which could amplify credit risk by diminishing borrowers’ repayment capacity or collateral values, and other businesses and counterparties with whom we transact, which could have a broader impact on the economy, supply chains and distribution networks.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Climate change also exposes Cass to transition risks associated with the transition to a less carbon-dependent economy. Transition risks may result from changes in policies; laws and regulations; technologies; and/or market preferences to address climate change. Such changes could materially, negatively impact our business, results of operations, financial condition and/or our reputation, in addition to having a similar impact on our clients. Cass has clients who operate in carbon-intensive industries that are exposed to climate risks, such as those risks related to the transition to a less carbon-dependent economy, as well as clients who operate in low-carbon industries that may be subject to risks associated with new technologies.</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Federal and state banking regulators and supervisory authorities, investors and other stakeholders have increasingly viewed financial institutions as important in helping to address the risks related to climate change both directly and with respect to their clients, which may result in financial institutions coming under increased pressure regarding the disclosure and management of their climate risks and related lending and investment activities. The OCC, FRB and the U.S. Treasury Department have emphasized that climate-related risks are faced by banking organizations of all types and sizes, specifically including physical and transition risks, and is in the process of enhancing supervisory expectations regarding banks’ risk management practices. These agencies have indicated increased expectations for larger financial institutions to measure, monitor and manage climate-related risk as part of their enterprise risk management processes. Although any initial policies may not apply to financial institutions of the Bank’s size, it is likely that regulators will expect all banks to enhance internal control and risk management programs and processes relating to climate change. To the extent that these</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initiatives lead to the adoption of new regulations or guidance applicable to the Company and the Bank, compliance costs and risks are expected to increase.</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Given that climate change could impose systemic risks upon the financial sector, either via disruptions in economic activity resulting from the physical impacts of climate change or changes in policies as the economy transitions to a less carbon-intensive environment, the Company faces ongoing legislative and regulatory uncertainties and changes regarding climate risk management and practices that if adopted, may result in higher regulatory, compliance, credit and reputational risks and costs.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Company is subject to ESG risks that could adversely affect its reputation and the market price of its securities.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is subject to a variety of risks arising from ESG matters. ESG matters include climate risk, hiring practices, the diversity of the work force, and racial and social justice issues involving the Company’s personnel, customers and third parties with whom it otherwise does business. Risks arising from ESG matters may adversely affect, among other things, reputation and the market price of the Company’s securities. Further, the Company may be exposed to negative publicity based on the identity and activities of those to whom it lends and with which it otherwise does business and the public’s view of the approach and performance of its customers and business partners with respect to ESG matters. Any such negative publicity could arise from adverse news coverage in traditional media and could also spread through the use of social media platforms. The Company’s relationships and reputation with its existing and prospective customers and third parties with which it does business could be damaged if it were to become the subject of any such negative publicity. This, in turn, could have an adverse effect on the Company’s ability to attract and retain customers and employees and could have a negative impact on the market price for securities. Investors have begun to consider the steps taken and resources allocated by financial institutions and other commercial organizations to address ESG matters when making investment and operational decisions. Certain investors are beginning to incorporate the business risks of climate change and the adequacy of companies’ responses to the risks posed by climate change and other ESG matters into their investment theses. These shifts in investing priorities may result in adverse effects on the market price of the Company’s securities to the extent that investors determine that the Company has not made sufficient progress on ESG matters.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1B. </w:t>
      </w:r>
      <w:r>
        <w:rPr>
          <w:rFonts w:ascii="Times New Roman" w:cs="Times New Roman" w:eastAsia="Times New Roman" w:hAnsi="Times New Roman"/>
          <w:sz w:val="18"/>
          <w:szCs w:val="18"/>
          <w:b w:val="1"/>
          <w:bCs w:val="1"/>
          <w:u w:val="single" w:color="auto"/>
          <w:color w:val="auto"/>
        </w:rPr>
        <w:t>UNRESOLVED STAFF COMMENTS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1C. </w:t>
      </w:r>
      <w:r>
        <w:rPr>
          <w:rFonts w:ascii="Times New Roman" w:cs="Times New Roman" w:eastAsia="Times New Roman" w:hAnsi="Times New Roman"/>
          <w:sz w:val="18"/>
          <w:szCs w:val="18"/>
          <w:b w:val="1"/>
          <w:bCs w:val="1"/>
          <w:u w:val="single" w:color="auto"/>
          <w:color w:val="auto"/>
        </w:rPr>
        <w:t>CYBERSECURITY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Managing cybersecurity risk within Cass is an ongoing, multifaceted process aimed at safeguarding digital assets and sensitive information. Led by the Company’s Chief Information Security Officer (“CISO”) and overseen by the Executive IT Council, the Company has a dedicated team of security professionals to implement the Company’s information security processes.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Executive IT Council is comprised of the CEO, CFO, Chief information Officer (“CIO”), CISO, and all heads of business units that serve together to manage and oversee the Company’s IT program as a whole. As part of this function and at the direction of the CISO, the Executive IT Council is charged with approving and providing oversight of the IT solutions that enhance the Company’s security posture. As more fully described in “Governance” below, the CISO and CIO regularly report the Executive IT Council’s findings to the Audit and Risk Committee of the Board, and to the full Board, in an effort to provide a collaborative and multi-point cybersecurity program.</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also relies on certain critical third party IT vendors that support processing, transmission, and storage of data, which has become more critical given the information security risks that are intensified through the Company’s increased use of remote work arrangements. The Company has also engaged a third party to help monitor and analyze its system activities.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information security program is comprised of three primary components that guide the activities of employees and advisors tasked with managing the program:</w:t>
      </w:r>
    </w:p>
    <w:p>
      <w:pPr>
        <w:spacing w:after="0" w:line="162" w:lineRule="exact"/>
        <w:rPr>
          <w:sz w:val="20"/>
          <w:szCs w:val="20"/>
          <w:color w:val="auto"/>
        </w:rPr>
      </w:pPr>
    </w:p>
    <w:p>
      <w:pPr>
        <w:jc w:val="both"/>
        <w:ind w:left="660" w:hanging="328"/>
        <w:spacing w:after="0" w:line="261"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Security Policy: The Company maintains an Information Security Policy that aligns with the National Institute of Standards and Technology and ISO 27001 cybersecurity guidelines and frameworks. This policy is reviewed at least annually by the Company’s IT Security &amp; Risk team, with updates approved by the Board of Directors. The Information Security Policy addresses the standards, design, scope, testing, and operation of the</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ind w:left="660"/>
        <w:spacing w:after="0" w:line="257" w:lineRule="auto"/>
        <w:rPr>
          <w:sz w:val="20"/>
          <w:szCs w:val="20"/>
          <w:color w:val="auto"/>
        </w:rPr>
      </w:pPr>
      <w:r>
        <w:rPr>
          <w:rFonts w:ascii="Times New Roman" w:cs="Times New Roman" w:eastAsia="Times New Roman" w:hAnsi="Times New Roman"/>
          <w:sz w:val="18"/>
          <w:szCs w:val="18"/>
          <w:color w:val="auto"/>
        </w:rPr>
        <w:t>Company’s cybersecurity program. All Company employees are trained both initially and on an annual basis on the information security requirements set by the policy. Employees whose work is more pertinent to cybersecurity management and risk, such as software development, receive additional and more specialized training.</w:t>
      </w:r>
    </w:p>
    <w:p>
      <w:pPr>
        <w:spacing w:after="0" w:line="1" w:lineRule="exact"/>
        <w:rPr>
          <w:sz w:val="20"/>
          <w:szCs w:val="20"/>
          <w:color w:val="auto"/>
        </w:rPr>
      </w:pPr>
    </w:p>
    <w:p>
      <w:pPr>
        <w:jc w:val="both"/>
        <w:ind w:left="660" w:hanging="328"/>
        <w:spacing w:after="0" w:line="250"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Incident Management Policy: The Company’s Incident Management Policy provides the structure and guidance for the Company’s cyber incident response operations to ensure the quick detection of security events and vulnerabilities, as well as promote a rapid response to security incidents and mitigation measures. A dedicated security incident response team is tasked with addressing security incidents and driving the Company’s response.</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 Risk Management Program: The Company performs a comprehensive risk assessment on an annual basis to identify and prioritize potential threats and vulnerabilities, then uses the results to implement and revise policies, assign responsibilities, and deploy security controls to address them on an ongoing, 24-7 basis.</w:t>
      </w:r>
    </w:p>
    <w:p>
      <w:pPr>
        <w:spacing w:after="0" w:line="1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Using the policies and programs described above, Cass has implemented a multi-layered cybersecurity approach, including, deployment of advanced endpoint protection, threat intelligence, and anomaly detection tools, continuous monitoring of network traffic through intrusion detection and prevention systems, regular penetration testing and vulnerability assessments, and encryption of sensitive data at rest and in transit.</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Cass is dependent on third-party vendors to support operations and business objectives. Recognizing the interconnected nature of the Company’s business, Cass places emphasis on managing third-party cybersecurity risk by maintaining a Vendor Management Policy. This policy establishes guidelines for conducting due diligence on vendors’ security practices, making ongoing risk assessments and conducting extensive control reviews of identified high-risk vendors.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the Company is a bank holding company, its information security program is regularly evaluated by banking examiners and regulators. In addition, the Company undergoes annual Service Organization Controls Type II audits to evaluate information security controls related to specific services offered by the Company.</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While the Company continues to face a number of cybersecurity risks in connection with the business, Cass has not experienced any cyber incidents that materially affected business strategy, results of operations or financial condition over the past fiscal year. The Company commits to transparently communicating with stakeholders, including shareholders, regulatory bodies, and law enforcement agencies, as required. To mitigate financial risks associated with cybersecurity incidents, Cass maintains a comprehensive cyber insurance policy. This policy covers various costs, including legal expenses, investigation costs, business interruption, and potential liabilities.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Governance</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described above, the Company's cybersecurity program is led by the CISO, who ultimately reports to the Executive Vice President and CIO. The CISO is supported by an information security team, made up of two security analysts and one IT audit and compliance analyst. The security analysts monitor the Company’s security solutions and security event logs and responds to incidents and events when they occur. The IT audit and compliance analyst tracks remediation efforts, manages the Company’s third party risk program and works with internal and external auditors on all IT compliance activities. Members of the information security team hold cybersecurity certifications, such as a Certified Information Systems Security Professional ("CISSP") or Certified Information Security Manager certifications. The CIO oversees all IT departments within the Company, including security and risk, and is the primary liaison between IT and the Board of Directors.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Both the CISO and CIO have extensive experience assessing and managing cybersecurity programs and cybersecurity risk. The CIO has a bachelor’s degree in Management Information Systems and an MBA from Oakland University, and was previously the Domain CIO at Comerica Bank. The CISO has a bachelor’s degree in Computer Science from the University of Illinois, holds the CISSP, Certified in Risk and Information Systems Control and Certified Chief Information Security Officer certifications, and has been active in the management of the Company’s security programs for more than a decade, serving in the CISO role since early 2023.</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CISO and CIO provide monthly updates to the Executive IT Council on security incidents, compliance and patching metrics, as well as security related industry updates that might affect the Company’s business. The Executive IT Council approves all security related project expenditures and all members are a part of the Company’s incident response team.</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Audit and Risk Committee, together with the full Board of Directors, actively oversees the Company’s cybersecurity program. The Audit and Risk Committee receives reports on evolving cybersecurity standards and key metrics, including the number of incidents, response times, and effectiveness of safety controls, from the CIO on a quarterly basis, and more</w:t>
      </w:r>
    </w:p>
    <w:p>
      <w:pPr>
        <w:sectPr>
          <w:pgSz w:w="11900" w:h="16838" w:orient="portrait"/>
          <w:cols w:equalWidth="0" w:num="1">
            <w:col w:w="11240"/>
          </w:cols>
          <w:pgMar w:left="320" w:top="333" w:right="339" w:bottom="1440" w:gutter="0" w:footer="0" w:header="0"/>
        </w:sect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frequently when necessary. These reports include updates on the activities of the Executive IT Council. Changes to the Company’s information security policies and programs are approved by the Audit and Risk Committee. This information is reported to the full Board of Directors which, together with the Audit and Risk Committee, evaluates and considers the effectiveness of the Company’s risk management policies and controls relating to cybersecurity that are described in the section above.</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believes that by layering cybersecurity practices and risk management oversight in a way that involves various individuals, teams, and ultimately, the Board of Directors, it fosters a culture of accountability and helps enable Cass to prioritize the safety and security of its and its clients’ data.</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u w:val="single" w:color="auto"/>
          <w:color w:val="auto"/>
        </w:rPr>
        <w:t>PROPERTIES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leases office space in St. Louis County, Missouri, to house the headquarters of the Company and the Bank. The Company’s headquarters occupy 7,549 square feet in an office center at 12444 Powerscourt Drive. The Bank’s headquarters occupy 16,572 square feet in the same center at 12412 Powerscourt Drive.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owns approximately 61,500 square feet of office space at 13001 Hollenberg Drive in Bridgeton, Missouri where the Company’s transportation processing activities are performed.</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owns a production facility of approximately 48,300 square feet located at 2675 Corporate Exchange Drive, Columbus, Ohio. Additional facilities are located in Greenville, South Carolina, Wellington, Kansas, Jacksonville, Florida, and Brighton, Michigan. The Company has offices in Breda, Netherlands, Basingstoke, United Kingdom, and Singapore to service its multinational customers.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the Bank owns a banking facility near downtown St. Louis, Missouri, has an operating branch in the Bridgeton, Missouri location, and has an additional leased facility in Colorado Springs, Colorado.</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Management believes that these facilities are suitable and adequate for the Company’s operations.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b w:val="1"/>
          <w:bCs w:val="1"/>
          <w:u w:val="single" w:color="auto"/>
          <w:color w:val="auto"/>
        </w:rPr>
        <w:t>LEGAL PROCEEDINGS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and its subsidiaries are not involved in any pending proceedings other than ordinary routine litigation incidental to their businesses. Management believes none of these proceedings, if determined adversely, would have a material effect on the business or financial conditions of the Company or its subsidiaries.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u w:val="single" w:color="auto"/>
          <w:color w:val="auto"/>
        </w:rPr>
        <w:t>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PART II</w:t>
      </w:r>
    </w:p>
    <w:p>
      <w:pPr>
        <w:spacing w:after="0" w:line="225" w:lineRule="exact"/>
        <w:rPr>
          <w:sz w:val="20"/>
          <w:szCs w:val="20"/>
          <w:color w:val="auto"/>
        </w:rPr>
      </w:pPr>
    </w:p>
    <w:p>
      <w:pPr>
        <w:jc w:val="both"/>
        <w:ind w:left="740" w:hanging="72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ITEM 5. </w:t>
      </w:r>
      <w:r>
        <w:rPr>
          <w:rFonts w:ascii="Times New Roman" w:cs="Times New Roman" w:eastAsia="Times New Roman" w:hAnsi="Times New Roman"/>
          <w:sz w:val="18"/>
          <w:szCs w:val="18"/>
          <w:b w:val="1"/>
          <w:bCs w:val="1"/>
          <w:u w:val="single" w:color="auto"/>
          <w:color w:val="auto"/>
        </w:rPr>
        <w:t>MARKET FOR REGISTRANT’S COMMON EQUITY, RELATED STOCKHOLDER MATTERS AND ISSUER PURCHASES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EQUITY SECURITIES</w:t>
      </w:r>
    </w:p>
    <w:p>
      <w:pPr>
        <w:spacing w:after="0" w:line="15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common stock is quoted on The Nasdaq Global Select Market® under the symbol “CASS.” As of February 15, 2024, there were approximately 5,717 holders of record of the Company’s common stock.</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continuously paid regularly scheduled cash dividends since 1934 and expects to continue to pay quarterly cash dividends in the future. However, future dividend payments will depend on the Company’s earnings, capital requirements, financial condition, applicable banking regulatory requirements and other factors considered relevant by the Company’s Board of Directors.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maintains a treasury stock buyback program approved by the Board of Directors in October 2023 pursuant to which, the Board of Directors has authorized the repurchase of up to 500,000 shares of the Company’s common stock and has no expiration date. The Company has repurchased 13,964 shares under this treasury stock buyback program and therefore has 486,036 shares remaining for repurchase.</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repurchased a total of 150,541 shares at an aggregate cost of $5.8 million during the year ended December 31, 2023 and 130,374 shares at an aggregate cost of $5.3 million during the year ended December 31, 2022. A portion of the repurchased shares may be used for the Company’s employee benefit plans and the balance will be available for other general corporate purposes. The pace of repurchase activity will depend on factors such as levels of regulatory capital, cash generation from operations, cash requirements for investments, repayment of debt, current stock price, business and market conditions, and other factors. The Company may repurchase shares from time to time on the open market or in private transactions, including structured transactions. The stock repurchase program may be modified or discontinued at any time.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three months ended December 31, 2023, the Company repurchased shares of its common stock as follows:</w:t>
      </w:r>
    </w:p>
    <w:p>
      <w:pPr>
        <w:sectPr>
          <w:pgSz w:w="11900" w:h="16838" w:orient="portrait"/>
          <w:cols w:equalWidth="0" w:num="1">
            <w:col w:w="11240"/>
          </w:cols>
          <w:pgMar w:left="320" w:top="33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tbl>
      <w:tblPr>
        <w:tblLayout w:type="fixed"/>
        <w:tblInd w:w="2340" w:type="dxa"/>
        <w:tblCellMar>
          <w:top w:w="0" w:type="dxa"/>
          <w:left w:w="0" w:type="dxa"/>
          <w:bottom w:w="0" w:type="dxa"/>
          <w:right w:w="0" w:type="dxa"/>
        </w:tblCellMar>
      </w:tblPr>
      <w:tr>
        <w:trPr>
          <w:trHeight w:val="207"/>
        </w:trPr>
        <w:tc>
          <w:tcPr>
            <w:tcW w:w="1740" w:type="dxa"/>
            <w:vAlign w:val="bottom"/>
          </w:tcPr>
          <w:p>
            <w:pPr>
              <w:spacing w:after="0"/>
              <w:rPr>
                <w:sz w:val="18"/>
                <w:szCs w:val="18"/>
                <w:color w:val="auto"/>
              </w:rPr>
            </w:pPr>
          </w:p>
        </w:tc>
        <w:tc>
          <w:tcPr>
            <w:tcW w:w="2620" w:type="dxa"/>
            <w:vAlign w:val="bottom"/>
          </w:tcPr>
          <w:p>
            <w:pPr>
              <w:jc w:val="center"/>
              <w:ind w:left="1010"/>
              <w:spacing w:after="0"/>
              <w:rPr>
                <w:sz w:val="20"/>
                <w:szCs w:val="20"/>
                <w:color w:val="auto"/>
              </w:rPr>
            </w:pPr>
            <w:r>
              <w:rPr>
                <w:rFonts w:ascii="Times New Roman" w:cs="Times New Roman" w:eastAsia="Times New Roman" w:hAnsi="Times New Roman"/>
                <w:sz w:val="18"/>
                <w:szCs w:val="18"/>
                <w:b w:val="1"/>
                <w:bCs w:val="1"/>
                <w:color w:val="auto"/>
                <w:w w:val="99"/>
              </w:rPr>
              <w:t>Total Number of</w:t>
            </w:r>
          </w:p>
        </w:tc>
        <w:tc>
          <w:tcPr>
            <w:tcW w:w="1300" w:type="dxa"/>
            <w:vAlign w:val="bottom"/>
          </w:tcPr>
          <w:p>
            <w:pPr>
              <w:spacing w:after="0"/>
              <w:rPr>
                <w:sz w:val="18"/>
                <w:szCs w:val="18"/>
                <w:color w:val="auto"/>
              </w:rPr>
            </w:pPr>
          </w:p>
        </w:tc>
      </w:tr>
      <w:tr>
        <w:trPr>
          <w:trHeight w:val="203"/>
        </w:trPr>
        <w:tc>
          <w:tcPr>
            <w:tcW w:w="1740" w:type="dxa"/>
            <w:vAlign w:val="bottom"/>
          </w:tcPr>
          <w:p>
            <w:pPr>
              <w:spacing w:after="0"/>
              <w:rPr>
                <w:sz w:val="17"/>
                <w:szCs w:val="17"/>
                <w:color w:val="auto"/>
              </w:rPr>
            </w:pPr>
          </w:p>
        </w:tc>
        <w:tc>
          <w:tcPr>
            <w:tcW w:w="2620" w:type="dxa"/>
            <w:vAlign w:val="bottom"/>
          </w:tcPr>
          <w:p>
            <w:pPr>
              <w:jc w:val="center"/>
              <w:ind w:left="1010"/>
              <w:spacing w:after="0" w:line="202" w:lineRule="exact"/>
              <w:rPr>
                <w:sz w:val="20"/>
                <w:szCs w:val="20"/>
                <w:color w:val="auto"/>
              </w:rPr>
            </w:pPr>
            <w:r>
              <w:rPr>
                <w:rFonts w:ascii="Times New Roman" w:cs="Times New Roman" w:eastAsia="Times New Roman" w:hAnsi="Times New Roman"/>
                <w:sz w:val="18"/>
                <w:szCs w:val="18"/>
                <w:b w:val="1"/>
                <w:bCs w:val="1"/>
                <w:color w:val="auto"/>
                <w:w w:val="99"/>
              </w:rPr>
              <w:t>Shares</w:t>
            </w:r>
          </w:p>
        </w:tc>
        <w:tc>
          <w:tcPr>
            <w:tcW w:w="1300" w:type="dxa"/>
            <w:vAlign w:val="bottom"/>
          </w:tcPr>
          <w:p>
            <w:pPr>
              <w:jc w:val="center"/>
              <w:ind w:left="50"/>
              <w:spacing w:after="0" w:line="202" w:lineRule="exact"/>
              <w:rPr>
                <w:sz w:val="20"/>
                <w:szCs w:val="20"/>
                <w:color w:val="auto"/>
              </w:rPr>
            </w:pPr>
            <w:r>
              <w:rPr>
                <w:rFonts w:ascii="Times New Roman" w:cs="Times New Roman" w:eastAsia="Times New Roman" w:hAnsi="Times New Roman"/>
                <w:sz w:val="18"/>
                <w:szCs w:val="18"/>
                <w:b w:val="1"/>
                <w:bCs w:val="1"/>
                <w:color w:val="auto"/>
                <w:w w:val="99"/>
              </w:rPr>
              <w:t>Average Price</w:t>
            </w:r>
          </w:p>
        </w:tc>
      </w:tr>
      <w:tr>
        <w:trPr>
          <w:trHeight w:val="265"/>
        </w:trPr>
        <w:tc>
          <w:tcPr>
            <w:tcW w:w="1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2620" w:type="dxa"/>
            <w:vAlign w:val="bottom"/>
          </w:tcPr>
          <w:p>
            <w:pPr>
              <w:jc w:val="center"/>
              <w:ind w:left="990"/>
              <w:spacing w:after="0"/>
              <w:rPr>
                <w:sz w:val="20"/>
                <w:szCs w:val="20"/>
                <w:color w:val="auto"/>
              </w:rPr>
            </w:pPr>
            <w:r>
              <w:rPr>
                <w:rFonts w:ascii="Times New Roman" w:cs="Times New Roman" w:eastAsia="Times New Roman" w:hAnsi="Times New Roman"/>
                <w:sz w:val="18"/>
                <w:szCs w:val="18"/>
                <w:b w:val="1"/>
                <w:bCs w:val="1"/>
                <w:color w:val="auto"/>
                <w:w w:val="95"/>
              </w:rPr>
              <w:t>Purchased</w:t>
            </w:r>
            <w:r>
              <w:rPr>
                <w:rFonts w:ascii="Times New Roman" w:cs="Times New Roman" w:eastAsia="Times New Roman" w:hAnsi="Times New Roman"/>
                <w:sz w:val="23"/>
                <w:szCs w:val="23"/>
                <w:b w:val="1"/>
                <w:bCs w:val="1"/>
                <w:color w:val="auto"/>
                <w:w w:val="95"/>
                <w:vertAlign w:val="superscript"/>
              </w:rPr>
              <w:t>(1)</w:t>
            </w:r>
          </w:p>
        </w:tc>
        <w:tc>
          <w:tcPr>
            <w:tcW w:w="1300" w:type="dxa"/>
            <w:vAlign w:val="bottom"/>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rPr>
              <w:t>Paid per Share</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14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Total Number of</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Maximum Number</w:t>
            </w:r>
          </w:p>
        </w:tc>
        <w:tc>
          <w:tcPr>
            <w:tcW w:w="0" w:type="dxa"/>
            <w:vAlign w:val="bottom"/>
          </w:tcPr>
          <w:p>
            <w:pPr>
              <w:spacing w:after="0"/>
              <w:rPr>
                <w:sz w:val="1"/>
                <w:szCs w:val="1"/>
                <w:color w:val="auto"/>
              </w:rPr>
            </w:pPr>
          </w:p>
        </w:tc>
      </w:tr>
      <w:tr>
        <w:trPr>
          <w:trHeight w:val="189"/>
        </w:trPr>
        <w:tc>
          <w:tcPr>
            <w:tcW w:w="1460" w:type="dxa"/>
            <w:vAlign w:val="bottom"/>
            <w:vMerge w:val="continue"/>
          </w:tcPr>
          <w:p>
            <w:pPr>
              <w:spacing w:after="0"/>
              <w:rPr>
                <w:sz w:val="16"/>
                <w:szCs w:val="16"/>
                <w:color w:val="auto"/>
              </w:rPr>
            </w:pPr>
          </w:p>
        </w:tc>
        <w:tc>
          <w:tcPr>
            <w:tcW w:w="152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9"/>
              </w:rPr>
              <w:t>of Shares that May</w:t>
            </w:r>
          </w:p>
        </w:tc>
        <w:tc>
          <w:tcPr>
            <w:tcW w:w="0" w:type="dxa"/>
            <w:vAlign w:val="bottom"/>
          </w:tcPr>
          <w:p>
            <w:pPr>
              <w:spacing w:after="0"/>
              <w:rPr>
                <w:sz w:val="1"/>
                <w:szCs w:val="1"/>
                <w:color w:val="auto"/>
              </w:rPr>
            </w:pPr>
          </w:p>
        </w:tc>
      </w:tr>
      <w:tr>
        <w:trPr>
          <w:trHeight w:val="216"/>
        </w:trPr>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Shares Purchased</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Yet</w:t>
            </w:r>
          </w:p>
        </w:tc>
        <w:tc>
          <w:tcPr>
            <w:tcW w:w="0" w:type="dxa"/>
            <w:vAlign w:val="bottom"/>
          </w:tcPr>
          <w:p>
            <w:pPr>
              <w:spacing w:after="0"/>
              <w:rPr>
                <w:sz w:val="1"/>
                <w:szCs w:val="1"/>
                <w:color w:val="auto"/>
              </w:rPr>
            </w:pPr>
          </w:p>
        </w:tc>
      </w:tr>
      <w:tr>
        <w:trPr>
          <w:trHeight w:val="203"/>
        </w:trPr>
        <w:tc>
          <w:tcPr>
            <w:tcW w:w="146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rPr>
              <w:t>as Part of Publicly</w:t>
            </w:r>
          </w:p>
        </w:tc>
        <w:tc>
          <w:tcPr>
            <w:tcW w:w="15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w w:val="98"/>
              </w:rPr>
              <w:t>Be Purchased</w:t>
            </w:r>
          </w:p>
        </w:tc>
        <w:tc>
          <w:tcPr>
            <w:tcW w:w="0" w:type="dxa"/>
            <w:vAlign w:val="bottom"/>
          </w:tcPr>
          <w:p>
            <w:pPr>
              <w:spacing w:after="0"/>
              <w:rPr>
                <w:sz w:val="1"/>
                <w:szCs w:val="1"/>
                <w:color w:val="auto"/>
              </w:rPr>
            </w:pPr>
          </w:p>
        </w:tc>
      </w:tr>
      <w:tr>
        <w:trPr>
          <w:trHeight w:val="203"/>
        </w:trPr>
        <w:tc>
          <w:tcPr>
            <w:tcW w:w="146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w w:val="99"/>
              </w:rPr>
              <w:t>Announced Plans</w:t>
            </w:r>
          </w:p>
        </w:tc>
        <w:tc>
          <w:tcPr>
            <w:tcW w:w="15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rPr>
              <w:t>Under the Plans or</w:t>
            </w:r>
          </w:p>
        </w:tc>
        <w:tc>
          <w:tcPr>
            <w:tcW w:w="0" w:type="dxa"/>
            <w:vAlign w:val="bottom"/>
          </w:tcPr>
          <w:p>
            <w:pPr>
              <w:spacing w:after="0"/>
              <w:rPr>
                <w:sz w:val="1"/>
                <w:szCs w:val="1"/>
                <w:color w:val="auto"/>
              </w:rPr>
            </w:pPr>
          </w:p>
        </w:tc>
      </w:tr>
      <w:tr>
        <w:trPr>
          <w:trHeight w:val="265"/>
        </w:trPr>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or Programs</w:t>
            </w:r>
            <w:r>
              <w:rPr>
                <w:rFonts w:ascii="Times New Roman" w:cs="Times New Roman" w:eastAsia="Times New Roman" w:hAnsi="Times New Roman"/>
                <w:sz w:val="23"/>
                <w:szCs w:val="23"/>
                <w:b w:val="1"/>
                <w:bCs w:val="1"/>
                <w:color w:val="auto"/>
                <w:w w:val="95"/>
                <w:vertAlign w:val="superscript"/>
              </w:rPr>
              <w:t>(2)</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Programs</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2">
            <w:col w:w="8000" w:space="200"/>
            <w:col w:w="3040"/>
          </w:cols>
          <w:pgMar w:left="320" w:top="333" w:right="339" w:bottom="1440" w:gutter="0" w:footer="0" w:header="0"/>
          <w:type w:val="continuous"/>
        </w:sectPr>
      </w:pPr>
    </w:p>
    <w:tbl>
      <w:tblPr>
        <w:tblLayout w:type="fixed"/>
        <w:tblInd w:w="0" w:type="dxa"/>
        <w:tblCellMar>
          <w:top w:w="0" w:type="dxa"/>
          <w:left w:w="0" w:type="dxa"/>
          <w:bottom w:w="0" w:type="dxa"/>
          <w:right w:w="0" w:type="dxa"/>
        </w:tblCellMar>
      </w:tblPr>
      <w:tr>
        <w:trPr>
          <w:trHeight w:val="169"/>
        </w:trPr>
        <w:tc>
          <w:tcPr>
            <w:tcW w:w="3800" w:type="dxa"/>
            <w:vAlign w:val="bottom"/>
            <w:tcBorders>
              <w:top w:val="single" w:sz="8" w:color="auto"/>
            </w:tcBorders>
            <w:shd w:val="clear" w:color="auto" w:fill="DBDBDB"/>
          </w:tcPr>
          <w:p>
            <w:pPr>
              <w:ind w:left="20"/>
              <w:spacing w:after="0" w:line="169" w:lineRule="exact"/>
              <w:rPr>
                <w:sz w:val="20"/>
                <w:szCs w:val="20"/>
                <w:color w:val="auto"/>
              </w:rPr>
            </w:pPr>
            <w:r>
              <w:rPr>
                <w:rFonts w:ascii="Times New Roman" w:cs="Times New Roman" w:eastAsia="Times New Roman" w:hAnsi="Times New Roman"/>
                <w:sz w:val="18"/>
                <w:szCs w:val="18"/>
                <w:color w:val="auto"/>
              </w:rPr>
              <w:t>October 1, 2023 –</w:t>
            </w:r>
          </w:p>
        </w:tc>
        <w:tc>
          <w:tcPr>
            <w:tcW w:w="2860" w:type="dxa"/>
            <w:vAlign w:val="bottom"/>
            <w:tcBorders>
              <w:top w:val="single" w:sz="8" w:color="auto"/>
            </w:tcBorders>
            <w:vMerge w:val="restart"/>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1,650</w:t>
            </w:r>
          </w:p>
        </w:tc>
        <w:tc>
          <w:tcPr>
            <w:tcW w:w="580" w:type="dxa"/>
            <w:vAlign w:val="bottom"/>
            <w:tcBorders>
              <w:top w:val="single" w:sz="8" w:color="auto"/>
            </w:tcBorders>
            <w:vMerge w:val="restart"/>
            <w:shd w:val="clear" w:color="auto" w:fill="DBDBDB"/>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vMerge w:val="restart"/>
            <w:shd w:val="clear" w:color="auto" w:fill="DBDBDB"/>
          </w:tcPr>
          <w:p>
            <w:pPr>
              <w:jc w:val="right"/>
              <w:ind w:right="390"/>
              <w:spacing w:after="0"/>
              <w:rPr>
                <w:sz w:val="20"/>
                <w:szCs w:val="20"/>
                <w:color w:val="auto"/>
              </w:rPr>
            </w:pPr>
            <w:r>
              <w:rPr>
                <w:rFonts w:ascii="Times New Roman" w:cs="Times New Roman" w:eastAsia="Times New Roman" w:hAnsi="Times New Roman"/>
                <w:sz w:val="18"/>
                <w:szCs w:val="18"/>
                <w:color w:val="auto"/>
              </w:rPr>
              <w:t>37.68</w:t>
            </w:r>
          </w:p>
        </w:tc>
        <w:tc>
          <w:tcPr>
            <w:tcW w:w="1500" w:type="dxa"/>
            <w:vAlign w:val="bottom"/>
            <w:tcBorders>
              <w:top w:val="single" w:sz="8" w:color="auto"/>
            </w:tcBorders>
            <w:vMerge w:val="restart"/>
            <w:shd w:val="clear" w:color="auto" w:fill="DBDBDB"/>
          </w:tcPr>
          <w:p>
            <w:pPr>
              <w:jc w:val="right"/>
              <w:ind w:right="410"/>
              <w:spacing w:after="0"/>
              <w:rPr>
                <w:sz w:val="20"/>
                <w:szCs w:val="20"/>
                <w:color w:val="auto"/>
              </w:rPr>
            </w:pPr>
            <w:r>
              <w:rPr>
                <w:rFonts w:ascii="Times New Roman" w:cs="Times New Roman" w:eastAsia="Times New Roman" w:hAnsi="Times New Roman"/>
                <w:sz w:val="18"/>
                <w:szCs w:val="18"/>
                <w:color w:val="auto"/>
              </w:rPr>
              <w:t>1,650</w:t>
            </w:r>
          </w:p>
        </w:tc>
        <w:tc>
          <w:tcPr>
            <w:tcW w:w="1160" w:type="dxa"/>
            <w:vAlign w:val="bottom"/>
            <w:tcBorders>
              <w:top w:val="single" w:sz="8" w:color="auto"/>
            </w:tcBorders>
            <w:vMerge w:val="restart"/>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498,350</w:t>
            </w:r>
          </w:p>
        </w:tc>
        <w:tc>
          <w:tcPr>
            <w:tcW w:w="0" w:type="dxa"/>
            <w:vAlign w:val="bottom"/>
          </w:tcPr>
          <w:p>
            <w:pPr>
              <w:spacing w:after="0"/>
              <w:rPr>
                <w:sz w:val="1"/>
                <w:szCs w:val="1"/>
                <w:color w:val="auto"/>
              </w:rPr>
            </w:pPr>
          </w:p>
        </w:tc>
      </w:tr>
      <w:tr>
        <w:trPr>
          <w:trHeight w:val="243"/>
        </w:trPr>
        <w:tc>
          <w:tcPr>
            <w:tcW w:w="380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October 31, 2023</w:t>
            </w:r>
          </w:p>
        </w:tc>
        <w:tc>
          <w:tcPr>
            <w:tcW w:w="2860" w:type="dxa"/>
            <w:vAlign w:val="bottom"/>
            <w:vMerge w:val="continue"/>
            <w:shd w:val="clear" w:color="auto" w:fill="DBDBDB"/>
          </w:tcPr>
          <w:p>
            <w:pPr>
              <w:spacing w:after="0"/>
              <w:rPr>
                <w:sz w:val="21"/>
                <w:szCs w:val="21"/>
                <w:color w:val="auto"/>
              </w:rPr>
            </w:pPr>
          </w:p>
        </w:tc>
        <w:tc>
          <w:tcPr>
            <w:tcW w:w="580" w:type="dxa"/>
            <w:vAlign w:val="bottom"/>
            <w:vMerge w:val="continue"/>
            <w:shd w:val="clear" w:color="auto" w:fill="DBDBDB"/>
          </w:tcPr>
          <w:p>
            <w:pPr>
              <w:spacing w:after="0"/>
              <w:rPr>
                <w:sz w:val="21"/>
                <w:szCs w:val="21"/>
                <w:color w:val="auto"/>
              </w:rPr>
            </w:pPr>
          </w:p>
        </w:tc>
        <w:tc>
          <w:tcPr>
            <w:tcW w:w="1340" w:type="dxa"/>
            <w:vAlign w:val="bottom"/>
            <w:vMerge w:val="continue"/>
            <w:shd w:val="clear" w:color="auto" w:fill="DBDBDB"/>
          </w:tcPr>
          <w:p>
            <w:pPr>
              <w:spacing w:after="0"/>
              <w:rPr>
                <w:sz w:val="21"/>
                <w:szCs w:val="21"/>
                <w:color w:val="auto"/>
              </w:rPr>
            </w:pPr>
          </w:p>
        </w:tc>
        <w:tc>
          <w:tcPr>
            <w:tcW w:w="1500" w:type="dxa"/>
            <w:vAlign w:val="bottom"/>
            <w:vMerge w:val="continue"/>
            <w:shd w:val="clear" w:color="auto" w:fill="DBDBDB"/>
          </w:tcPr>
          <w:p>
            <w:pPr>
              <w:spacing w:after="0"/>
              <w:rPr>
                <w:sz w:val="21"/>
                <w:szCs w:val="21"/>
                <w:color w:val="auto"/>
              </w:rPr>
            </w:pPr>
          </w:p>
        </w:tc>
        <w:tc>
          <w:tcPr>
            <w:tcW w:w="1160" w:type="dxa"/>
            <w:vAlign w:val="bottom"/>
            <w:vMerge w:val="continue"/>
            <w:shd w:val="clear" w:color="auto" w:fill="DBDBDB"/>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38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November 1, 2023 –</w:t>
            </w:r>
          </w:p>
        </w:tc>
        <w:tc>
          <w:tcPr>
            <w:tcW w:w="2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13,295</w:t>
            </w:r>
          </w:p>
        </w:tc>
        <w:tc>
          <w:tcPr>
            <w:tcW w:w="580" w:type="dxa"/>
            <w:vAlign w:val="bottom"/>
          </w:tcPr>
          <w:p>
            <w:pPr>
              <w:spacing w:after="0"/>
              <w:rPr>
                <w:sz w:val="15"/>
                <w:szCs w:val="15"/>
                <w:color w:val="auto"/>
              </w:rPr>
            </w:pPr>
          </w:p>
        </w:tc>
        <w:tc>
          <w:tcPr>
            <w:tcW w:w="1340" w:type="dxa"/>
            <w:vAlign w:val="bottom"/>
            <w:vMerge w:val="restart"/>
          </w:tcPr>
          <w:p>
            <w:pPr>
              <w:jc w:val="right"/>
              <w:ind w:right="390"/>
              <w:spacing w:after="0"/>
              <w:rPr>
                <w:sz w:val="20"/>
                <w:szCs w:val="20"/>
                <w:color w:val="auto"/>
              </w:rPr>
            </w:pPr>
            <w:r>
              <w:rPr>
                <w:rFonts w:ascii="Times New Roman" w:cs="Times New Roman" w:eastAsia="Times New Roman" w:hAnsi="Times New Roman"/>
                <w:sz w:val="18"/>
                <w:szCs w:val="18"/>
                <w:color w:val="auto"/>
              </w:rPr>
              <w:t>40.28</w:t>
            </w:r>
          </w:p>
        </w:tc>
        <w:tc>
          <w:tcPr>
            <w:tcW w:w="1500" w:type="dxa"/>
            <w:vAlign w:val="bottom"/>
            <w:vMerge w:val="restart"/>
          </w:tcPr>
          <w:p>
            <w:pPr>
              <w:jc w:val="right"/>
              <w:ind w:right="410"/>
              <w:spacing w:after="0"/>
              <w:rPr>
                <w:sz w:val="20"/>
                <w:szCs w:val="20"/>
                <w:color w:val="auto"/>
              </w:rPr>
            </w:pPr>
            <w:r>
              <w:rPr>
                <w:rFonts w:ascii="Times New Roman" w:cs="Times New Roman" w:eastAsia="Times New Roman" w:hAnsi="Times New Roman"/>
                <w:sz w:val="18"/>
                <w:szCs w:val="18"/>
                <w:color w:val="auto"/>
              </w:rPr>
              <w:t>11,714</w:t>
            </w: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486,636</w:t>
            </w:r>
          </w:p>
        </w:tc>
        <w:tc>
          <w:tcPr>
            <w:tcW w:w="0" w:type="dxa"/>
            <w:vAlign w:val="bottom"/>
          </w:tcPr>
          <w:p>
            <w:pPr>
              <w:spacing w:after="0"/>
              <w:rPr>
                <w:sz w:val="1"/>
                <w:szCs w:val="1"/>
                <w:color w:val="auto"/>
              </w:rPr>
            </w:pPr>
          </w:p>
        </w:tc>
      </w:tr>
      <w:tr>
        <w:trPr>
          <w:trHeight w:val="239"/>
        </w:trPr>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November 30, 2023</w:t>
            </w:r>
          </w:p>
        </w:tc>
        <w:tc>
          <w:tcPr>
            <w:tcW w:w="2860" w:type="dxa"/>
            <w:vAlign w:val="bottom"/>
            <w:vMerge w:val="continue"/>
          </w:tcPr>
          <w:p>
            <w:pPr>
              <w:spacing w:after="0"/>
              <w:rPr>
                <w:sz w:val="20"/>
                <w:szCs w:val="20"/>
                <w:color w:val="auto"/>
              </w:rPr>
            </w:pPr>
          </w:p>
        </w:tc>
        <w:tc>
          <w:tcPr>
            <w:tcW w:w="580" w:type="dxa"/>
            <w:vAlign w:val="bottom"/>
          </w:tcPr>
          <w:p>
            <w:pPr>
              <w:spacing w:after="0"/>
              <w:rPr>
                <w:sz w:val="20"/>
                <w:szCs w:val="20"/>
                <w:color w:val="auto"/>
              </w:rPr>
            </w:pPr>
          </w:p>
        </w:tc>
        <w:tc>
          <w:tcPr>
            <w:tcW w:w="1340" w:type="dxa"/>
            <w:vAlign w:val="bottom"/>
            <w:vMerge w:val="continue"/>
          </w:tcPr>
          <w:p>
            <w:pPr>
              <w:spacing w:after="0"/>
              <w:rPr>
                <w:sz w:val="20"/>
                <w:szCs w:val="20"/>
                <w:color w:val="auto"/>
              </w:rPr>
            </w:pPr>
          </w:p>
        </w:tc>
        <w:tc>
          <w:tcPr>
            <w:tcW w:w="1500" w:type="dxa"/>
            <w:vAlign w:val="bottom"/>
            <w:vMerge w:val="continue"/>
          </w:tcPr>
          <w:p>
            <w:pPr>
              <w:spacing w:after="0"/>
              <w:rPr>
                <w:sz w:val="20"/>
                <w:szCs w:val="20"/>
                <w:color w:val="auto"/>
              </w:rPr>
            </w:pPr>
          </w:p>
        </w:tc>
        <w:tc>
          <w:tcPr>
            <w:tcW w:w="11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3800" w:type="dxa"/>
            <w:vAlign w:val="bottom"/>
            <w:shd w:val="clear" w:color="auto" w:fill="DBDBDB"/>
          </w:tcPr>
          <w:p>
            <w:pPr>
              <w:ind w:left="20"/>
              <w:spacing w:after="0" w:line="180" w:lineRule="exact"/>
              <w:rPr>
                <w:sz w:val="20"/>
                <w:szCs w:val="20"/>
                <w:color w:val="auto"/>
              </w:rPr>
            </w:pPr>
            <w:r>
              <w:rPr>
                <w:rFonts w:ascii="Times New Roman" w:cs="Times New Roman" w:eastAsia="Times New Roman" w:hAnsi="Times New Roman"/>
                <w:sz w:val="18"/>
                <w:szCs w:val="18"/>
                <w:color w:val="auto"/>
              </w:rPr>
              <w:t>December 1, 2023 –</w:t>
            </w:r>
          </w:p>
        </w:tc>
        <w:tc>
          <w:tcPr>
            <w:tcW w:w="2860" w:type="dxa"/>
            <w:vAlign w:val="bottom"/>
            <w:vMerge w:val="restart"/>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580" w:type="dxa"/>
            <w:vAlign w:val="bottom"/>
            <w:shd w:val="clear" w:color="auto" w:fill="DBDBDB"/>
          </w:tcPr>
          <w:p>
            <w:pPr>
              <w:spacing w:after="0"/>
              <w:rPr>
                <w:sz w:val="15"/>
                <w:szCs w:val="15"/>
                <w:color w:val="auto"/>
              </w:rPr>
            </w:pPr>
          </w:p>
        </w:tc>
        <w:tc>
          <w:tcPr>
            <w:tcW w:w="1340" w:type="dxa"/>
            <w:vAlign w:val="bottom"/>
            <w:vMerge w:val="restart"/>
            <w:shd w:val="clear" w:color="auto" w:fill="DBDBDB"/>
          </w:tcPr>
          <w:p>
            <w:pPr>
              <w:jc w:val="right"/>
              <w:ind w:right="390"/>
              <w:spacing w:after="0"/>
              <w:rPr>
                <w:sz w:val="20"/>
                <w:szCs w:val="20"/>
                <w:color w:val="auto"/>
              </w:rPr>
            </w:pPr>
            <w:r>
              <w:rPr>
                <w:rFonts w:ascii="Times New Roman" w:cs="Times New Roman" w:eastAsia="Times New Roman" w:hAnsi="Times New Roman"/>
                <w:sz w:val="18"/>
                <w:szCs w:val="18"/>
                <w:color w:val="auto"/>
              </w:rPr>
              <w:t>41.83</w:t>
            </w:r>
          </w:p>
        </w:tc>
        <w:tc>
          <w:tcPr>
            <w:tcW w:w="1500" w:type="dxa"/>
            <w:vAlign w:val="bottom"/>
            <w:vMerge w:val="restart"/>
            <w:shd w:val="clear" w:color="auto" w:fill="DBDBDB"/>
          </w:tcPr>
          <w:p>
            <w:pPr>
              <w:jc w:val="right"/>
              <w:ind w:right="410"/>
              <w:spacing w:after="0"/>
              <w:rPr>
                <w:sz w:val="20"/>
                <w:szCs w:val="20"/>
                <w:color w:val="auto"/>
              </w:rPr>
            </w:pPr>
            <w:r>
              <w:rPr>
                <w:rFonts w:ascii="Times New Roman" w:cs="Times New Roman" w:eastAsia="Times New Roman" w:hAnsi="Times New Roman"/>
                <w:sz w:val="18"/>
                <w:szCs w:val="18"/>
                <w:color w:val="auto"/>
              </w:rPr>
              <w:t>600</w:t>
            </w:r>
          </w:p>
        </w:tc>
        <w:tc>
          <w:tcPr>
            <w:tcW w:w="1160" w:type="dxa"/>
            <w:vAlign w:val="bottom"/>
            <w:vMerge w:val="restart"/>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486,036</w:t>
            </w:r>
          </w:p>
        </w:tc>
        <w:tc>
          <w:tcPr>
            <w:tcW w:w="0" w:type="dxa"/>
            <w:vAlign w:val="bottom"/>
          </w:tcPr>
          <w:p>
            <w:pPr>
              <w:spacing w:after="0"/>
              <w:rPr>
                <w:sz w:val="1"/>
                <w:szCs w:val="1"/>
                <w:color w:val="auto"/>
              </w:rPr>
            </w:pPr>
          </w:p>
        </w:tc>
      </w:tr>
      <w:tr>
        <w:trPr>
          <w:trHeight w:val="239"/>
        </w:trPr>
        <w:tc>
          <w:tcPr>
            <w:tcW w:w="3800" w:type="dxa"/>
            <w:vAlign w:val="bottom"/>
            <w:tcBorders>
              <w:bottom w:val="single" w:sz="8" w:color="auto"/>
            </w:tcBorders>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December 31, 2023</w:t>
            </w:r>
          </w:p>
        </w:tc>
        <w:tc>
          <w:tcPr>
            <w:tcW w:w="2860" w:type="dxa"/>
            <w:vAlign w:val="bottom"/>
            <w:tcBorders>
              <w:bottom w:val="single" w:sz="8" w:color="auto"/>
            </w:tcBorders>
            <w:vMerge w:val="continue"/>
            <w:shd w:val="clear" w:color="auto" w:fill="DBDBDB"/>
          </w:tcPr>
          <w:p>
            <w:pPr>
              <w:spacing w:after="0"/>
              <w:rPr>
                <w:sz w:val="20"/>
                <w:szCs w:val="20"/>
                <w:color w:val="auto"/>
              </w:rPr>
            </w:pPr>
          </w:p>
        </w:tc>
        <w:tc>
          <w:tcPr>
            <w:tcW w:w="580" w:type="dxa"/>
            <w:vAlign w:val="bottom"/>
            <w:tcBorders>
              <w:bottom w:val="single" w:sz="8" w:color="auto"/>
            </w:tcBorders>
            <w:shd w:val="clear" w:color="auto" w:fill="DBDBDB"/>
          </w:tcPr>
          <w:p>
            <w:pPr>
              <w:spacing w:after="0"/>
              <w:rPr>
                <w:sz w:val="20"/>
                <w:szCs w:val="20"/>
                <w:color w:val="auto"/>
              </w:rPr>
            </w:pPr>
          </w:p>
        </w:tc>
        <w:tc>
          <w:tcPr>
            <w:tcW w:w="1340" w:type="dxa"/>
            <w:vAlign w:val="bottom"/>
            <w:tcBorders>
              <w:bottom w:val="single" w:sz="8" w:color="auto"/>
            </w:tcBorders>
            <w:vMerge w:val="continue"/>
            <w:shd w:val="clear" w:color="auto" w:fill="DBDBDB"/>
          </w:tcPr>
          <w:p>
            <w:pPr>
              <w:spacing w:after="0"/>
              <w:rPr>
                <w:sz w:val="20"/>
                <w:szCs w:val="20"/>
                <w:color w:val="auto"/>
              </w:rPr>
            </w:pPr>
          </w:p>
        </w:tc>
        <w:tc>
          <w:tcPr>
            <w:tcW w:w="1500" w:type="dxa"/>
            <w:vAlign w:val="bottom"/>
            <w:tcBorders>
              <w:bottom w:val="single" w:sz="8" w:color="auto"/>
            </w:tcBorders>
            <w:vMerge w:val="continue"/>
            <w:shd w:val="clear" w:color="auto" w:fill="DBDBDB"/>
          </w:tcPr>
          <w:p>
            <w:pPr>
              <w:spacing w:after="0"/>
              <w:rPr>
                <w:sz w:val="20"/>
                <w:szCs w:val="20"/>
                <w:color w:val="auto"/>
              </w:rPr>
            </w:pPr>
          </w:p>
        </w:tc>
        <w:tc>
          <w:tcPr>
            <w:tcW w:w="1160" w:type="dxa"/>
            <w:vAlign w:val="bottom"/>
            <w:tcBorders>
              <w:bottom w:val="single" w:sz="8" w:color="auto"/>
            </w:tcBorders>
            <w:vMerge w:val="continue"/>
            <w:shd w:val="clear" w:color="auto" w:fill="DBDBDB"/>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3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15,545</w:t>
            </w:r>
          </w:p>
        </w:tc>
        <w:tc>
          <w:tcPr>
            <w:tcW w:w="5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40.06</w:t>
            </w:r>
          </w:p>
        </w:tc>
        <w:tc>
          <w:tcPr>
            <w:tcW w:w="15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13,964</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486,036</w:t>
            </w:r>
          </w:p>
        </w:tc>
        <w:tc>
          <w:tcPr>
            <w:tcW w:w="0" w:type="dxa"/>
            <w:vAlign w:val="bottom"/>
          </w:tcPr>
          <w:p>
            <w:pPr>
              <w:spacing w:after="0"/>
              <w:rPr>
                <w:sz w:val="1"/>
                <w:szCs w:val="1"/>
                <w:color w:val="auto"/>
              </w:rPr>
            </w:pPr>
          </w:p>
        </w:tc>
      </w:tr>
      <w:tr>
        <w:trPr>
          <w:trHeight w:val="27"/>
        </w:trPr>
        <w:tc>
          <w:tcPr>
            <w:tcW w:w="3800" w:type="dxa"/>
            <w:vAlign w:val="bottom"/>
            <w:tcBorders>
              <w:bottom w:val="single" w:sz="8" w:color="auto"/>
            </w:tcBorders>
          </w:tcPr>
          <w:p>
            <w:pPr>
              <w:spacing w:after="0"/>
              <w:rPr>
                <w:sz w:val="2"/>
                <w:szCs w:val="2"/>
                <w:color w:val="auto"/>
              </w:rPr>
            </w:pPr>
          </w:p>
        </w:tc>
        <w:tc>
          <w:tcPr>
            <w:tcW w:w="28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900" w:right="240" w:hanging="892"/>
        <w:spacing w:after="0" w:line="257" w:lineRule="auto"/>
        <w:tabs>
          <w:tab w:leader="none" w:pos="89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quarter ended December 31, 2023, there were 13,964 shares repurchased pursuant to the Company's publicly announced treasury stock buyback program and 1,581 shares transferred from employees in satisfaction of tax withholding obligations upon the vesting of restricted stock.</w:t>
      </w:r>
    </w:p>
    <w:p>
      <w:pPr>
        <w:spacing w:after="0" w:line="1" w:lineRule="exact"/>
        <w:rPr>
          <w:rFonts w:ascii="Times New Roman" w:cs="Times New Roman" w:eastAsia="Times New Roman" w:hAnsi="Times New Roman"/>
          <w:sz w:val="18"/>
          <w:szCs w:val="18"/>
          <w:color w:val="auto"/>
        </w:rPr>
      </w:pPr>
    </w:p>
    <w:p>
      <w:pPr>
        <w:ind w:left="900" w:right="40" w:hanging="892"/>
        <w:spacing w:after="0" w:line="260" w:lineRule="auto"/>
        <w:tabs>
          <w:tab w:leader="none" w:pos="89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authorized the treasury stock buyback program on October 17, 2023, announced by the Company on October 19, 2023. The program provides that the Company may repurchase up to an aggregate of 500,000 shares of common stock and has no expiration date.</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Performance Quoted on The Nasdaq Stock Market for the Last Five Fiscal Years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graph compares the cumulative total returns over the last five fiscal years of a hypothetical investment of $100 in shares of common stock of the Company with a hypothetical investment of $100 in The Nasdaq Stock Market (“Nasdaq”), the index of Nasdaq computer and data processing stocks, and the index of Nasdaq bank stocks. The graph assumes $100 was invested on December 31, 2018, with dividends reinvested. Returns are based on period end prices.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5657850" cy="300037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3000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6. </w:t>
      </w:r>
      <w:r>
        <w:rPr>
          <w:rFonts w:ascii="Times New Roman" w:cs="Times New Roman" w:eastAsia="Times New Roman" w:hAnsi="Times New Roman"/>
          <w:sz w:val="18"/>
          <w:szCs w:val="18"/>
          <w:b w:val="1"/>
          <w:bCs w:val="1"/>
          <w:u w:val="single" w:color="auto"/>
          <w:color w:val="auto"/>
        </w:rPr>
        <w:t>RESERVED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w:t>
      </w:r>
      <w:r>
        <w:rPr>
          <w:rFonts w:ascii="Times New Roman" w:cs="Times New Roman" w:eastAsia="Times New Roman" w:hAnsi="Times New Roman"/>
          <w:sz w:val="18"/>
          <w:szCs w:val="18"/>
          <w:b w:val="1"/>
          <w:bCs w:val="1"/>
          <w:u w:val="single" w:color="auto"/>
          <w:color w:val="auto"/>
        </w:rPr>
        <w:t>MANAGEMENT'S DISCUSSION AND ANALYSIS OF FINANCIAL CONDITION AND RESULTS OF OPERATIONS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following Management's Discussion and Analysis of Financial Condition and Results of Operations ("MD&amp;A") is intended to promote understanding of the results of operations and financial condition. MD&amp;A is provided as a supplement to, and should be read in conjunction with, the consolidated financial statements and the accompanying Notes to Financial Statements (Part II, Item 8 of this Form 10-K). This section generally discusses the results of operations for 2023 compared to 2022. For discussion related to the results of operations and changes in financial condition for 2022 compared to 2021 refer to Part II, Item 7, "Management's Discussion and Analysis of Financial Condition and Results of Operations" in the Company's 2022 Annual Report on Form 10-K filed with the SEC on February 28, 2023.</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intends for the discussion of financial condition and results of operations that follows to provide information that will assist the reader in understanding the Consolidated Financial Statements, the changes in certain key items in those financial statements from year to year, and the primary factors that accounted for those changes, as well as how certain accounting principles, policies, and estimates affect the Consolidated Financial Statements. This discussion should be read in conjunction the Consolidated Financial Statements and the related notes that appear in Part II, Item 8 of this document.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Overview</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specific payment and information processing services provided to each customer are developed individually to meet each customer’s requirements, which can vary greatly. In addition, the degree of automation such as electronic data interchange, imaging, work flow, and web-based solutions varies greatly among customers and industries. These factors</w:t>
      </w:r>
    </w:p>
    <w:p>
      <w:pPr>
        <w:sectPr>
          <w:pgSz w:w="11900" w:h="16838" w:orient="portrait"/>
          <w:cols w:equalWidth="0" w:num="1">
            <w:col w:w="11240"/>
          </w:cols>
          <w:pgMar w:left="320" w:top="333"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combine so that pricing varies greatly among the customer base. In general, however, Cass is compensated for its processing services through service fees, transactional level payment services, and investment of account balances generated during the payment process. The amount, type, and calculation of service fees vary greatly by service offering, but generally follow the volume of transactions processed. Transactional level payment services and interest income from the balances generated during the payment processing cycle are affected by the amount of time Cass holds the funds prior to payment and the dollar volume processed. Both the number of transactions processed and the dollar volume processed are therefore key metrics followed by management. Other factors will also influence revenue and profitability, such as changes in the general level of interest rates, which have a significant effect on net interest income. The funds generated by these processing activities are invested in overnight investments, investment grade securities, advances to payees, and loans generated by the Bank. The Bank earns most of its revenue from net interest income, or the difference between the interest earned on its loans and investments and the interest paid on its deposits and other borrowings. The Bank also assesses fees on other services such as cash management services.</w:t>
      </w:r>
    </w:p>
    <w:p>
      <w:pPr>
        <w:spacing w:after="0" w:line="19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Industry-wide factors that impact the Company include the willingness of large corporations to outsource key business functions such as freight, energy, telecommunication and environmental payment and audit. The benefits that can be achieved by outsourcing transaction processing, and the management information generated by Cass’ systems can be influenced by factors such as the competitive pressures within industries to improve profitability, the general level of transportation costs, deregulation of energy costs, and consolidation of telecommunication providers. Economic factors that impact the Company include the general level of economic activity that can affect the volume and size of invoices processed, the ability to hire and retain qualified staff, and the growth and quality of the loan portfolio. The general level of interest rates also has a significant effect on the revenue of the Company. As discussed in greater detail in Item 7A, “Quantitative and Qualitative Disclosures about Market Risk,” a decline in the general level of interest rates can have a negative impact on net interest income and conversely, a rise in the general level of interest rates can have a positive impact on net interest income. The cost of fuel is another factor that has a significant impact on the transportation sector. As the price of fuel goes up or down, the Company’s earnings increase or decrease with the dollar amount of transportation invoices.</w:t>
      </w:r>
    </w:p>
    <w:p>
      <w:pPr>
        <w:spacing w:after="0" w:line="1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recorded revenue of $197.5 million in 2023, up 8.2% from the prior year. Net income was $30.1 million and diluted EPS was $2.18 per share, decreases of 13.9% and 13.8% from the prior year, respectively.</w:t>
      </w:r>
    </w:p>
    <w:p>
      <w:pPr>
        <w:spacing w:after="0" w:line="16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Company continues to operate profitably, posting a 1.24% return on average assets and 14.24% return on average equity. The Company’s common equity Tier 1 capital ratio was 14.73% at December 31, 2023, significantly exceeding regulatory requirements. In addition, the Company has maintained exceptional credit quality with no non-performing loans at December 31, 2023, and no loan charge-offs during the year ended December 31, 2023.</w:t>
      </w:r>
    </w:p>
    <w:p>
      <w:pPr>
        <w:spacing w:after="0" w:line="204"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The Company’s solid capital and liquidity positions, combined with ongoing earnings, are expected to continue to allow for investment in strategic opportunities when they become available, in addition to return of capital to shareholders. The Company delivered $21.7 million in dividend payments and share repurchases during 2023. The Company continues to invest in the technology, processes, and people required to support its multi-national customer base.</w:t>
      </w:r>
    </w:p>
    <w:p>
      <w:pPr>
        <w:spacing w:after="0" w:line="19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Currently, management views Cass’ major opportunity as the continued expansion of its payment and information processing service offerings and customer base. Management intends to accomplish this by maintaining the Company’s leadership position in applied technology, which when combined with the security and processing controls of the Bank, makes Cass unique in the industry.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has prepared the consolidated financial statements in this report in accordance with the FASB Accounting Standards Codification (“ASC”). In preparing the consolidated financial statements, management makes estimates and assumptions that affect the reported amount of assets and liabilities, disclosure of contingent assets and liabilities at the date of the financial statements, and the reported amounts of revenue and expenses during the reporting period. These estimates have been generally accurate in the past, have been consistent and have not required any material changes. There can be no assurances that actual results will not differ from those estimates. A summary of significant accounting policies and a summary of recent accounting pronouncements applicable to the Company's Consolidated Financial Statements are included in Item 8, "Financial Statements and Supplementary Data— Note 1.”</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accounting policy that requires significant management estimates and is deemed critical to the Company’s results of operations or financial position has been discussed with the Audit and Risk Committee of the Board of Directors and is described below.</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Allowance for Credit Losses</w:t>
      </w:r>
      <w:r>
        <w:rPr>
          <w:rFonts w:ascii="Times New Roman" w:cs="Times New Roman" w:eastAsia="Times New Roman" w:hAnsi="Times New Roman"/>
          <w:sz w:val="18"/>
          <w:szCs w:val="18"/>
          <w:color w:val="auto"/>
        </w:rPr>
        <w:t>. The Company performs periodic and systematic detailed reviews of its loan portfolio to determine management’s estimate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lifetime expected credit losses. The process combines many factors: economic factors, historical credit loss experience, of both the Company and similar peer banks, loan portfolio growth and concentrations, asset quality, risk tolerance, and other qualitative and quantitative factors which could affect future credit loss. Given the Company's recent historical loss experience, the impact of the qualitative risk factors related to the collective ACL is a substantial percentage of the overall ACL. Because current economic conditions and forecasts can change and future events are inherently difficult to predict, the anticipated amount of estimated credit losses, and therefore the appropriateness of the ACL, could change significantly. It is difficult to estimate how potential changes in any one economic factor or input might affect the overall allowance because a wide variety of factors and inputs are considered in estimating the ACL and changes in those factors and inputs considered may not occur at the same rate and may not be consistent across all loan types. Additionally, changes in factors and inputs may be directionally inconsistent, such that improvement in one factor may offset deterioration in others. Various regulatory agencies, as an integral part of the examination process, periodically review the ACL. Such agencies may require the Company to recognize additions to the ACL or reserve increases to adversely graded classified loans based on information available to them at the time of their examinations. The Company believes the level of ACL is appropriate. These policies affect both segments of the Company. The impact and associated risks related to these policies on the Company’s business operations are discussed in the Note 1 "Summary of Significant Accounting Policies" and Note 4 "Loans," as well as the “Provision and Allowance for Credit Losses and Allowance for Unfunded Commitments” section of this report.</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Summary of Results</w:t>
            </w: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493"/>
        </w:trPr>
        <w:tc>
          <w:tcPr>
            <w:tcW w:w="32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c>
          <w:tcPr>
            <w:tcW w:w="1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160" w:type="dxa"/>
            <w:vAlign w:val="bottom"/>
            <w:tcBorders>
              <w:bottom w:val="single" w:sz="8" w:color="auto"/>
            </w:tcBorders>
            <w:gridSpan w:val="2"/>
          </w:tcPr>
          <w:p>
            <w:pPr>
              <w:jc w:val="right"/>
              <w:ind w:right="109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50"/>
        </w:trPr>
        <w:tc>
          <w:tcPr>
            <w:tcW w:w="3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 except per share data)</w:t>
            </w:r>
          </w:p>
        </w:tc>
        <w:tc>
          <w:tcPr>
            <w:tcW w:w="3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40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5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 v. 2022</w:t>
            </w:r>
          </w:p>
        </w:tc>
        <w:tc>
          <w:tcPr>
            <w:tcW w:w="14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2022 v. 2021</w:t>
            </w:r>
          </w:p>
        </w:tc>
      </w:tr>
      <w:tr>
        <w:trPr>
          <w:trHeight w:val="256"/>
        </w:trPr>
        <w:tc>
          <w:tcPr>
            <w:tcW w:w="320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Processing fees</w:t>
            </w:r>
          </w:p>
        </w:tc>
        <w:tc>
          <w:tcPr>
            <w:tcW w:w="340" w:type="dxa"/>
            <w:vAlign w:val="bottom"/>
            <w:shd w:val="clear" w:color="auto" w:fill="DBDBDB"/>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DBDBDB"/>
          </w:tcPr>
          <w:p>
            <w:pPr>
              <w:jc w:val="right"/>
              <w:ind w:right="170"/>
              <w:spacing w:after="0"/>
              <w:rPr>
                <w:sz w:val="20"/>
                <w:szCs w:val="20"/>
                <w:color w:val="auto"/>
              </w:rPr>
            </w:pPr>
            <w:r>
              <w:rPr>
                <w:rFonts w:ascii="Times New Roman" w:cs="Times New Roman" w:eastAsia="Times New Roman" w:hAnsi="Times New Roman"/>
                <w:sz w:val="18"/>
                <w:szCs w:val="18"/>
                <w:color w:val="auto"/>
              </w:rPr>
              <w:t>79,566</w:t>
            </w:r>
          </w:p>
        </w:tc>
        <w:tc>
          <w:tcPr>
            <w:tcW w:w="400" w:type="dxa"/>
            <w:vAlign w:val="bottom"/>
            <w:shd w:val="clear" w:color="auto" w:fill="DBDBDB"/>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DBDBDB"/>
          </w:tcPr>
          <w:p>
            <w:pPr>
              <w:jc w:val="right"/>
              <w:ind w:right="170"/>
              <w:spacing w:after="0"/>
              <w:rPr>
                <w:sz w:val="20"/>
                <w:szCs w:val="20"/>
                <w:color w:val="auto"/>
              </w:rPr>
            </w:pPr>
            <w:r>
              <w:rPr>
                <w:rFonts w:ascii="Times New Roman" w:cs="Times New Roman" w:eastAsia="Times New Roman" w:hAnsi="Times New Roman"/>
                <w:sz w:val="18"/>
                <w:szCs w:val="18"/>
                <w:color w:val="auto"/>
              </w:rPr>
              <w:t>76,470</w:t>
            </w:r>
          </w:p>
        </w:tc>
        <w:tc>
          <w:tcPr>
            <w:tcW w:w="580" w:type="dxa"/>
            <w:vAlign w:val="bottom"/>
            <w:shd w:val="clear" w:color="auto" w:fill="DBDBDB"/>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DBDBDB"/>
          </w:tcPr>
          <w:p>
            <w:pPr>
              <w:jc w:val="right"/>
              <w:ind w:right="130"/>
              <w:spacing w:after="0"/>
              <w:rPr>
                <w:sz w:val="20"/>
                <w:szCs w:val="20"/>
                <w:color w:val="auto"/>
              </w:rPr>
            </w:pPr>
            <w:r>
              <w:rPr>
                <w:rFonts w:ascii="Times New Roman" w:cs="Times New Roman" w:eastAsia="Times New Roman" w:hAnsi="Times New Roman"/>
                <w:sz w:val="18"/>
                <w:szCs w:val="18"/>
                <w:color w:val="auto"/>
              </w:rPr>
              <w:t>74,589</w:t>
            </w:r>
          </w:p>
        </w:tc>
        <w:tc>
          <w:tcPr>
            <w:tcW w:w="100" w:type="dxa"/>
            <w:vAlign w:val="bottom"/>
            <w:shd w:val="clear" w:color="auto" w:fill="DBDBDB"/>
          </w:tcPr>
          <w:p>
            <w:pPr>
              <w:spacing w:after="0"/>
              <w:rPr>
                <w:sz w:val="22"/>
                <w:szCs w:val="22"/>
                <w:color w:val="auto"/>
              </w:rPr>
            </w:pPr>
          </w:p>
        </w:tc>
        <w:tc>
          <w:tcPr>
            <w:tcW w:w="1720" w:type="dxa"/>
            <w:vAlign w:val="bottom"/>
            <w:shd w:val="clear" w:color="auto" w:fill="DBDBDB"/>
          </w:tcPr>
          <w:p>
            <w:pPr>
              <w:jc w:val="right"/>
              <w:ind w:right="130"/>
              <w:spacing w:after="0"/>
              <w:rPr>
                <w:sz w:val="20"/>
                <w:szCs w:val="20"/>
                <w:color w:val="auto"/>
              </w:rPr>
            </w:pPr>
            <w:r>
              <w:rPr>
                <w:rFonts w:ascii="Times New Roman" w:cs="Times New Roman" w:eastAsia="Times New Roman" w:hAnsi="Times New Roman"/>
                <w:sz w:val="18"/>
                <w:szCs w:val="18"/>
                <w:color w:val="auto"/>
              </w:rPr>
              <w:t>4.0 %</w:t>
            </w:r>
          </w:p>
        </w:tc>
        <w:tc>
          <w:tcPr>
            <w:tcW w:w="14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2.5 %</w:t>
            </w:r>
          </w:p>
        </w:tc>
      </w:tr>
      <w:tr>
        <w:trPr>
          <w:trHeight w:val="257"/>
        </w:trPr>
        <w:tc>
          <w:tcPr>
            <w:tcW w:w="3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Financial fees</w:t>
            </w:r>
          </w:p>
        </w:tc>
        <w:tc>
          <w:tcPr>
            <w:tcW w:w="340" w:type="dxa"/>
            <w:vAlign w:val="bottom"/>
          </w:tcPr>
          <w:p>
            <w:pPr>
              <w:spacing w:after="0"/>
              <w:rPr>
                <w:sz w:val="22"/>
                <w:szCs w:val="22"/>
                <w:color w:val="auto"/>
              </w:rPr>
            </w:pPr>
          </w:p>
        </w:tc>
        <w:tc>
          <w:tcPr>
            <w:tcW w:w="12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45,985</w:t>
            </w:r>
          </w:p>
        </w:tc>
        <w:tc>
          <w:tcPr>
            <w:tcW w:w="400" w:type="dxa"/>
            <w:vAlign w:val="bottom"/>
          </w:tcPr>
          <w:p>
            <w:pPr>
              <w:spacing w:after="0"/>
              <w:rPr>
                <w:sz w:val="22"/>
                <w:szCs w:val="22"/>
                <w:color w:val="auto"/>
              </w:rPr>
            </w:pPr>
          </w:p>
        </w:tc>
        <w:tc>
          <w:tcPr>
            <w:tcW w:w="12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43,757</w:t>
            </w:r>
          </w:p>
        </w:tc>
        <w:tc>
          <w:tcPr>
            <w:tcW w:w="580" w:type="dxa"/>
            <w:vAlign w:val="bottom"/>
          </w:tcPr>
          <w:p>
            <w:pPr>
              <w:spacing w:after="0"/>
              <w:rPr>
                <w:sz w:val="22"/>
                <w:szCs w:val="22"/>
                <w:color w:val="auto"/>
              </w:rPr>
            </w:pPr>
          </w:p>
        </w:tc>
        <w:tc>
          <w:tcPr>
            <w:tcW w:w="10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32,733</w:t>
            </w:r>
          </w:p>
        </w:tc>
        <w:tc>
          <w:tcPr>
            <w:tcW w:w="100" w:type="dxa"/>
            <w:vAlign w:val="bottom"/>
          </w:tcPr>
          <w:p>
            <w:pPr>
              <w:spacing w:after="0"/>
              <w:rPr>
                <w:sz w:val="22"/>
                <w:szCs w:val="22"/>
                <w:color w:val="auto"/>
              </w:rPr>
            </w:pPr>
          </w:p>
        </w:tc>
        <w:tc>
          <w:tcPr>
            <w:tcW w:w="17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5.1 %</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33.7 %</w:t>
            </w:r>
          </w:p>
        </w:tc>
      </w:tr>
      <w:tr>
        <w:trPr>
          <w:trHeight w:val="257"/>
        </w:trPr>
        <w:tc>
          <w:tcPr>
            <w:tcW w:w="320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Net interest income</w:t>
            </w:r>
          </w:p>
        </w:tc>
        <w:tc>
          <w:tcPr>
            <w:tcW w:w="340" w:type="dxa"/>
            <w:vAlign w:val="bottom"/>
            <w:shd w:val="clear" w:color="auto" w:fill="DBDBDB"/>
          </w:tcPr>
          <w:p>
            <w:pPr>
              <w:spacing w:after="0"/>
              <w:rPr>
                <w:sz w:val="22"/>
                <w:szCs w:val="22"/>
                <w:color w:val="auto"/>
              </w:rPr>
            </w:pPr>
          </w:p>
        </w:tc>
        <w:tc>
          <w:tcPr>
            <w:tcW w:w="1220" w:type="dxa"/>
            <w:vAlign w:val="bottom"/>
            <w:shd w:val="clear" w:color="auto" w:fill="DBDBDB"/>
          </w:tcPr>
          <w:p>
            <w:pPr>
              <w:jc w:val="right"/>
              <w:ind w:right="170"/>
              <w:spacing w:after="0"/>
              <w:rPr>
                <w:sz w:val="20"/>
                <w:szCs w:val="20"/>
                <w:color w:val="auto"/>
              </w:rPr>
            </w:pPr>
            <w:r>
              <w:rPr>
                <w:rFonts w:ascii="Times New Roman" w:cs="Times New Roman" w:eastAsia="Times New Roman" w:hAnsi="Times New Roman"/>
                <w:sz w:val="18"/>
                <w:szCs w:val="18"/>
                <w:color w:val="auto"/>
              </w:rPr>
              <w:t>66,494</w:t>
            </w:r>
          </w:p>
        </w:tc>
        <w:tc>
          <w:tcPr>
            <w:tcW w:w="400" w:type="dxa"/>
            <w:vAlign w:val="bottom"/>
            <w:shd w:val="clear" w:color="auto" w:fill="DBDBDB"/>
          </w:tcPr>
          <w:p>
            <w:pPr>
              <w:spacing w:after="0"/>
              <w:rPr>
                <w:sz w:val="22"/>
                <w:szCs w:val="22"/>
                <w:color w:val="auto"/>
              </w:rPr>
            </w:pPr>
          </w:p>
        </w:tc>
        <w:tc>
          <w:tcPr>
            <w:tcW w:w="1240" w:type="dxa"/>
            <w:vAlign w:val="bottom"/>
            <w:shd w:val="clear" w:color="auto" w:fill="DBDBDB"/>
          </w:tcPr>
          <w:p>
            <w:pPr>
              <w:jc w:val="right"/>
              <w:ind w:right="170"/>
              <w:spacing w:after="0"/>
              <w:rPr>
                <w:sz w:val="20"/>
                <w:szCs w:val="20"/>
                <w:color w:val="auto"/>
              </w:rPr>
            </w:pPr>
            <w:r>
              <w:rPr>
                <w:rFonts w:ascii="Times New Roman" w:cs="Times New Roman" w:eastAsia="Times New Roman" w:hAnsi="Times New Roman"/>
                <w:sz w:val="18"/>
                <w:szCs w:val="18"/>
                <w:color w:val="auto"/>
              </w:rPr>
              <w:t>58,844</w:t>
            </w:r>
          </w:p>
        </w:tc>
        <w:tc>
          <w:tcPr>
            <w:tcW w:w="580" w:type="dxa"/>
            <w:vAlign w:val="bottom"/>
            <w:shd w:val="clear" w:color="auto" w:fill="DBDBDB"/>
          </w:tcPr>
          <w:p>
            <w:pPr>
              <w:spacing w:after="0"/>
              <w:rPr>
                <w:sz w:val="22"/>
                <w:szCs w:val="22"/>
                <w:color w:val="auto"/>
              </w:rPr>
            </w:pPr>
          </w:p>
        </w:tc>
        <w:tc>
          <w:tcPr>
            <w:tcW w:w="1000" w:type="dxa"/>
            <w:vAlign w:val="bottom"/>
            <w:shd w:val="clear" w:color="auto" w:fill="DBDBDB"/>
          </w:tcPr>
          <w:p>
            <w:pPr>
              <w:jc w:val="right"/>
              <w:ind w:right="130"/>
              <w:spacing w:after="0"/>
              <w:rPr>
                <w:sz w:val="20"/>
                <w:szCs w:val="20"/>
                <w:color w:val="auto"/>
              </w:rPr>
            </w:pPr>
            <w:r>
              <w:rPr>
                <w:rFonts w:ascii="Times New Roman" w:cs="Times New Roman" w:eastAsia="Times New Roman" w:hAnsi="Times New Roman"/>
                <w:sz w:val="18"/>
                <w:szCs w:val="18"/>
                <w:color w:val="auto"/>
              </w:rPr>
              <w:t>44,326</w:t>
            </w:r>
          </w:p>
        </w:tc>
        <w:tc>
          <w:tcPr>
            <w:tcW w:w="100" w:type="dxa"/>
            <w:vAlign w:val="bottom"/>
            <w:shd w:val="clear" w:color="auto" w:fill="DBDBDB"/>
          </w:tcPr>
          <w:p>
            <w:pPr>
              <w:spacing w:after="0"/>
              <w:rPr>
                <w:sz w:val="22"/>
                <w:szCs w:val="22"/>
                <w:color w:val="auto"/>
              </w:rPr>
            </w:pPr>
          </w:p>
        </w:tc>
        <w:tc>
          <w:tcPr>
            <w:tcW w:w="1720" w:type="dxa"/>
            <w:vAlign w:val="bottom"/>
            <w:shd w:val="clear" w:color="auto" w:fill="DBDBDB"/>
          </w:tcPr>
          <w:p>
            <w:pPr>
              <w:jc w:val="right"/>
              <w:ind w:right="130"/>
              <w:spacing w:after="0"/>
              <w:rPr>
                <w:sz w:val="20"/>
                <w:szCs w:val="20"/>
                <w:color w:val="auto"/>
              </w:rPr>
            </w:pPr>
            <w:r>
              <w:rPr>
                <w:rFonts w:ascii="Times New Roman" w:cs="Times New Roman" w:eastAsia="Times New Roman" w:hAnsi="Times New Roman"/>
                <w:sz w:val="18"/>
                <w:szCs w:val="18"/>
                <w:color w:val="auto"/>
              </w:rPr>
              <w:t>13.0 %</w:t>
            </w:r>
          </w:p>
        </w:tc>
        <w:tc>
          <w:tcPr>
            <w:tcW w:w="14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32.8 %</w:t>
            </w:r>
          </w:p>
        </w:tc>
      </w:tr>
      <w:tr>
        <w:trPr>
          <w:trHeight w:val="256"/>
        </w:trPr>
        <w:tc>
          <w:tcPr>
            <w:tcW w:w="3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(Release of) provision for credit losses</w:t>
            </w:r>
          </w:p>
        </w:tc>
        <w:tc>
          <w:tcPr>
            <w:tcW w:w="340" w:type="dxa"/>
            <w:vAlign w:val="bottom"/>
          </w:tcPr>
          <w:p>
            <w:pPr>
              <w:spacing w:after="0"/>
              <w:rPr>
                <w:sz w:val="22"/>
                <w:szCs w:val="22"/>
                <w:color w:val="auto"/>
              </w:rPr>
            </w:pP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(550)</w:t>
            </w:r>
          </w:p>
        </w:tc>
        <w:tc>
          <w:tcPr>
            <w:tcW w:w="400" w:type="dxa"/>
            <w:vAlign w:val="bottom"/>
          </w:tcPr>
          <w:p>
            <w:pPr>
              <w:spacing w:after="0"/>
              <w:rPr>
                <w:sz w:val="22"/>
                <w:szCs w:val="22"/>
                <w:color w:val="auto"/>
              </w:rPr>
            </w:pPr>
          </w:p>
        </w:tc>
        <w:tc>
          <w:tcPr>
            <w:tcW w:w="12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1,350</w:t>
            </w:r>
          </w:p>
        </w:tc>
        <w:tc>
          <w:tcPr>
            <w:tcW w:w="580" w:type="dxa"/>
            <w:vAlign w:val="bottom"/>
          </w:tcPr>
          <w:p>
            <w:pPr>
              <w:spacing w:after="0"/>
              <w:rPr>
                <w:sz w:val="22"/>
                <w:szCs w:val="22"/>
                <w:color w:val="auto"/>
              </w:rPr>
            </w:pPr>
          </w:p>
        </w:tc>
        <w:tc>
          <w:tcPr>
            <w:tcW w:w="10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tcPr>
          <w:p>
            <w:pPr>
              <w:spacing w:after="0"/>
              <w:rPr>
                <w:sz w:val="22"/>
                <w:szCs w:val="22"/>
                <w:color w:val="auto"/>
              </w:rPr>
            </w:pPr>
          </w:p>
        </w:tc>
        <w:tc>
          <w:tcPr>
            <w:tcW w:w="17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(140.7)%</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(1138.5)%</w:t>
            </w:r>
          </w:p>
        </w:tc>
      </w:tr>
      <w:tr>
        <w:trPr>
          <w:trHeight w:val="257"/>
        </w:trPr>
        <w:tc>
          <w:tcPr>
            <w:tcW w:w="3200" w:type="dxa"/>
            <w:vAlign w:val="bottom"/>
            <w:tcBorders>
              <w:bottom w:val="single" w:sz="8" w:color="auto"/>
            </w:tcBorders>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auto"/>
            </w:tcBorders>
            <w:shd w:val="clear" w:color="auto" w:fill="DBDBDB"/>
          </w:tcPr>
          <w:p>
            <w:pPr>
              <w:spacing w:after="0"/>
              <w:rPr>
                <w:sz w:val="22"/>
                <w:szCs w:val="22"/>
                <w:color w:val="auto"/>
              </w:rPr>
            </w:pPr>
          </w:p>
        </w:tc>
        <w:tc>
          <w:tcPr>
            <w:tcW w:w="1220" w:type="dxa"/>
            <w:vAlign w:val="bottom"/>
            <w:tcBorders>
              <w:bottom w:val="single" w:sz="8" w:color="auto"/>
            </w:tcBorders>
            <w:shd w:val="clear" w:color="auto" w:fill="DBDBDB"/>
          </w:tcPr>
          <w:p>
            <w:pPr>
              <w:jc w:val="right"/>
              <w:ind w:right="170"/>
              <w:spacing w:after="0"/>
              <w:rPr>
                <w:sz w:val="20"/>
                <w:szCs w:val="20"/>
                <w:color w:val="auto"/>
              </w:rPr>
            </w:pPr>
            <w:r>
              <w:rPr>
                <w:rFonts w:ascii="Times New Roman" w:cs="Times New Roman" w:eastAsia="Times New Roman" w:hAnsi="Times New Roman"/>
                <w:sz w:val="18"/>
                <w:szCs w:val="18"/>
                <w:color w:val="auto"/>
              </w:rPr>
              <w:t>4,916</w:t>
            </w:r>
          </w:p>
        </w:tc>
        <w:tc>
          <w:tcPr>
            <w:tcW w:w="400" w:type="dxa"/>
            <w:vAlign w:val="bottom"/>
            <w:tcBorders>
              <w:bottom w:val="single" w:sz="8" w:color="auto"/>
            </w:tcBorders>
            <w:shd w:val="clear" w:color="auto" w:fill="DBDBDB"/>
          </w:tcPr>
          <w:p>
            <w:pPr>
              <w:spacing w:after="0"/>
              <w:rPr>
                <w:sz w:val="22"/>
                <w:szCs w:val="22"/>
                <w:color w:val="auto"/>
              </w:rPr>
            </w:pPr>
          </w:p>
        </w:tc>
        <w:tc>
          <w:tcPr>
            <w:tcW w:w="1240" w:type="dxa"/>
            <w:vAlign w:val="bottom"/>
            <w:tcBorders>
              <w:bottom w:val="single" w:sz="8" w:color="auto"/>
            </w:tcBorders>
            <w:shd w:val="clear" w:color="auto" w:fill="DBDBDB"/>
          </w:tcPr>
          <w:p>
            <w:pPr>
              <w:jc w:val="right"/>
              <w:ind w:right="170"/>
              <w:spacing w:after="0"/>
              <w:rPr>
                <w:sz w:val="20"/>
                <w:szCs w:val="20"/>
                <w:color w:val="auto"/>
              </w:rPr>
            </w:pPr>
            <w:r>
              <w:rPr>
                <w:rFonts w:ascii="Times New Roman" w:cs="Times New Roman" w:eastAsia="Times New Roman" w:hAnsi="Times New Roman"/>
                <w:sz w:val="18"/>
                <w:szCs w:val="18"/>
                <w:color w:val="auto"/>
              </w:rPr>
              <w:t>4,755</w:t>
            </w:r>
          </w:p>
        </w:tc>
        <w:tc>
          <w:tcPr>
            <w:tcW w:w="580" w:type="dxa"/>
            <w:vAlign w:val="bottom"/>
            <w:tcBorders>
              <w:bottom w:val="single" w:sz="8" w:color="auto"/>
            </w:tcBorders>
            <w:shd w:val="clear" w:color="auto" w:fill="DBDBDB"/>
          </w:tcPr>
          <w:p>
            <w:pPr>
              <w:spacing w:after="0"/>
              <w:rPr>
                <w:sz w:val="22"/>
                <w:szCs w:val="22"/>
                <w:color w:val="auto"/>
              </w:rPr>
            </w:pPr>
          </w:p>
        </w:tc>
        <w:tc>
          <w:tcPr>
            <w:tcW w:w="1000" w:type="dxa"/>
            <w:vAlign w:val="bottom"/>
            <w:tcBorders>
              <w:bottom w:val="single" w:sz="8" w:color="auto"/>
            </w:tcBorders>
            <w:shd w:val="clear" w:color="auto" w:fill="DBDBDB"/>
          </w:tcPr>
          <w:p>
            <w:pPr>
              <w:jc w:val="right"/>
              <w:ind w:right="130"/>
              <w:spacing w:after="0"/>
              <w:rPr>
                <w:sz w:val="20"/>
                <w:szCs w:val="20"/>
                <w:color w:val="auto"/>
              </w:rPr>
            </w:pPr>
            <w:r>
              <w:rPr>
                <w:rFonts w:ascii="Times New Roman" w:cs="Times New Roman" w:eastAsia="Times New Roman" w:hAnsi="Times New Roman"/>
                <w:sz w:val="18"/>
                <w:szCs w:val="18"/>
                <w:color w:val="auto"/>
              </w:rPr>
              <w:t>2,369</w:t>
            </w:r>
          </w:p>
        </w:tc>
        <w:tc>
          <w:tcPr>
            <w:tcW w:w="100" w:type="dxa"/>
            <w:vAlign w:val="bottom"/>
            <w:tcBorders>
              <w:bottom w:val="single" w:sz="8" w:color="auto"/>
            </w:tcBorders>
            <w:shd w:val="clear" w:color="auto" w:fill="DBDBDB"/>
          </w:tcPr>
          <w:p>
            <w:pPr>
              <w:spacing w:after="0"/>
              <w:rPr>
                <w:sz w:val="22"/>
                <w:szCs w:val="22"/>
                <w:color w:val="auto"/>
              </w:rPr>
            </w:pPr>
          </w:p>
        </w:tc>
        <w:tc>
          <w:tcPr>
            <w:tcW w:w="1720" w:type="dxa"/>
            <w:vAlign w:val="bottom"/>
            <w:tcBorders>
              <w:bottom w:val="single" w:sz="8" w:color="auto"/>
            </w:tcBorders>
            <w:shd w:val="clear" w:color="auto" w:fill="DBDBDB"/>
          </w:tcPr>
          <w:p>
            <w:pPr>
              <w:jc w:val="right"/>
              <w:ind w:right="130"/>
              <w:spacing w:after="0"/>
              <w:rPr>
                <w:sz w:val="20"/>
                <w:szCs w:val="20"/>
                <w:color w:val="auto"/>
              </w:rPr>
            </w:pPr>
            <w:r>
              <w:rPr>
                <w:rFonts w:ascii="Times New Roman" w:cs="Times New Roman" w:eastAsia="Times New Roman" w:hAnsi="Times New Roman"/>
                <w:sz w:val="18"/>
                <w:szCs w:val="18"/>
                <w:color w:val="auto"/>
              </w:rPr>
              <w:t>3.4 %</w:t>
            </w:r>
          </w:p>
        </w:tc>
        <w:tc>
          <w:tcPr>
            <w:tcW w:w="144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100.7 %</w:t>
            </w:r>
          </w:p>
        </w:tc>
      </w:tr>
      <w:tr>
        <w:trPr>
          <w:trHeight w:val="243"/>
        </w:trPr>
        <w:tc>
          <w:tcPr>
            <w:tcW w:w="3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340" w:type="dxa"/>
            <w:vAlign w:val="bottom"/>
          </w:tcPr>
          <w:p>
            <w:pPr>
              <w:spacing w:after="0"/>
              <w:rPr>
                <w:sz w:val="21"/>
                <w:szCs w:val="21"/>
                <w:color w:val="auto"/>
              </w:rPr>
            </w:pPr>
          </w:p>
        </w:tc>
        <w:tc>
          <w:tcPr>
            <w:tcW w:w="12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197,511</w:t>
            </w:r>
          </w:p>
        </w:tc>
        <w:tc>
          <w:tcPr>
            <w:tcW w:w="400" w:type="dxa"/>
            <w:vAlign w:val="bottom"/>
          </w:tcPr>
          <w:p>
            <w:pPr>
              <w:spacing w:after="0"/>
              <w:rPr>
                <w:sz w:val="21"/>
                <w:szCs w:val="21"/>
                <w:color w:val="auto"/>
              </w:rPr>
            </w:pPr>
          </w:p>
        </w:tc>
        <w:tc>
          <w:tcPr>
            <w:tcW w:w="12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182,476</w:t>
            </w:r>
          </w:p>
        </w:tc>
        <w:tc>
          <w:tcPr>
            <w:tcW w:w="580" w:type="dxa"/>
            <w:vAlign w:val="bottom"/>
          </w:tcPr>
          <w:p>
            <w:pPr>
              <w:spacing w:after="0"/>
              <w:rPr>
                <w:sz w:val="21"/>
                <w:szCs w:val="21"/>
                <w:color w:val="auto"/>
              </w:rPr>
            </w:pPr>
          </w:p>
        </w:tc>
        <w:tc>
          <w:tcPr>
            <w:tcW w:w="10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154,147</w:t>
            </w:r>
          </w:p>
        </w:tc>
        <w:tc>
          <w:tcPr>
            <w:tcW w:w="100" w:type="dxa"/>
            <w:vAlign w:val="bottom"/>
          </w:tcPr>
          <w:p>
            <w:pPr>
              <w:spacing w:after="0"/>
              <w:rPr>
                <w:sz w:val="21"/>
                <w:szCs w:val="21"/>
                <w:color w:val="auto"/>
              </w:rPr>
            </w:pPr>
          </w:p>
        </w:tc>
        <w:tc>
          <w:tcPr>
            <w:tcW w:w="17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8.2 %</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18.4 %</w:t>
            </w:r>
          </w:p>
        </w:tc>
      </w:tr>
      <w:tr>
        <w:trPr>
          <w:trHeight w:val="257"/>
        </w:trPr>
        <w:tc>
          <w:tcPr>
            <w:tcW w:w="3200" w:type="dxa"/>
            <w:vAlign w:val="bottom"/>
            <w:tcBorders>
              <w:bottom w:val="single" w:sz="8" w:color="auto"/>
            </w:tcBorders>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Operating expense</w:t>
            </w:r>
          </w:p>
        </w:tc>
        <w:tc>
          <w:tcPr>
            <w:tcW w:w="340" w:type="dxa"/>
            <w:vAlign w:val="bottom"/>
            <w:tcBorders>
              <w:bottom w:val="single" w:sz="8" w:color="auto"/>
            </w:tcBorders>
            <w:shd w:val="clear" w:color="auto" w:fill="DBDBDB"/>
          </w:tcPr>
          <w:p>
            <w:pPr>
              <w:spacing w:after="0"/>
              <w:rPr>
                <w:sz w:val="22"/>
                <w:szCs w:val="22"/>
                <w:color w:val="auto"/>
              </w:rPr>
            </w:pPr>
          </w:p>
        </w:tc>
        <w:tc>
          <w:tcPr>
            <w:tcW w:w="1220" w:type="dxa"/>
            <w:vAlign w:val="bottom"/>
            <w:tcBorders>
              <w:bottom w:val="single" w:sz="8" w:color="auto"/>
            </w:tcBorders>
            <w:shd w:val="clear" w:color="auto" w:fill="DBDBDB"/>
          </w:tcPr>
          <w:p>
            <w:pPr>
              <w:jc w:val="right"/>
              <w:ind w:right="170"/>
              <w:spacing w:after="0"/>
              <w:rPr>
                <w:sz w:val="20"/>
                <w:szCs w:val="20"/>
                <w:color w:val="auto"/>
              </w:rPr>
            </w:pPr>
            <w:r>
              <w:rPr>
                <w:rFonts w:ascii="Times New Roman" w:cs="Times New Roman" w:eastAsia="Times New Roman" w:hAnsi="Times New Roman"/>
                <w:sz w:val="18"/>
                <w:szCs w:val="18"/>
                <w:color w:val="auto"/>
              </w:rPr>
              <w:t>160,155</w:t>
            </w:r>
          </w:p>
        </w:tc>
        <w:tc>
          <w:tcPr>
            <w:tcW w:w="400" w:type="dxa"/>
            <w:vAlign w:val="bottom"/>
            <w:tcBorders>
              <w:bottom w:val="single" w:sz="8" w:color="auto"/>
            </w:tcBorders>
            <w:shd w:val="clear" w:color="auto" w:fill="DBDBDB"/>
          </w:tcPr>
          <w:p>
            <w:pPr>
              <w:spacing w:after="0"/>
              <w:rPr>
                <w:sz w:val="22"/>
                <w:szCs w:val="22"/>
                <w:color w:val="auto"/>
              </w:rPr>
            </w:pPr>
          </w:p>
        </w:tc>
        <w:tc>
          <w:tcPr>
            <w:tcW w:w="1240" w:type="dxa"/>
            <w:vAlign w:val="bottom"/>
            <w:tcBorders>
              <w:bottom w:val="single" w:sz="8" w:color="auto"/>
            </w:tcBorders>
            <w:shd w:val="clear" w:color="auto" w:fill="DBDBDB"/>
          </w:tcPr>
          <w:p>
            <w:pPr>
              <w:jc w:val="right"/>
              <w:ind w:right="170"/>
              <w:spacing w:after="0"/>
              <w:rPr>
                <w:sz w:val="20"/>
                <w:szCs w:val="20"/>
                <w:color w:val="auto"/>
              </w:rPr>
            </w:pPr>
            <w:r>
              <w:rPr>
                <w:rFonts w:ascii="Times New Roman" w:cs="Times New Roman" w:eastAsia="Times New Roman" w:hAnsi="Times New Roman"/>
                <w:sz w:val="18"/>
                <w:szCs w:val="18"/>
                <w:color w:val="auto"/>
              </w:rPr>
              <w:t>139,576</w:t>
            </w:r>
          </w:p>
        </w:tc>
        <w:tc>
          <w:tcPr>
            <w:tcW w:w="580" w:type="dxa"/>
            <w:vAlign w:val="bottom"/>
            <w:tcBorders>
              <w:bottom w:val="single" w:sz="8" w:color="auto"/>
            </w:tcBorders>
            <w:shd w:val="clear" w:color="auto" w:fill="DBDBDB"/>
          </w:tcPr>
          <w:p>
            <w:pPr>
              <w:spacing w:after="0"/>
              <w:rPr>
                <w:sz w:val="22"/>
                <w:szCs w:val="22"/>
                <w:color w:val="auto"/>
              </w:rPr>
            </w:pPr>
          </w:p>
        </w:tc>
        <w:tc>
          <w:tcPr>
            <w:tcW w:w="1000" w:type="dxa"/>
            <w:vAlign w:val="bottom"/>
            <w:tcBorders>
              <w:bottom w:val="single" w:sz="8" w:color="auto"/>
            </w:tcBorders>
            <w:shd w:val="clear" w:color="auto" w:fill="DBDBDB"/>
          </w:tcPr>
          <w:p>
            <w:pPr>
              <w:jc w:val="right"/>
              <w:ind w:right="130"/>
              <w:spacing w:after="0"/>
              <w:rPr>
                <w:sz w:val="20"/>
                <w:szCs w:val="20"/>
                <w:color w:val="auto"/>
              </w:rPr>
            </w:pPr>
            <w:r>
              <w:rPr>
                <w:rFonts w:ascii="Times New Roman" w:cs="Times New Roman" w:eastAsia="Times New Roman" w:hAnsi="Times New Roman"/>
                <w:sz w:val="18"/>
                <w:szCs w:val="18"/>
                <w:color w:val="auto"/>
              </w:rPr>
              <w:t>120,326</w:t>
            </w:r>
          </w:p>
        </w:tc>
        <w:tc>
          <w:tcPr>
            <w:tcW w:w="100" w:type="dxa"/>
            <w:vAlign w:val="bottom"/>
            <w:tcBorders>
              <w:bottom w:val="single" w:sz="8" w:color="auto"/>
            </w:tcBorders>
            <w:shd w:val="clear" w:color="auto" w:fill="DBDBDB"/>
          </w:tcPr>
          <w:p>
            <w:pPr>
              <w:spacing w:after="0"/>
              <w:rPr>
                <w:sz w:val="22"/>
                <w:szCs w:val="22"/>
                <w:color w:val="auto"/>
              </w:rPr>
            </w:pPr>
          </w:p>
        </w:tc>
        <w:tc>
          <w:tcPr>
            <w:tcW w:w="1720" w:type="dxa"/>
            <w:vAlign w:val="bottom"/>
            <w:tcBorders>
              <w:bottom w:val="single" w:sz="8" w:color="auto"/>
            </w:tcBorders>
            <w:shd w:val="clear" w:color="auto" w:fill="DBDBDB"/>
          </w:tcPr>
          <w:p>
            <w:pPr>
              <w:jc w:val="right"/>
              <w:ind w:right="130"/>
              <w:spacing w:after="0"/>
              <w:rPr>
                <w:sz w:val="20"/>
                <w:szCs w:val="20"/>
                <w:color w:val="auto"/>
              </w:rPr>
            </w:pPr>
            <w:r>
              <w:rPr>
                <w:rFonts w:ascii="Times New Roman" w:cs="Times New Roman" w:eastAsia="Times New Roman" w:hAnsi="Times New Roman"/>
                <w:sz w:val="18"/>
                <w:szCs w:val="18"/>
                <w:color w:val="auto"/>
              </w:rPr>
              <w:t>14.7 %</w:t>
            </w:r>
          </w:p>
        </w:tc>
        <w:tc>
          <w:tcPr>
            <w:tcW w:w="144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16.0 %</w:t>
            </w:r>
          </w:p>
        </w:tc>
      </w:tr>
      <w:tr>
        <w:trPr>
          <w:trHeight w:val="250"/>
        </w:trPr>
        <w:tc>
          <w:tcPr>
            <w:tcW w:w="3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 expense</w:t>
            </w:r>
          </w:p>
        </w:tc>
        <w:tc>
          <w:tcPr>
            <w:tcW w:w="340" w:type="dxa"/>
            <w:vAlign w:val="bottom"/>
          </w:tcPr>
          <w:p>
            <w:pPr>
              <w:spacing w:after="0"/>
              <w:rPr>
                <w:sz w:val="21"/>
                <w:szCs w:val="21"/>
                <w:color w:val="auto"/>
              </w:rPr>
            </w:pPr>
          </w:p>
        </w:tc>
        <w:tc>
          <w:tcPr>
            <w:tcW w:w="12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37,356</w:t>
            </w:r>
          </w:p>
        </w:tc>
        <w:tc>
          <w:tcPr>
            <w:tcW w:w="400" w:type="dxa"/>
            <w:vAlign w:val="bottom"/>
          </w:tcPr>
          <w:p>
            <w:pPr>
              <w:spacing w:after="0"/>
              <w:rPr>
                <w:sz w:val="21"/>
                <w:szCs w:val="21"/>
                <w:color w:val="auto"/>
              </w:rPr>
            </w:pPr>
          </w:p>
        </w:tc>
        <w:tc>
          <w:tcPr>
            <w:tcW w:w="12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42,900</w:t>
            </w:r>
          </w:p>
        </w:tc>
        <w:tc>
          <w:tcPr>
            <w:tcW w:w="580" w:type="dxa"/>
            <w:vAlign w:val="bottom"/>
          </w:tcPr>
          <w:p>
            <w:pPr>
              <w:spacing w:after="0"/>
              <w:rPr>
                <w:sz w:val="21"/>
                <w:szCs w:val="21"/>
                <w:color w:val="auto"/>
              </w:rPr>
            </w:pPr>
          </w:p>
        </w:tc>
        <w:tc>
          <w:tcPr>
            <w:tcW w:w="10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33,821</w:t>
            </w:r>
          </w:p>
        </w:tc>
        <w:tc>
          <w:tcPr>
            <w:tcW w:w="100" w:type="dxa"/>
            <w:vAlign w:val="bottom"/>
          </w:tcPr>
          <w:p>
            <w:pPr>
              <w:spacing w:after="0"/>
              <w:rPr>
                <w:sz w:val="21"/>
                <w:szCs w:val="21"/>
                <w:color w:val="auto"/>
              </w:rPr>
            </w:pPr>
          </w:p>
        </w:tc>
        <w:tc>
          <w:tcPr>
            <w:tcW w:w="17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(12.9)%</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26.8 %</w:t>
            </w:r>
          </w:p>
        </w:tc>
      </w:tr>
      <w:tr>
        <w:trPr>
          <w:trHeight w:val="257"/>
        </w:trPr>
        <w:tc>
          <w:tcPr>
            <w:tcW w:w="3200" w:type="dxa"/>
            <w:vAlign w:val="bottom"/>
            <w:tcBorders>
              <w:bottom w:val="single" w:sz="8" w:color="auto"/>
            </w:tcBorders>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40" w:type="dxa"/>
            <w:vAlign w:val="bottom"/>
            <w:tcBorders>
              <w:bottom w:val="single" w:sz="8" w:color="auto"/>
            </w:tcBorders>
            <w:shd w:val="clear" w:color="auto" w:fill="DBDBDB"/>
          </w:tcPr>
          <w:p>
            <w:pPr>
              <w:spacing w:after="0"/>
              <w:rPr>
                <w:sz w:val="22"/>
                <w:szCs w:val="22"/>
                <w:color w:val="auto"/>
              </w:rPr>
            </w:pPr>
          </w:p>
        </w:tc>
        <w:tc>
          <w:tcPr>
            <w:tcW w:w="1220" w:type="dxa"/>
            <w:vAlign w:val="bottom"/>
            <w:tcBorders>
              <w:bottom w:val="single" w:sz="8" w:color="auto"/>
            </w:tcBorders>
            <w:shd w:val="clear" w:color="auto" w:fill="DBDBDB"/>
          </w:tcPr>
          <w:p>
            <w:pPr>
              <w:jc w:val="right"/>
              <w:ind w:right="170"/>
              <w:spacing w:after="0"/>
              <w:rPr>
                <w:sz w:val="20"/>
                <w:szCs w:val="20"/>
                <w:color w:val="auto"/>
              </w:rPr>
            </w:pPr>
            <w:r>
              <w:rPr>
                <w:rFonts w:ascii="Times New Roman" w:cs="Times New Roman" w:eastAsia="Times New Roman" w:hAnsi="Times New Roman"/>
                <w:sz w:val="18"/>
                <w:szCs w:val="18"/>
                <w:color w:val="auto"/>
              </w:rPr>
              <w:t>7,297</w:t>
            </w:r>
          </w:p>
        </w:tc>
        <w:tc>
          <w:tcPr>
            <w:tcW w:w="400" w:type="dxa"/>
            <w:vAlign w:val="bottom"/>
            <w:tcBorders>
              <w:bottom w:val="single" w:sz="8" w:color="auto"/>
            </w:tcBorders>
            <w:shd w:val="clear" w:color="auto" w:fill="DBDBDB"/>
          </w:tcPr>
          <w:p>
            <w:pPr>
              <w:spacing w:after="0"/>
              <w:rPr>
                <w:sz w:val="22"/>
                <w:szCs w:val="22"/>
                <w:color w:val="auto"/>
              </w:rPr>
            </w:pPr>
          </w:p>
        </w:tc>
        <w:tc>
          <w:tcPr>
            <w:tcW w:w="1240" w:type="dxa"/>
            <w:vAlign w:val="bottom"/>
            <w:tcBorders>
              <w:bottom w:val="single" w:sz="8" w:color="auto"/>
            </w:tcBorders>
            <w:shd w:val="clear" w:color="auto" w:fill="DBDBDB"/>
          </w:tcPr>
          <w:p>
            <w:pPr>
              <w:jc w:val="right"/>
              <w:ind w:right="170"/>
              <w:spacing w:after="0"/>
              <w:rPr>
                <w:sz w:val="20"/>
                <w:szCs w:val="20"/>
                <w:color w:val="auto"/>
              </w:rPr>
            </w:pPr>
            <w:r>
              <w:rPr>
                <w:rFonts w:ascii="Times New Roman" w:cs="Times New Roman" w:eastAsia="Times New Roman" w:hAnsi="Times New Roman"/>
                <w:sz w:val="18"/>
                <w:szCs w:val="18"/>
                <w:color w:val="auto"/>
              </w:rPr>
              <w:t>7,996</w:t>
            </w:r>
          </w:p>
        </w:tc>
        <w:tc>
          <w:tcPr>
            <w:tcW w:w="580" w:type="dxa"/>
            <w:vAlign w:val="bottom"/>
            <w:tcBorders>
              <w:bottom w:val="single" w:sz="8" w:color="auto"/>
            </w:tcBorders>
            <w:shd w:val="clear" w:color="auto" w:fill="DBDBDB"/>
          </w:tcPr>
          <w:p>
            <w:pPr>
              <w:spacing w:after="0"/>
              <w:rPr>
                <w:sz w:val="22"/>
                <w:szCs w:val="22"/>
                <w:color w:val="auto"/>
              </w:rPr>
            </w:pPr>
          </w:p>
        </w:tc>
        <w:tc>
          <w:tcPr>
            <w:tcW w:w="1000" w:type="dxa"/>
            <w:vAlign w:val="bottom"/>
            <w:tcBorders>
              <w:bottom w:val="single" w:sz="8" w:color="auto"/>
            </w:tcBorders>
            <w:shd w:val="clear" w:color="auto" w:fill="DBDBDB"/>
          </w:tcPr>
          <w:p>
            <w:pPr>
              <w:jc w:val="right"/>
              <w:ind w:right="130"/>
              <w:spacing w:after="0"/>
              <w:rPr>
                <w:sz w:val="20"/>
                <w:szCs w:val="20"/>
                <w:color w:val="auto"/>
              </w:rPr>
            </w:pPr>
            <w:r>
              <w:rPr>
                <w:rFonts w:ascii="Times New Roman" w:cs="Times New Roman" w:eastAsia="Times New Roman" w:hAnsi="Times New Roman"/>
                <w:sz w:val="18"/>
                <w:szCs w:val="18"/>
                <w:color w:val="auto"/>
              </w:rPr>
              <w:t>5,217</w:t>
            </w:r>
          </w:p>
        </w:tc>
        <w:tc>
          <w:tcPr>
            <w:tcW w:w="100" w:type="dxa"/>
            <w:vAlign w:val="bottom"/>
            <w:tcBorders>
              <w:bottom w:val="single" w:sz="8" w:color="auto"/>
            </w:tcBorders>
            <w:shd w:val="clear" w:color="auto" w:fill="DBDBDB"/>
          </w:tcPr>
          <w:p>
            <w:pPr>
              <w:spacing w:after="0"/>
              <w:rPr>
                <w:sz w:val="22"/>
                <w:szCs w:val="22"/>
                <w:color w:val="auto"/>
              </w:rPr>
            </w:pPr>
          </w:p>
        </w:tc>
        <w:tc>
          <w:tcPr>
            <w:tcW w:w="1720" w:type="dxa"/>
            <w:vAlign w:val="bottom"/>
            <w:tcBorders>
              <w:bottom w:val="single" w:sz="8" w:color="auto"/>
            </w:tcBorders>
            <w:shd w:val="clear" w:color="auto" w:fill="DBDBDB"/>
          </w:tcPr>
          <w:p>
            <w:pPr>
              <w:jc w:val="right"/>
              <w:ind w:right="130"/>
              <w:spacing w:after="0"/>
              <w:rPr>
                <w:sz w:val="20"/>
                <w:szCs w:val="20"/>
                <w:color w:val="auto"/>
              </w:rPr>
            </w:pPr>
            <w:r>
              <w:rPr>
                <w:rFonts w:ascii="Times New Roman" w:cs="Times New Roman" w:eastAsia="Times New Roman" w:hAnsi="Times New Roman"/>
                <w:sz w:val="18"/>
                <w:szCs w:val="18"/>
                <w:color w:val="auto"/>
              </w:rPr>
              <w:t>(8.7)%</w:t>
            </w:r>
          </w:p>
        </w:tc>
        <w:tc>
          <w:tcPr>
            <w:tcW w:w="144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53.3 %</w:t>
            </w:r>
          </w:p>
        </w:tc>
      </w:tr>
      <w:tr>
        <w:trPr>
          <w:trHeight w:val="250"/>
        </w:trPr>
        <w:tc>
          <w:tcPr>
            <w:tcW w:w="3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30,059</w:t>
            </w:r>
          </w:p>
        </w:tc>
        <w:tc>
          <w:tcPr>
            <w:tcW w:w="4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34,904</w:t>
            </w:r>
          </w:p>
        </w:tc>
        <w:tc>
          <w:tcPr>
            <w:tcW w:w="5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28,604</w:t>
            </w:r>
          </w:p>
        </w:tc>
        <w:tc>
          <w:tcPr>
            <w:tcW w:w="10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(13.9)%</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22.0 %</w:t>
            </w:r>
          </w:p>
        </w:tc>
      </w:tr>
      <w:tr>
        <w:trPr>
          <w:trHeight w:val="257"/>
        </w:trPr>
        <w:tc>
          <w:tcPr>
            <w:tcW w:w="320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340" w:type="dxa"/>
            <w:vAlign w:val="bottom"/>
            <w:shd w:val="clear" w:color="auto" w:fill="DBDBDB"/>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DBDBDB"/>
          </w:tcPr>
          <w:p>
            <w:pPr>
              <w:jc w:val="right"/>
              <w:ind w:right="170"/>
              <w:spacing w:after="0"/>
              <w:rPr>
                <w:sz w:val="20"/>
                <w:szCs w:val="20"/>
                <w:color w:val="auto"/>
              </w:rPr>
            </w:pPr>
            <w:r>
              <w:rPr>
                <w:rFonts w:ascii="Times New Roman" w:cs="Times New Roman" w:eastAsia="Times New Roman" w:hAnsi="Times New Roman"/>
                <w:sz w:val="18"/>
                <w:szCs w:val="18"/>
                <w:color w:val="auto"/>
              </w:rPr>
              <w:t>2.18</w:t>
            </w:r>
          </w:p>
        </w:tc>
        <w:tc>
          <w:tcPr>
            <w:tcW w:w="400" w:type="dxa"/>
            <w:vAlign w:val="bottom"/>
            <w:shd w:val="clear" w:color="auto" w:fill="DBDBDB"/>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DBDBDB"/>
          </w:tcPr>
          <w:p>
            <w:pPr>
              <w:jc w:val="right"/>
              <w:ind w:right="170"/>
              <w:spacing w:after="0"/>
              <w:rPr>
                <w:sz w:val="20"/>
                <w:szCs w:val="20"/>
                <w:color w:val="auto"/>
              </w:rPr>
            </w:pPr>
            <w:r>
              <w:rPr>
                <w:rFonts w:ascii="Times New Roman" w:cs="Times New Roman" w:eastAsia="Times New Roman" w:hAnsi="Times New Roman"/>
                <w:sz w:val="18"/>
                <w:szCs w:val="18"/>
                <w:color w:val="auto"/>
              </w:rPr>
              <w:t>2.53</w:t>
            </w:r>
          </w:p>
        </w:tc>
        <w:tc>
          <w:tcPr>
            <w:tcW w:w="580" w:type="dxa"/>
            <w:vAlign w:val="bottom"/>
            <w:shd w:val="clear" w:color="auto" w:fill="DBDBDB"/>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DBDBDB"/>
          </w:tcPr>
          <w:p>
            <w:pPr>
              <w:jc w:val="right"/>
              <w:ind w:right="130"/>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shd w:val="clear" w:color="auto" w:fill="DBDBDB"/>
          </w:tcPr>
          <w:p>
            <w:pPr>
              <w:spacing w:after="0"/>
              <w:rPr>
                <w:sz w:val="22"/>
                <w:szCs w:val="22"/>
                <w:color w:val="auto"/>
              </w:rPr>
            </w:pPr>
          </w:p>
        </w:tc>
        <w:tc>
          <w:tcPr>
            <w:tcW w:w="1720" w:type="dxa"/>
            <w:vAlign w:val="bottom"/>
            <w:shd w:val="clear" w:color="auto" w:fill="DBDBDB"/>
          </w:tcPr>
          <w:p>
            <w:pPr>
              <w:jc w:val="right"/>
              <w:ind w:right="130"/>
              <w:spacing w:after="0"/>
              <w:rPr>
                <w:sz w:val="20"/>
                <w:szCs w:val="20"/>
                <w:color w:val="auto"/>
              </w:rPr>
            </w:pPr>
            <w:r>
              <w:rPr>
                <w:rFonts w:ascii="Times New Roman" w:cs="Times New Roman" w:eastAsia="Times New Roman" w:hAnsi="Times New Roman"/>
                <w:sz w:val="18"/>
                <w:szCs w:val="18"/>
                <w:color w:val="auto"/>
              </w:rPr>
              <w:t>(13.8)%</w:t>
            </w:r>
          </w:p>
        </w:tc>
        <w:tc>
          <w:tcPr>
            <w:tcW w:w="14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26.5 %</w:t>
            </w:r>
          </w:p>
        </w:tc>
      </w:tr>
      <w:tr>
        <w:trPr>
          <w:trHeight w:val="250"/>
        </w:trPr>
        <w:tc>
          <w:tcPr>
            <w:tcW w:w="3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Return on average assets</w:t>
            </w: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1.24 %</w:t>
            </w:r>
          </w:p>
        </w:tc>
        <w:tc>
          <w:tcPr>
            <w:tcW w:w="4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1.35 %</w:t>
            </w:r>
          </w:p>
        </w:tc>
        <w:tc>
          <w:tcPr>
            <w:tcW w:w="5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1.23 %</w:t>
            </w:r>
          </w:p>
        </w:tc>
        <w:tc>
          <w:tcPr>
            <w:tcW w:w="100" w:type="dxa"/>
            <w:vAlign w:val="bottom"/>
          </w:tcPr>
          <w:p>
            <w:pPr>
              <w:spacing w:after="0"/>
              <w:rPr>
                <w:sz w:val="21"/>
                <w:szCs w:val="21"/>
                <w:color w:val="auto"/>
              </w:rPr>
            </w:pPr>
          </w:p>
        </w:tc>
        <w:tc>
          <w:tcPr>
            <w:tcW w:w="17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320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Return on average equity</w:t>
            </w:r>
          </w:p>
        </w:tc>
        <w:tc>
          <w:tcPr>
            <w:tcW w:w="340" w:type="dxa"/>
            <w:vAlign w:val="bottom"/>
            <w:shd w:val="clear" w:color="auto" w:fill="DBDBDB"/>
          </w:tcPr>
          <w:p>
            <w:pPr>
              <w:spacing w:after="0"/>
              <w:rPr>
                <w:sz w:val="22"/>
                <w:szCs w:val="22"/>
                <w:color w:val="auto"/>
              </w:rPr>
            </w:pPr>
          </w:p>
        </w:tc>
        <w:tc>
          <w:tcPr>
            <w:tcW w:w="12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14.24 %</w:t>
            </w:r>
          </w:p>
        </w:tc>
        <w:tc>
          <w:tcPr>
            <w:tcW w:w="400" w:type="dxa"/>
            <w:vAlign w:val="bottom"/>
            <w:shd w:val="clear" w:color="auto" w:fill="DBDBDB"/>
          </w:tcPr>
          <w:p>
            <w:pPr>
              <w:spacing w:after="0"/>
              <w:rPr>
                <w:sz w:val="22"/>
                <w:szCs w:val="22"/>
                <w:color w:val="auto"/>
              </w:rPr>
            </w:pPr>
          </w:p>
        </w:tc>
        <w:tc>
          <w:tcPr>
            <w:tcW w:w="12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16.53 %</w:t>
            </w:r>
          </w:p>
        </w:tc>
        <w:tc>
          <w:tcPr>
            <w:tcW w:w="580" w:type="dxa"/>
            <w:vAlign w:val="bottom"/>
            <w:shd w:val="clear" w:color="auto" w:fill="DBDBDB"/>
          </w:tcPr>
          <w:p>
            <w:pPr>
              <w:spacing w:after="0"/>
              <w:rPr>
                <w:sz w:val="22"/>
                <w:szCs w:val="22"/>
                <w:color w:val="auto"/>
              </w:rPr>
            </w:pPr>
          </w:p>
        </w:tc>
        <w:tc>
          <w:tcPr>
            <w:tcW w:w="10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11.29 %</w:t>
            </w:r>
          </w:p>
        </w:tc>
        <w:tc>
          <w:tcPr>
            <w:tcW w:w="100" w:type="dxa"/>
            <w:vAlign w:val="bottom"/>
            <w:shd w:val="clear" w:color="auto" w:fill="DBDBDB"/>
          </w:tcPr>
          <w:p>
            <w:pPr>
              <w:spacing w:after="0"/>
              <w:rPr>
                <w:sz w:val="22"/>
                <w:szCs w:val="22"/>
                <w:color w:val="auto"/>
              </w:rPr>
            </w:pPr>
          </w:p>
        </w:tc>
        <w:tc>
          <w:tcPr>
            <w:tcW w:w="1720" w:type="dxa"/>
            <w:vAlign w:val="bottom"/>
            <w:shd w:val="clear" w:color="auto" w:fill="DBDBDB"/>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DBDBDB"/>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bl>
    <w:p>
      <w:pPr>
        <w:spacing w:after="0" w:line="279"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The Company recorded revenue of $197.5 million in 2023, up 8.2% from the prior year, due to increases in processing fees, financial fees, net interest income and a positive variance in the (release of) provision for credit losses. Operating expenses increased 14.7% as a result of increases in personnel and other expenses as the Company invests in, and transitions to, improved technology. Net income was $30.1 million and diluted EPS was $2.18 per share, decreases of 13.9% and 13.8% from the prior year, respectively.</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posted a 1.24% return on average assets and 14.24% return on average equity.</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Further detail about the components of revenue and expenses are explained in the sections following.</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Fee Revenue and Other Income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fee revenue is derived mainly from transportation and facility payment and processing fees. As the Company provides its processing and payment services, it is compensated by service fees which are typically calculated on a per-item basis, discounts received for services provided to carriers and by the accounts and drafts payable balances generated in the payment process which can be used to generate interest income. Processing volumes, average payments in advance of funding, fee revenue and other income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36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4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240" w:type="dxa"/>
            <w:vAlign w:val="bottom"/>
            <w:tcBorders>
              <w:bottom w:val="single" w:sz="8" w:color="auto"/>
            </w:tcBorders>
            <w:gridSpan w:val="2"/>
          </w:tcPr>
          <w:p>
            <w:pPr>
              <w:jc w:val="right"/>
              <w:ind w:right="113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50"/>
        </w:trPr>
        <w:tc>
          <w:tcPr>
            <w:tcW w:w="3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4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 v. 2022</w:t>
            </w:r>
          </w:p>
        </w:tc>
        <w:tc>
          <w:tcPr>
            <w:tcW w:w="14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2022 v. 2021</w:t>
            </w:r>
          </w:p>
        </w:tc>
      </w:tr>
      <w:tr>
        <w:trPr>
          <w:trHeight w:val="257"/>
        </w:trPr>
        <w:tc>
          <w:tcPr>
            <w:tcW w:w="336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Transportation invoice transaction volume</w:t>
            </w:r>
          </w:p>
        </w:tc>
        <w:tc>
          <w:tcPr>
            <w:tcW w:w="320" w:type="dxa"/>
            <w:vAlign w:val="bottom"/>
            <w:shd w:val="clear" w:color="auto" w:fill="DBDBDB"/>
          </w:tcPr>
          <w:p>
            <w:pPr>
              <w:spacing w:after="0"/>
              <w:rPr>
                <w:sz w:val="22"/>
                <w:szCs w:val="22"/>
                <w:color w:val="auto"/>
              </w:rPr>
            </w:pPr>
          </w:p>
        </w:tc>
        <w:tc>
          <w:tcPr>
            <w:tcW w:w="1140" w:type="dxa"/>
            <w:vAlign w:val="bottom"/>
            <w:shd w:val="clear" w:color="auto" w:fill="DBDBDB"/>
          </w:tcPr>
          <w:p>
            <w:pPr>
              <w:jc w:val="right"/>
              <w:ind w:right="10"/>
              <w:spacing w:after="0"/>
              <w:rPr>
                <w:sz w:val="20"/>
                <w:szCs w:val="20"/>
                <w:color w:val="auto"/>
              </w:rPr>
            </w:pPr>
            <w:r>
              <w:rPr>
                <w:rFonts w:ascii="Times New Roman" w:cs="Times New Roman" w:eastAsia="Times New Roman" w:hAnsi="Times New Roman"/>
                <w:sz w:val="18"/>
                <w:szCs w:val="18"/>
                <w:color w:val="auto"/>
              </w:rPr>
              <w:t>35,949</w:t>
            </w:r>
          </w:p>
        </w:tc>
        <w:tc>
          <w:tcPr>
            <w:tcW w:w="240" w:type="dxa"/>
            <w:vAlign w:val="bottom"/>
            <w:shd w:val="clear" w:color="auto" w:fill="DBDBDB"/>
          </w:tcPr>
          <w:p>
            <w:pPr>
              <w:spacing w:after="0"/>
              <w:rPr>
                <w:sz w:val="22"/>
                <w:szCs w:val="22"/>
                <w:color w:val="auto"/>
              </w:rPr>
            </w:pPr>
          </w:p>
        </w:tc>
        <w:tc>
          <w:tcPr>
            <w:tcW w:w="1320" w:type="dxa"/>
            <w:vAlign w:val="bottom"/>
            <w:shd w:val="clear" w:color="auto" w:fill="DBDBDB"/>
          </w:tcPr>
          <w:p>
            <w:pPr>
              <w:jc w:val="right"/>
              <w:ind w:right="10"/>
              <w:spacing w:after="0"/>
              <w:rPr>
                <w:sz w:val="20"/>
                <w:szCs w:val="20"/>
                <w:color w:val="auto"/>
              </w:rPr>
            </w:pPr>
            <w:r>
              <w:rPr>
                <w:rFonts w:ascii="Times New Roman" w:cs="Times New Roman" w:eastAsia="Times New Roman" w:hAnsi="Times New Roman"/>
                <w:sz w:val="18"/>
                <w:szCs w:val="18"/>
                <w:color w:val="auto"/>
              </w:rPr>
              <w:t>36,807</w:t>
            </w:r>
          </w:p>
        </w:tc>
        <w:tc>
          <w:tcPr>
            <w:tcW w:w="400" w:type="dxa"/>
            <w:vAlign w:val="bottom"/>
            <w:shd w:val="clear" w:color="auto" w:fill="DBDBDB"/>
          </w:tcPr>
          <w:p>
            <w:pPr>
              <w:spacing w:after="0"/>
              <w:rPr>
                <w:sz w:val="22"/>
                <w:szCs w:val="22"/>
                <w:color w:val="auto"/>
              </w:rPr>
            </w:pPr>
          </w:p>
        </w:tc>
        <w:tc>
          <w:tcPr>
            <w:tcW w:w="11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36,783</w:t>
            </w:r>
          </w:p>
        </w:tc>
        <w:tc>
          <w:tcPr>
            <w:tcW w:w="100" w:type="dxa"/>
            <w:vAlign w:val="bottom"/>
            <w:shd w:val="clear" w:color="auto" w:fill="DBDBDB"/>
          </w:tcPr>
          <w:p>
            <w:pPr>
              <w:spacing w:after="0"/>
              <w:rPr>
                <w:sz w:val="22"/>
                <w:szCs w:val="22"/>
                <w:color w:val="auto"/>
              </w:rPr>
            </w:pPr>
          </w:p>
        </w:tc>
        <w:tc>
          <w:tcPr>
            <w:tcW w:w="1760" w:type="dxa"/>
            <w:vAlign w:val="bottom"/>
            <w:shd w:val="clear" w:color="auto" w:fill="DBDBDB"/>
          </w:tcPr>
          <w:p>
            <w:pPr>
              <w:jc w:val="right"/>
              <w:ind w:right="130"/>
              <w:spacing w:after="0"/>
              <w:rPr>
                <w:sz w:val="20"/>
                <w:szCs w:val="20"/>
                <w:color w:val="auto"/>
              </w:rPr>
            </w:pPr>
            <w:r>
              <w:rPr>
                <w:rFonts w:ascii="Times New Roman" w:cs="Times New Roman" w:eastAsia="Times New Roman" w:hAnsi="Times New Roman"/>
                <w:sz w:val="18"/>
                <w:szCs w:val="18"/>
                <w:color w:val="auto"/>
              </w:rPr>
              <w:t>(2.3)%</w:t>
            </w:r>
          </w:p>
        </w:tc>
        <w:tc>
          <w:tcPr>
            <w:tcW w:w="14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0.1 %</w:t>
            </w:r>
          </w:p>
        </w:tc>
      </w:tr>
      <w:tr>
        <w:trPr>
          <w:trHeight w:val="250"/>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Transportation invoice dollar volume</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38,288,478</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44,749,359</w:t>
            </w:r>
          </w:p>
        </w:tc>
        <w:tc>
          <w:tcPr>
            <w:tcW w:w="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36,829,841</w:t>
            </w:r>
          </w:p>
        </w:tc>
        <w:tc>
          <w:tcPr>
            <w:tcW w:w="100" w:type="dxa"/>
            <w:vAlign w:val="bottom"/>
          </w:tcPr>
          <w:p>
            <w:pPr>
              <w:spacing w:after="0"/>
              <w:rPr>
                <w:sz w:val="21"/>
                <w:szCs w:val="21"/>
                <w:color w:val="auto"/>
              </w:rPr>
            </w:pPr>
          </w:p>
        </w:tc>
        <w:tc>
          <w:tcPr>
            <w:tcW w:w="17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(14.4)%</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21.5 %</w:t>
            </w:r>
          </w:p>
        </w:tc>
      </w:tr>
      <w:tr>
        <w:trPr>
          <w:trHeight w:val="263"/>
        </w:trPr>
        <w:tc>
          <w:tcPr>
            <w:tcW w:w="3360" w:type="dxa"/>
            <w:vAlign w:val="bottom"/>
            <w:shd w:val="clear" w:color="auto" w:fill="DBDBDB"/>
          </w:tcPr>
          <w:p>
            <w:pPr>
              <w:ind w:left="20"/>
              <w:spacing w:after="0" w:line="263" w:lineRule="exact"/>
              <w:rPr>
                <w:sz w:val="20"/>
                <w:szCs w:val="20"/>
                <w:color w:val="auto"/>
              </w:rPr>
            </w:pPr>
            <w:r>
              <w:rPr>
                <w:rFonts w:ascii="Times New Roman" w:cs="Times New Roman" w:eastAsia="Times New Roman" w:hAnsi="Times New Roman"/>
                <w:sz w:val="18"/>
                <w:szCs w:val="18"/>
                <w:color w:val="auto"/>
              </w:rPr>
              <w:t>Facility transaction volume</w:t>
            </w:r>
            <w:r>
              <w:rPr>
                <w:rFonts w:ascii="Times New Roman" w:cs="Times New Roman" w:eastAsia="Times New Roman" w:hAnsi="Times New Roman"/>
                <w:sz w:val="23"/>
                <w:szCs w:val="23"/>
                <w:b w:val="1"/>
                <w:bCs w:val="1"/>
                <w:color w:val="auto"/>
                <w:vertAlign w:val="superscript"/>
              </w:rPr>
              <w:t>(1)</w:t>
            </w:r>
          </w:p>
        </w:tc>
        <w:tc>
          <w:tcPr>
            <w:tcW w:w="320" w:type="dxa"/>
            <w:vAlign w:val="bottom"/>
            <w:shd w:val="clear" w:color="auto" w:fill="DBDBDB"/>
          </w:tcPr>
          <w:p>
            <w:pPr>
              <w:spacing w:after="0"/>
              <w:rPr>
                <w:sz w:val="22"/>
                <w:szCs w:val="22"/>
                <w:color w:val="auto"/>
              </w:rPr>
            </w:pPr>
          </w:p>
        </w:tc>
        <w:tc>
          <w:tcPr>
            <w:tcW w:w="1140" w:type="dxa"/>
            <w:vAlign w:val="bottom"/>
            <w:shd w:val="clear" w:color="auto" w:fill="DBDBDB"/>
          </w:tcPr>
          <w:p>
            <w:pPr>
              <w:jc w:val="right"/>
              <w:ind w:right="10"/>
              <w:spacing w:after="0"/>
              <w:rPr>
                <w:sz w:val="20"/>
                <w:szCs w:val="20"/>
                <w:color w:val="auto"/>
              </w:rPr>
            </w:pPr>
            <w:r>
              <w:rPr>
                <w:rFonts w:ascii="Times New Roman" w:cs="Times New Roman" w:eastAsia="Times New Roman" w:hAnsi="Times New Roman"/>
                <w:sz w:val="18"/>
                <w:szCs w:val="18"/>
                <w:color w:val="auto"/>
              </w:rPr>
              <w:t>13,857</w:t>
            </w:r>
          </w:p>
        </w:tc>
        <w:tc>
          <w:tcPr>
            <w:tcW w:w="240" w:type="dxa"/>
            <w:vAlign w:val="bottom"/>
            <w:shd w:val="clear" w:color="auto" w:fill="DBDBDB"/>
          </w:tcPr>
          <w:p>
            <w:pPr>
              <w:spacing w:after="0"/>
              <w:rPr>
                <w:sz w:val="22"/>
                <w:szCs w:val="22"/>
                <w:color w:val="auto"/>
              </w:rPr>
            </w:pPr>
          </w:p>
        </w:tc>
        <w:tc>
          <w:tcPr>
            <w:tcW w:w="1320" w:type="dxa"/>
            <w:vAlign w:val="bottom"/>
            <w:shd w:val="clear" w:color="auto" w:fill="DBDBDB"/>
          </w:tcPr>
          <w:p>
            <w:pPr>
              <w:jc w:val="right"/>
              <w:ind w:right="10"/>
              <w:spacing w:after="0"/>
              <w:rPr>
                <w:sz w:val="20"/>
                <w:szCs w:val="20"/>
                <w:color w:val="auto"/>
              </w:rPr>
            </w:pPr>
            <w:r>
              <w:rPr>
                <w:rFonts w:ascii="Times New Roman" w:cs="Times New Roman" w:eastAsia="Times New Roman" w:hAnsi="Times New Roman"/>
                <w:sz w:val="18"/>
                <w:szCs w:val="18"/>
                <w:color w:val="auto"/>
              </w:rPr>
              <w:t>12,990</w:t>
            </w:r>
          </w:p>
        </w:tc>
        <w:tc>
          <w:tcPr>
            <w:tcW w:w="400" w:type="dxa"/>
            <w:vAlign w:val="bottom"/>
            <w:shd w:val="clear" w:color="auto" w:fill="DBDBDB"/>
          </w:tcPr>
          <w:p>
            <w:pPr>
              <w:spacing w:after="0"/>
              <w:rPr>
                <w:sz w:val="22"/>
                <w:szCs w:val="22"/>
                <w:color w:val="auto"/>
              </w:rPr>
            </w:pPr>
          </w:p>
        </w:tc>
        <w:tc>
          <w:tcPr>
            <w:tcW w:w="11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12,499</w:t>
            </w:r>
          </w:p>
        </w:tc>
        <w:tc>
          <w:tcPr>
            <w:tcW w:w="100" w:type="dxa"/>
            <w:vAlign w:val="bottom"/>
            <w:shd w:val="clear" w:color="auto" w:fill="DBDBDB"/>
          </w:tcPr>
          <w:p>
            <w:pPr>
              <w:spacing w:after="0"/>
              <w:rPr>
                <w:sz w:val="22"/>
                <w:szCs w:val="22"/>
                <w:color w:val="auto"/>
              </w:rPr>
            </w:pPr>
          </w:p>
        </w:tc>
        <w:tc>
          <w:tcPr>
            <w:tcW w:w="1760" w:type="dxa"/>
            <w:vAlign w:val="bottom"/>
            <w:shd w:val="clear" w:color="auto" w:fill="DBDBDB"/>
          </w:tcPr>
          <w:p>
            <w:pPr>
              <w:jc w:val="right"/>
              <w:ind w:right="130"/>
              <w:spacing w:after="0"/>
              <w:rPr>
                <w:sz w:val="20"/>
                <w:szCs w:val="20"/>
                <w:color w:val="auto"/>
              </w:rPr>
            </w:pPr>
            <w:r>
              <w:rPr>
                <w:rFonts w:ascii="Times New Roman" w:cs="Times New Roman" w:eastAsia="Times New Roman" w:hAnsi="Times New Roman"/>
                <w:sz w:val="18"/>
                <w:szCs w:val="18"/>
                <w:color w:val="auto"/>
              </w:rPr>
              <w:t>6.7 %</w:t>
            </w:r>
          </w:p>
        </w:tc>
        <w:tc>
          <w:tcPr>
            <w:tcW w:w="14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3.9 %</w:t>
            </w:r>
          </w:p>
        </w:tc>
      </w:tr>
      <w:tr>
        <w:trPr>
          <w:trHeight w:val="257"/>
        </w:trPr>
        <w:tc>
          <w:tcPr>
            <w:tcW w:w="3360" w:type="dxa"/>
            <w:vAlign w:val="bottom"/>
          </w:tcPr>
          <w:p>
            <w:pPr>
              <w:ind w:left="20"/>
              <w:spacing w:after="0" w:line="256" w:lineRule="exact"/>
              <w:rPr>
                <w:sz w:val="20"/>
                <w:szCs w:val="20"/>
                <w:color w:val="auto"/>
              </w:rPr>
            </w:pPr>
            <w:r>
              <w:rPr>
                <w:rFonts w:ascii="Times New Roman" w:cs="Times New Roman" w:eastAsia="Times New Roman" w:hAnsi="Times New Roman"/>
                <w:sz w:val="18"/>
                <w:szCs w:val="18"/>
                <w:color w:val="auto"/>
              </w:rPr>
              <w:t>Facility dollar volume</w:t>
            </w:r>
            <w:r>
              <w:rPr>
                <w:rFonts w:ascii="Times New Roman" w:cs="Times New Roman" w:eastAsia="Times New Roman" w:hAnsi="Times New Roman"/>
                <w:sz w:val="23"/>
                <w:szCs w:val="23"/>
                <w:b w:val="1"/>
                <w:bCs w:val="1"/>
                <w:color w:val="auto"/>
                <w:vertAlign w:val="superscript"/>
              </w:rPr>
              <w:t>(1)</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19,836,821</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19,514,049</w:t>
            </w:r>
          </w:p>
        </w:tc>
        <w:tc>
          <w:tcPr>
            <w:tcW w:w="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15,867,556</w:t>
            </w:r>
          </w:p>
        </w:tc>
        <w:tc>
          <w:tcPr>
            <w:tcW w:w="100" w:type="dxa"/>
            <w:vAlign w:val="bottom"/>
          </w:tcPr>
          <w:p>
            <w:pPr>
              <w:spacing w:after="0"/>
              <w:rPr>
                <w:sz w:val="22"/>
                <w:szCs w:val="22"/>
                <w:color w:val="auto"/>
              </w:rPr>
            </w:pPr>
          </w:p>
        </w:tc>
        <w:tc>
          <w:tcPr>
            <w:tcW w:w="17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1.7 %</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23.0 %</w:t>
            </w:r>
          </w:p>
        </w:tc>
      </w:tr>
      <w:tr>
        <w:trPr>
          <w:trHeight w:val="257"/>
        </w:trPr>
        <w:tc>
          <w:tcPr>
            <w:tcW w:w="336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Average payments in advance of funding</w:t>
            </w:r>
          </w:p>
        </w:tc>
        <w:tc>
          <w:tcPr>
            <w:tcW w:w="320" w:type="dxa"/>
            <w:vAlign w:val="bottom"/>
            <w:shd w:val="clear" w:color="auto" w:fill="DBDBDB"/>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DBDBDB"/>
          </w:tcPr>
          <w:p>
            <w:pPr>
              <w:jc w:val="right"/>
              <w:ind w:right="10"/>
              <w:spacing w:after="0"/>
              <w:rPr>
                <w:sz w:val="20"/>
                <w:szCs w:val="20"/>
                <w:color w:val="auto"/>
              </w:rPr>
            </w:pPr>
            <w:r>
              <w:rPr>
                <w:rFonts w:ascii="Times New Roman" w:cs="Times New Roman" w:eastAsia="Times New Roman" w:hAnsi="Times New Roman"/>
                <w:sz w:val="18"/>
                <w:szCs w:val="18"/>
                <w:color w:val="auto"/>
              </w:rPr>
              <w:t>234,865</w:t>
            </w:r>
          </w:p>
        </w:tc>
        <w:tc>
          <w:tcPr>
            <w:tcW w:w="2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DBDBDB"/>
          </w:tcPr>
          <w:p>
            <w:pPr>
              <w:jc w:val="right"/>
              <w:ind w:right="10"/>
              <w:spacing w:after="0"/>
              <w:rPr>
                <w:sz w:val="20"/>
                <w:szCs w:val="20"/>
                <w:color w:val="auto"/>
              </w:rPr>
            </w:pPr>
            <w:r>
              <w:rPr>
                <w:rFonts w:ascii="Times New Roman" w:cs="Times New Roman" w:eastAsia="Times New Roman" w:hAnsi="Times New Roman"/>
                <w:sz w:val="18"/>
                <w:szCs w:val="18"/>
                <w:color w:val="auto"/>
              </w:rPr>
              <w:t>278,185</w:t>
            </w:r>
          </w:p>
        </w:tc>
        <w:tc>
          <w:tcPr>
            <w:tcW w:w="400" w:type="dxa"/>
            <w:vAlign w:val="bottom"/>
            <w:shd w:val="clear" w:color="auto" w:fill="DBDBDB"/>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211,809</w:t>
            </w:r>
          </w:p>
        </w:tc>
        <w:tc>
          <w:tcPr>
            <w:tcW w:w="100" w:type="dxa"/>
            <w:vAlign w:val="bottom"/>
            <w:shd w:val="clear" w:color="auto" w:fill="DBDBDB"/>
          </w:tcPr>
          <w:p>
            <w:pPr>
              <w:spacing w:after="0"/>
              <w:rPr>
                <w:sz w:val="22"/>
                <w:szCs w:val="22"/>
                <w:color w:val="auto"/>
              </w:rPr>
            </w:pPr>
          </w:p>
        </w:tc>
        <w:tc>
          <w:tcPr>
            <w:tcW w:w="1760" w:type="dxa"/>
            <w:vAlign w:val="bottom"/>
            <w:shd w:val="clear" w:color="auto" w:fill="DBDBDB"/>
          </w:tcPr>
          <w:p>
            <w:pPr>
              <w:jc w:val="right"/>
              <w:ind w:right="130"/>
              <w:spacing w:after="0"/>
              <w:rPr>
                <w:sz w:val="20"/>
                <w:szCs w:val="20"/>
                <w:color w:val="auto"/>
              </w:rPr>
            </w:pPr>
            <w:r>
              <w:rPr>
                <w:rFonts w:ascii="Times New Roman" w:cs="Times New Roman" w:eastAsia="Times New Roman" w:hAnsi="Times New Roman"/>
                <w:sz w:val="18"/>
                <w:szCs w:val="18"/>
                <w:color w:val="auto"/>
              </w:rPr>
              <w:t>(15.6)%</w:t>
            </w:r>
          </w:p>
        </w:tc>
        <w:tc>
          <w:tcPr>
            <w:tcW w:w="14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31.3 %</w:t>
            </w:r>
          </w:p>
        </w:tc>
      </w:tr>
      <w:tr>
        <w:trPr>
          <w:trHeight w:val="250"/>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Processing fees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79,566</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76,470</w:t>
            </w:r>
          </w:p>
        </w:tc>
        <w:tc>
          <w:tcPr>
            <w:tcW w:w="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74,589</w:t>
            </w:r>
          </w:p>
        </w:tc>
        <w:tc>
          <w:tcPr>
            <w:tcW w:w="100" w:type="dxa"/>
            <w:vAlign w:val="bottom"/>
          </w:tcPr>
          <w:p>
            <w:pPr>
              <w:spacing w:after="0"/>
              <w:rPr>
                <w:sz w:val="21"/>
                <w:szCs w:val="21"/>
                <w:color w:val="auto"/>
              </w:rPr>
            </w:pPr>
          </w:p>
        </w:tc>
        <w:tc>
          <w:tcPr>
            <w:tcW w:w="17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4.0 %</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2.5 %</w:t>
            </w:r>
          </w:p>
        </w:tc>
      </w:tr>
      <w:tr>
        <w:trPr>
          <w:trHeight w:val="263"/>
        </w:trPr>
        <w:tc>
          <w:tcPr>
            <w:tcW w:w="336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Financial fees</w:t>
            </w:r>
          </w:p>
        </w:tc>
        <w:tc>
          <w:tcPr>
            <w:tcW w:w="320" w:type="dxa"/>
            <w:vAlign w:val="bottom"/>
            <w:shd w:val="clear" w:color="auto" w:fill="DBDBDB"/>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DBDBDB"/>
          </w:tcPr>
          <w:p>
            <w:pPr>
              <w:jc w:val="right"/>
              <w:ind w:right="10"/>
              <w:spacing w:after="0"/>
              <w:rPr>
                <w:sz w:val="20"/>
                <w:szCs w:val="20"/>
                <w:color w:val="auto"/>
              </w:rPr>
            </w:pPr>
            <w:r>
              <w:rPr>
                <w:rFonts w:ascii="Times New Roman" w:cs="Times New Roman" w:eastAsia="Times New Roman" w:hAnsi="Times New Roman"/>
                <w:sz w:val="18"/>
                <w:szCs w:val="18"/>
                <w:color w:val="auto"/>
              </w:rPr>
              <w:t>45,985</w:t>
            </w:r>
          </w:p>
        </w:tc>
        <w:tc>
          <w:tcPr>
            <w:tcW w:w="2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DBDBDB"/>
          </w:tcPr>
          <w:p>
            <w:pPr>
              <w:jc w:val="right"/>
              <w:ind w:right="10"/>
              <w:spacing w:after="0"/>
              <w:rPr>
                <w:sz w:val="20"/>
                <w:szCs w:val="20"/>
                <w:color w:val="auto"/>
              </w:rPr>
            </w:pPr>
            <w:r>
              <w:rPr>
                <w:rFonts w:ascii="Times New Roman" w:cs="Times New Roman" w:eastAsia="Times New Roman" w:hAnsi="Times New Roman"/>
                <w:sz w:val="18"/>
                <w:szCs w:val="18"/>
                <w:color w:val="auto"/>
              </w:rPr>
              <w:t>43,757</w:t>
            </w:r>
          </w:p>
        </w:tc>
        <w:tc>
          <w:tcPr>
            <w:tcW w:w="400" w:type="dxa"/>
            <w:vAlign w:val="bottom"/>
            <w:shd w:val="clear" w:color="auto" w:fill="DBDBDB"/>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32,733</w:t>
            </w:r>
          </w:p>
        </w:tc>
        <w:tc>
          <w:tcPr>
            <w:tcW w:w="100" w:type="dxa"/>
            <w:vAlign w:val="bottom"/>
            <w:shd w:val="clear" w:color="auto" w:fill="DBDBDB"/>
          </w:tcPr>
          <w:p>
            <w:pPr>
              <w:spacing w:after="0"/>
              <w:rPr>
                <w:sz w:val="22"/>
                <w:szCs w:val="22"/>
                <w:color w:val="auto"/>
              </w:rPr>
            </w:pPr>
          </w:p>
        </w:tc>
        <w:tc>
          <w:tcPr>
            <w:tcW w:w="1760" w:type="dxa"/>
            <w:vAlign w:val="bottom"/>
            <w:shd w:val="clear" w:color="auto" w:fill="DBDBDB"/>
          </w:tcPr>
          <w:p>
            <w:pPr>
              <w:jc w:val="right"/>
              <w:ind w:right="130"/>
              <w:spacing w:after="0"/>
              <w:rPr>
                <w:sz w:val="20"/>
                <w:szCs w:val="20"/>
                <w:color w:val="auto"/>
              </w:rPr>
            </w:pPr>
            <w:r>
              <w:rPr>
                <w:rFonts w:ascii="Times New Roman" w:cs="Times New Roman" w:eastAsia="Times New Roman" w:hAnsi="Times New Roman"/>
                <w:sz w:val="18"/>
                <w:szCs w:val="18"/>
                <w:color w:val="auto"/>
              </w:rPr>
              <w:t>5.1 %</w:t>
            </w:r>
          </w:p>
        </w:tc>
        <w:tc>
          <w:tcPr>
            <w:tcW w:w="14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33.7 %</w:t>
            </w:r>
          </w:p>
        </w:tc>
      </w:tr>
      <w:tr>
        <w:trPr>
          <w:trHeight w:val="243"/>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4,916</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4,755</w:t>
            </w:r>
          </w:p>
        </w:tc>
        <w:tc>
          <w:tcPr>
            <w:tcW w:w="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2,369</w:t>
            </w:r>
          </w:p>
        </w:tc>
        <w:tc>
          <w:tcPr>
            <w:tcW w:w="100" w:type="dxa"/>
            <w:vAlign w:val="bottom"/>
          </w:tcPr>
          <w:p>
            <w:pPr>
              <w:spacing w:after="0"/>
              <w:rPr>
                <w:sz w:val="21"/>
                <w:szCs w:val="21"/>
                <w:color w:val="auto"/>
              </w:rPr>
            </w:pPr>
          </w:p>
        </w:tc>
        <w:tc>
          <w:tcPr>
            <w:tcW w:w="17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3.4 %</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100.7 %</w:t>
            </w:r>
          </w:p>
        </w:tc>
      </w:tr>
    </w:tbl>
    <w:p>
      <w:pPr>
        <w:spacing w:after="0" w:line="90" w:lineRule="exact"/>
        <w:rPr>
          <w:sz w:val="20"/>
          <w:szCs w:val="20"/>
          <w:color w:val="auto"/>
        </w:rPr>
      </w:pPr>
    </w:p>
    <w:p>
      <w:pPr>
        <w:ind w:left="640" w:hanging="632"/>
        <w:spacing w:after="0"/>
        <w:tabs>
          <w:tab w:leader="none" w:pos="64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Includes utility, telecom and waste</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Processing fees increased $3.1 million, or 4.0%, during 2023 largely driven by a 6.7% increase in facility transaction volumes as well as an increase in fees received for ancillary processing services. Transportation invoice volumes decreased 2.3% over the same period. The decline in transportation volumes is primarily due to the on-going freight recession.</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Financial fees increased $2.2 million, or 5.1%, in 2023 primarily attributable to the increase in short-term interest rates throughout 2023, partially offset by a decline in transportation dollar volumes of 14.4%. The decline in transportation dollar volumes had a direct effect on the 15.6% decrease in average payments in advance of funding, which is the primary generator of financial fees.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Interest Income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interest income is the difference between interest earned on loans, investments, and other earning assets and interest expense on deposits and other interest-bearing liabilities. Net interest income is a significant source of the Company’s revenues. The following table summarizes the changes in tax-equivalent net interest income and related factors: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18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5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100" w:type="dxa"/>
            <w:vAlign w:val="bottom"/>
            <w:tcBorders>
              <w:bottom w:val="single" w:sz="8" w:color="auto"/>
            </w:tcBorders>
            <w:gridSpan w:val="2"/>
          </w:tcPr>
          <w:p>
            <w:pPr>
              <w:jc w:val="right"/>
              <w:ind w:right="105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50"/>
        </w:trPr>
        <w:tc>
          <w:tcPr>
            <w:tcW w:w="3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4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5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2023 v. 2022</w:t>
            </w:r>
          </w:p>
        </w:tc>
        <w:tc>
          <w:tcPr>
            <w:tcW w:w="14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2022 v. 2021</w:t>
            </w:r>
          </w:p>
        </w:tc>
      </w:tr>
      <w:tr>
        <w:trPr>
          <w:trHeight w:val="257"/>
        </w:trPr>
        <w:tc>
          <w:tcPr>
            <w:tcW w:w="318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Average earning assets</w:t>
            </w:r>
          </w:p>
        </w:tc>
        <w:tc>
          <w:tcPr>
            <w:tcW w:w="360" w:type="dxa"/>
            <w:vAlign w:val="bottom"/>
            <w:shd w:val="clear" w:color="auto" w:fill="DBDBDB"/>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DBDBDB"/>
          </w:tcPr>
          <w:p>
            <w:pPr>
              <w:jc w:val="right"/>
              <w:ind w:right="70"/>
              <w:spacing w:after="0"/>
              <w:rPr>
                <w:sz w:val="20"/>
                <w:szCs w:val="20"/>
                <w:color w:val="auto"/>
              </w:rPr>
            </w:pPr>
            <w:r>
              <w:rPr>
                <w:rFonts w:ascii="Times New Roman" w:cs="Times New Roman" w:eastAsia="Times New Roman" w:hAnsi="Times New Roman"/>
                <w:sz w:val="18"/>
                <w:szCs w:val="18"/>
                <w:color w:val="auto"/>
              </w:rPr>
              <w:t>2,076,951</w:t>
            </w:r>
          </w:p>
        </w:tc>
        <w:tc>
          <w:tcPr>
            <w:tcW w:w="3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DBDBDB"/>
          </w:tcPr>
          <w:p>
            <w:pPr>
              <w:jc w:val="right"/>
              <w:ind w:right="70"/>
              <w:spacing w:after="0"/>
              <w:rPr>
                <w:sz w:val="20"/>
                <w:szCs w:val="20"/>
                <w:color w:val="auto"/>
              </w:rPr>
            </w:pPr>
            <w:r>
              <w:rPr>
                <w:rFonts w:ascii="Times New Roman" w:cs="Times New Roman" w:eastAsia="Times New Roman" w:hAnsi="Times New Roman"/>
                <w:sz w:val="18"/>
                <w:szCs w:val="18"/>
                <w:color w:val="auto"/>
              </w:rPr>
              <w:t>2,205,792</w:t>
            </w:r>
          </w:p>
        </w:tc>
        <w:tc>
          <w:tcPr>
            <w:tcW w:w="520" w:type="dxa"/>
            <w:vAlign w:val="bottom"/>
            <w:shd w:val="clear" w:color="auto" w:fill="DBDBDB"/>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DBDBDB"/>
          </w:tcPr>
          <w:p>
            <w:pPr>
              <w:jc w:val="right"/>
              <w:ind w:right="130"/>
              <w:spacing w:after="0"/>
              <w:rPr>
                <w:sz w:val="20"/>
                <w:szCs w:val="20"/>
                <w:color w:val="auto"/>
              </w:rPr>
            </w:pPr>
            <w:r>
              <w:rPr>
                <w:rFonts w:ascii="Times New Roman" w:cs="Times New Roman" w:eastAsia="Times New Roman" w:hAnsi="Times New Roman"/>
                <w:sz w:val="18"/>
                <w:szCs w:val="18"/>
                <w:color w:val="auto"/>
              </w:rPr>
              <w:t>1,999,609</w:t>
            </w:r>
          </w:p>
        </w:tc>
        <w:tc>
          <w:tcPr>
            <w:tcW w:w="100" w:type="dxa"/>
            <w:vAlign w:val="bottom"/>
            <w:shd w:val="clear" w:color="auto" w:fill="DBDBDB"/>
          </w:tcPr>
          <w:p>
            <w:pPr>
              <w:spacing w:after="0"/>
              <w:rPr>
                <w:sz w:val="22"/>
                <w:szCs w:val="22"/>
                <w:color w:val="auto"/>
              </w:rPr>
            </w:pPr>
          </w:p>
        </w:tc>
        <w:tc>
          <w:tcPr>
            <w:tcW w:w="1680" w:type="dxa"/>
            <w:vAlign w:val="bottom"/>
            <w:shd w:val="clear" w:color="auto" w:fill="DBDBDB"/>
          </w:tcPr>
          <w:p>
            <w:pPr>
              <w:jc w:val="right"/>
              <w:ind w:right="110"/>
              <w:spacing w:after="0"/>
              <w:rPr>
                <w:sz w:val="20"/>
                <w:szCs w:val="20"/>
                <w:color w:val="auto"/>
              </w:rPr>
            </w:pPr>
            <w:r>
              <w:rPr>
                <w:rFonts w:ascii="Times New Roman" w:cs="Times New Roman" w:eastAsia="Times New Roman" w:hAnsi="Times New Roman"/>
                <w:sz w:val="18"/>
                <w:szCs w:val="18"/>
                <w:color w:val="auto"/>
              </w:rPr>
              <w:t>(5.8)%</w:t>
            </w:r>
          </w:p>
        </w:tc>
        <w:tc>
          <w:tcPr>
            <w:tcW w:w="14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10.3 %</w:t>
            </w:r>
          </w:p>
        </w:tc>
      </w:tr>
      <w:tr>
        <w:trPr>
          <w:trHeight w:val="250"/>
        </w:trPr>
        <w:tc>
          <w:tcPr>
            <w:tcW w:w="3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Average interest-bearing liabilities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573,308</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603,262</w:t>
            </w:r>
          </w:p>
        </w:tc>
        <w:tc>
          <w:tcPr>
            <w:tcW w:w="5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592,069</w:t>
            </w:r>
          </w:p>
        </w:tc>
        <w:tc>
          <w:tcPr>
            <w:tcW w:w="100" w:type="dxa"/>
            <w:vAlign w:val="bottom"/>
          </w:tcPr>
          <w:p>
            <w:pPr>
              <w:spacing w:after="0"/>
              <w:rPr>
                <w:sz w:val="21"/>
                <w:szCs w:val="21"/>
                <w:color w:val="auto"/>
              </w:rPr>
            </w:pPr>
          </w:p>
        </w:tc>
        <w:tc>
          <w:tcPr>
            <w:tcW w:w="16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(5.0)%</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1.9 %</w:t>
            </w:r>
          </w:p>
        </w:tc>
      </w:tr>
      <w:tr>
        <w:trPr>
          <w:trHeight w:val="263"/>
        </w:trPr>
        <w:tc>
          <w:tcPr>
            <w:tcW w:w="3180" w:type="dxa"/>
            <w:vAlign w:val="bottom"/>
            <w:shd w:val="clear" w:color="auto" w:fill="DBDBDB"/>
          </w:tcPr>
          <w:p>
            <w:pPr>
              <w:ind w:left="20"/>
              <w:spacing w:after="0" w:line="263" w:lineRule="exact"/>
              <w:rPr>
                <w:sz w:val="20"/>
                <w:szCs w:val="20"/>
                <w:color w:val="auto"/>
              </w:rPr>
            </w:pPr>
            <w:r>
              <w:rPr>
                <w:rFonts w:ascii="Times New Roman" w:cs="Times New Roman" w:eastAsia="Times New Roman" w:hAnsi="Times New Roman"/>
                <w:sz w:val="18"/>
                <w:szCs w:val="18"/>
                <w:color w:val="auto"/>
              </w:rPr>
              <w:t xml:space="preserve">Net interest income </w:t>
            </w:r>
            <w:r>
              <w:rPr>
                <w:rFonts w:ascii="Times New Roman" w:cs="Times New Roman" w:eastAsia="Times New Roman" w:hAnsi="Times New Roman"/>
                <w:sz w:val="23"/>
                <w:szCs w:val="23"/>
                <w:b w:val="1"/>
                <w:bCs w:val="1"/>
                <w:color w:val="auto"/>
                <w:vertAlign w:val="superscript"/>
              </w:rPr>
              <w:t>(1)</w:t>
            </w:r>
          </w:p>
        </w:tc>
        <w:tc>
          <w:tcPr>
            <w:tcW w:w="360" w:type="dxa"/>
            <w:vAlign w:val="bottom"/>
            <w:shd w:val="clear" w:color="auto" w:fill="DBDBDB"/>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DBDBDB"/>
          </w:tcPr>
          <w:p>
            <w:pPr>
              <w:jc w:val="right"/>
              <w:ind w:right="70"/>
              <w:spacing w:after="0"/>
              <w:rPr>
                <w:sz w:val="20"/>
                <w:szCs w:val="20"/>
                <w:color w:val="auto"/>
              </w:rPr>
            </w:pPr>
            <w:r>
              <w:rPr>
                <w:rFonts w:ascii="Times New Roman" w:cs="Times New Roman" w:eastAsia="Times New Roman" w:hAnsi="Times New Roman"/>
                <w:sz w:val="18"/>
                <w:szCs w:val="18"/>
                <w:color w:val="auto"/>
              </w:rPr>
              <w:t>67,583</w:t>
            </w:r>
          </w:p>
        </w:tc>
        <w:tc>
          <w:tcPr>
            <w:tcW w:w="3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DBDBDB"/>
          </w:tcPr>
          <w:p>
            <w:pPr>
              <w:jc w:val="right"/>
              <w:ind w:right="70"/>
              <w:spacing w:after="0"/>
              <w:rPr>
                <w:sz w:val="20"/>
                <w:szCs w:val="20"/>
                <w:color w:val="auto"/>
              </w:rPr>
            </w:pPr>
            <w:r>
              <w:rPr>
                <w:rFonts w:ascii="Times New Roman" w:cs="Times New Roman" w:eastAsia="Times New Roman" w:hAnsi="Times New Roman"/>
                <w:sz w:val="18"/>
                <w:szCs w:val="18"/>
                <w:color w:val="auto"/>
              </w:rPr>
              <w:t>60,533</w:t>
            </w:r>
          </w:p>
        </w:tc>
        <w:tc>
          <w:tcPr>
            <w:tcW w:w="520" w:type="dxa"/>
            <w:vAlign w:val="bottom"/>
            <w:shd w:val="clear" w:color="auto" w:fill="DBDBDB"/>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DBDBDB"/>
          </w:tcPr>
          <w:p>
            <w:pPr>
              <w:jc w:val="right"/>
              <w:ind w:right="130"/>
              <w:spacing w:after="0"/>
              <w:rPr>
                <w:sz w:val="20"/>
                <w:szCs w:val="20"/>
                <w:color w:val="auto"/>
              </w:rPr>
            </w:pPr>
            <w:r>
              <w:rPr>
                <w:rFonts w:ascii="Times New Roman" w:cs="Times New Roman" w:eastAsia="Times New Roman" w:hAnsi="Times New Roman"/>
                <w:sz w:val="18"/>
                <w:szCs w:val="18"/>
                <w:color w:val="auto"/>
              </w:rPr>
              <w:t>46,199</w:t>
            </w:r>
          </w:p>
        </w:tc>
        <w:tc>
          <w:tcPr>
            <w:tcW w:w="100" w:type="dxa"/>
            <w:vAlign w:val="bottom"/>
            <w:shd w:val="clear" w:color="auto" w:fill="DBDBDB"/>
          </w:tcPr>
          <w:p>
            <w:pPr>
              <w:spacing w:after="0"/>
              <w:rPr>
                <w:sz w:val="22"/>
                <w:szCs w:val="22"/>
                <w:color w:val="auto"/>
              </w:rPr>
            </w:pPr>
          </w:p>
        </w:tc>
        <w:tc>
          <w:tcPr>
            <w:tcW w:w="1680" w:type="dxa"/>
            <w:vAlign w:val="bottom"/>
            <w:shd w:val="clear" w:color="auto" w:fill="DBDBDB"/>
          </w:tcPr>
          <w:p>
            <w:pPr>
              <w:jc w:val="right"/>
              <w:ind w:right="110"/>
              <w:spacing w:after="0"/>
              <w:rPr>
                <w:sz w:val="20"/>
                <w:szCs w:val="20"/>
                <w:color w:val="auto"/>
              </w:rPr>
            </w:pPr>
            <w:r>
              <w:rPr>
                <w:rFonts w:ascii="Times New Roman" w:cs="Times New Roman" w:eastAsia="Times New Roman" w:hAnsi="Times New Roman"/>
                <w:sz w:val="18"/>
                <w:szCs w:val="18"/>
                <w:color w:val="auto"/>
              </w:rPr>
              <w:t>11.6 %</w:t>
            </w:r>
          </w:p>
        </w:tc>
        <w:tc>
          <w:tcPr>
            <w:tcW w:w="14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31.0 %</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3320" w:type="dxa"/>
            <w:vAlign w:val="bottom"/>
          </w:tcPr>
          <w:p>
            <w:pPr>
              <w:ind w:left="20"/>
              <w:spacing w:after="0" w:line="256" w:lineRule="exact"/>
              <w:rPr>
                <w:sz w:val="20"/>
                <w:szCs w:val="20"/>
                <w:color w:val="auto"/>
              </w:rPr>
            </w:pPr>
            <w:r>
              <w:rPr>
                <w:rFonts w:ascii="Times New Roman" w:cs="Times New Roman" w:eastAsia="Times New Roman" w:hAnsi="Times New Roman"/>
                <w:sz w:val="18"/>
                <w:szCs w:val="18"/>
                <w:color w:val="auto"/>
              </w:rPr>
              <w:t xml:space="preserve">Net interest margin </w:t>
            </w:r>
            <w:r>
              <w:rPr>
                <w:rFonts w:ascii="Times New Roman" w:cs="Times New Roman" w:eastAsia="Times New Roman" w:hAnsi="Times New Roman"/>
                <w:sz w:val="23"/>
                <w:szCs w:val="23"/>
                <w:b w:val="1"/>
                <w:bCs w:val="1"/>
                <w:color w:val="auto"/>
                <w:vertAlign w:val="superscript"/>
              </w:rPr>
              <w:t>(1)</w:t>
            </w:r>
          </w:p>
        </w:tc>
        <w:tc>
          <w:tcPr>
            <w:tcW w:w="196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3.25 %</w:t>
            </w:r>
          </w:p>
        </w:tc>
        <w:tc>
          <w:tcPr>
            <w:tcW w:w="166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2.74 %</w:t>
            </w:r>
          </w:p>
        </w:tc>
        <w:tc>
          <w:tcPr>
            <w:tcW w:w="168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2.31 %</w:t>
            </w:r>
          </w:p>
        </w:tc>
        <w:tc>
          <w:tcPr>
            <w:tcW w:w="15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3320" w:type="dxa"/>
            <w:vAlign w:val="bottom"/>
            <w:shd w:val="clear" w:color="auto" w:fill="DBDBDB"/>
          </w:tcPr>
          <w:p>
            <w:pPr>
              <w:ind w:left="20"/>
              <w:spacing w:after="0" w:line="256" w:lineRule="exact"/>
              <w:rPr>
                <w:sz w:val="20"/>
                <w:szCs w:val="20"/>
                <w:color w:val="auto"/>
              </w:rPr>
            </w:pPr>
            <w:r>
              <w:rPr>
                <w:rFonts w:ascii="Times New Roman" w:cs="Times New Roman" w:eastAsia="Times New Roman" w:hAnsi="Times New Roman"/>
                <w:sz w:val="18"/>
                <w:szCs w:val="18"/>
                <w:color w:val="auto"/>
              </w:rPr>
              <w:t xml:space="preserve">Yield on earning assets </w:t>
            </w:r>
            <w:r>
              <w:rPr>
                <w:rFonts w:ascii="Times New Roman" w:cs="Times New Roman" w:eastAsia="Times New Roman" w:hAnsi="Times New Roman"/>
                <w:sz w:val="23"/>
                <w:szCs w:val="23"/>
                <w:b w:val="1"/>
                <w:bCs w:val="1"/>
                <w:color w:val="auto"/>
                <w:vertAlign w:val="superscript"/>
              </w:rPr>
              <w:t>(1)</w:t>
            </w:r>
          </w:p>
        </w:tc>
        <w:tc>
          <w:tcPr>
            <w:tcW w:w="1960" w:type="dxa"/>
            <w:vAlign w:val="bottom"/>
            <w:shd w:val="clear" w:color="auto" w:fill="DBDBDB"/>
          </w:tcPr>
          <w:p>
            <w:pPr>
              <w:jc w:val="right"/>
              <w:ind w:right="470"/>
              <w:spacing w:after="0"/>
              <w:rPr>
                <w:sz w:val="20"/>
                <w:szCs w:val="20"/>
                <w:color w:val="auto"/>
              </w:rPr>
            </w:pPr>
            <w:r>
              <w:rPr>
                <w:rFonts w:ascii="Times New Roman" w:cs="Times New Roman" w:eastAsia="Times New Roman" w:hAnsi="Times New Roman"/>
                <w:sz w:val="18"/>
                <w:szCs w:val="18"/>
                <w:color w:val="auto"/>
              </w:rPr>
              <w:t>4.04 %</w:t>
            </w:r>
          </w:p>
        </w:tc>
        <w:tc>
          <w:tcPr>
            <w:tcW w:w="1660" w:type="dxa"/>
            <w:vAlign w:val="bottom"/>
            <w:shd w:val="clear" w:color="auto" w:fill="DBDBDB"/>
          </w:tcPr>
          <w:p>
            <w:pPr>
              <w:jc w:val="right"/>
              <w:ind w:right="490"/>
              <w:spacing w:after="0"/>
              <w:rPr>
                <w:sz w:val="20"/>
                <w:szCs w:val="20"/>
                <w:color w:val="auto"/>
              </w:rPr>
            </w:pPr>
            <w:r>
              <w:rPr>
                <w:rFonts w:ascii="Times New Roman" w:cs="Times New Roman" w:eastAsia="Times New Roman" w:hAnsi="Times New Roman"/>
                <w:sz w:val="18"/>
                <w:szCs w:val="18"/>
                <w:color w:val="auto"/>
              </w:rPr>
              <w:t>2.90 %</w:t>
            </w:r>
          </w:p>
        </w:tc>
        <w:tc>
          <w:tcPr>
            <w:tcW w:w="1680" w:type="dxa"/>
            <w:vAlign w:val="bottom"/>
            <w:shd w:val="clear" w:color="auto" w:fill="DBDBDB"/>
          </w:tcPr>
          <w:p>
            <w:pPr>
              <w:jc w:val="right"/>
              <w:ind w:right="510"/>
              <w:spacing w:after="0"/>
              <w:rPr>
                <w:sz w:val="20"/>
                <w:szCs w:val="20"/>
                <w:color w:val="auto"/>
              </w:rPr>
            </w:pPr>
            <w:r>
              <w:rPr>
                <w:rFonts w:ascii="Times New Roman" w:cs="Times New Roman" w:eastAsia="Times New Roman" w:hAnsi="Times New Roman"/>
                <w:sz w:val="18"/>
                <w:szCs w:val="18"/>
                <w:color w:val="auto"/>
              </w:rPr>
              <w:t>2.37 %</w:t>
            </w:r>
          </w:p>
        </w:tc>
        <w:tc>
          <w:tcPr>
            <w:tcW w:w="1500" w:type="dxa"/>
            <w:vAlign w:val="bottom"/>
            <w:shd w:val="clear" w:color="auto" w:fill="DBDBDB"/>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DBDBDB"/>
          </w:tcPr>
          <w:p>
            <w:pPr>
              <w:ind w:left="72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3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Rate on interest bearing liabilities</w:t>
            </w:r>
          </w:p>
        </w:tc>
        <w:tc>
          <w:tcPr>
            <w:tcW w:w="19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2.84 %</w:t>
            </w:r>
          </w:p>
        </w:tc>
        <w:tc>
          <w:tcPr>
            <w:tcW w:w="16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0.58 %</w:t>
            </w:r>
          </w:p>
        </w:tc>
        <w:tc>
          <w:tcPr>
            <w:tcW w:w="16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0.20 %</w:t>
            </w:r>
          </w:p>
        </w:tc>
        <w:tc>
          <w:tcPr>
            <w:tcW w:w="150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8"/>
                <w:szCs w:val="18"/>
                <w:color w:val="auto"/>
              </w:rPr>
              <w:t>—</w:t>
            </w:r>
          </w:p>
        </w:tc>
      </w:tr>
    </w:tbl>
    <w:p>
      <w:pPr>
        <w:spacing w:after="0" w:line="63" w:lineRule="exact"/>
        <w:rPr>
          <w:sz w:val="20"/>
          <w:szCs w:val="20"/>
          <w:color w:val="auto"/>
        </w:rPr>
      </w:pPr>
    </w:p>
    <w:p>
      <w:pPr>
        <w:ind w:left="640" w:hanging="632"/>
        <w:spacing w:after="0"/>
        <w:tabs>
          <w:tab w:leader="none" w:pos="64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Presented on a tax-equivalent basis using a tax rate of 21%.</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increase in net interest income in 2023 compared to 2022 is primarily due to an increase in the Federal Funds rate throughout 2022 and into 2023, positively affecting the net interest rate margin which increased to 3.25% as compared to 2.74% in the prior year. This was partially offset by a decrease in average earning assets of $128.8 million, or 5.8%. The yield on interest-earning assets increased 114 basis points from 2.90% in 2022 to 4.04% in 2023 while the cost of interest-bearing liabilities increased 226 basis points from 0.58% in 2022 to 2.84% in 2023.</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Average loans increased $63.7 million, or 6.4%, to $1.06 billion. This increase was due to loan growth during the second half of 2022, specifically in the Company's franchise restaurants, faith-based and lease financing receivables portfolios. The average yield on loans increased 83 basis points to 4.81% in 2023.</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Average investment securities decreased $54.7 million, or 6.9%, due to the sale and maturity of investment securities throughout 2023. The investment portfolio will expand and contract over time as the Company manages its liquidity and interest rate position. The average tax-equivalent yield on investment securities increased 33 basis point to 2.63% in 2023 as a result of the increase in short and long-term interest rates. The average yield on tax-exempt investment securities declined 19 basis points to 2.69% driven by maturities of higher rate securities. These securities have longer term fixed rates and the Company has not purchased any such securities since interest rates began increasing.</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Average short-term investments, consisting of interest-bearing deposits in other financial institutions and federal funds sold, decreased $137.8 million, or 32.4%. The decrease is primarily a result of the increase in the average balance of loans, coupled with the decrease in average funding sources, partially offset by the decrease in average investment securities. The average yield on short-term investments increased 327 basis points to 4.78% in 2023 primarily due to the increase in short-term market interest rates that began in March 2022. The majority of these short-term investments are held at the Federal Reserve Bank.</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average balance of interest-bearing deposits decreased $32.2 million, or 5.3%. Average non-interest-bearing demand deposits decreased $75.5 million, or 12.8%. The Company experienced deposit attrition during the first six months of 2023 as larger commercial depository clients moved their funds to higher interest rate alternatives outside of the banking system. The Company also incurred a shift from non-interest bearing to interest-bearing deposits driven by the customer base. The average rate paid on interest-bearing deposits increased 225 basis points to 2.83% in 2023 due to the increase in short-term interest rates.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Average accounts and drafts payable decreased $60.1 million, or 5.3%. The decrease in average accounts and drafts payable was primarily driven by the decrease in transportation dollar volumes of 14.4% due to the ongoing freight recession.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Distribution of Assets, Liabilities and Shareholders' Equity; Interest Rate and Interest Differential</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contains condensed average balance sheets for each of the periods reported, the tax-equivalent interest income and expense on each category of interest-earning assets and interest-bearing liabilities, and the average yield on such categories of interest-earning assets and the average rates paid on such categories of interest-bearing liabilities for each of the periods reported:</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2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2021</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4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2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80" w:type="dxa"/>
            <w:vAlign w:val="bottom"/>
          </w:tcPr>
          <w:p>
            <w:pPr>
              <w:spacing w:after="0"/>
              <w:rPr>
                <w:sz w:val="15"/>
                <w:szCs w:val="15"/>
                <w:color w:val="auto"/>
              </w:rPr>
            </w:pPr>
          </w:p>
        </w:tc>
        <w:tc>
          <w:tcPr>
            <w:tcW w:w="780" w:type="dxa"/>
            <w:vAlign w:val="bottom"/>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60" w:type="dxa"/>
            <w:vAlign w:val="bottom"/>
          </w:tcPr>
          <w:p>
            <w:pPr>
              <w:spacing w:after="0"/>
              <w:rPr>
                <w:sz w:val="15"/>
                <w:szCs w:val="15"/>
                <w:color w:val="auto"/>
              </w:rPr>
            </w:pPr>
          </w:p>
        </w:tc>
        <w:tc>
          <w:tcPr>
            <w:tcW w:w="760" w:type="dxa"/>
            <w:vAlign w:val="bottom"/>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40" w:type="dxa"/>
            <w:vAlign w:val="bottom"/>
          </w:tcPr>
          <w:p>
            <w:pPr>
              <w:spacing w:after="0"/>
              <w:rPr>
                <w:sz w:val="15"/>
                <w:szCs w:val="15"/>
                <w:color w:val="auto"/>
              </w:rPr>
            </w:pPr>
          </w:p>
        </w:tc>
        <w:tc>
          <w:tcPr>
            <w:tcW w:w="78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246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6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center"/>
              <w:ind w:right="128"/>
              <w:spacing w:after="0" w:line="149" w:lineRule="exact"/>
              <w:rPr>
                <w:sz w:val="20"/>
                <w:szCs w:val="20"/>
                <w:color w:val="auto"/>
              </w:rPr>
            </w:pPr>
            <w:r>
              <w:rPr>
                <w:rFonts w:ascii="Times New Roman" w:cs="Times New Roman" w:eastAsia="Times New Roman" w:hAnsi="Times New Roman"/>
                <w:sz w:val="14"/>
                <w:szCs w:val="14"/>
                <w:b w:val="1"/>
                <w:bCs w:val="1"/>
                <w:color w:val="auto"/>
              </w:rPr>
              <w:t>Income/</w:t>
            </w:r>
          </w:p>
        </w:tc>
        <w:tc>
          <w:tcPr>
            <w:tcW w:w="1000" w:type="dxa"/>
            <w:vAlign w:val="bottom"/>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Yield/ Rate</w:t>
            </w:r>
          </w:p>
        </w:tc>
        <w:tc>
          <w:tcPr>
            <w:tcW w:w="20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center"/>
              <w:ind w:right="108"/>
              <w:spacing w:after="0" w:line="149" w:lineRule="exact"/>
              <w:rPr>
                <w:sz w:val="20"/>
                <w:szCs w:val="20"/>
                <w:color w:val="auto"/>
              </w:rPr>
            </w:pPr>
            <w:r>
              <w:rPr>
                <w:rFonts w:ascii="Times New Roman" w:cs="Times New Roman" w:eastAsia="Times New Roman" w:hAnsi="Times New Roman"/>
                <w:sz w:val="14"/>
                <w:szCs w:val="14"/>
                <w:b w:val="1"/>
                <w:bCs w:val="1"/>
                <w:color w:val="auto"/>
              </w:rPr>
              <w:t>Income/</w:t>
            </w:r>
          </w:p>
        </w:tc>
        <w:tc>
          <w:tcPr>
            <w:tcW w:w="102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Yield/ Rate</w:t>
            </w:r>
          </w:p>
        </w:tc>
        <w:tc>
          <w:tcPr>
            <w:tcW w:w="2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Income/</w:t>
            </w:r>
          </w:p>
        </w:tc>
        <w:tc>
          <w:tcPr>
            <w:tcW w:w="9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Yield/ Rate</w:t>
            </w:r>
          </w:p>
        </w:tc>
        <w:tc>
          <w:tcPr>
            <w:tcW w:w="0" w:type="dxa"/>
            <w:vAlign w:val="bottom"/>
          </w:tcPr>
          <w:p>
            <w:pPr>
              <w:spacing w:after="0"/>
              <w:rPr>
                <w:sz w:val="1"/>
                <w:szCs w:val="1"/>
                <w:color w:val="auto"/>
              </w:rPr>
            </w:pPr>
          </w:p>
        </w:tc>
      </w:tr>
      <w:tr>
        <w:trPr>
          <w:trHeight w:val="198"/>
        </w:trPr>
        <w:tc>
          <w:tcPr>
            <w:tcW w:w="2460" w:type="dxa"/>
            <w:vAlign w:val="bottom"/>
            <w:tcBorders>
              <w:bottom w:val="single" w:sz="8" w:color="auto"/>
            </w:tcBorders>
            <w:vMerge w:val="continue"/>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1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Expense</w:t>
            </w:r>
          </w:p>
        </w:tc>
        <w:tc>
          <w:tcPr>
            <w:tcW w:w="1000" w:type="dxa"/>
            <w:vAlign w:val="bottom"/>
            <w:tcBorders>
              <w:bottom w:val="single" w:sz="8" w:color="auto"/>
            </w:tcBorders>
            <w:vMerge w:val="continue"/>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1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Expense</w:t>
            </w:r>
          </w:p>
        </w:tc>
        <w:tc>
          <w:tcPr>
            <w:tcW w:w="1020" w:type="dxa"/>
            <w:vAlign w:val="bottom"/>
            <w:tcBorders>
              <w:bottom w:val="single" w:sz="8" w:color="auto"/>
            </w:tcBorders>
            <w:vMerge w:val="continue"/>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Expense</w:t>
            </w:r>
          </w:p>
        </w:tc>
        <w:tc>
          <w:tcPr>
            <w:tcW w:w="9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460" w:type="dxa"/>
            <w:vAlign w:val="bottom"/>
            <w:shd w:val="clear" w:color="auto" w:fill="DBDBDB"/>
          </w:tcPr>
          <w:p>
            <w:pPr>
              <w:spacing w:after="0" w:line="201" w:lineRule="exact"/>
              <w:rPr>
                <w:sz w:val="20"/>
                <w:szCs w:val="20"/>
                <w:color w:val="auto"/>
              </w:rPr>
            </w:pPr>
            <w:r>
              <w:rPr>
                <w:rFonts w:ascii="Times New Roman" w:cs="Times New Roman" w:eastAsia="Times New Roman" w:hAnsi="Times New Roman"/>
                <w:sz w:val="14"/>
                <w:szCs w:val="14"/>
                <w:b w:val="1"/>
                <w:bCs w:val="1"/>
                <w:color w:val="auto"/>
              </w:rPr>
              <w:t xml:space="preserve">Assets </w:t>
            </w:r>
            <w:r>
              <w:rPr>
                <w:rFonts w:ascii="Times New Roman" w:cs="Times New Roman" w:eastAsia="Times New Roman" w:hAnsi="Times New Roman"/>
                <w:sz w:val="18"/>
                <w:szCs w:val="18"/>
                <w:b w:val="1"/>
                <w:bCs w:val="1"/>
                <w:color w:val="auto"/>
                <w:vertAlign w:val="superscript"/>
              </w:rPr>
              <w:t>(1)</w:t>
            </w:r>
          </w:p>
        </w:tc>
        <w:tc>
          <w:tcPr>
            <w:tcW w:w="160" w:type="dxa"/>
            <w:vAlign w:val="bottom"/>
            <w:shd w:val="clear" w:color="auto" w:fill="DBDBDB"/>
          </w:tcPr>
          <w:p>
            <w:pPr>
              <w:spacing w:after="0"/>
              <w:rPr>
                <w:sz w:val="17"/>
                <w:szCs w:val="17"/>
                <w:color w:val="auto"/>
              </w:rPr>
            </w:pPr>
          </w:p>
        </w:tc>
        <w:tc>
          <w:tcPr>
            <w:tcW w:w="820" w:type="dxa"/>
            <w:vAlign w:val="bottom"/>
            <w:shd w:val="clear" w:color="auto" w:fill="DBDBDB"/>
          </w:tcPr>
          <w:p>
            <w:pPr>
              <w:spacing w:after="0"/>
              <w:rPr>
                <w:sz w:val="17"/>
                <w:szCs w:val="17"/>
                <w:color w:val="auto"/>
              </w:rPr>
            </w:pPr>
          </w:p>
        </w:tc>
        <w:tc>
          <w:tcPr>
            <w:tcW w:w="180" w:type="dxa"/>
            <w:vAlign w:val="bottom"/>
            <w:shd w:val="clear" w:color="auto" w:fill="DBDBDB"/>
          </w:tcPr>
          <w:p>
            <w:pPr>
              <w:spacing w:after="0"/>
              <w:rPr>
                <w:sz w:val="17"/>
                <w:szCs w:val="17"/>
                <w:color w:val="auto"/>
              </w:rPr>
            </w:pPr>
          </w:p>
        </w:tc>
        <w:tc>
          <w:tcPr>
            <w:tcW w:w="780" w:type="dxa"/>
            <w:vAlign w:val="bottom"/>
            <w:shd w:val="clear" w:color="auto" w:fill="DBDBDB"/>
          </w:tcPr>
          <w:p>
            <w:pPr>
              <w:spacing w:after="0"/>
              <w:rPr>
                <w:sz w:val="17"/>
                <w:szCs w:val="17"/>
                <w:color w:val="auto"/>
              </w:rPr>
            </w:pPr>
          </w:p>
        </w:tc>
        <w:tc>
          <w:tcPr>
            <w:tcW w:w="1000" w:type="dxa"/>
            <w:vAlign w:val="bottom"/>
            <w:shd w:val="clear" w:color="auto" w:fill="DBDBDB"/>
          </w:tcPr>
          <w:p>
            <w:pPr>
              <w:spacing w:after="0"/>
              <w:rPr>
                <w:sz w:val="17"/>
                <w:szCs w:val="17"/>
                <w:color w:val="auto"/>
              </w:rPr>
            </w:pPr>
          </w:p>
        </w:tc>
        <w:tc>
          <w:tcPr>
            <w:tcW w:w="200" w:type="dxa"/>
            <w:vAlign w:val="bottom"/>
            <w:shd w:val="clear" w:color="auto" w:fill="DBDBDB"/>
          </w:tcPr>
          <w:p>
            <w:pPr>
              <w:spacing w:after="0"/>
              <w:rPr>
                <w:sz w:val="17"/>
                <w:szCs w:val="17"/>
                <w:color w:val="auto"/>
              </w:rPr>
            </w:pPr>
          </w:p>
        </w:tc>
        <w:tc>
          <w:tcPr>
            <w:tcW w:w="820" w:type="dxa"/>
            <w:vAlign w:val="bottom"/>
            <w:shd w:val="clear" w:color="auto" w:fill="DBDBDB"/>
          </w:tcPr>
          <w:p>
            <w:pPr>
              <w:spacing w:after="0"/>
              <w:rPr>
                <w:sz w:val="17"/>
                <w:szCs w:val="17"/>
                <w:color w:val="auto"/>
              </w:rPr>
            </w:pPr>
          </w:p>
        </w:tc>
        <w:tc>
          <w:tcPr>
            <w:tcW w:w="160" w:type="dxa"/>
            <w:vAlign w:val="bottom"/>
            <w:shd w:val="clear" w:color="auto" w:fill="DBDBDB"/>
          </w:tcPr>
          <w:p>
            <w:pPr>
              <w:spacing w:after="0"/>
              <w:rPr>
                <w:sz w:val="17"/>
                <w:szCs w:val="17"/>
                <w:color w:val="auto"/>
              </w:rPr>
            </w:pPr>
          </w:p>
        </w:tc>
        <w:tc>
          <w:tcPr>
            <w:tcW w:w="760" w:type="dxa"/>
            <w:vAlign w:val="bottom"/>
            <w:shd w:val="clear" w:color="auto" w:fill="DBDBDB"/>
          </w:tcPr>
          <w:p>
            <w:pPr>
              <w:spacing w:after="0"/>
              <w:rPr>
                <w:sz w:val="17"/>
                <w:szCs w:val="17"/>
                <w:color w:val="auto"/>
              </w:rPr>
            </w:pPr>
          </w:p>
        </w:tc>
        <w:tc>
          <w:tcPr>
            <w:tcW w:w="1020" w:type="dxa"/>
            <w:vAlign w:val="bottom"/>
            <w:shd w:val="clear" w:color="auto" w:fill="DBDBDB"/>
          </w:tcPr>
          <w:p>
            <w:pPr>
              <w:spacing w:after="0"/>
              <w:rPr>
                <w:sz w:val="17"/>
                <w:szCs w:val="17"/>
                <w:color w:val="auto"/>
              </w:rPr>
            </w:pPr>
          </w:p>
        </w:tc>
        <w:tc>
          <w:tcPr>
            <w:tcW w:w="200" w:type="dxa"/>
            <w:vAlign w:val="bottom"/>
            <w:shd w:val="clear" w:color="auto" w:fill="DBDBDB"/>
          </w:tcPr>
          <w:p>
            <w:pPr>
              <w:spacing w:after="0"/>
              <w:rPr>
                <w:sz w:val="17"/>
                <w:szCs w:val="17"/>
                <w:color w:val="auto"/>
              </w:rPr>
            </w:pPr>
          </w:p>
        </w:tc>
        <w:tc>
          <w:tcPr>
            <w:tcW w:w="78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780" w:type="dxa"/>
            <w:vAlign w:val="bottom"/>
            <w:shd w:val="clear" w:color="auto" w:fill="DBDBDB"/>
          </w:tcPr>
          <w:p>
            <w:pPr>
              <w:spacing w:after="0"/>
              <w:rPr>
                <w:sz w:val="17"/>
                <w:szCs w:val="17"/>
                <w:color w:val="auto"/>
              </w:rPr>
            </w:pPr>
          </w:p>
        </w:tc>
        <w:tc>
          <w:tcPr>
            <w:tcW w:w="92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460" w:type="dxa"/>
            <w:vAlign w:val="bottom"/>
          </w:tcPr>
          <w:p>
            <w:pPr>
              <w:spacing w:after="0"/>
              <w:rPr>
                <w:sz w:val="20"/>
                <w:szCs w:val="20"/>
                <w:color w:val="auto"/>
              </w:rPr>
            </w:pPr>
            <w:r>
              <w:rPr>
                <w:rFonts w:ascii="Times New Roman" w:cs="Times New Roman" w:eastAsia="Times New Roman" w:hAnsi="Times New Roman"/>
                <w:sz w:val="14"/>
                <w:szCs w:val="14"/>
                <w:color w:val="auto"/>
              </w:rPr>
              <w:t>Interest-earning assets</w:t>
            </w: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460" w:type="dxa"/>
            <w:vAlign w:val="bottom"/>
            <w:shd w:val="clear" w:color="auto" w:fill="DBDBDB"/>
          </w:tcPr>
          <w:p>
            <w:pPr>
              <w:spacing w:after="0"/>
              <w:rPr>
                <w:sz w:val="20"/>
                <w:szCs w:val="20"/>
                <w:color w:val="auto"/>
              </w:rPr>
            </w:pPr>
            <w:r>
              <w:rPr>
                <w:rFonts w:ascii="Times New Roman" w:cs="Times New Roman" w:eastAsia="Times New Roman" w:hAnsi="Times New Roman"/>
                <w:sz w:val="14"/>
                <w:szCs w:val="14"/>
                <w:color w:val="auto"/>
              </w:rPr>
              <w:t xml:space="preserve">Loans </w:t>
            </w:r>
            <w:r>
              <w:rPr>
                <w:rFonts w:ascii="Times New Roman" w:cs="Times New Roman" w:eastAsia="Times New Roman" w:hAnsi="Times New Roman"/>
                <w:sz w:val="18"/>
                <w:szCs w:val="18"/>
                <w:b w:val="1"/>
                <w:bCs w:val="1"/>
                <w:color w:val="auto"/>
                <w:vertAlign w:val="superscript"/>
              </w:rPr>
              <w:t>(2)</w:t>
            </w:r>
            <w:r>
              <w:rPr>
                <w:rFonts w:ascii="Times New Roman" w:cs="Times New Roman" w:eastAsia="Times New Roman" w:hAnsi="Times New Roman"/>
                <w:sz w:val="14"/>
                <w:szCs w:val="14"/>
                <w:color w:val="auto"/>
              </w:rPr>
              <w:t>:</w:t>
            </w:r>
          </w:p>
        </w:tc>
        <w:tc>
          <w:tcPr>
            <w:tcW w:w="160" w:type="dxa"/>
            <w:vAlign w:val="bottom"/>
            <w:shd w:val="clear" w:color="auto" w:fill="DBDBDB"/>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DBDBDB"/>
          </w:tcPr>
          <w:p>
            <w:pPr>
              <w:jc w:val="right"/>
              <w:ind w:right="48"/>
              <w:spacing w:after="0"/>
              <w:rPr>
                <w:sz w:val="20"/>
                <w:szCs w:val="20"/>
                <w:color w:val="auto"/>
              </w:rPr>
            </w:pPr>
            <w:r>
              <w:rPr>
                <w:rFonts w:ascii="Times New Roman" w:cs="Times New Roman" w:eastAsia="Times New Roman" w:hAnsi="Times New Roman"/>
                <w:sz w:val="14"/>
                <w:szCs w:val="14"/>
                <w:color w:val="auto"/>
              </w:rPr>
              <w:t>1,055,668</w:t>
            </w:r>
          </w:p>
        </w:tc>
        <w:tc>
          <w:tcPr>
            <w:tcW w:w="1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DBDBDB"/>
          </w:tcPr>
          <w:p>
            <w:pPr>
              <w:jc w:val="right"/>
              <w:ind w:right="68"/>
              <w:spacing w:after="0"/>
              <w:rPr>
                <w:sz w:val="20"/>
                <w:szCs w:val="20"/>
                <w:color w:val="auto"/>
              </w:rPr>
            </w:pPr>
            <w:r>
              <w:rPr>
                <w:rFonts w:ascii="Times New Roman" w:cs="Times New Roman" w:eastAsia="Times New Roman" w:hAnsi="Times New Roman"/>
                <w:sz w:val="14"/>
                <w:szCs w:val="14"/>
                <w:color w:val="auto"/>
              </w:rPr>
              <w:t>50,825</w:t>
            </w:r>
          </w:p>
        </w:tc>
        <w:tc>
          <w:tcPr>
            <w:tcW w:w="1000" w:type="dxa"/>
            <w:vAlign w:val="bottom"/>
            <w:shd w:val="clear" w:color="auto" w:fill="DBDBDB"/>
          </w:tcPr>
          <w:p>
            <w:pPr>
              <w:ind w:left="520"/>
              <w:spacing w:after="0"/>
              <w:rPr>
                <w:sz w:val="20"/>
                <w:szCs w:val="20"/>
                <w:color w:val="auto"/>
              </w:rPr>
            </w:pPr>
            <w:r>
              <w:rPr>
                <w:rFonts w:ascii="Times New Roman" w:cs="Times New Roman" w:eastAsia="Times New Roman" w:hAnsi="Times New Roman"/>
                <w:sz w:val="14"/>
                <w:szCs w:val="14"/>
                <w:color w:val="auto"/>
              </w:rPr>
              <w:t>4.81 %</w:t>
            </w:r>
          </w:p>
        </w:tc>
        <w:tc>
          <w:tcPr>
            <w:tcW w:w="2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DBDBDB"/>
          </w:tcPr>
          <w:p>
            <w:pPr>
              <w:jc w:val="right"/>
              <w:ind w:right="28"/>
              <w:spacing w:after="0"/>
              <w:rPr>
                <w:sz w:val="20"/>
                <w:szCs w:val="20"/>
                <w:color w:val="auto"/>
              </w:rPr>
            </w:pPr>
            <w:r>
              <w:rPr>
                <w:rFonts w:ascii="Times New Roman" w:cs="Times New Roman" w:eastAsia="Times New Roman" w:hAnsi="Times New Roman"/>
                <w:sz w:val="14"/>
                <w:szCs w:val="14"/>
                <w:color w:val="auto"/>
              </w:rPr>
              <w:t>992,004</w:t>
            </w:r>
          </w:p>
        </w:tc>
        <w:tc>
          <w:tcPr>
            <w:tcW w:w="1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DBDBDB"/>
          </w:tcPr>
          <w:p>
            <w:pPr>
              <w:jc w:val="right"/>
              <w:ind w:right="68"/>
              <w:spacing w:after="0"/>
              <w:rPr>
                <w:sz w:val="20"/>
                <w:szCs w:val="20"/>
                <w:color w:val="auto"/>
              </w:rPr>
            </w:pPr>
            <w:r>
              <w:rPr>
                <w:rFonts w:ascii="Times New Roman" w:cs="Times New Roman" w:eastAsia="Times New Roman" w:hAnsi="Times New Roman"/>
                <w:sz w:val="14"/>
                <w:szCs w:val="14"/>
                <w:color w:val="auto"/>
              </w:rPr>
              <w:t>39,460</w:t>
            </w:r>
          </w:p>
        </w:tc>
        <w:tc>
          <w:tcPr>
            <w:tcW w:w="1020" w:type="dxa"/>
            <w:vAlign w:val="bottom"/>
            <w:shd w:val="clear" w:color="auto" w:fill="DBDBDB"/>
          </w:tcPr>
          <w:p>
            <w:pPr>
              <w:jc w:val="right"/>
              <w:ind w:right="8"/>
              <w:spacing w:after="0"/>
              <w:rPr>
                <w:sz w:val="20"/>
                <w:szCs w:val="20"/>
                <w:color w:val="auto"/>
              </w:rPr>
            </w:pPr>
            <w:r>
              <w:rPr>
                <w:rFonts w:ascii="Times New Roman" w:cs="Times New Roman" w:eastAsia="Times New Roman" w:hAnsi="Times New Roman"/>
                <w:sz w:val="14"/>
                <w:szCs w:val="14"/>
                <w:color w:val="auto"/>
              </w:rPr>
              <w:t>3.98 %</w:t>
            </w:r>
          </w:p>
        </w:tc>
        <w:tc>
          <w:tcPr>
            <w:tcW w:w="200" w:type="dxa"/>
            <w:vAlign w:val="bottom"/>
            <w:shd w:val="clear" w:color="auto" w:fill="DBDBDB"/>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887,662</w:t>
            </w:r>
          </w:p>
        </w:tc>
        <w:tc>
          <w:tcPr>
            <w:tcW w:w="1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DBDBDB"/>
          </w:tcPr>
          <w:p>
            <w:pPr>
              <w:jc w:val="right"/>
              <w:ind w:right="48"/>
              <w:spacing w:after="0"/>
              <w:rPr>
                <w:sz w:val="20"/>
                <w:szCs w:val="20"/>
                <w:color w:val="auto"/>
              </w:rPr>
            </w:pPr>
            <w:r>
              <w:rPr>
                <w:rFonts w:ascii="Times New Roman" w:cs="Times New Roman" w:eastAsia="Times New Roman" w:hAnsi="Times New Roman"/>
                <w:sz w:val="14"/>
                <w:szCs w:val="14"/>
                <w:color w:val="auto"/>
              </w:rPr>
              <w:t>35,178</w:t>
            </w:r>
          </w:p>
        </w:tc>
        <w:tc>
          <w:tcPr>
            <w:tcW w:w="9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3.96 %</w:t>
            </w:r>
          </w:p>
        </w:tc>
        <w:tc>
          <w:tcPr>
            <w:tcW w:w="0" w:type="dxa"/>
            <w:vAlign w:val="bottom"/>
          </w:tcPr>
          <w:p>
            <w:pPr>
              <w:spacing w:after="0"/>
              <w:rPr>
                <w:sz w:val="1"/>
                <w:szCs w:val="1"/>
                <w:color w:val="auto"/>
              </w:rPr>
            </w:pPr>
          </w:p>
        </w:tc>
      </w:tr>
      <w:tr>
        <w:trPr>
          <w:trHeight w:val="203"/>
        </w:trPr>
        <w:tc>
          <w:tcPr>
            <w:tcW w:w="2460" w:type="dxa"/>
            <w:vAlign w:val="bottom"/>
          </w:tcPr>
          <w:p>
            <w:pPr>
              <w:spacing w:after="0" w:line="202" w:lineRule="exact"/>
              <w:rPr>
                <w:sz w:val="20"/>
                <w:szCs w:val="20"/>
                <w:color w:val="auto"/>
              </w:rPr>
            </w:pPr>
            <w:r>
              <w:rPr>
                <w:rFonts w:ascii="Times New Roman" w:cs="Times New Roman" w:eastAsia="Times New Roman" w:hAnsi="Times New Roman"/>
                <w:sz w:val="14"/>
                <w:szCs w:val="14"/>
                <w:color w:val="auto"/>
              </w:rPr>
              <w:t xml:space="preserve">Securities </w:t>
            </w:r>
            <w:r>
              <w:rPr>
                <w:rFonts w:ascii="Times New Roman" w:cs="Times New Roman" w:eastAsia="Times New Roman" w:hAnsi="Times New Roman"/>
                <w:sz w:val="18"/>
                <w:szCs w:val="18"/>
                <w:b w:val="1"/>
                <w:bCs w:val="1"/>
                <w:color w:val="auto"/>
                <w:vertAlign w:val="superscript"/>
              </w:rPr>
              <w:t>(4)</w:t>
            </w: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460" w:type="dxa"/>
            <w:vAlign w:val="bottom"/>
            <w:tcBorders>
              <w:bottom w:val="single" w:sz="8" w:color="DBDBDB"/>
            </w:tcBorders>
            <w:shd w:val="clear" w:color="auto" w:fill="DBDBDB"/>
          </w:tcPr>
          <w:p>
            <w:pPr>
              <w:ind w:left="120"/>
              <w:spacing w:after="0"/>
              <w:rPr>
                <w:sz w:val="20"/>
                <w:szCs w:val="20"/>
                <w:color w:val="auto"/>
              </w:rPr>
            </w:pPr>
            <w:r>
              <w:rPr>
                <w:rFonts w:ascii="Times New Roman" w:cs="Times New Roman" w:eastAsia="Times New Roman" w:hAnsi="Times New Roman"/>
                <w:sz w:val="14"/>
                <w:szCs w:val="14"/>
                <w:color w:val="auto"/>
              </w:rPr>
              <w:t>Taxable</w:t>
            </w:r>
          </w:p>
        </w:tc>
        <w:tc>
          <w:tcPr>
            <w:tcW w:w="160" w:type="dxa"/>
            <w:vAlign w:val="bottom"/>
            <w:tcBorders>
              <w:bottom w:val="single" w:sz="8" w:color="DBDBDB"/>
            </w:tcBorders>
            <w:shd w:val="clear" w:color="auto" w:fill="DBDBDB"/>
          </w:tcPr>
          <w:p>
            <w:pPr>
              <w:spacing w:after="0"/>
              <w:rPr>
                <w:sz w:val="17"/>
                <w:szCs w:val="17"/>
                <w:color w:val="auto"/>
              </w:rPr>
            </w:pPr>
          </w:p>
        </w:tc>
        <w:tc>
          <w:tcPr>
            <w:tcW w:w="820" w:type="dxa"/>
            <w:vAlign w:val="bottom"/>
            <w:tcBorders>
              <w:bottom w:val="single" w:sz="8" w:color="DBDBDB"/>
            </w:tcBorders>
            <w:shd w:val="clear" w:color="auto" w:fill="DBDBDB"/>
          </w:tcPr>
          <w:p>
            <w:pPr>
              <w:jc w:val="right"/>
              <w:ind w:right="48"/>
              <w:spacing w:after="0"/>
              <w:rPr>
                <w:sz w:val="20"/>
                <w:szCs w:val="20"/>
                <w:color w:val="auto"/>
              </w:rPr>
            </w:pPr>
            <w:r>
              <w:rPr>
                <w:rFonts w:ascii="Times New Roman" w:cs="Times New Roman" w:eastAsia="Times New Roman" w:hAnsi="Times New Roman"/>
                <w:sz w:val="14"/>
                <w:szCs w:val="14"/>
                <w:color w:val="auto"/>
              </w:rPr>
              <w:t>541,159</w:t>
            </w:r>
          </w:p>
        </w:tc>
        <w:tc>
          <w:tcPr>
            <w:tcW w:w="180" w:type="dxa"/>
            <w:vAlign w:val="bottom"/>
            <w:tcBorders>
              <w:bottom w:val="single" w:sz="8" w:color="DBDBDB"/>
            </w:tcBorders>
            <w:shd w:val="clear" w:color="auto" w:fill="DBDBDB"/>
          </w:tcPr>
          <w:p>
            <w:pPr>
              <w:spacing w:after="0"/>
              <w:rPr>
                <w:sz w:val="17"/>
                <w:szCs w:val="17"/>
                <w:color w:val="auto"/>
              </w:rPr>
            </w:pPr>
          </w:p>
        </w:tc>
        <w:tc>
          <w:tcPr>
            <w:tcW w:w="780" w:type="dxa"/>
            <w:vAlign w:val="bottom"/>
            <w:tcBorders>
              <w:bottom w:val="single" w:sz="8" w:color="DBDBDB"/>
            </w:tcBorders>
            <w:shd w:val="clear" w:color="auto" w:fill="DBDBDB"/>
          </w:tcPr>
          <w:p>
            <w:pPr>
              <w:jc w:val="right"/>
              <w:ind w:right="68"/>
              <w:spacing w:after="0"/>
              <w:rPr>
                <w:sz w:val="20"/>
                <w:szCs w:val="20"/>
                <w:color w:val="auto"/>
              </w:rPr>
            </w:pPr>
            <w:r>
              <w:rPr>
                <w:rFonts w:ascii="Times New Roman" w:cs="Times New Roman" w:eastAsia="Times New Roman" w:hAnsi="Times New Roman"/>
                <w:sz w:val="14"/>
                <w:szCs w:val="14"/>
                <w:color w:val="auto"/>
              </w:rPr>
              <w:t>14,118</w:t>
            </w:r>
          </w:p>
        </w:tc>
        <w:tc>
          <w:tcPr>
            <w:tcW w:w="1000" w:type="dxa"/>
            <w:vAlign w:val="bottom"/>
            <w:tcBorders>
              <w:bottom w:val="single" w:sz="8" w:color="DBDBDB"/>
            </w:tcBorders>
            <w:shd w:val="clear" w:color="auto" w:fill="DBDBDB"/>
          </w:tcPr>
          <w:p>
            <w:pPr>
              <w:ind w:left="520"/>
              <w:spacing w:after="0"/>
              <w:rPr>
                <w:sz w:val="20"/>
                <w:szCs w:val="20"/>
                <w:color w:val="auto"/>
              </w:rPr>
            </w:pPr>
            <w:r>
              <w:rPr>
                <w:rFonts w:ascii="Times New Roman" w:cs="Times New Roman" w:eastAsia="Times New Roman" w:hAnsi="Times New Roman"/>
                <w:sz w:val="14"/>
                <w:szCs w:val="14"/>
                <w:color w:val="auto"/>
              </w:rPr>
              <w:t>2.61</w:t>
            </w:r>
          </w:p>
        </w:tc>
        <w:tc>
          <w:tcPr>
            <w:tcW w:w="200" w:type="dxa"/>
            <w:vAlign w:val="bottom"/>
            <w:tcBorders>
              <w:bottom w:val="single" w:sz="8" w:color="DBDBDB"/>
            </w:tcBorders>
            <w:shd w:val="clear" w:color="auto" w:fill="DBDBDB"/>
          </w:tcPr>
          <w:p>
            <w:pPr>
              <w:spacing w:after="0"/>
              <w:rPr>
                <w:sz w:val="17"/>
                <w:szCs w:val="17"/>
                <w:color w:val="auto"/>
              </w:rPr>
            </w:pPr>
          </w:p>
        </w:tc>
        <w:tc>
          <w:tcPr>
            <w:tcW w:w="820" w:type="dxa"/>
            <w:vAlign w:val="bottom"/>
            <w:tcBorders>
              <w:bottom w:val="single" w:sz="8" w:color="DBDBDB"/>
            </w:tcBorders>
            <w:shd w:val="clear" w:color="auto" w:fill="DBDBDB"/>
          </w:tcPr>
          <w:p>
            <w:pPr>
              <w:jc w:val="right"/>
              <w:ind w:right="28"/>
              <w:spacing w:after="0"/>
              <w:rPr>
                <w:sz w:val="20"/>
                <w:szCs w:val="20"/>
                <w:color w:val="auto"/>
              </w:rPr>
            </w:pPr>
            <w:r>
              <w:rPr>
                <w:rFonts w:ascii="Times New Roman" w:cs="Times New Roman" w:eastAsia="Times New Roman" w:hAnsi="Times New Roman"/>
                <w:sz w:val="14"/>
                <w:szCs w:val="14"/>
                <w:color w:val="auto"/>
              </w:rPr>
              <w:t>509,537</w:t>
            </w:r>
          </w:p>
        </w:tc>
        <w:tc>
          <w:tcPr>
            <w:tcW w:w="160" w:type="dxa"/>
            <w:vAlign w:val="bottom"/>
            <w:tcBorders>
              <w:bottom w:val="single" w:sz="8" w:color="DBDBDB"/>
            </w:tcBorders>
            <w:shd w:val="clear" w:color="auto" w:fill="DBDBDB"/>
          </w:tcPr>
          <w:p>
            <w:pPr>
              <w:spacing w:after="0"/>
              <w:rPr>
                <w:sz w:val="17"/>
                <w:szCs w:val="17"/>
                <w:color w:val="auto"/>
              </w:rPr>
            </w:pPr>
          </w:p>
        </w:tc>
        <w:tc>
          <w:tcPr>
            <w:tcW w:w="760" w:type="dxa"/>
            <w:vAlign w:val="bottom"/>
            <w:tcBorders>
              <w:bottom w:val="single" w:sz="8" w:color="DBDBDB"/>
            </w:tcBorders>
            <w:shd w:val="clear" w:color="auto" w:fill="DBDBDB"/>
          </w:tcPr>
          <w:p>
            <w:pPr>
              <w:jc w:val="right"/>
              <w:ind w:right="68"/>
              <w:spacing w:after="0"/>
              <w:rPr>
                <w:sz w:val="20"/>
                <w:szCs w:val="20"/>
                <w:color w:val="auto"/>
              </w:rPr>
            </w:pPr>
            <w:r>
              <w:rPr>
                <w:rFonts w:ascii="Times New Roman" w:cs="Times New Roman" w:eastAsia="Times New Roman" w:hAnsi="Times New Roman"/>
                <w:sz w:val="14"/>
                <w:szCs w:val="14"/>
                <w:color w:val="auto"/>
              </w:rPr>
              <w:t>10,083</w:t>
            </w:r>
          </w:p>
        </w:tc>
        <w:tc>
          <w:tcPr>
            <w:tcW w:w="1020" w:type="dxa"/>
            <w:vAlign w:val="bottom"/>
            <w:tcBorders>
              <w:bottom w:val="single" w:sz="8" w:color="DBDBDB"/>
            </w:tcBorders>
            <w:shd w:val="clear" w:color="auto" w:fill="DBDBDB"/>
          </w:tcPr>
          <w:p>
            <w:pPr>
              <w:jc w:val="right"/>
              <w:ind w:right="168"/>
              <w:spacing w:after="0"/>
              <w:rPr>
                <w:sz w:val="20"/>
                <w:szCs w:val="20"/>
                <w:color w:val="auto"/>
              </w:rPr>
            </w:pPr>
            <w:r>
              <w:rPr>
                <w:rFonts w:ascii="Times New Roman" w:cs="Times New Roman" w:eastAsia="Times New Roman" w:hAnsi="Times New Roman"/>
                <w:sz w:val="14"/>
                <w:szCs w:val="14"/>
                <w:color w:val="auto"/>
              </w:rPr>
              <w:t>1.98</w:t>
            </w:r>
          </w:p>
        </w:tc>
        <w:tc>
          <w:tcPr>
            <w:tcW w:w="200" w:type="dxa"/>
            <w:vAlign w:val="bottom"/>
            <w:tcBorders>
              <w:bottom w:val="single" w:sz="8" w:color="DBDBDB"/>
            </w:tcBorders>
            <w:shd w:val="clear" w:color="auto" w:fill="DBDBDB"/>
          </w:tcPr>
          <w:p>
            <w:pPr>
              <w:spacing w:after="0"/>
              <w:rPr>
                <w:sz w:val="17"/>
                <w:szCs w:val="17"/>
                <w:color w:val="auto"/>
              </w:rPr>
            </w:pPr>
          </w:p>
        </w:tc>
        <w:tc>
          <w:tcPr>
            <w:tcW w:w="78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192,885</w:t>
            </w:r>
          </w:p>
        </w:tc>
        <w:tc>
          <w:tcPr>
            <w:tcW w:w="140" w:type="dxa"/>
            <w:vAlign w:val="bottom"/>
            <w:tcBorders>
              <w:bottom w:val="single" w:sz="8" w:color="DBDBDB"/>
            </w:tcBorders>
            <w:shd w:val="clear" w:color="auto" w:fill="DBDBDB"/>
          </w:tcPr>
          <w:p>
            <w:pPr>
              <w:spacing w:after="0"/>
              <w:rPr>
                <w:sz w:val="17"/>
                <w:szCs w:val="17"/>
                <w:color w:val="auto"/>
              </w:rPr>
            </w:pPr>
          </w:p>
        </w:tc>
        <w:tc>
          <w:tcPr>
            <w:tcW w:w="780" w:type="dxa"/>
            <w:vAlign w:val="bottom"/>
            <w:tcBorders>
              <w:bottom w:val="single" w:sz="8" w:color="DBDBDB"/>
            </w:tcBorders>
            <w:shd w:val="clear" w:color="auto" w:fill="DBDBDB"/>
          </w:tcPr>
          <w:p>
            <w:pPr>
              <w:jc w:val="right"/>
              <w:ind w:right="48"/>
              <w:spacing w:after="0"/>
              <w:rPr>
                <w:sz w:val="20"/>
                <w:szCs w:val="20"/>
                <w:color w:val="auto"/>
              </w:rPr>
            </w:pPr>
            <w:r>
              <w:rPr>
                <w:rFonts w:ascii="Times New Roman" w:cs="Times New Roman" w:eastAsia="Times New Roman" w:hAnsi="Times New Roman"/>
                <w:sz w:val="14"/>
                <w:szCs w:val="14"/>
                <w:color w:val="auto"/>
              </w:rPr>
              <w:t>2,547</w:t>
            </w:r>
          </w:p>
        </w:tc>
        <w:tc>
          <w:tcPr>
            <w:tcW w:w="920" w:type="dxa"/>
            <w:vAlign w:val="bottom"/>
            <w:tcBorders>
              <w:bottom w:val="single" w:sz="8" w:color="DBDBDB"/>
            </w:tcBorders>
            <w:shd w:val="clear" w:color="auto" w:fill="DBDBDB"/>
          </w:tcPr>
          <w:p>
            <w:pPr>
              <w:jc w:val="right"/>
              <w:ind w:right="108"/>
              <w:spacing w:after="0"/>
              <w:rPr>
                <w:sz w:val="20"/>
                <w:szCs w:val="20"/>
                <w:color w:val="auto"/>
              </w:rPr>
            </w:pPr>
            <w:r>
              <w:rPr>
                <w:rFonts w:ascii="Times New Roman" w:cs="Times New Roman" w:eastAsia="Times New Roman" w:hAnsi="Times New Roman"/>
                <w:sz w:val="14"/>
                <w:szCs w:val="14"/>
                <w:color w:val="auto"/>
              </w:rPr>
              <w:t>1.32</w:t>
            </w:r>
          </w:p>
        </w:tc>
        <w:tc>
          <w:tcPr>
            <w:tcW w:w="0" w:type="dxa"/>
            <w:vAlign w:val="bottom"/>
          </w:tcPr>
          <w:p>
            <w:pPr>
              <w:spacing w:after="0"/>
              <w:rPr>
                <w:sz w:val="1"/>
                <w:szCs w:val="1"/>
                <w:color w:val="auto"/>
              </w:rPr>
            </w:pPr>
          </w:p>
        </w:tc>
      </w:tr>
      <w:tr>
        <w:trPr>
          <w:trHeight w:val="216"/>
        </w:trPr>
        <w:tc>
          <w:tcPr>
            <w:tcW w:w="24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 xml:space="preserve">Tax-exempt </w:t>
            </w:r>
            <w:r>
              <w:rPr>
                <w:rFonts w:ascii="Times New Roman" w:cs="Times New Roman" w:eastAsia="Times New Roman" w:hAnsi="Times New Roman"/>
                <w:sz w:val="18"/>
                <w:szCs w:val="18"/>
                <w:b w:val="1"/>
                <w:bCs w:val="1"/>
                <w:color w:val="auto"/>
                <w:vertAlign w:val="superscript"/>
              </w:rPr>
              <w:t>(3)</w:t>
            </w:r>
          </w:p>
        </w:tc>
        <w:tc>
          <w:tcPr>
            <w:tcW w:w="160" w:type="dxa"/>
            <w:vAlign w:val="bottom"/>
          </w:tcPr>
          <w:p>
            <w:pPr>
              <w:spacing w:after="0"/>
              <w:rPr>
                <w:sz w:val="18"/>
                <w:szCs w:val="18"/>
                <w:color w:val="auto"/>
              </w:rPr>
            </w:pPr>
          </w:p>
        </w:tc>
        <w:tc>
          <w:tcPr>
            <w:tcW w:w="8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192,881</w:t>
            </w:r>
          </w:p>
        </w:tc>
        <w:tc>
          <w:tcPr>
            <w:tcW w:w="180" w:type="dxa"/>
            <w:vAlign w:val="bottom"/>
          </w:tcPr>
          <w:p>
            <w:pPr>
              <w:spacing w:after="0"/>
              <w:rPr>
                <w:sz w:val="18"/>
                <w:szCs w:val="18"/>
                <w:color w:val="auto"/>
              </w:rPr>
            </w:pPr>
          </w:p>
        </w:tc>
        <w:tc>
          <w:tcPr>
            <w:tcW w:w="7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5,186</w:t>
            </w:r>
          </w:p>
        </w:tc>
        <w:tc>
          <w:tcPr>
            <w:tcW w:w="100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2.69</w:t>
            </w:r>
          </w:p>
        </w:tc>
        <w:tc>
          <w:tcPr>
            <w:tcW w:w="200" w:type="dxa"/>
            <w:vAlign w:val="bottom"/>
          </w:tcPr>
          <w:p>
            <w:pPr>
              <w:spacing w:after="0"/>
              <w:rPr>
                <w:sz w:val="18"/>
                <w:szCs w:val="18"/>
                <w:color w:val="auto"/>
              </w:rPr>
            </w:pPr>
          </w:p>
        </w:tc>
        <w:tc>
          <w:tcPr>
            <w:tcW w:w="8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279,247</w:t>
            </w:r>
          </w:p>
        </w:tc>
        <w:tc>
          <w:tcPr>
            <w:tcW w:w="160" w:type="dxa"/>
            <w:vAlign w:val="bottom"/>
          </w:tcPr>
          <w:p>
            <w:pPr>
              <w:spacing w:after="0"/>
              <w:rPr>
                <w:sz w:val="18"/>
                <w:szCs w:val="18"/>
                <w:color w:val="auto"/>
              </w:rPr>
            </w:pPr>
          </w:p>
        </w:tc>
        <w:tc>
          <w:tcPr>
            <w:tcW w:w="7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8,043</w:t>
            </w:r>
          </w:p>
        </w:tc>
        <w:tc>
          <w:tcPr>
            <w:tcW w:w="10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2.88</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304,672</w:t>
            </w:r>
          </w:p>
        </w:tc>
        <w:tc>
          <w:tcPr>
            <w:tcW w:w="140" w:type="dxa"/>
            <w:vAlign w:val="bottom"/>
          </w:tcPr>
          <w:p>
            <w:pPr>
              <w:spacing w:after="0"/>
              <w:rPr>
                <w:sz w:val="18"/>
                <w:szCs w:val="18"/>
                <w:color w:val="auto"/>
              </w:rPr>
            </w:pPr>
          </w:p>
        </w:tc>
        <w:tc>
          <w:tcPr>
            <w:tcW w:w="7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8,919</w:t>
            </w:r>
          </w:p>
        </w:tc>
        <w:tc>
          <w:tcPr>
            <w:tcW w:w="9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2.93</w:t>
            </w:r>
          </w:p>
        </w:tc>
        <w:tc>
          <w:tcPr>
            <w:tcW w:w="0" w:type="dxa"/>
            <w:vAlign w:val="bottom"/>
          </w:tcPr>
          <w:p>
            <w:pPr>
              <w:spacing w:after="0"/>
              <w:rPr>
                <w:sz w:val="1"/>
                <w:szCs w:val="1"/>
                <w:color w:val="auto"/>
              </w:rPr>
            </w:pPr>
          </w:p>
        </w:tc>
      </w:tr>
      <w:tr>
        <w:trPr>
          <w:trHeight w:val="221"/>
        </w:trPr>
        <w:tc>
          <w:tcPr>
            <w:tcW w:w="2460" w:type="dxa"/>
            <w:vAlign w:val="bottom"/>
            <w:tcBorders>
              <w:bottom w:val="single" w:sz="8" w:color="DBDBDB"/>
            </w:tcBorders>
            <w:shd w:val="clear" w:color="auto" w:fill="DBDBDB"/>
          </w:tcPr>
          <w:p>
            <w:pPr>
              <w:spacing w:after="0"/>
              <w:rPr>
                <w:sz w:val="20"/>
                <w:szCs w:val="20"/>
                <w:color w:val="auto"/>
              </w:rPr>
            </w:pPr>
            <w:r>
              <w:rPr>
                <w:rFonts w:ascii="Times New Roman" w:cs="Times New Roman" w:eastAsia="Times New Roman" w:hAnsi="Times New Roman"/>
                <w:sz w:val="14"/>
                <w:szCs w:val="14"/>
                <w:color w:val="auto"/>
              </w:rPr>
              <w:t>Short-term investments</w:t>
            </w:r>
          </w:p>
        </w:tc>
        <w:tc>
          <w:tcPr>
            <w:tcW w:w="160" w:type="dxa"/>
            <w:vAlign w:val="bottom"/>
            <w:tcBorders>
              <w:bottom w:val="single" w:sz="8" w:color="DBDBDB"/>
            </w:tcBorders>
            <w:shd w:val="clear" w:color="auto" w:fill="DBDBDB"/>
          </w:tcPr>
          <w:p>
            <w:pPr>
              <w:spacing w:after="0"/>
              <w:rPr>
                <w:sz w:val="18"/>
                <w:szCs w:val="18"/>
                <w:color w:val="auto"/>
              </w:rPr>
            </w:pPr>
          </w:p>
        </w:tc>
        <w:tc>
          <w:tcPr>
            <w:tcW w:w="820" w:type="dxa"/>
            <w:vAlign w:val="bottom"/>
            <w:tcBorders>
              <w:bottom w:val="single" w:sz="8" w:color="DBDBDB"/>
            </w:tcBorders>
            <w:shd w:val="clear" w:color="auto" w:fill="DBDBDB"/>
          </w:tcPr>
          <w:p>
            <w:pPr>
              <w:jc w:val="right"/>
              <w:ind w:right="48"/>
              <w:spacing w:after="0"/>
              <w:rPr>
                <w:sz w:val="20"/>
                <w:szCs w:val="20"/>
                <w:color w:val="auto"/>
              </w:rPr>
            </w:pPr>
            <w:r>
              <w:rPr>
                <w:rFonts w:ascii="Times New Roman" w:cs="Times New Roman" w:eastAsia="Times New Roman" w:hAnsi="Times New Roman"/>
                <w:sz w:val="14"/>
                <w:szCs w:val="14"/>
                <w:color w:val="auto"/>
              </w:rPr>
              <w:t>287,243</w:t>
            </w:r>
          </w:p>
        </w:tc>
        <w:tc>
          <w:tcPr>
            <w:tcW w:w="180" w:type="dxa"/>
            <w:vAlign w:val="bottom"/>
            <w:tcBorders>
              <w:bottom w:val="single" w:sz="8" w:color="DBDBDB"/>
            </w:tcBorders>
            <w:shd w:val="clear" w:color="auto" w:fill="DBDBDB"/>
          </w:tcPr>
          <w:p>
            <w:pPr>
              <w:spacing w:after="0"/>
              <w:rPr>
                <w:sz w:val="18"/>
                <w:szCs w:val="18"/>
                <w:color w:val="auto"/>
              </w:rPr>
            </w:pPr>
          </w:p>
        </w:tc>
        <w:tc>
          <w:tcPr>
            <w:tcW w:w="780" w:type="dxa"/>
            <w:vAlign w:val="bottom"/>
            <w:tcBorders>
              <w:bottom w:val="single" w:sz="8" w:color="DBDBDB"/>
            </w:tcBorders>
            <w:shd w:val="clear" w:color="auto" w:fill="DBDBDB"/>
          </w:tcPr>
          <w:p>
            <w:pPr>
              <w:jc w:val="right"/>
              <w:ind w:right="68"/>
              <w:spacing w:after="0"/>
              <w:rPr>
                <w:sz w:val="20"/>
                <w:szCs w:val="20"/>
                <w:color w:val="auto"/>
              </w:rPr>
            </w:pPr>
            <w:r>
              <w:rPr>
                <w:rFonts w:ascii="Times New Roman" w:cs="Times New Roman" w:eastAsia="Times New Roman" w:hAnsi="Times New Roman"/>
                <w:sz w:val="14"/>
                <w:szCs w:val="14"/>
                <w:color w:val="auto"/>
              </w:rPr>
              <w:t>13,720</w:t>
            </w:r>
          </w:p>
        </w:tc>
        <w:tc>
          <w:tcPr>
            <w:tcW w:w="1000" w:type="dxa"/>
            <w:vAlign w:val="bottom"/>
            <w:tcBorders>
              <w:bottom w:val="single" w:sz="8" w:color="DBDBDB"/>
            </w:tcBorders>
            <w:shd w:val="clear" w:color="auto" w:fill="DBDBDB"/>
          </w:tcPr>
          <w:p>
            <w:pPr>
              <w:ind w:left="520"/>
              <w:spacing w:after="0"/>
              <w:rPr>
                <w:sz w:val="20"/>
                <w:szCs w:val="20"/>
                <w:color w:val="auto"/>
              </w:rPr>
            </w:pPr>
            <w:r>
              <w:rPr>
                <w:rFonts w:ascii="Times New Roman" w:cs="Times New Roman" w:eastAsia="Times New Roman" w:hAnsi="Times New Roman"/>
                <w:sz w:val="14"/>
                <w:szCs w:val="14"/>
                <w:color w:val="auto"/>
              </w:rPr>
              <w:t>4.78</w:t>
            </w:r>
          </w:p>
        </w:tc>
        <w:tc>
          <w:tcPr>
            <w:tcW w:w="200" w:type="dxa"/>
            <w:vAlign w:val="bottom"/>
            <w:tcBorders>
              <w:bottom w:val="single" w:sz="8" w:color="DBDBDB"/>
            </w:tcBorders>
            <w:shd w:val="clear" w:color="auto" w:fill="DBDBDB"/>
          </w:tcPr>
          <w:p>
            <w:pPr>
              <w:spacing w:after="0"/>
              <w:rPr>
                <w:sz w:val="18"/>
                <w:szCs w:val="18"/>
                <w:color w:val="auto"/>
              </w:rPr>
            </w:pPr>
          </w:p>
        </w:tc>
        <w:tc>
          <w:tcPr>
            <w:tcW w:w="820" w:type="dxa"/>
            <w:vAlign w:val="bottom"/>
            <w:tcBorders>
              <w:bottom w:val="single" w:sz="8" w:color="DBDBDB"/>
            </w:tcBorders>
            <w:shd w:val="clear" w:color="auto" w:fill="DBDBDB"/>
          </w:tcPr>
          <w:p>
            <w:pPr>
              <w:jc w:val="right"/>
              <w:ind w:right="28"/>
              <w:spacing w:after="0"/>
              <w:rPr>
                <w:sz w:val="20"/>
                <w:szCs w:val="20"/>
                <w:color w:val="auto"/>
              </w:rPr>
            </w:pPr>
            <w:r>
              <w:rPr>
                <w:rFonts w:ascii="Times New Roman" w:cs="Times New Roman" w:eastAsia="Times New Roman" w:hAnsi="Times New Roman"/>
                <w:sz w:val="14"/>
                <w:szCs w:val="14"/>
                <w:color w:val="auto"/>
              </w:rPr>
              <w:t>425,004</w:t>
            </w:r>
          </w:p>
        </w:tc>
        <w:tc>
          <w:tcPr>
            <w:tcW w:w="160" w:type="dxa"/>
            <w:vAlign w:val="bottom"/>
            <w:tcBorders>
              <w:bottom w:val="single" w:sz="8" w:color="DBDBDB"/>
            </w:tcBorders>
            <w:shd w:val="clear" w:color="auto" w:fill="DBDBDB"/>
          </w:tcPr>
          <w:p>
            <w:pPr>
              <w:spacing w:after="0"/>
              <w:rPr>
                <w:sz w:val="18"/>
                <w:szCs w:val="18"/>
                <w:color w:val="auto"/>
              </w:rPr>
            </w:pPr>
          </w:p>
        </w:tc>
        <w:tc>
          <w:tcPr>
            <w:tcW w:w="760" w:type="dxa"/>
            <w:vAlign w:val="bottom"/>
            <w:tcBorders>
              <w:bottom w:val="single" w:sz="8" w:color="DBDBDB"/>
            </w:tcBorders>
            <w:shd w:val="clear" w:color="auto" w:fill="DBDBDB"/>
          </w:tcPr>
          <w:p>
            <w:pPr>
              <w:jc w:val="right"/>
              <w:ind w:right="68"/>
              <w:spacing w:after="0"/>
              <w:rPr>
                <w:sz w:val="20"/>
                <w:szCs w:val="20"/>
                <w:color w:val="auto"/>
              </w:rPr>
            </w:pPr>
            <w:r>
              <w:rPr>
                <w:rFonts w:ascii="Times New Roman" w:cs="Times New Roman" w:eastAsia="Times New Roman" w:hAnsi="Times New Roman"/>
                <w:sz w:val="14"/>
                <w:szCs w:val="14"/>
                <w:color w:val="auto"/>
              </w:rPr>
              <w:t>6,429</w:t>
            </w:r>
          </w:p>
        </w:tc>
        <w:tc>
          <w:tcPr>
            <w:tcW w:w="1020" w:type="dxa"/>
            <w:vAlign w:val="bottom"/>
            <w:tcBorders>
              <w:bottom w:val="single" w:sz="8" w:color="DBDBDB"/>
            </w:tcBorders>
            <w:shd w:val="clear" w:color="auto" w:fill="DBDBDB"/>
          </w:tcPr>
          <w:p>
            <w:pPr>
              <w:jc w:val="right"/>
              <w:ind w:right="168"/>
              <w:spacing w:after="0"/>
              <w:rPr>
                <w:sz w:val="20"/>
                <w:szCs w:val="20"/>
                <w:color w:val="auto"/>
              </w:rPr>
            </w:pPr>
            <w:r>
              <w:rPr>
                <w:rFonts w:ascii="Times New Roman" w:cs="Times New Roman" w:eastAsia="Times New Roman" w:hAnsi="Times New Roman"/>
                <w:sz w:val="14"/>
                <w:szCs w:val="14"/>
                <w:color w:val="auto"/>
              </w:rPr>
              <w:t>1.51</w:t>
            </w:r>
          </w:p>
        </w:tc>
        <w:tc>
          <w:tcPr>
            <w:tcW w:w="200" w:type="dxa"/>
            <w:vAlign w:val="bottom"/>
            <w:tcBorders>
              <w:bottom w:val="single" w:sz="8" w:color="DBDBDB"/>
            </w:tcBorders>
            <w:shd w:val="clear" w:color="auto" w:fill="DBDBDB"/>
          </w:tcPr>
          <w:p>
            <w:pPr>
              <w:spacing w:after="0"/>
              <w:rPr>
                <w:sz w:val="18"/>
                <w:szCs w:val="18"/>
                <w:color w:val="auto"/>
              </w:rPr>
            </w:pPr>
          </w:p>
        </w:tc>
        <w:tc>
          <w:tcPr>
            <w:tcW w:w="78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614,390</w:t>
            </w:r>
          </w:p>
        </w:tc>
        <w:tc>
          <w:tcPr>
            <w:tcW w:w="140" w:type="dxa"/>
            <w:vAlign w:val="bottom"/>
            <w:tcBorders>
              <w:bottom w:val="single" w:sz="8" w:color="DBDBDB"/>
            </w:tcBorders>
            <w:shd w:val="clear" w:color="auto" w:fill="DBDBDB"/>
          </w:tcPr>
          <w:p>
            <w:pPr>
              <w:spacing w:after="0"/>
              <w:rPr>
                <w:sz w:val="18"/>
                <w:szCs w:val="18"/>
                <w:color w:val="auto"/>
              </w:rPr>
            </w:pPr>
          </w:p>
        </w:tc>
        <w:tc>
          <w:tcPr>
            <w:tcW w:w="780" w:type="dxa"/>
            <w:vAlign w:val="bottom"/>
            <w:tcBorders>
              <w:bottom w:val="single" w:sz="8" w:color="DBDBDB"/>
            </w:tcBorders>
            <w:shd w:val="clear" w:color="auto" w:fill="DBDBDB"/>
          </w:tcPr>
          <w:p>
            <w:pPr>
              <w:jc w:val="right"/>
              <w:ind w:right="48"/>
              <w:spacing w:after="0"/>
              <w:rPr>
                <w:sz w:val="20"/>
                <w:szCs w:val="20"/>
                <w:color w:val="auto"/>
              </w:rPr>
            </w:pPr>
            <w:r>
              <w:rPr>
                <w:rFonts w:ascii="Times New Roman" w:cs="Times New Roman" w:eastAsia="Times New Roman" w:hAnsi="Times New Roman"/>
                <w:sz w:val="14"/>
                <w:szCs w:val="14"/>
                <w:color w:val="auto"/>
              </w:rPr>
              <w:t>726</w:t>
            </w:r>
          </w:p>
        </w:tc>
        <w:tc>
          <w:tcPr>
            <w:tcW w:w="920" w:type="dxa"/>
            <w:vAlign w:val="bottom"/>
            <w:tcBorders>
              <w:bottom w:val="single" w:sz="8" w:color="DBDBDB"/>
            </w:tcBorders>
            <w:shd w:val="clear" w:color="auto" w:fill="DBDBDB"/>
          </w:tcPr>
          <w:p>
            <w:pPr>
              <w:jc w:val="right"/>
              <w:ind w:right="108"/>
              <w:spacing w:after="0"/>
              <w:rPr>
                <w:sz w:val="20"/>
                <w:szCs w:val="20"/>
                <w:color w:val="auto"/>
              </w:rPr>
            </w:pPr>
            <w:r>
              <w:rPr>
                <w:rFonts w:ascii="Times New Roman" w:cs="Times New Roman" w:eastAsia="Times New Roman" w:hAnsi="Times New Roman"/>
                <w:sz w:val="14"/>
                <w:szCs w:val="14"/>
                <w:color w:val="auto"/>
              </w:rPr>
              <w:t>0.12</w:t>
            </w:r>
          </w:p>
        </w:tc>
        <w:tc>
          <w:tcPr>
            <w:tcW w:w="0" w:type="dxa"/>
            <w:vAlign w:val="bottom"/>
          </w:tcPr>
          <w:p>
            <w:pPr>
              <w:spacing w:after="0"/>
              <w:rPr>
                <w:sz w:val="1"/>
                <w:szCs w:val="1"/>
                <w:color w:val="auto"/>
              </w:rPr>
            </w:pPr>
          </w:p>
        </w:tc>
      </w:tr>
      <w:tr>
        <w:trPr>
          <w:trHeight w:val="186"/>
        </w:trPr>
        <w:tc>
          <w:tcPr>
            <w:tcW w:w="24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Total interest-earning assets</w:t>
            </w:r>
          </w:p>
        </w:tc>
        <w:tc>
          <w:tcPr>
            <w:tcW w:w="16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2,076,951</w:t>
            </w:r>
          </w:p>
        </w:tc>
        <w:tc>
          <w:tcPr>
            <w:tcW w:w="18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83,849</w:t>
            </w:r>
          </w:p>
        </w:tc>
        <w:tc>
          <w:tcPr>
            <w:tcW w:w="1000" w:type="dxa"/>
            <w:vAlign w:val="bottom"/>
            <w:tcBorders>
              <w:top w:val="single" w:sz="8" w:color="auto"/>
            </w:tcBorders>
          </w:tcPr>
          <w:p>
            <w:pPr>
              <w:ind w:left="520"/>
              <w:spacing w:after="0"/>
              <w:rPr>
                <w:sz w:val="20"/>
                <w:szCs w:val="20"/>
                <w:color w:val="auto"/>
              </w:rPr>
            </w:pPr>
            <w:r>
              <w:rPr>
                <w:rFonts w:ascii="Times New Roman" w:cs="Times New Roman" w:eastAsia="Times New Roman" w:hAnsi="Times New Roman"/>
                <w:sz w:val="14"/>
                <w:szCs w:val="14"/>
                <w:color w:val="auto"/>
              </w:rPr>
              <w:t>4.04 %</w:t>
            </w:r>
          </w:p>
        </w:tc>
        <w:tc>
          <w:tcPr>
            <w:tcW w:w="20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2,205,792</w:t>
            </w:r>
          </w:p>
        </w:tc>
        <w:tc>
          <w:tcPr>
            <w:tcW w:w="16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64,015</w:t>
            </w:r>
          </w:p>
        </w:tc>
        <w:tc>
          <w:tcPr>
            <w:tcW w:w="102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2.90 %</w:t>
            </w:r>
          </w:p>
        </w:tc>
        <w:tc>
          <w:tcPr>
            <w:tcW w:w="20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1,999,609</w:t>
            </w:r>
          </w:p>
        </w:tc>
        <w:tc>
          <w:tcPr>
            <w:tcW w:w="14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47,370</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2.37 %</w:t>
            </w:r>
          </w:p>
        </w:tc>
        <w:tc>
          <w:tcPr>
            <w:tcW w:w="0" w:type="dxa"/>
            <w:vAlign w:val="bottom"/>
          </w:tcPr>
          <w:p>
            <w:pPr>
              <w:spacing w:after="0"/>
              <w:rPr>
                <w:sz w:val="1"/>
                <w:szCs w:val="1"/>
                <w:color w:val="auto"/>
              </w:rPr>
            </w:pPr>
          </w:p>
        </w:tc>
      </w:tr>
      <w:tr>
        <w:trPr>
          <w:trHeight w:val="23"/>
        </w:trPr>
        <w:tc>
          <w:tcPr>
            <w:tcW w:w="2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460" w:type="dxa"/>
            <w:vAlign w:val="bottom"/>
            <w:shd w:val="clear" w:color="auto" w:fill="DBDBDB"/>
          </w:tcPr>
          <w:p>
            <w:pPr>
              <w:spacing w:after="0"/>
              <w:rPr>
                <w:sz w:val="20"/>
                <w:szCs w:val="20"/>
                <w:color w:val="auto"/>
              </w:rPr>
            </w:pPr>
            <w:r>
              <w:rPr>
                <w:rFonts w:ascii="Times New Roman" w:cs="Times New Roman" w:eastAsia="Times New Roman" w:hAnsi="Times New Roman"/>
                <w:sz w:val="14"/>
                <w:szCs w:val="14"/>
                <w:color w:val="auto"/>
              </w:rPr>
              <w:t>Non-interest-earning assets</w:t>
            </w:r>
          </w:p>
        </w:tc>
        <w:tc>
          <w:tcPr>
            <w:tcW w:w="160" w:type="dxa"/>
            <w:vAlign w:val="bottom"/>
            <w:shd w:val="clear" w:color="auto" w:fill="DBDBDB"/>
          </w:tcPr>
          <w:p>
            <w:pPr>
              <w:spacing w:after="0"/>
              <w:rPr>
                <w:sz w:val="17"/>
                <w:szCs w:val="17"/>
                <w:color w:val="auto"/>
              </w:rPr>
            </w:pPr>
          </w:p>
        </w:tc>
        <w:tc>
          <w:tcPr>
            <w:tcW w:w="820" w:type="dxa"/>
            <w:vAlign w:val="bottom"/>
            <w:shd w:val="clear" w:color="auto" w:fill="DBDBDB"/>
          </w:tcPr>
          <w:p>
            <w:pPr>
              <w:spacing w:after="0"/>
              <w:rPr>
                <w:sz w:val="17"/>
                <w:szCs w:val="17"/>
                <w:color w:val="auto"/>
              </w:rPr>
            </w:pPr>
          </w:p>
        </w:tc>
        <w:tc>
          <w:tcPr>
            <w:tcW w:w="180" w:type="dxa"/>
            <w:vAlign w:val="bottom"/>
            <w:shd w:val="clear" w:color="auto" w:fill="DBDBDB"/>
          </w:tcPr>
          <w:p>
            <w:pPr>
              <w:spacing w:after="0"/>
              <w:rPr>
                <w:sz w:val="17"/>
                <w:szCs w:val="17"/>
                <w:color w:val="auto"/>
              </w:rPr>
            </w:pPr>
          </w:p>
        </w:tc>
        <w:tc>
          <w:tcPr>
            <w:tcW w:w="780" w:type="dxa"/>
            <w:vAlign w:val="bottom"/>
            <w:shd w:val="clear" w:color="auto" w:fill="DBDBDB"/>
          </w:tcPr>
          <w:p>
            <w:pPr>
              <w:spacing w:after="0"/>
              <w:rPr>
                <w:sz w:val="17"/>
                <w:szCs w:val="17"/>
                <w:color w:val="auto"/>
              </w:rPr>
            </w:pPr>
          </w:p>
        </w:tc>
        <w:tc>
          <w:tcPr>
            <w:tcW w:w="1000" w:type="dxa"/>
            <w:vAlign w:val="bottom"/>
            <w:shd w:val="clear" w:color="auto" w:fill="DBDBDB"/>
          </w:tcPr>
          <w:p>
            <w:pPr>
              <w:spacing w:after="0"/>
              <w:rPr>
                <w:sz w:val="17"/>
                <w:szCs w:val="17"/>
                <w:color w:val="auto"/>
              </w:rPr>
            </w:pPr>
          </w:p>
        </w:tc>
        <w:tc>
          <w:tcPr>
            <w:tcW w:w="200" w:type="dxa"/>
            <w:vAlign w:val="bottom"/>
            <w:shd w:val="clear" w:color="auto" w:fill="DBDBDB"/>
          </w:tcPr>
          <w:p>
            <w:pPr>
              <w:spacing w:after="0"/>
              <w:rPr>
                <w:sz w:val="17"/>
                <w:szCs w:val="17"/>
                <w:color w:val="auto"/>
              </w:rPr>
            </w:pPr>
          </w:p>
        </w:tc>
        <w:tc>
          <w:tcPr>
            <w:tcW w:w="820" w:type="dxa"/>
            <w:vAlign w:val="bottom"/>
            <w:shd w:val="clear" w:color="auto" w:fill="DBDBDB"/>
          </w:tcPr>
          <w:p>
            <w:pPr>
              <w:spacing w:after="0"/>
              <w:rPr>
                <w:sz w:val="17"/>
                <w:szCs w:val="17"/>
                <w:color w:val="auto"/>
              </w:rPr>
            </w:pPr>
          </w:p>
        </w:tc>
        <w:tc>
          <w:tcPr>
            <w:tcW w:w="160" w:type="dxa"/>
            <w:vAlign w:val="bottom"/>
            <w:shd w:val="clear" w:color="auto" w:fill="DBDBDB"/>
          </w:tcPr>
          <w:p>
            <w:pPr>
              <w:spacing w:after="0"/>
              <w:rPr>
                <w:sz w:val="17"/>
                <w:szCs w:val="17"/>
                <w:color w:val="auto"/>
              </w:rPr>
            </w:pPr>
          </w:p>
        </w:tc>
        <w:tc>
          <w:tcPr>
            <w:tcW w:w="760" w:type="dxa"/>
            <w:vAlign w:val="bottom"/>
            <w:shd w:val="clear" w:color="auto" w:fill="DBDBDB"/>
          </w:tcPr>
          <w:p>
            <w:pPr>
              <w:spacing w:after="0"/>
              <w:rPr>
                <w:sz w:val="17"/>
                <w:szCs w:val="17"/>
                <w:color w:val="auto"/>
              </w:rPr>
            </w:pPr>
          </w:p>
        </w:tc>
        <w:tc>
          <w:tcPr>
            <w:tcW w:w="1020" w:type="dxa"/>
            <w:vAlign w:val="bottom"/>
            <w:shd w:val="clear" w:color="auto" w:fill="DBDBDB"/>
          </w:tcPr>
          <w:p>
            <w:pPr>
              <w:spacing w:after="0"/>
              <w:rPr>
                <w:sz w:val="17"/>
                <w:szCs w:val="17"/>
                <w:color w:val="auto"/>
              </w:rPr>
            </w:pPr>
          </w:p>
        </w:tc>
        <w:tc>
          <w:tcPr>
            <w:tcW w:w="200" w:type="dxa"/>
            <w:vAlign w:val="bottom"/>
            <w:shd w:val="clear" w:color="auto" w:fill="DBDBDB"/>
          </w:tcPr>
          <w:p>
            <w:pPr>
              <w:spacing w:after="0"/>
              <w:rPr>
                <w:sz w:val="17"/>
                <w:szCs w:val="17"/>
                <w:color w:val="auto"/>
              </w:rPr>
            </w:pPr>
          </w:p>
        </w:tc>
        <w:tc>
          <w:tcPr>
            <w:tcW w:w="78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780" w:type="dxa"/>
            <w:vAlign w:val="bottom"/>
            <w:shd w:val="clear" w:color="auto" w:fill="DBDBDB"/>
          </w:tcPr>
          <w:p>
            <w:pPr>
              <w:spacing w:after="0"/>
              <w:rPr>
                <w:sz w:val="17"/>
                <w:szCs w:val="17"/>
                <w:color w:val="auto"/>
              </w:rPr>
            </w:pPr>
          </w:p>
        </w:tc>
        <w:tc>
          <w:tcPr>
            <w:tcW w:w="92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4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Cash and due from banks</w:t>
            </w:r>
          </w:p>
        </w:tc>
        <w:tc>
          <w:tcPr>
            <w:tcW w:w="160" w:type="dxa"/>
            <w:vAlign w:val="bottom"/>
          </w:tcPr>
          <w:p>
            <w:pPr>
              <w:spacing w:after="0"/>
              <w:rPr>
                <w:sz w:val="16"/>
                <w:szCs w:val="16"/>
                <w:color w:val="auto"/>
              </w:rPr>
            </w:pPr>
          </w:p>
        </w:tc>
        <w:tc>
          <w:tcPr>
            <w:tcW w:w="8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24,914</w:t>
            </w: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20,772</w:t>
            </w: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21,220</w:t>
            </w: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460" w:type="dxa"/>
            <w:vAlign w:val="bottom"/>
            <w:tcBorders>
              <w:bottom w:val="single" w:sz="8" w:color="DBDBDB"/>
            </w:tcBorders>
            <w:shd w:val="clear" w:color="auto" w:fill="DBDBDB"/>
          </w:tcPr>
          <w:p>
            <w:pPr>
              <w:ind w:left="120"/>
              <w:spacing w:after="0"/>
              <w:rPr>
                <w:sz w:val="20"/>
                <w:szCs w:val="20"/>
                <w:color w:val="auto"/>
              </w:rPr>
            </w:pPr>
            <w:r>
              <w:rPr>
                <w:rFonts w:ascii="Times New Roman" w:cs="Times New Roman" w:eastAsia="Times New Roman" w:hAnsi="Times New Roman"/>
                <w:sz w:val="14"/>
                <w:szCs w:val="14"/>
                <w:color w:val="auto"/>
              </w:rPr>
              <w:t>Premises and equipment, net</w:t>
            </w:r>
          </w:p>
        </w:tc>
        <w:tc>
          <w:tcPr>
            <w:tcW w:w="160" w:type="dxa"/>
            <w:vAlign w:val="bottom"/>
            <w:tcBorders>
              <w:bottom w:val="single" w:sz="8" w:color="DBDBDB"/>
            </w:tcBorders>
            <w:shd w:val="clear" w:color="auto" w:fill="DBDBDB"/>
          </w:tcPr>
          <w:p>
            <w:pPr>
              <w:spacing w:after="0"/>
              <w:rPr>
                <w:sz w:val="17"/>
                <w:szCs w:val="17"/>
                <w:color w:val="auto"/>
              </w:rPr>
            </w:pPr>
          </w:p>
        </w:tc>
        <w:tc>
          <w:tcPr>
            <w:tcW w:w="820" w:type="dxa"/>
            <w:vAlign w:val="bottom"/>
            <w:tcBorders>
              <w:bottom w:val="single" w:sz="8" w:color="DBDBDB"/>
            </w:tcBorders>
            <w:shd w:val="clear" w:color="auto" w:fill="DBDBDB"/>
          </w:tcPr>
          <w:p>
            <w:pPr>
              <w:jc w:val="right"/>
              <w:ind w:right="48"/>
              <w:spacing w:after="0"/>
              <w:rPr>
                <w:sz w:val="20"/>
                <w:szCs w:val="20"/>
                <w:color w:val="auto"/>
              </w:rPr>
            </w:pPr>
            <w:r>
              <w:rPr>
                <w:rFonts w:ascii="Times New Roman" w:cs="Times New Roman" w:eastAsia="Times New Roman" w:hAnsi="Times New Roman"/>
                <w:sz w:val="14"/>
                <w:szCs w:val="14"/>
                <w:color w:val="auto"/>
              </w:rPr>
              <w:t>24,445</w:t>
            </w:r>
          </w:p>
        </w:tc>
        <w:tc>
          <w:tcPr>
            <w:tcW w:w="180" w:type="dxa"/>
            <w:vAlign w:val="bottom"/>
            <w:tcBorders>
              <w:bottom w:val="single" w:sz="8" w:color="DBDBDB"/>
            </w:tcBorders>
            <w:shd w:val="clear" w:color="auto" w:fill="DBDBDB"/>
          </w:tcPr>
          <w:p>
            <w:pPr>
              <w:spacing w:after="0"/>
              <w:rPr>
                <w:sz w:val="17"/>
                <w:szCs w:val="17"/>
                <w:color w:val="auto"/>
              </w:rPr>
            </w:pPr>
          </w:p>
        </w:tc>
        <w:tc>
          <w:tcPr>
            <w:tcW w:w="780" w:type="dxa"/>
            <w:vAlign w:val="bottom"/>
            <w:tcBorders>
              <w:bottom w:val="single" w:sz="8" w:color="DBDBDB"/>
            </w:tcBorders>
            <w:shd w:val="clear" w:color="auto" w:fill="DBDBDB"/>
          </w:tcPr>
          <w:p>
            <w:pPr>
              <w:spacing w:after="0"/>
              <w:rPr>
                <w:sz w:val="17"/>
                <w:szCs w:val="17"/>
                <w:color w:val="auto"/>
              </w:rPr>
            </w:pPr>
          </w:p>
        </w:tc>
        <w:tc>
          <w:tcPr>
            <w:tcW w:w="1000" w:type="dxa"/>
            <w:vAlign w:val="bottom"/>
            <w:tcBorders>
              <w:bottom w:val="single" w:sz="8" w:color="DBDBDB"/>
            </w:tcBorders>
            <w:shd w:val="clear" w:color="auto" w:fill="DBDBDB"/>
          </w:tcPr>
          <w:p>
            <w:pPr>
              <w:spacing w:after="0"/>
              <w:rPr>
                <w:sz w:val="17"/>
                <w:szCs w:val="17"/>
                <w:color w:val="auto"/>
              </w:rPr>
            </w:pPr>
          </w:p>
        </w:tc>
        <w:tc>
          <w:tcPr>
            <w:tcW w:w="200" w:type="dxa"/>
            <w:vAlign w:val="bottom"/>
            <w:tcBorders>
              <w:bottom w:val="single" w:sz="8" w:color="DBDBDB"/>
            </w:tcBorders>
            <w:shd w:val="clear" w:color="auto" w:fill="DBDBDB"/>
          </w:tcPr>
          <w:p>
            <w:pPr>
              <w:spacing w:after="0"/>
              <w:rPr>
                <w:sz w:val="17"/>
                <w:szCs w:val="17"/>
                <w:color w:val="auto"/>
              </w:rPr>
            </w:pPr>
          </w:p>
        </w:tc>
        <w:tc>
          <w:tcPr>
            <w:tcW w:w="820" w:type="dxa"/>
            <w:vAlign w:val="bottom"/>
            <w:tcBorders>
              <w:bottom w:val="single" w:sz="8" w:color="DBDBDB"/>
            </w:tcBorders>
            <w:shd w:val="clear" w:color="auto" w:fill="DBDBDB"/>
          </w:tcPr>
          <w:p>
            <w:pPr>
              <w:jc w:val="right"/>
              <w:ind w:right="28"/>
              <w:spacing w:after="0"/>
              <w:rPr>
                <w:sz w:val="20"/>
                <w:szCs w:val="20"/>
                <w:color w:val="auto"/>
              </w:rPr>
            </w:pPr>
            <w:r>
              <w:rPr>
                <w:rFonts w:ascii="Times New Roman" w:cs="Times New Roman" w:eastAsia="Times New Roman" w:hAnsi="Times New Roman"/>
                <w:sz w:val="14"/>
                <w:szCs w:val="14"/>
                <w:color w:val="auto"/>
              </w:rPr>
              <w:t>19,291</w:t>
            </w:r>
          </w:p>
        </w:tc>
        <w:tc>
          <w:tcPr>
            <w:tcW w:w="160" w:type="dxa"/>
            <w:vAlign w:val="bottom"/>
            <w:tcBorders>
              <w:bottom w:val="single" w:sz="8" w:color="DBDBDB"/>
            </w:tcBorders>
            <w:shd w:val="clear" w:color="auto" w:fill="DBDBDB"/>
          </w:tcPr>
          <w:p>
            <w:pPr>
              <w:spacing w:after="0"/>
              <w:rPr>
                <w:sz w:val="17"/>
                <w:szCs w:val="17"/>
                <w:color w:val="auto"/>
              </w:rPr>
            </w:pPr>
          </w:p>
        </w:tc>
        <w:tc>
          <w:tcPr>
            <w:tcW w:w="760" w:type="dxa"/>
            <w:vAlign w:val="bottom"/>
            <w:tcBorders>
              <w:bottom w:val="single" w:sz="8" w:color="DBDBDB"/>
            </w:tcBorders>
            <w:shd w:val="clear" w:color="auto" w:fill="DBDBDB"/>
          </w:tcPr>
          <w:p>
            <w:pPr>
              <w:spacing w:after="0"/>
              <w:rPr>
                <w:sz w:val="17"/>
                <w:szCs w:val="17"/>
                <w:color w:val="auto"/>
              </w:rPr>
            </w:pPr>
          </w:p>
        </w:tc>
        <w:tc>
          <w:tcPr>
            <w:tcW w:w="1020" w:type="dxa"/>
            <w:vAlign w:val="bottom"/>
            <w:tcBorders>
              <w:bottom w:val="single" w:sz="8" w:color="DBDBDB"/>
            </w:tcBorders>
            <w:shd w:val="clear" w:color="auto" w:fill="DBDBDB"/>
          </w:tcPr>
          <w:p>
            <w:pPr>
              <w:spacing w:after="0"/>
              <w:rPr>
                <w:sz w:val="17"/>
                <w:szCs w:val="17"/>
                <w:color w:val="auto"/>
              </w:rPr>
            </w:pPr>
          </w:p>
        </w:tc>
        <w:tc>
          <w:tcPr>
            <w:tcW w:w="200" w:type="dxa"/>
            <w:vAlign w:val="bottom"/>
            <w:tcBorders>
              <w:bottom w:val="single" w:sz="8" w:color="DBDBDB"/>
            </w:tcBorders>
            <w:shd w:val="clear" w:color="auto" w:fill="DBDBDB"/>
          </w:tcPr>
          <w:p>
            <w:pPr>
              <w:spacing w:after="0"/>
              <w:rPr>
                <w:sz w:val="17"/>
                <w:szCs w:val="17"/>
                <w:color w:val="auto"/>
              </w:rPr>
            </w:pPr>
          </w:p>
        </w:tc>
        <w:tc>
          <w:tcPr>
            <w:tcW w:w="78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17,846</w:t>
            </w:r>
          </w:p>
        </w:tc>
        <w:tc>
          <w:tcPr>
            <w:tcW w:w="140" w:type="dxa"/>
            <w:vAlign w:val="bottom"/>
            <w:tcBorders>
              <w:bottom w:val="single" w:sz="8" w:color="DBDBDB"/>
            </w:tcBorders>
            <w:shd w:val="clear" w:color="auto" w:fill="DBDBDB"/>
          </w:tcPr>
          <w:p>
            <w:pPr>
              <w:spacing w:after="0"/>
              <w:rPr>
                <w:sz w:val="17"/>
                <w:szCs w:val="17"/>
                <w:color w:val="auto"/>
              </w:rPr>
            </w:pPr>
          </w:p>
        </w:tc>
        <w:tc>
          <w:tcPr>
            <w:tcW w:w="780" w:type="dxa"/>
            <w:vAlign w:val="bottom"/>
            <w:tcBorders>
              <w:bottom w:val="single" w:sz="8" w:color="DBDBDB"/>
            </w:tcBorders>
            <w:shd w:val="clear" w:color="auto" w:fill="DBDBDB"/>
          </w:tcPr>
          <w:p>
            <w:pPr>
              <w:spacing w:after="0"/>
              <w:rPr>
                <w:sz w:val="17"/>
                <w:szCs w:val="17"/>
                <w:color w:val="auto"/>
              </w:rPr>
            </w:pPr>
          </w:p>
        </w:tc>
        <w:tc>
          <w:tcPr>
            <w:tcW w:w="920" w:type="dxa"/>
            <w:vAlign w:val="bottom"/>
            <w:tcBorders>
              <w:bottom w:val="single" w:sz="8" w:color="DBDBDB"/>
            </w:tcBorders>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4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Payments in advance of funding</w:t>
            </w:r>
          </w:p>
        </w:tc>
        <w:tc>
          <w:tcPr>
            <w:tcW w:w="160" w:type="dxa"/>
            <w:vAlign w:val="bottom"/>
          </w:tcPr>
          <w:p>
            <w:pPr>
              <w:spacing w:after="0"/>
              <w:rPr>
                <w:sz w:val="16"/>
                <w:szCs w:val="16"/>
                <w:color w:val="auto"/>
              </w:rPr>
            </w:pPr>
          </w:p>
        </w:tc>
        <w:tc>
          <w:tcPr>
            <w:tcW w:w="8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234,865</w:t>
            </w: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278,185</w:t>
            </w: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211,809</w:t>
            </w: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460" w:type="dxa"/>
            <w:vAlign w:val="bottom"/>
            <w:tcBorders>
              <w:bottom w:val="single" w:sz="8" w:color="DBDBDB"/>
            </w:tcBorders>
            <w:shd w:val="clear" w:color="auto" w:fill="DBDBDB"/>
          </w:tcPr>
          <w:p>
            <w:pPr>
              <w:ind w:left="120"/>
              <w:spacing w:after="0"/>
              <w:rPr>
                <w:sz w:val="20"/>
                <w:szCs w:val="20"/>
                <w:color w:val="auto"/>
              </w:rPr>
            </w:pPr>
            <w:r>
              <w:rPr>
                <w:rFonts w:ascii="Times New Roman" w:cs="Times New Roman" w:eastAsia="Times New Roman" w:hAnsi="Times New Roman"/>
                <w:sz w:val="14"/>
                <w:szCs w:val="14"/>
                <w:color w:val="auto"/>
              </w:rPr>
              <w:t>Bank-owned life insurance</w:t>
            </w:r>
          </w:p>
        </w:tc>
        <w:tc>
          <w:tcPr>
            <w:tcW w:w="160" w:type="dxa"/>
            <w:vAlign w:val="bottom"/>
            <w:tcBorders>
              <w:bottom w:val="single" w:sz="8" w:color="DBDBDB"/>
            </w:tcBorders>
            <w:shd w:val="clear" w:color="auto" w:fill="DBDBDB"/>
          </w:tcPr>
          <w:p>
            <w:pPr>
              <w:spacing w:after="0"/>
              <w:rPr>
                <w:sz w:val="17"/>
                <w:szCs w:val="17"/>
                <w:color w:val="auto"/>
              </w:rPr>
            </w:pPr>
          </w:p>
        </w:tc>
        <w:tc>
          <w:tcPr>
            <w:tcW w:w="820" w:type="dxa"/>
            <w:vAlign w:val="bottom"/>
            <w:tcBorders>
              <w:bottom w:val="single" w:sz="8" w:color="DBDBDB"/>
            </w:tcBorders>
            <w:shd w:val="clear" w:color="auto" w:fill="DBDBDB"/>
          </w:tcPr>
          <w:p>
            <w:pPr>
              <w:jc w:val="right"/>
              <w:ind w:right="48"/>
              <w:spacing w:after="0"/>
              <w:rPr>
                <w:sz w:val="20"/>
                <w:szCs w:val="20"/>
                <w:color w:val="auto"/>
              </w:rPr>
            </w:pPr>
            <w:r>
              <w:rPr>
                <w:rFonts w:ascii="Times New Roman" w:cs="Times New Roman" w:eastAsia="Times New Roman" w:hAnsi="Times New Roman"/>
                <w:sz w:val="14"/>
                <w:szCs w:val="14"/>
                <w:color w:val="auto"/>
              </w:rPr>
              <w:t>48,540</w:t>
            </w:r>
          </w:p>
        </w:tc>
        <w:tc>
          <w:tcPr>
            <w:tcW w:w="180" w:type="dxa"/>
            <w:vAlign w:val="bottom"/>
            <w:tcBorders>
              <w:bottom w:val="single" w:sz="8" w:color="DBDBDB"/>
            </w:tcBorders>
            <w:shd w:val="clear" w:color="auto" w:fill="DBDBDB"/>
          </w:tcPr>
          <w:p>
            <w:pPr>
              <w:spacing w:after="0"/>
              <w:rPr>
                <w:sz w:val="17"/>
                <w:szCs w:val="17"/>
                <w:color w:val="auto"/>
              </w:rPr>
            </w:pPr>
          </w:p>
        </w:tc>
        <w:tc>
          <w:tcPr>
            <w:tcW w:w="780" w:type="dxa"/>
            <w:vAlign w:val="bottom"/>
            <w:tcBorders>
              <w:bottom w:val="single" w:sz="8" w:color="DBDBDB"/>
            </w:tcBorders>
            <w:shd w:val="clear" w:color="auto" w:fill="DBDBDB"/>
          </w:tcPr>
          <w:p>
            <w:pPr>
              <w:spacing w:after="0"/>
              <w:rPr>
                <w:sz w:val="17"/>
                <w:szCs w:val="17"/>
                <w:color w:val="auto"/>
              </w:rPr>
            </w:pPr>
          </w:p>
        </w:tc>
        <w:tc>
          <w:tcPr>
            <w:tcW w:w="1000" w:type="dxa"/>
            <w:vAlign w:val="bottom"/>
            <w:tcBorders>
              <w:bottom w:val="single" w:sz="8" w:color="DBDBDB"/>
            </w:tcBorders>
            <w:shd w:val="clear" w:color="auto" w:fill="DBDBDB"/>
          </w:tcPr>
          <w:p>
            <w:pPr>
              <w:spacing w:after="0"/>
              <w:rPr>
                <w:sz w:val="17"/>
                <w:szCs w:val="17"/>
                <w:color w:val="auto"/>
              </w:rPr>
            </w:pPr>
          </w:p>
        </w:tc>
        <w:tc>
          <w:tcPr>
            <w:tcW w:w="200" w:type="dxa"/>
            <w:vAlign w:val="bottom"/>
            <w:tcBorders>
              <w:bottom w:val="single" w:sz="8" w:color="DBDBDB"/>
            </w:tcBorders>
            <w:shd w:val="clear" w:color="auto" w:fill="DBDBDB"/>
          </w:tcPr>
          <w:p>
            <w:pPr>
              <w:spacing w:after="0"/>
              <w:rPr>
                <w:sz w:val="17"/>
                <w:szCs w:val="17"/>
                <w:color w:val="auto"/>
              </w:rPr>
            </w:pPr>
          </w:p>
        </w:tc>
        <w:tc>
          <w:tcPr>
            <w:tcW w:w="820" w:type="dxa"/>
            <w:vAlign w:val="bottom"/>
            <w:tcBorders>
              <w:bottom w:val="single" w:sz="8" w:color="DBDBDB"/>
            </w:tcBorders>
            <w:shd w:val="clear" w:color="auto" w:fill="DBDBDB"/>
          </w:tcPr>
          <w:p>
            <w:pPr>
              <w:jc w:val="right"/>
              <w:ind w:right="28"/>
              <w:spacing w:after="0"/>
              <w:rPr>
                <w:sz w:val="20"/>
                <w:szCs w:val="20"/>
                <w:color w:val="auto"/>
              </w:rPr>
            </w:pPr>
            <w:r>
              <w:rPr>
                <w:rFonts w:ascii="Times New Roman" w:cs="Times New Roman" w:eastAsia="Times New Roman" w:hAnsi="Times New Roman"/>
                <w:sz w:val="14"/>
                <w:szCs w:val="14"/>
                <w:color w:val="auto"/>
              </w:rPr>
              <w:t>46,468</w:t>
            </w:r>
          </w:p>
        </w:tc>
        <w:tc>
          <w:tcPr>
            <w:tcW w:w="160" w:type="dxa"/>
            <w:vAlign w:val="bottom"/>
            <w:tcBorders>
              <w:bottom w:val="single" w:sz="8" w:color="DBDBDB"/>
            </w:tcBorders>
            <w:shd w:val="clear" w:color="auto" w:fill="DBDBDB"/>
          </w:tcPr>
          <w:p>
            <w:pPr>
              <w:spacing w:after="0"/>
              <w:rPr>
                <w:sz w:val="17"/>
                <w:szCs w:val="17"/>
                <w:color w:val="auto"/>
              </w:rPr>
            </w:pPr>
          </w:p>
        </w:tc>
        <w:tc>
          <w:tcPr>
            <w:tcW w:w="760" w:type="dxa"/>
            <w:vAlign w:val="bottom"/>
            <w:tcBorders>
              <w:bottom w:val="single" w:sz="8" w:color="DBDBDB"/>
            </w:tcBorders>
            <w:shd w:val="clear" w:color="auto" w:fill="DBDBDB"/>
          </w:tcPr>
          <w:p>
            <w:pPr>
              <w:spacing w:after="0"/>
              <w:rPr>
                <w:sz w:val="17"/>
                <w:szCs w:val="17"/>
                <w:color w:val="auto"/>
              </w:rPr>
            </w:pPr>
          </w:p>
        </w:tc>
        <w:tc>
          <w:tcPr>
            <w:tcW w:w="1020" w:type="dxa"/>
            <w:vAlign w:val="bottom"/>
            <w:tcBorders>
              <w:bottom w:val="single" w:sz="8" w:color="DBDBDB"/>
            </w:tcBorders>
            <w:shd w:val="clear" w:color="auto" w:fill="DBDBDB"/>
          </w:tcPr>
          <w:p>
            <w:pPr>
              <w:spacing w:after="0"/>
              <w:rPr>
                <w:sz w:val="17"/>
                <w:szCs w:val="17"/>
                <w:color w:val="auto"/>
              </w:rPr>
            </w:pPr>
          </w:p>
        </w:tc>
        <w:tc>
          <w:tcPr>
            <w:tcW w:w="200" w:type="dxa"/>
            <w:vAlign w:val="bottom"/>
            <w:tcBorders>
              <w:bottom w:val="single" w:sz="8" w:color="DBDBDB"/>
            </w:tcBorders>
            <w:shd w:val="clear" w:color="auto" w:fill="DBDBDB"/>
          </w:tcPr>
          <w:p>
            <w:pPr>
              <w:spacing w:after="0"/>
              <w:rPr>
                <w:sz w:val="17"/>
                <w:szCs w:val="17"/>
                <w:color w:val="auto"/>
              </w:rPr>
            </w:pPr>
          </w:p>
        </w:tc>
        <w:tc>
          <w:tcPr>
            <w:tcW w:w="78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26,766</w:t>
            </w:r>
          </w:p>
        </w:tc>
        <w:tc>
          <w:tcPr>
            <w:tcW w:w="140" w:type="dxa"/>
            <w:vAlign w:val="bottom"/>
            <w:tcBorders>
              <w:bottom w:val="single" w:sz="8" w:color="DBDBDB"/>
            </w:tcBorders>
            <w:shd w:val="clear" w:color="auto" w:fill="DBDBDB"/>
          </w:tcPr>
          <w:p>
            <w:pPr>
              <w:spacing w:after="0"/>
              <w:rPr>
                <w:sz w:val="17"/>
                <w:szCs w:val="17"/>
                <w:color w:val="auto"/>
              </w:rPr>
            </w:pPr>
          </w:p>
        </w:tc>
        <w:tc>
          <w:tcPr>
            <w:tcW w:w="780" w:type="dxa"/>
            <w:vAlign w:val="bottom"/>
            <w:tcBorders>
              <w:bottom w:val="single" w:sz="8" w:color="DBDBDB"/>
            </w:tcBorders>
            <w:shd w:val="clear" w:color="auto" w:fill="DBDBDB"/>
          </w:tcPr>
          <w:p>
            <w:pPr>
              <w:spacing w:after="0"/>
              <w:rPr>
                <w:sz w:val="17"/>
                <w:szCs w:val="17"/>
                <w:color w:val="auto"/>
              </w:rPr>
            </w:pPr>
          </w:p>
        </w:tc>
        <w:tc>
          <w:tcPr>
            <w:tcW w:w="920" w:type="dxa"/>
            <w:vAlign w:val="bottom"/>
            <w:tcBorders>
              <w:bottom w:val="single" w:sz="8" w:color="DBDBDB"/>
            </w:tcBorders>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4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Goodwill and other intangibles</w:t>
            </w:r>
          </w:p>
        </w:tc>
        <w:tc>
          <w:tcPr>
            <w:tcW w:w="160" w:type="dxa"/>
            <w:vAlign w:val="bottom"/>
          </w:tcPr>
          <w:p>
            <w:pPr>
              <w:spacing w:after="0"/>
              <w:rPr>
                <w:sz w:val="16"/>
                <w:szCs w:val="16"/>
                <w:color w:val="auto"/>
              </w:rPr>
            </w:pPr>
          </w:p>
        </w:tc>
        <w:tc>
          <w:tcPr>
            <w:tcW w:w="8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21,060</w:t>
            </w: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19,558</w:t>
            </w: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17,273</w:t>
            </w: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9"/>
        </w:trPr>
        <w:tc>
          <w:tcPr>
            <w:tcW w:w="2460" w:type="dxa"/>
            <w:vAlign w:val="bottom"/>
            <w:shd w:val="clear" w:color="auto" w:fill="DBDBDB"/>
          </w:tcPr>
          <w:p>
            <w:pPr>
              <w:ind w:left="120"/>
              <w:spacing w:after="0" w:line="139" w:lineRule="exact"/>
              <w:rPr>
                <w:sz w:val="20"/>
                <w:szCs w:val="20"/>
                <w:color w:val="auto"/>
              </w:rPr>
            </w:pPr>
            <w:r>
              <w:rPr>
                <w:rFonts w:ascii="Times New Roman" w:cs="Times New Roman" w:eastAsia="Times New Roman" w:hAnsi="Times New Roman"/>
                <w:sz w:val="14"/>
                <w:szCs w:val="14"/>
                <w:color w:val="auto"/>
              </w:rPr>
              <w:t>Unrealized (loss) gain on investment</w:t>
            </w:r>
          </w:p>
        </w:tc>
        <w:tc>
          <w:tcPr>
            <w:tcW w:w="160" w:type="dxa"/>
            <w:vAlign w:val="bottom"/>
            <w:shd w:val="clear" w:color="auto" w:fill="DBDBDB"/>
          </w:tcPr>
          <w:p>
            <w:pPr>
              <w:spacing w:after="0"/>
              <w:rPr>
                <w:sz w:val="12"/>
                <w:szCs w:val="12"/>
                <w:color w:val="auto"/>
              </w:rPr>
            </w:pPr>
          </w:p>
        </w:tc>
        <w:tc>
          <w:tcPr>
            <w:tcW w:w="820" w:type="dxa"/>
            <w:vAlign w:val="bottom"/>
            <w:vMerge w:val="restart"/>
            <w:shd w:val="clear" w:color="auto" w:fill="DBDBDB"/>
          </w:tcPr>
          <w:p>
            <w:pPr>
              <w:jc w:val="right"/>
              <w:ind w:right="8"/>
              <w:spacing w:after="0"/>
              <w:rPr>
                <w:sz w:val="20"/>
                <w:szCs w:val="20"/>
                <w:color w:val="auto"/>
              </w:rPr>
            </w:pPr>
            <w:r>
              <w:rPr>
                <w:rFonts w:ascii="Times New Roman" w:cs="Times New Roman" w:eastAsia="Times New Roman" w:hAnsi="Times New Roman"/>
                <w:sz w:val="14"/>
                <w:szCs w:val="14"/>
                <w:color w:val="auto"/>
              </w:rPr>
              <w:t>(68,893)</w:t>
            </w:r>
          </w:p>
        </w:tc>
        <w:tc>
          <w:tcPr>
            <w:tcW w:w="180" w:type="dxa"/>
            <w:vAlign w:val="bottom"/>
            <w:shd w:val="clear" w:color="auto" w:fill="DBDBDB"/>
          </w:tcPr>
          <w:p>
            <w:pPr>
              <w:spacing w:after="0"/>
              <w:rPr>
                <w:sz w:val="12"/>
                <w:szCs w:val="12"/>
                <w:color w:val="auto"/>
              </w:rPr>
            </w:pPr>
          </w:p>
        </w:tc>
        <w:tc>
          <w:tcPr>
            <w:tcW w:w="780" w:type="dxa"/>
            <w:vAlign w:val="bottom"/>
            <w:shd w:val="clear" w:color="auto" w:fill="DBDBDB"/>
          </w:tcPr>
          <w:p>
            <w:pPr>
              <w:spacing w:after="0"/>
              <w:rPr>
                <w:sz w:val="12"/>
                <w:szCs w:val="12"/>
                <w:color w:val="auto"/>
              </w:rPr>
            </w:pPr>
          </w:p>
        </w:tc>
        <w:tc>
          <w:tcPr>
            <w:tcW w:w="1000" w:type="dxa"/>
            <w:vAlign w:val="bottom"/>
            <w:shd w:val="clear" w:color="auto" w:fill="DBDBDB"/>
          </w:tcPr>
          <w:p>
            <w:pPr>
              <w:spacing w:after="0"/>
              <w:rPr>
                <w:sz w:val="12"/>
                <w:szCs w:val="12"/>
                <w:color w:val="auto"/>
              </w:rPr>
            </w:pPr>
          </w:p>
        </w:tc>
        <w:tc>
          <w:tcPr>
            <w:tcW w:w="200" w:type="dxa"/>
            <w:vAlign w:val="bottom"/>
            <w:shd w:val="clear" w:color="auto" w:fill="DBDBDB"/>
          </w:tcPr>
          <w:p>
            <w:pPr>
              <w:spacing w:after="0"/>
              <w:rPr>
                <w:sz w:val="12"/>
                <w:szCs w:val="12"/>
                <w:color w:val="auto"/>
              </w:rPr>
            </w:pPr>
          </w:p>
        </w:tc>
        <w:tc>
          <w:tcPr>
            <w:tcW w:w="820" w:type="dxa"/>
            <w:vAlign w:val="bottom"/>
            <w:vMerge w:val="restart"/>
            <w:shd w:val="clear" w:color="auto" w:fill="DBDBDB"/>
          </w:tcPr>
          <w:p>
            <w:pPr>
              <w:jc w:val="right"/>
              <w:ind w:right="8"/>
              <w:spacing w:after="0"/>
              <w:rPr>
                <w:sz w:val="20"/>
                <w:szCs w:val="20"/>
                <w:color w:val="auto"/>
              </w:rPr>
            </w:pPr>
            <w:r>
              <w:rPr>
                <w:rFonts w:ascii="Times New Roman" w:cs="Times New Roman" w:eastAsia="Times New Roman" w:hAnsi="Times New Roman"/>
                <w:sz w:val="14"/>
                <w:szCs w:val="14"/>
                <w:color w:val="auto"/>
              </w:rPr>
              <w:t>(43,147)</w:t>
            </w:r>
          </w:p>
        </w:tc>
        <w:tc>
          <w:tcPr>
            <w:tcW w:w="160" w:type="dxa"/>
            <w:vAlign w:val="bottom"/>
            <w:shd w:val="clear" w:color="auto" w:fill="DBDBDB"/>
          </w:tcPr>
          <w:p>
            <w:pPr>
              <w:spacing w:after="0"/>
              <w:rPr>
                <w:sz w:val="12"/>
                <w:szCs w:val="12"/>
                <w:color w:val="auto"/>
              </w:rPr>
            </w:pPr>
          </w:p>
        </w:tc>
        <w:tc>
          <w:tcPr>
            <w:tcW w:w="760" w:type="dxa"/>
            <w:vAlign w:val="bottom"/>
            <w:shd w:val="clear" w:color="auto" w:fill="DBDBDB"/>
          </w:tcPr>
          <w:p>
            <w:pPr>
              <w:spacing w:after="0"/>
              <w:rPr>
                <w:sz w:val="12"/>
                <w:szCs w:val="12"/>
                <w:color w:val="auto"/>
              </w:rPr>
            </w:pPr>
          </w:p>
        </w:tc>
        <w:tc>
          <w:tcPr>
            <w:tcW w:w="1020" w:type="dxa"/>
            <w:vAlign w:val="bottom"/>
            <w:shd w:val="clear" w:color="auto" w:fill="DBDBDB"/>
          </w:tcPr>
          <w:p>
            <w:pPr>
              <w:spacing w:after="0"/>
              <w:rPr>
                <w:sz w:val="12"/>
                <w:szCs w:val="12"/>
                <w:color w:val="auto"/>
              </w:rPr>
            </w:pPr>
          </w:p>
        </w:tc>
        <w:tc>
          <w:tcPr>
            <w:tcW w:w="200" w:type="dxa"/>
            <w:vAlign w:val="bottom"/>
            <w:shd w:val="clear" w:color="auto" w:fill="DBDBDB"/>
          </w:tcPr>
          <w:p>
            <w:pPr>
              <w:spacing w:after="0"/>
              <w:rPr>
                <w:sz w:val="12"/>
                <w:szCs w:val="12"/>
                <w:color w:val="auto"/>
              </w:rPr>
            </w:pPr>
          </w:p>
        </w:tc>
        <w:tc>
          <w:tcPr>
            <w:tcW w:w="780" w:type="dxa"/>
            <w:vAlign w:val="bottom"/>
            <w:vMerge w:val="restart"/>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15,833</w:t>
            </w:r>
          </w:p>
        </w:tc>
        <w:tc>
          <w:tcPr>
            <w:tcW w:w="140" w:type="dxa"/>
            <w:vAlign w:val="bottom"/>
            <w:shd w:val="clear" w:color="auto" w:fill="DBDBDB"/>
          </w:tcPr>
          <w:p>
            <w:pPr>
              <w:spacing w:after="0"/>
              <w:rPr>
                <w:sz w:val="12"/>
                <w:szCs w:val="12"/>
                <w:color w:val="auto"/>
              </w:rPr>
            </w:pPr>
          </w:p>
        </w:tc>
        <w:tc>
          <w:tcPr>
            <w:tcW w:w="780" w:type="dxa"/>
            <w:vAlign w:val="bottom"/>
            <w:shd w:val="clear" w:color="auto" w:fill="DBDBDB"/>
          </w:tcPr>
          <w:p>
            <w:pPr>
              <w:spacing w:after="0"/>
              <w:rPr>
                <w:sz w:val="12"/>
                <w:szCs w:val="12"/>
                <w:color w:val="auto"/>
              </w:rPr>
            </w:pPr>
          </w:p>
        </w:tc>
        <w:tc>
          <w:tcPr>
            <w:tcW w:w="920" w:type="dxa"/>
            <w:vAlign w:val="bottom"/>
            <w:shd w:val="clear" w:color="auto" w:fill="DBDBDB"/>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460" w:type="dxa"/>
            <w:vAlign w:val="bottom"/>
            <w:shd w:val="clear" w:color="auto" w:fill="DBDBDB"/>
          </w:tcPr>
          <w:p>
            <w:pPr>
              <w:ind w:left="120"/>
              <w:spacing w:after="0"/>
              <w:rPr>
                <w:sz w:val="20"/>
                <w:szCs w:val="20"/>
                <w:color w:val="auto"/>
              </w:rPr>
            </w:pPr>
            <w:r>
              <w:rPr>
                <w:rFonts w:ascii="Times New Roman" w:cs="Times New Roman" w:eastAsia="Times New Roman" w:hAnsi="Times New Roman"/>
                <w:sz w:val="14"/>
                <w:szCs w:val="14"/>
                <w:color w:val="auto"/>
              </w:rPr>
              <w:t>securities</w:t>
            </w:r>
          </w:p>
        </w:tc>
        <w:tc>
          <w:tcPr>
            <w:tcW w:w="160" w:type="dxa"/>
            <w:vAlign w:val="bottom"/>
            <w:shd w:val="clear" w:color="auto" w:fill="DBDBDB"/>
          </w:tcPr>
          <w:p>
            <w:pPr>
              <w:spacing w:after="0"/>
              <w:rPr>
                <w:sz w:val="17"/>
                <w:szCs w:val="17"/>
                <w:color w:val="auto"/>
              </w:rPr>
            </w:pPr>
          </w:p>
        </w:tc>
        <w:tc>
          <w:tcPr>
            <w:tcW w:w="820" w:type="dxa"/>
            <w:vAlign w:val="bottom"/>
            <w:vMerge w:val="continue"/>
            <w:shd w:val="clear" w:color="auto" w:fill="DBDBDB"/>
          </w:tcPr>
          <w:p>
            <w:pPr>
              <w:spacing w:after="0"/>
              <w:rPr>
                <w:sz w:val="17"/>
                <w:szCs w:val="17"/>
                <w:color w:val="auto"/>
              </w:rPr>
            </w:pPr>
          </w:p>
        </w:tc>
        <w:tc>
          <w:tcPr>
            <w:tcW w:w="180" w:type="dxa"/>
            <w:vAlign w:val="bottom"/>
            <w:shd w:val="clear" w:color="auto" w:fill="DBDBDB"/>
          </w:tcPr>
          <w:p>
            <w:pPr>
              <w:spacing w:after="0"/>
              <w:rPr>
                <w:sz w:val="17"/>
                <w:szCs w:val="17"/>
                <w:color w:val="auto"/>
              </w:rPr>
            </w:pPr>
          </w:p>
        </w:tc>
        <w:tc>
          <w:tcPr>
            <w:tcW w:w="780" w:type="dxa"/>
            <w:vAlign w:val="bottom"/>
            <w:shd w:val="clear" w:color="auto" w:fill="DBDBDB"/>
          </w:tcPr>
          <w:p>
            <w:pPr>
              <w:spacing w:after="0"/>
              <w:rPr>
                <w:sz w:val="17"/>
                <w:szCs w:val="17"/>
                <w:color w:val="auto"/>
              </w:rPr>
            </w:pPr>
          </w:p>
        </w:tc>
        <w:tc>
          <w:tcPr>
            <w:tcW w:w="1000" w:type="dxa"/>
            <w:vAlign w:val="bottom"/>
            <w:shd w:val="clear" w:color="auto" w:fill="DBDBDB"/>
          </w:tcPr>
          <w:p>
            <w:pPr>
              <w:spacing w:after="0"/>
              <w:rPr>
                <w:sz w:val="17"/>
                <w:szCs w:val="17"/>
                <w:color w:val="auto"/>
              </w:rPr>
            </w:pPr>
          </w:p>
        </w:tc>
        <w:tc>
          <w:tcPr>
            <w:tcW w:w="200" w:type="dxa"/>
            <w:vAlign w:val="bottom"/>
            <w:shd w:val="clear" w:color="auto" w:fill="DBDBDB"/>
          </w:tcPr>
          <w:p>
            <w:pPr>
              <w:spacing w:after="0"/>
              <w:rPr>
                <w:sz w:val="17"/>
                <w:szCs w:val="17"/>
                <w:color w:val="auto"/>
              </w:rPr>
            </w:pPr>
          </w:p>
        </w:tc>
        <w:tc>
          <w:tcPr>
            <w:tcW w:w="820" w:type="dxa"/>
            <w:vAlign w:val="bottom"/>
            <w:vMerge w:val="continue"/>
            <w:shd w:val="clear" w:color="auto" w:fill="DBDBDB"/>
          </w:tcPr>
          <w:p>
            <w:pPr>
              <w:spacing w:after="0"/>
              <w:rPr>
                <w:sz w:val="17"/>
                <w:szCs w:val="17"/>
                <w:color w:val="auto"/>
              </w:rPr>
            </w:pPr>
          </w:p>
        </w:tc>
        <w:tc>
          <w:tcPr>
            <w:tcW w:w="160" w:type="dxa"/>
            <w:vAlign w:val="bottom"/>
            <w:shd w:val="clear" w:color="auto" w:fill="DBDBDB"/>
          </w:tcPr>
          <w:p>
            <w:pPr>
              <w:spacing w:after="0"/>
              <w:rPr>
                <w:sz w:val="17"/>
                <w:szCs w:val="17"/>
                <w:color w:val="auto"/>
              </w:rPr>
            </w:pPr>
          </w:p>
        </w:tc>
        <w:tc>
          <w:tcPr>
            <w:tcW w:w="760" w:type="dxa"/>
            <w:vAlign w:val="bottom"/>
            <w:shd w:val="clear" w:color="auto" w:fill="DBDBDB"/>
          </w:tcPr>
          <w:p>
            <w:pPr>
              <w:spacing w:after="0"/>
              <w:rPr>
                <w:sz w:val="17"/>
                <w:szCs w:val="17"/>
                <w:color w:val="auto"/>
              </w:rPr>
            </w:pPr>
          </w:p>
        </w:tc>
        <w:tc>
          <w:tcPr>
            <w:tcW w:w="1020" w:type="dxa"/>
            <w:vAlign w:val="bottom"/>
            <w:shd w:val="clear" w:color="auto" w:fill="DBDBDB"/>
          </w:tcPr>
          <w:p>
            <w:pPr>
              <w:spacing w:after="0"/>
              <w:rPr>
                <w:sz w:val="17"/>
                <w:szCs w:val="17"/>
                <w:color w:val="auto"/>
              </w:rPr>
            </w:pPr>
          </w:p>
        </w:tc>
        <w:tc>
          <w:tcPr>
            <w:tcW w:w="200" w:type="dxa"/>
            <w:vAlign w:val="bottom"/>
            <w:shd w:val="clear" w:color="auto" w:fill="DBDBDB"/>
          </w:tcPr>
          <w:p>
            <w:pPr>
              <w:spacing w:after="0"/>
              <w:rPr>
                <w:sz w:val="17"/>
                <w:szCs w:val="17"/>
                <w:color w:val="auto"/>
              </w:rPr>
            </w:pPr>
          </w:p>
        </w:tc>
        <w:tc>
          <w:tcPr>
            <w:tcW w:w="780" w:type="dxa"/>
            <w:vAlign w:val="bottom"/>
            <w:vMerge w:val="continue"/>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780" w:type="dxa"/>
            <w:vAlign w:val="bottom"/>
            <w:shd w:val="clear" w:color="auto" w:fill="DBDBDB"/>
          </w:tcPr>
          <w:p>
            <w:pPr>
              <w:spacing w:after="0"/>
              <w:rPr>
                <w:sz w:val="17"/>
                <w:szCs w:val="17"/>
                <w:color w:val="auto"/>
              </w:rPr>
            </w:pPr>
          </w:p>
        </w:tc>
        <w:tc>
          <w:tcPr>
            <w:tcW w:w="92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4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Other assets</w:t>
            </w:r>
          </w:p>
        </w:tc>
        <w:tc>
          <w:tcPr>
            <w:tcW w:w="160" w:type="dxa"/>
            <w:vAlign w:val="bottom"/>
          </w:tcPr>
          <w:p>
            <w:pPr>
              <w:spacing w:after="0"/>
              <w:rPr>
                <w:sz w:val="16"/>
                <w:szCs w:val="16"/>
                <w:color w:val="auto"/>
              </w:rPr>
            </w:pPr>
          </w:p>
        </w:tc>
        <w:tc>
          <w:tcPr>
            <w:tcW w:w="8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71,050</w:t>
            </w: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51,686</w:t>
            </w: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35,231</w:t>
            </w: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2460" w:type="dxa"/>
            <w:vAlign w:val="bottom"/>
            <w:tcBorders>
              <w:bottom w:val="single" w:sz="8" w:color="DBDBDB"/>
            </w:tcBorders>
            <w:shd w:val="clear" w:color="auto" w:fill="DBDBDB"/>
          </w:tcPr>
          <w:p>
            <w:pPr>
              <w:ind w:left="120"/>
              <w:spacing w:after="0"/>
              <w:rPr>
                <w:sz w:val="20"/>
                <w:szCs w:val="20"/>
                <w:color w:val="auto"/>
              </w:rPr>
            </w:pPr>
            <w:r>
              <w:rPr>
                <w:rFonts w:ascii="Times New Roman" w:cs="Times New Roman" w:eastAsia="Times New Roman" w:hAnsi="Times New Roman"/>
                <w:sz w:val="14"/>
                <w:szCs w:val="14"/>
                <w:color w:val="auto"/>
              </w:rPr>
              <w:t>Allowance for credit losses</w:t>
            </w:r>
          </w:p>
        </w:tc>
        <w:tc>
          <w:tcPr>
            <w:tcW w:w="160" w:type="dxa"/>
            <w:vAlign w:val="bottom"/>
            <w:tcBorders>
              <w:bottom w:val="single" w:sz="8" w:color="DBDBDB"/>
            </w:tcBorders>
            <w:shd w:val="clear" w:color="auto" w:fill="DBDBDB"/>
          </w:tcPr>
          <w:p>
            <w:pPr>
              <w:spacing w:after="0"/>
              <w:rPr>
                <w:sz w:val="18"/>
                <w:szCs w:val="18"/>
                <w:color w:val="auto"/>
              </w:rPr>
            </w:pPr>
          </w:p>
        </w:tc>
        <w:tc>
          <w:tcPr>
            <w:tcW w:w="820" w:type="dxa"/>
            <w:vAlign w:val="bottom"/>
            <w:tcBorders>
              <w:bottom w:val="single" w:sz="8" w:color="DBDBDB"/>
            </w:tcBorders>
            <w:shd w:val="clear" w:color="auto" w:fill="DBDBDB"/>
          </w:tcPr>
          <w:p>
            <w:pPr>
              <w:jc w:val="right"/>
              <w:ind w:right="8"/>
              <w:spacing w:after="0"/>
              <w:rPr>
                <w:sz w:val="20"/>
                <w:szCs w:val="20"/>
                <w:color w:val="auto"/>
              </w:rPr>
            </w:pPr>
            <w:r>
              <w:rPr>
                <w:rFonts w:ascii="Times New Roman" w:cs="Times New Roman" w:eastAsia="Times New Roman" w:hAnsi="Times New Roman"/>
                <w:sz w:val="14"/>
                <w:szCs w:val="14"/>
                <w:color w:val="auto"/>
              </w:rPr>
              <w:t>(13,324)</w:t>
            </w:r>
          </w:p>
        </w:tc>
        <w:tc>
          <w:tcPr>
            <w:tcW w:w="180" w:type="dxa"/>
            <w:vAlign w:val="bottom"/>
            <w:tcBorders>
              <w:bottom w:val="single" w:sz="8" w:color="DBDBDB"/>
            </w:tcBorders>
            <w:shd w:val="clear" w:color="auto" w:fill="DBDBDB"/>
          </w:tcPr>
          <w:p>
            <w:pPr>
              <w:spacing w:after="0"/>
              <w:rPr>
                <w:sz w:val="18"/>
                <w:szCs w:val="18"/>
                <w:color w:val="auto"/>
              </w:rPr>
            </w:pPr>
          </w:p>
        </w:tc>
        <w:tc>
          <w:tcPr>
            <w:tcW w:w="780" w:type="dxa"/>
            <w:vAlign w:val="bottom"/>
            <w:tcBorders>
              <w:bottom w:val="single" w:sz="8" w:color="DBDBDB"/>
            </w:tcBorders>
            <w:shd w:val="clear" w:color="auto" w:fill="DBDBDB"/>
          </w:tcPr>
          <w:p>
            <w:pPr>
              <w:spacing w:after="0"/>
              <w:rPr>
                <w:sz w:val="18"/>
                <w:szCs w:val="18"/>
                <w:color w:val="auto"/>
              </w:rPr>
            </w:pPr>
          </w:p>
        </w:tc>
        <w:tc>
          <w:tcPr>
            <w:tcW w:w="1000" w:type="dxa"/>
            <w:vAlign w:val="bottom"/>
            <w:tcBorders>
              <w:bottom w:val="single" w:sz="8" w:color="DBDBDB"/>
            </w:tcBorders>
            <w:shd w:val="clear" w:color="auto" w:fill="DBDBDB"/>
          </w:tcPr>
          <w:p>
            <w:pPr>
              <w:spacing w:after="0"/>
              <w:rPr>
                <w:sz w:val="18"/>
                <w:szCs w:val="18"/>
                <w:color w:val="auto"/>
              </w:rPr>
            </w:pPr>
          </w:p>
        </w:tc>
        <w:tc>
          <w:tcPr>
            <w:tcW w:w="200" w:type="dxa"/>
            <w:vAlign w:val="bottom"/>
            <w:tcBorders>
              <w:bottom w:val="single" w:sz="8" w:color="DBDBDB"/>
            </w:tcBorders>
            <w:shd w:val="clear" w:color="auto" w:fill="DBDBDB"/>
          </w:tcPr>
          <w:p>
            <w:pPr>
              <w:spacing w:after="0"/>
              <w:rPr>
                <w:sz w:val="18"/>
                <w:szCs w:val="18"/>
                <w:color w:val="auto"/>
              </w:rPr>
            </w:pPr>
          </w:p>
        </w:tc>
        <w:tc>
          <w:tcPr>
            <w:tcW w:w="820" w:type="dxa"/>
            <w:vAlign w:val="bottom"/>
            <w:tcBorders>
              <w:bottom w:val="single" w:sz="8" w:color="DBDBDB"/>
            </w:tcBorders>
            <w:shd w:val="clear" w:color="auto" w:fill="DBDBDB"/>
          </w:tcPr>
          <w:p>
            <w:pPr>
              <w:jc w:val="right"/>
              <w:ind w:right="8"/>
              <w:spacing w:after="0"/>
              <w:rPr>
                <w:sz w:val="20"/>
                <w:szCs w:val="20"/>
                <w:color w:val="auto"/>
              </w:rPr>
            </w:pPr>
            <w:r>
              <w:rPr>
                <w:rFonts w:ascii="Times New Roman" w:cs="Times New Roman" w:eastAsia="Times New Roman" w:hAnsi="Times New Roman"/>
                <w:sz w:val="14"/>
                <w:szCs w:val="14"/>
                <w:color w:val="auto"/>
              </w:rPr>
              <w:t>(12,527)</w:t>
            </w:r>
          </w:p>
        </w:tc>
        <w:tc>
          <w:tcPr>
            <w:tcW w:w="160" w:type="dxa"/>
            <w:vAlign w:val="bottom"/>
            <w:tcBorders>
              <w:bottom w:val="single" w:sz="8" w:color="DBDBDB"/>
            </w:tcBorders>
            <w:shd w:val="clear" w:color="auto" w:fill="DBDBDB"/>
          </w:tcPr>
          <w:p>
            <w:pPr>
              <w:spacing w:after="0"/>
              <w:rPr>
                <w:sz w:val="18"/>
                <w:szCs w:val="18"/>
                <w:color w:val="auto"/>
              </w:rPr>
            </w:pPr>
          </w:p>
        </w:tc>
        <w:tc>
          <w:tcPr>
            <w:tcW w:w="760" w:type="dxa"/>
            <w:vAlign w:val="bottom"/>
            <w:tcBorders>
              <w:bottom w:val="single" w:sz="8" w:color="DBDBDB"/>
            </w:tcBorders>
            <w:shd w:val="clear" w:color="auto" w:fill="DBDBDB"/>
          </w:tcPr>
          <w:p>
            <w:pPr>
              <w:spacing w:after="0"/>
              <w:rPr>
                <w:sz w:val="18"/>
                <w:szCs w:val="18"/>
                <w:color w:val="auto"/>
              </w:rPr>
            </w:pPr>
          </w:p>
        </w:tc>
        <w:tc>
          <w:tcPr>
            <w:tcW w:w="1020" w:type="dxa"/>
            <w:vAlign w:val="bottom"/>
            <w:tcBorders>
              <w:bottom w:val="single" w:sz="8" w:color="DBDBDB"/>
            </w:tcBorders>
            <w:shd w:val="clear" w:color="auto" w:fill="DBDBDB"/>
          </w:tcPr>
          <w:p>
            <w:pPr>
              <w:spacing w:after="0"/>
              <w:rPr>
                <w:sz w:val="18"/>
                <w:szCs w:val="18"/>
                <w:color w:val="auto"/>
              </w:rPr>
            </w:pPr>
          </w:p>
        </w:tc>
        <w:tc>
          <w:tcPr>
            <w:tcW w:w="200" w:type="dxa"/>
            <w:vAlign w:val="bottom"/>
            <w:tcBorders>
              <w:bottom w:val="single" w:sz="8" w:color="DBDBDB"/>
            </w:tcBorders>
            <w:shd w:val="clear" w:color="auto" w:fill="DBDBDB"/>
          </w:tcPr>
          <w:p>
            <w:pPr>
              <w:spacing w:after="0"/>
              <w:rPr>
                <w:sz w:val="18"/>
                <w:szCs w:val="18"/>
                <w:color w:val="auto"/>
              </w:rPr>
            </w:pPr>
          </w:p>
        </w:tc>
        <w:tc>
          <w:tcPr>
            <w:tcW w:w="78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(11,595)</w:t>
            </w:r>
          </w:p>
        </w:tc>
        <w:tc>
          <w:tcPr>
            <w:tcW w:w="140" w:type="dxa"/>
            <w:vAlign w:val="bottom"/>
            <w:tcBorders>
              <w:bottom w:val="single" w:sz="8" w:color="DBDBDB"/>
            </w:tcBorders>
            <w:shd w:val="clear" w:color="auto" w:fill="DBDBDB"/>
          </w:tcPr>
          <w:p>
            <w:pPr>
              <w:spacing w:after="0"/>
              <w:rPr>
                <w:sz w:val="18"/>
                <w:szCs w:val="18"/>
                <w:color w:val="auto"/>
              </w:rPr>
            </w:pPr>
          </w:p>
        </w:tc>
        <w:tc>
          <w:tcPr>
            <w:tcW w:w="780" w:type="dxa"/>
            <w:vAlign w:val="bottom"/>
            <w:tcBorders>
              <w:bottom w:val="single" w:sz="8" w:color="DBDBDB"/>
            </w:tcBorders>
            <w:shd w:val="clear" w:color="auto" w:fill="DBDBDB"/>
          </w:tcPr>
          <w:p>
            <w:pPr>
              <w:spacing w:after="0"/>
              <w:rPr>
                <w:sz w:val="18"/>
                <w:szCs w:val="18"/>
                <w:color w:val="auto"/>
              </w:rPr>
            </w:pPr>
          </w:p>
        </w:tc>
        <w:tc>
          <w:tcPr>
            <w:tcW w:w="920" w:type="dxa"/>
            <w:vAlign w:val="bottom"/>
            <w:tcBorders>
              <w:bottom w:val="single" w:sz="8" w:color="DBDBDB"/>
            </w:tcBorders>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24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Total assets</w:t>
            </w:r>
          </w:p>
        </w:tc>
        <w:tc>
          <w:tcPr>
            <w:tcW w:w="16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2,419,608</w:t>
            </w:r>
          </w:p>
        </w:tc>
        <w:tc>
          <w:tcPr>
            <w:tcW w:w="18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2,586,078</w:t>
            </w:r>
          </w:p>
        </w:tc>
        <w:tc>
          <w:tcPr>
            <w:tcW w:w="16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2,333,992</w:t>
            </w:r>
          </w:p>
        </w:tc>
        <w:tc>
          <w:tcPr>
            <w:tcW w:w="14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4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460" w:type="dxa"/>
            <w:vAlign w:val="bottom"/>
            <w:shd w:val="clear" w:color="auto" w:fill="DBDBDB"/>
          </w:tcPr>
          <w:p>
            <w:pPr>
              <w:spacing w:after="0" w:line="196" w:lineRule="exact"/>
              <w:rPr>
                <w:sz w:val="20"/>
                <w:szCs w:val="20"/>
                <w:color w:val="auto"/>
              </w:rPr>
            </w:pPr>
            <w:r>
              <w:rPr>
                <w:rFonts w:ascii="Times New Roman" w:cs="Times New Roman" w:eastAsia="Times New Roman" w:hAnsi="Times New Roman"/>
                <w:sz w:val="14"/>
                <w:szCs w:val="14"/>
                <w:b w:val="1"/>
                <w:bCs w:val="1"/>
                <w:color w:val="auto"/>
              </w:rPr>
              <w:t xml:space="preserve">Liabilities and Shareholders’ Equity </w:t>
            </w:r>
            <w:r>
              <w:rPr>
                <w:rFonts w:ascii="Times New Roman" w:cs="Times New Roman" w:eastAsia="Times New Roman" w:hAnsi="Times New Roman"/>
                <w:sz w:val="18"/>
                <w:szCs w:val="18"/>
                <w:b w:val="1"/>
                <w:bCs w:val="1"/>
                <w:color w:val="auto"/>
                <w:vertAlign w:val="superscript"/>
              </w:rPr>
              <w:t>(1)</w:t>
            </w:r>
          </w:p>
        </w:tc>
        <w:tc>
          <w:tcPr>
            <w:tcW w:w="160" w:type="dxa"/>
            <w:vAlign w:val="bottom"/>
            <w:shd w:val="clear" w:color="auto" w:fill="DBDBDB"/>
          </w:tcPr>
          <w:p>
            <w:pPr>
              <w:spacing w:after="0"/>
              <w:rPr>
                <w:sz w:val="17"/>
                <w:szCs w:val="17"/>
                <w:color w:val="auto"/>
              </w:rPr>
            </w:pPr>
          </w:p>
        </w:tc>
        <w:tc>
          <w:tcPr>
            <w:tcW w:w="820" w:type="dxa"/>
            <w:vAlign w:val="bottom"/>
            <w:shd w:val="clear" w:color="auto" w:fill="DBDBDB"/>
          </w:tcPr>
          <w:p>
            <w:pPr>
              <w:spacing w:after="0"/>
              <w:rPr>
                <w:sz w:val="17"/>
                <w:szCs w:val="17"/>
                <w:color w:val="auto"/>
              </w:rPr>
            </w:pPr>
          </w:p>
        </w:tc>
        <w:tc>
          <w:tcPr>
            <w:tcW w:w="180" w:type="dxa"/>
            <w:vAlign w:val="bottom"/>
            <w:shd w:val="clear" w:color="auto" w:fill="DBDBDB"/>
          </w:tcPr>
          <w:p>
            <w:pPr>
              <w:spacing w:after="0"/>
              <w:rPr>
                <w:sz w:val="17"/>
                <w:szCs w:val="17"/>
                <w:color w:val="auto"/>
              </w:rPr>
            </w:pPr>
          </w:p>
        </w:tc>
        <w:tc>
          <w:tcPr>
            <w:tcW w:w="780" w:type="dxa"/>
            <w:vAlign w:val="bottom"/>
            <w:shd w:val="clear" w:color="auto" w:fill="DBDBDB"/>
          </w:tcPr>
          <w:p>
            <w:pPr>
              <w:spacing w:after="0"/>
              <w:rPr>
                <w:sz w:val="17"/>
                <w:szCs w:val="17"/>
                <w:color w:val="auto"/>
              </w:rPr>
            </w:pPr>
          </w:p>
        </w:tc>
        <w:tc>
          <w:tcPr>
            <w:tcW w:w="1000" w:type="dxa"/>
            <w:vAlign w:val="bottom"/>
            <w:shd w:val="clear" w:color="auto" w:fill="DBDBDB"/>
          </w:tcPr>
          <w:p>
            <w:pPr>
              <w:spacing w:after="0"/>
              <w:rPr>
                <w:sz w:val="17"/>
                <w:szCs w:val="17"/>
                <w:color w:val="auto"/>
              </w:rPr>
            </w:pPr>
          </w:p>
        </w:tc>
        <w:tc>
          <w:tcPr>
            <w:tcW w:w="200" w:type="dxa"/>
            <w:vAlign w:val="bottom"/>
            <w:shd w:val="clear" w:color="auto" w:fill="DBDBDB"/>
          </w:tcPr>
          <w:p>
            <w:pPr>
              <w:spacing w:after="0"/>
              <w:rPr>
                <w:sz w:val="17"/>
                <w:szCs w:val="17"/>
                <w:color w:val="auto"/>
              </w:rPr>
            </w:pPr>
          </w:p>
        </w:tc>
        <w:tc>
          <w:tcPr>
            <w:tcW w:w="820" w:type="dxa"/>
            <w:vAlign w:val="bottom"/>
            <w:shd w:val="clear" w:color="auto" w:fill="DBDBDB"/>
          </w:tcPr>
          <w:p>
            <w:pPr>
              <w:spacing w:after="0"/>
              <w:rPr>
                <w:sz w:val="17"/>
                <w:szCs w:val="17"/>
                <w:color w:val="auto"/>
              </w:rPr>
            </w:pPr>
          </w:p>
        </w:tc>
        <w:tc>
          <w:tcPr>
            <w:tcW w:w="160" w:type="dxa"/>
            <w:vAlign w:val="bottom"/>
            <w:shd w:val="clear" w:color="auto" w:fill="DBDBDB"/>
          </w:tcPr>
          <w:p>
            <w:pPr>
              <w:spacing w:after="0"/>
              <w:rPr>
                <w:sz w:val="17"/>
                <w:szCs w:val="17"/>
                <w:color w:val="auto"/>
              </w:rPr>
            </w:pPr>
          </w:p>
        </w:tc>
        <w:tc>
          <w:tcPr>
            <w:tcW w:w="760" w:type="dxa"/>
            <w:vAlign w:val="bottom"/>
            <w:shd w:val="clear" w:color="auto" w:fill="DBDBDB"/>
          </w:tcPr>
          <w:p>
            <w:pPr>
              <w:spacing w:after="0"/>
              <w:rPr>
                <w:sz w:val="17"/>
                <w:szCs w:val="17"/>
                <w:color w:val="auto"/>
              </w:rPr>
            </w:pPr>
          </w:p>
        </w:tc>
        <w:tc>
          <w:tcPr>
            <w:tcW w:w="1020" w:type="dxa"/>
            <w:vAlign w:val="bottom"/>
            <w:shd w:val="clear" w:color="auto" w:fill="DBDBDB"/>
          </w:tcPr>
          <w:p>
            <w:pPr>
              <w:spacing w:after="0"/>
              <w:rPr>
                <w:sz w:val="17"/>
                <w:szCs w:val="17"/>
                <w:color w:val="auto"/>
              </w:rPr>
            </w:pPr>
          </w:p>
        </w:tc>
        <w:tc>
          <w:tcPr>
            <w:tcW w:w="200" w:type="dxa"/>
            <w:vAlign w:val="bottom"/>
            <w:shd w:val="clear" w:color="auto" w:fill="DBDBDB"/>
          </w:tcPr>
          <w:p>
            <w:pPr>
              <w:spacing w:after="0"/>
              <w:rPr>
                <w:sz w:val="17"/>
                <w:szCs w:val="17"/>
                <w:color w:val="auto"/>
              </w:rPr>
            </w:pPr>
          </w:p>
        </w:tc>
        <w:tc>
          <w:tcPr>
            <w:tcW w:w="78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780" w:type="dxa"/>
            <w:vAlign w:val="bottom"/>
            <w:shd w:val="clear" w:color="auto" w:fill="DBDBDB"/>
          </w:tcPr>
          <w:p>
            <w:pPr>
              <w:spacing w:after="0"/>
              <w:rPr>
                <w:sz w:val="17"/>
                <w:szCs w:val="17"/>
                <w:color w:val="auto"/>
              </w:rPr>
            </w:pPr>
          </w:p>
        </w:tc>
        <w:tc>
          <w:tcPr>
            <w:tcW w:w="92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460" w:type="dxa"/>
            <w:vAlign w:val="bottom"/>
          </w:tcPr>
          <w:p>
            <w:pPr>
              <w:spacing w:after="0"/>
              <w:rPr>
                <w:sz w:val="20"/>
                <w:szCs w:val="20"/>
                <w:color w:val="auto"/>
              </w:rPr>
            </w:pPr>
            <w:r>
              <w:rPr>
                <w:rFonts w:ascii="Times New Roman" w:cs="Times New Roman" w:eastAsia="Times New Roman" w:hAnsi="Times New Roman"/>
                <w:sz w:val="14"/>
                <w:szCs w:val="14"/>
                <w:color w:val="auto"/>
              </w:rPr>
              <w:t>Interest-bearing liabilities</w:t>
            </w: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460" w:type="dxa"/>
            <w:vAlign w:val="bottom"/>
            <w:tcBorders>
              <w:bottom w:val="single" w:sz="8" w:color="DBDBDB"/>
            </w:tcBorders>
            <w:shd w:val="clear" w:color="auto" w:fill="DBDBDB"/>
          </w:tcPr>
          <w:p>
            <w:pPr>
              <w:ind w:left="120"/>
              <w:spacing w:after="0"/>
              <w:rPr>
                <w:sz w:val="20"/>
                <w:szCs w:val="20"/>
                <w:color w:val="auto"/>
              </w:rPr>
            </w:pPr>
            <w:r>
              <w:rPr>
                <w:rFonts w:ascii="Times New Roman" w:cs="Times New Roman" w:eastAsia="Times New Roman" w:hAnsi="Times New Roman"/>
                <w:sz w:val="14"/>
                <w:szCs w:val="14"/>
                <w:color w:val="auto"/>
              </w:rPr>
              <w:t>Interest-bearing demand deposits</w:t>
            </w:r>
          </w:p>
        </w:tc>
        <w:tc>
          <w:tcPr>
            <w:tcW w:w="160" w:type="dxa"/>
            <w:vAlign w:val="bottom"/>
            <w:tcBorders>
              <w:bottom w:val="single" w:sz="8" w:color="DBDBDB"/>
            </w:tcBorders>
            <w:shd w:val="clear" w:color="auto" w:fill="DBDBDB"/>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DBDBDB"/>
            </w:tcBorders>
            <w:shd w:val="clear" w:color="auto" w:fill="DBDBDB"/>
          </w:tcPr>
          <w:p>
            <w:pPr>
              <w:jc w:val="right"/>
              <w:ind w:right="48"/>
              <w:spacing w:after="0"/>
              <w:rPr>
                <w:sz w:val="20"/>
                <w:szCs w:val="20"/>
                <w:color w:val="auto"/>
              </w:rPr>
            </w:pPr>
            <w:r>
              <w:rPr>
                <w:rFonts w:ascii="Times New Roman" w:cs="Times New Roman" w:eastAsia="Times New Roman" w:hAnsi="Times New Roman"/>
                <w:sz w:val="14"/>
                <w:szCs w:val="14"/>
                <w:color w:val="auto"/>
              </w:rPr>
              <w:t>496,154</w:t>
            </w:r>
          </w:p>
        </w:tc>
        <w:tc>
          <w:tcPr>
            <w:tcW w:w="18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DBDBDB"/>
            </w:tcBorders>
            <w:shd w:val="clear" w:color="auto" w:fill="DBDBDB"/>
          </w:tcPr>
          <w:p>
            <w:pPr>
              <w:jc w:val="right"/>
              <w:ind w:right="68"/>
              <w:spacing w:after="0"/>
              <w:rPr>
                <w:sz w:val="20"/>
                <w:szCs w:val="20"/>
                <w:color w:val="auto"/>
              </w:rPr>
            </w:pPr>
            <w:r>
              <w:rPr>
                <w:rFonts w:ascii="Times New Roman" w:cs="Times New Roman" w:eastAsia="Times New Roman" w:hAnsi="Times New Roman"/>
                <w:sz w:val="14"/>
                <w:szCs w:val="14"/>
                <w:color w:val="auto"/>
              </w:rPr>
              <w:t>14,056</w:t>
            </w:r>
          </w:p>
        </w:tc>
        <w:tc>
          <w:tcPr>
            <w:tcW w:w="1000" w:type="dxa"/>
            <w:vAlign w:val="bottom"/>
            <w:tcBorders>
              <w:bottom w:val="single" w:sz="8" w:color="DBDBDB"/>
            </w:tcBorders>
            <w:shd w:val="clear" w:color="auto" w:fill="DBDBDB"/>
          </w:tcPr>
          <w:p>
            <w:pPr>
              <w:ind w:left="520"/>
              <w:spacing w:after="0"/>
              <w:rPr>
                <w:sz w:val="20"/>
                <w:szCs w:val="20"/>
                <w:color w:val="auto"/>
              </w:rPr>
            </w:pPr>
            <w:r>
              <w:rPr>
                <w:rFonts w:ascii="Times New Roman" w:cs="Times New Roman" w:eastAsia="Times New Roman" w:hAnsi="Times New Roman"/>
                <w:sz w:val="14"/>
                <w:szCs w:val="14"/>
                <w:color w:val="auto"/>
              </w:rPr>
              <w:t>2.83 %</w:t>
            </w:r>
          </w:p>
        </w:tc>
        <w:tc>
          <w:tcPr>
            <w:tcW w:w="2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DBDBDB"/>
            </w:tcBorders>
            <w:shd w:val="clear" w:color="auto" w:fill="DBDBDB"/>
          </w:tcPr>
          <w:p>
            <w:pPr>
              <w:jc w:val="right"/>
              <w:ind w:right="28"/>
              <w:spacing w:after="0"/>
              <w:rPr>
                <w:sz w:val="20"/>
                <w:szCs w:val="20"/>
                <w:color w:val="auto"/>
              </w:rPr>
            </w:pPr>
            <w:r>
              <w:rPr>
                <w:rFonts w:ascii="Times New Roman" w:cs="Times New Roman" w:eastAsia="Times New Roman" w:hAnsi="Times New Roman"/>
                <w:sz w:val="14"/>
                <w:szCs w:val="14"/>
                <w:color w:val="auto"/>
              </w:rPr>
              <w:t>549,054</w:t>
            </w:r>
          </w:p>
        </w:tc>
        <w:tc>
          <w:tcPr>
            <w:tcW w:w="16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DBDBDB"/>
            </w:tcBorders>
            <w:shd w:val="clear" w:color="auto" w:fill="DBDBDB"/>
          </w:tcPr>
          <w:p>
            <w:pPr>
              <w:jc w:val="right"/>
              <w:ind w:right="68"/>
              <w:spacing w:after="0"/>
              <w:rPr>
                <w:sz w:val="20"/>
                <w:szCs w:val="20"/>
                <w:color w:val="auto"/>
              </w:rPr>
            </w:pPr>
            <w:r>
              <w:rPr>
                <w:rFonts w:ascii="Times New Roman" w:cs="Times New Roman" w:eastAsia="Times New Roman" w:hAnsi="Times New Roman"/>
                <w:sz w:val="14"/>
                <w:szCs w:val="14"/>
                <w:color w:val="auto"/>
              </w:rPr>
              <w:t>3,118</w:t>
            </w:r>
          </w:p>
        </w:tc>
        <w:tc>
          <w:tcPr>
            <w:tcW w:w="1020" w:type="dxa"/>
            <w:vAlign w:val="bottom"/>
            <w:tcBorders>
              <w:bottom w:val="single" w:sz="8" w:color="DBDBDB"/>
            </w:tcBorders>
            <w:shd w:val="clear" w:color="auto" w:fill="DBDBDB"/>
          </w:tcPr>
          <w:p>
            <w:pPr>
              <w:jc w:val="right"/>
              <w:ind w:right="8"/>
              <w:spacing w:after="0"/>
              <w:rPr>
                <w:sz w:val="20"/>
                <w:szCs w:val="20"/>
                <w:color w:val="auto"/>
              </w:rPr>
            </w:pPr>
            <w:r>
              <w:rPr>
                <w:rFonts w:ascii="Times New Roman" w:cs="Times New Roman" w:eastAsia="Times New Roman" w:hAnsi="Times New Roman"/>
                <w:sz w:val="14"/>
                <w:szCs w:val="14"/>
                <w:color w:val="auto"/>
              </w:rPr>
              <w:t>0.57 %</w:t>
            </w:r>
          </w:p>
        </w:tc>
        <w:tc>
          <w:tcPr>
            <w:tcW w:w="200" w:type="dxa"/>
            <w:vAlign w:val="bottom"/>
            <w:tcBorders>
              <w:bottom w:val="single" w:sz="8" w:color="DBDBDB"/>
            </w:tcBorders>
            <w:shd w:val="clear" w:color="auto" w:fill="DBDBDB"/>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521,409</w:t>
            </w:r>
          </w:p>
        </w:tc>
        <w:tc>
          <w:tcPr>
            <w:tcW w:w="14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DBDBDB"/>
            </w:tcBorders>
            <w:shd w:val="clear" w:color="auto" w:fill="DBDBDB"/>
          </w:tcPr>
          <w:p>
            <w:pPr>
              <w:jc w:val="right"/>
              <w:ind w:right="48"/>
              <w:spacing w:after="0"/>
              <w:rPr>
                <w:sz w:val="20"/>
                <w:szCs w:val="20"/>
                <w:color w:val="auto"/>
              </w:rPr>
            </w:pPr>
            <w:r>
              <w:rPr>
                <w:rFonts w:ascii="Times New Roman" w:cs="Times New Roman" w:eastAsia="Times New Roman" w:hAnsi="Times New Roman"/>
                <w:sz w:val="14"/>
                <w:szCs w:val="14"/>
                <w:color w:val="auto"/>
              </w:rPr>
              <w:t>582</w:t>
            </w:r>
          </w:p>
        </w:tc>
        <w:tc>
          <w:tcPr>
            <w:tcW w:w="92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0.11 %</w:t>
            </w:r>
          </w:p>
        </w:tc>
        <w:tc>
          <w:tcPr>
            <w:tcW w:w="0" w:type="dxa"/>
            <w:vAlign w:val="bottom"/>
          </w:tcPr>
          <w:p>
            <w:pPr>
              <w:spacing w:after="0"/>
              <w:rPr>
                <w:sz w:val="1"/>
                <w:szCs w:val="1"/>
                <w:color w:val="auto"/>
              </w:rPr>
            </w:pPr>
          </w:p>
        </w:tc>
      </w:tr>
      <w:tr>
        <w:trPr>
          <w:trHeight w:val="193"/>
        </w:trPr>
        <w:tc>
          <w:tcPr>
            <w:tcW w:w="24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Savings deposits</w:t>
            </w:r>
          </w:p>
        </w:tc>
        <w:tc>
          <w:tcPr>
            <w:tcW w:w="160" w:type="dxa"/>
            <w:vAlign w:val="bottom"/>
          </w:tcPr>
          <w:p>
            <w:pPr>
              <w:spacing w:after="0"/>
              <w:rPr>
                <w:sz w:val="16"/>
                <w:szCs w:val="16"/>
                <w:color w:val="auto"/>
              </w:rPr>
            </w:pPr>
          </w:p>
        </w:tc>
        <w:tc>
          <w:tcPr>
            <w:tcW w:w="8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7,162</w:t>
            </w:r>
          </w:p>
        </w:tc>
        <w:tc>
          <w:tcPr>
            <w:tcW w:w="180" w:type="dxa"/>
            <w:vAlign w:val="bottom"/>
          </w:tcPr>
          <w:p>
            <w:pPr>
              <w:spacing w:after="0"/>
              <w:rPr>
                <w:sz w:val="16"/>
                <w:szCs w:val="16"/>
                <w:color w:val="auto"/>
              </w:rPr>
            </w:pPr>
          </w:p>
        </w:tc>
        <w:tc>
          <w:tcPr>
            <w:tcW w:w="7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113</w:t>
            </w:r>
          </w:p>
        </w:tc>
        <w:tc>
          <w:tcPr>
            <w:tcW w:w="100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1.58</w:t>
            </w:r>
          </w:p>
        </w:tc>
        <w:tc>
          <w:tcPr>
            <w:tcW w:w="200" w:type="dxa"/>
            <w:vAlign w:val="bottom"/>
          </w:tcPr>
          <w:p>
            <w:pPr>
              <w:spacing w:after="0"/>
              <w:rPr>
                <w:sz w:val="16"/>
                <w:szCs w:val="16"/>
                <w:color w:val="auto"/>
              </w:rPr>
            </w:pPr>
          </w:p>
        </w:tc>
        <w:tc>
          <w:tcPr>
            <w:tcW w:w="8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13,288</w:t>
            </w:r>
          </w:p>
        </w:tc>
        <w:tc>
          <w:tcPr>
            <w:tcW w:w="160" w:type="dxa"/>
            <w:vAlign w:val="bottom"/>
          </w:tcPr>
          <w:p>
            <w:pPr>
              <w:spacing w:after="0"/>
              <w:rPr>
                <w:sz w:val="16"/>
                <w:szCs w:val="16"/>
                <w:color w:val="auto"/>
              </w:rPr>
            </w:pPr>
          </w:p>
        </w:tc>
        <w:tc>
          <w:tcPr>
            <w:tcW w:w="7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38</w:t>
            </w:r>
          </w:p>
        </w:tc>
        <w:tc>
          <w:tcPr>
            <w:tcW w:w="10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0.29</w:t>
            </w: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18,398</w:t>
            </w:r>
          </w:p>
        </w:tc>
        <w:tc>
          <w:tcPr>
            <w:tcW w:w="140" w:type="dxa"/>
            <w:vAlign w:val="bottom"/>
          </w:tcPr>
          <w:p>
            <w:pPr>
              <w:spacing w:after="0"/>
              <w:rPr>
                <w:sz w:val="16"/>
                <w:szCs w:val="16"/>
                <w:color w:val="auto"/>
              </w:rPr>
            </w:pPr>
          </w:p>
        </w:tc>
        <w:tc>
          <w:tcPr>
            <w:tcW w:w="7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9</w:t>
            </w:r>
          </w:p>
        </w:tc>
        <w:tc>
          <w:tcPr>
            <w:tcW w:w="9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0.05</w:t>
            </w:r>
          </w:p>
        </w:tc>
        <w:tc>
          <w:tcPr>
            <w:tcW w:w="0" w:type="dxa"/>
            <w:vAlign w:val="bottom"/>
          </w:tcPr>
          <w:p>
            <w:pPr>
              <w:spacing w:after="0"/>
              <w:rPr>
                <w:sz w:val="1"/>
                <w:szCs w:val="1"/>
                <w:color w:val="auto"/>
              </w:rPr>
            </w:pPr>
          </w:p>
        </w:tc>
      </w:tr>
      <w:tr>
        <w:trPr>
          <w:trHeight w:val="23"/>
        </w:trPr>
        <w:tc>
          <w:tcPr>
            <w:tcW w:w="2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460" w:type="dxa"/>
            <w:vAlign w:val="bottom"/>
            <w:tcBorders>
              <w:bottom w:val="single" w:sz="8" w:color="DBDBDB"/>
            </w:tcBorders>
            <w:shd w:val="clear" w:color="auto" w:fill="DBDBDB"/>
          </w:tcPr>
          <w:p>
            <w:pPr>
              <w:ind w:left="120"/>
              <w:spacing w:after="0"/>
              <w:rPr>
                <w:sz w:val="20"/>
                <w:szCs w:val="20"/>
                <w:color w:val="auto"/>
              </w:rPr>
            </w:pPr>
            <w:r>
              <w:rPr>
                <w:rFonts w:ascii="Times New Roman" w:cs="Times New Roman" w:eastAsia="Times New Roman" w:hAnsi="Times New Roman"/>
                <w:sz w:val="14"/>
                <w:szCs w:val="14"/>
                <w:color w:val="auto"/>
              </w:rPr>
              <w:t>Time deposits &gt;=$250</w:t>
            </w:r>
          </w:p>
        </w:tc>
        <w:tc>
          <w:tcPr>
            <w:tcW w:w="160" w:type="dxa"/>
            <w:vAlign w:val="bottom"/>
            <w:tcBorders>
              <w:bottom w:val="single" w:sz="8" w:color="DBDBDB"/>
            </w:tcBorders>
            <w:shd w:val="clear" w:color="auto" w:fill="DBDBDB"/>
          </w:tcPr>
          <w:p>
            <w:pPr>
              <w:spacing w:after="0"/>
              <w:rPr>
                <w:sz w:val="17"/>
                <w:szCs w:val="17"/>
                <w:color w:val="auto"/>
              </w:rPr>
            </w:pPr>
          </w:p>
        </w:tc>
        <w:tc>
          <w:tcPr>
            <w:tcW w:w="820" w:type="dxa"/>
            <w:vAlign w:val="bottom"/>
            <w:tcBorders>
              <w:bottom w:val="single" w:sz="8" w:color="DBDBDB"/>
            </w:tcBorders>
            <w:shd w:val="clear" w:color="auto" w:fill="DBDBDB"/>
          </w:tcPr>
          <w:p>
            <w:pPr>
              <w:jc w:val="right"/>
              <w:ind w:right="48"/>
              <w:spacing w:after="0"/>
              <w:rPr>
                <w:sz w:val="20"/>
                <w:szCs w:val="20"/>
                <w:color w:val="auto"/>
              </w:rPr>
            </w:pPr>
            <w:r>
              <w:rPr>
                <w:rFonts w:ascii="Times New Roman" w:cs="Times New Roman" w:eastAsia="Times New Roman" w:hAnsi="Times New Roman"/>
                <w:sz w:val="14"/>
                <w:szCs w:val="14"/>
                <w:color w:val="auto"/>
              </w:rPr>
              <w:t>23,912</w:t>
            </w:r>
          </w:p>
        </w:tc>
        <w:tc>
          <w:tcPr>
            <w:tcW w:w="180" w:type="dxa"/>
            <w:vAlign w:val="bottom"/>
            <w:tcBorders>
              <w:bottom w:val="single" w:sz="8" w:color="DBDBDB"/>
            </w:tcBorders>
            <w:shd w:val="clear" w:color="auto" w:fill="DBDBDB"/>
          </w:tcPr>
          <w:p>
            <w:pPr>
              <w:spacing w:after="0"/>
              <w:rPr>
                <w:sz w:val="17"/>
                <w:szCs w:val="17"/>
                <w:color w:val="auto"/>
              </w:rPr>
            </w:pPr>
          </w:p>
        </w:tc>
        <w:tc>
          <w:tcPr>
            <w:tcW w:w="780" w:type="dxa"/>
            <w:vAlign w:val="bottom"/>
            <w:tcBorders>
              <w:bottom w:val="single" w:sz="8" w:color="DBDBDB"/>
            </w:tcBorders>
            <w:shd w:val="clear" w:color="auto" w:fill="DBDBDB"/>
          </w:tcPr>
          <w:p>
            <w:pPr>
              <w:jc w:val="right"/>
              <w:ind w:right="68"/>
              <w:spacing w:after="0"/>
              <w:rPr>
                <w:sz w:val="20"/>
                <w:szCs w:val="20"/>
                <w:color w:val="auto"/>
              </w:rPr>
            </w:pPr>
            <w:r>
              <w:rPr>
                <w:rFonts w:ascii="Times New Roman" w:cs="Times New Roman" w:eastAsia="Times New Roman" w:hAnsi="Times New Roman"/>
                <w:sz w:val="14"/>
                <w:szCs w:val="14"/>
                <w:color w:val="auto"/>
              </w:rPr>
              <w:t>705</w:t>
            </w:r>
          </w:p>
        </w:tc>
        <w:tc>
          <w:tcPr>
            <w:tcW w:w="1000" w:type="dxa"/>
            <w:vAlign w:val="bottom"/>
            <w:tcBorders>
              <w:bottom w:val="single" w:sz="8" w:color="DBDBDB"/>
            </w:tcBorders>
            <w:shd w:val="clear" w:color="auto" w:fill="DBDBDB"/>
          </w:tcPr>
          <w:p>
            <w:pPr>
              <w:ind w:left="520"/>
              <w:spacing w:after="0"/>
              <w:rPr>
                <w:sz w:val="20"/>
                <w:szCs w:val="20"/>
                <w:color w:val="auto"/>
              </w:rPr>
            </w:pPr>
            <w:r>
              <w:rPr>
                <w:rFonts w:ascii="Times New Roman" w:cs="Times New Roman" w:eastAsia="Times New Roman" w:hAnsi="Times New Roman"/>
                <w:sz w:val="14"/>
                <w:szCs w:val="14"/>
                <w:color w:val="auto"/>
              </w:rPr>
              <w:t>2.95</w:t>
            </w:r>
          </w:p>
        </w:tc>
        <w:tc>
          <w:tcPr>
            <w:tcW w:w="200" w:type="dxa"/>
            <w:vAlign w:val="bottom"/>
            <w:tcBorders>
              <w:bottom w:val="single" w:sz="8" w:color="DBDBDB"/>
            </w:tcBorders>
            <w:shd w:val="clear" w:color="auto" w:fill="DBDBDB"/>
          </w:tcPr>
          <w:p>
            <w:pPr>
              <w:spacing w:after="0"/>
              <w:rPr>
                <w:sz w:val="17"/>
                <w:szCs w:val="17"/>
                <w:color w:val="auto"/>
              </w:rPr>
            </w:pPr>
          </w:p>
        </w:tc>
        <w:tc>
          <w:tcPr>
            <w:tcW w:w="820" w:type="dxa"/>
            <w:vAlign w:val="bottom"/>
            <w:tcBorders>
              <w:bottom w:val="single" w:sz="8" w:color="DBDBDB"/>
            </w:tcBorders>
            <w:shd w:val="clear" w:color="auto" w:fill="DBDBDB"/>
          </w:tcPr>
          <w:p>
            <w:pPr>
              <w:jc w:val="right"/>
              <w:ind w:right="28"/>
              <w:spacing w:after="0"/>
              <w:rPr>
                <w:sz w:val="20"/>
                <w:szCs w:val="20"/>
                <w:color w:val="auto"/>
              </w:rPr>
            </w:pPr>
            <w:r>
              <w:rPr>
                <w:rFonts w:ascii="Times New Roman" w:cs="Times New Roman" w:eastAsia="Times New Roman" w:hAnsi="Times New Roman"/>
                <w:sz w:val="14"/>
                <w:szCs w:val="14"/>
                <w:color w:val="auto"/>
              </w:rPr>
              <w:t>18,272</w:t>
            </w:r>
          </w:p>
        </w:tc>
        <w:tc>
          <w:tcPr>
            <w:tcW w:w="160" w:type="dxa"/>
            <w:vAlign w:val="bottom"/>
            <w:tcBorders>
              <w:bottom w:val="single" w:sz="8" w:color="DBDBDB"/>
            </w:tcBorders>
            <w:shd w:val="clear" w:color="auto" w:fill="DBDBDB"/>
          </w:tcPr>
          <w:p>
            <w:pPr>
              <w:spacing w:after="0"/>
              <w:rPr>
                <w:sz w:val="17"/>
                <w:szCs w:val="17"/>
                <w:color w:val="auto"/>
              </w:rPr>
            </w:pPr>
          </w:p>
        </w:tc>
        <w:tc>
          <w:tcPr>
            <w:tcW w:w="760" w:type="dxa"/>
            <w:vAlign w:val="bottom"/>
            <w:tcBorders>
              <w:bottom w:val="single" w:sz="8" w:color="DBDBDB"/>
            </w:tcBorders>
            <w:shd w:val="clear" w:color="auto" w:fill="DBDBDB"/>
          </w:tcPr>
          <w:p>
            <w:pPr>
              <w:jc w:val="right"/>
              <w:ind w:right="68"/>
              <w:spacing w:after="0"/>
              <w:rPr>
                <w:sz w:val="20"/>
                <w:szCs w:val="20"/>
                <w:color w:val="auto"/>
              </w:rPr>
            </w:pPr>
            <w:r>
              <w:rPr>
                <w:rFonts w:ascii="Times New Roman" w:cs="Times New Roman" w:eastAsia="Times New Roman" w:hAnsi="Times New Roman"/>
                <w:sz w:val="14"/>
                <w:szCs w:val="14"/>
                <w:color w:val="auto"/>
              </w:rPr>
              <w:t>181</w:t>
            </w:r>
          </w:p>
        </w:tc>
        <w:tc>
          <w:tcPr>
            <w:tcW w:w="1020" w:type="dxa"/>
            <w:vAlign w:val="bottom"/>
            <w:tcBorders>
              <w:bottom w:val="single" w:sz="8" w:color="DBDBDB"/>
            </w:tcBorders>
            <w:shd w:val="clear" w:color="auto" w:fill="DBDBDB"/>
          </w:tcPr>
          <w:p>
            <w:pPr>
              <w:jc w:val="right"/>
              <w:ind w:right="168"/>
              <w:spacing w:after="0"/>
              <w:rPr>
                <w:sz w:val="20"/>
                <w:szCs w:val="20"/>
                <w:color w:val="auto"/>
              </w:rPr>
            </w:pPr>
            <w:r>
              <w:rPr>
                <w:rFonts w:ascii="Times New Roman" w:cs="Times New Roman" w:eastAsia="Times New Roman" w:hAnsi="Times New Roman"/>
                <w:sz w:val="14"/>
                <w:szCs w:val="14"/>
                <w:color w:val="auto"/>
              </w:rPr>
              <w:t>0.99</w:t>
            </w:r>
          </w:p>
        </w:tc>
        <w:tc>
          <w:tcPr>
            <w:tcW w:w="200" w:type="dxa"/>
            <w:vAlign w:val="bottom"/>
            <w:tcBorders>
              <w:bottom w:val="single" w:sz="8" w:color="DBDBDB"/>
            </w:tcBorders>
            <w:shd w:val="clear" w:color="auto" w:fill="DBDBDB"/>
          </w:tcPr>
          <w:p>
            <w:pPr>
              <w:spacing w:after="0"/>
              <w:rPr>
                <w:sz w:val="17"/>
                <w:szCs w:val="17"/>
                <w:color w:val="auto"/>
              </w:rPr>
            </w:pPr>
          </w:p>
        </w:tc>
        <w:tc>
          <w:tcPr>
            <w:tcW w:w="78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14,576</w:t>
            </w:r>
          </w:p>
        </w:tc>
        <w:tc>
          <w:tcPr>
            <w:tcW w:w="140" w:type="dxa"/>
            <w:vAlign w:val="bottom"/>
            <w:tcBorders>
              <w:bottom w:val="single" w:sz="8" w:color="DBDBDB"/>
            </w:tcBorders>
            <w:shd w:val="clear" w:color="auto" w:fill="DBDBDB"/>
          </w:tcPr>
          <w:p>
            <w:pPr>
              <w:spacing w:after="0"/>
              <w:rPr>
                <w:sz w:val="17"/>
                <w:szCs w:val="17"/>
                <w:color w:val="auto"/>
              </w:rPr>
            </w:pPr>
          </w:p>
        </w:tc>
        <w:tc>
          <w:tcPr>
            <w:tcW w:w="780" w:type="dxa"/>
            <w:vAlign w:val="bottom"/>
            <w:tcBorders>
              <w:bottom w:val="single" w:sz="8" w:color="DBDBDB"/>
            </w:tcBorders>
            <w:shd w:val="clear" w:color="auto" w:fill="DBDBDB"/>
          </w:tcPr>
          <w:p>
            <w:pPr>
              <w:jc w:val="right"/>
              <w:ind w:right="48"/>
              <w:spacing w:after="0"/>
              <w:rPr>
                <w:sz w:val="20"/>
                <w:szCs w:val="20"/>
                <w:color w:val="auto"/>
              </w:rPr>
            </w:pPr>
            <w:r>
              <w:rPr>
                <w:rFonts w:ascii="Times New Roman" w:cs="Times New Roman" w:eastAsia="Times New Roman" w:hAnsi="Times New Roman"/>
                <w:sz w:val="14"/>
                <w:szCs w:val="14"/>
                <w:color w:val="auto"/>
              </w:rPr>
              <w:t>139</w:t>
            </w:r>
          </w:p>
        </w:tc>
        <w:tc>
          <w:tcPr>
            <w:tcW w:w="920" w:type="dxa"/>
            <w:vAlign w:val="bottom"/>
            <w:tcBorders>
              <w:bottom w:val="single" w:sz="8" w:color="DBDBDB"/>
            </w:tcBorders>
            <w:shd w:val="clear" w:color="auto" w:fill="DBDBDB"/>
          </w:tcPr>
          <w:p>
            <w:pPr>
              <w:jc w:val="right"/>
              <w:ind w:right="108"/>
              <w:spacing w:after="0"/>
              <w:rPr>
                <w:sz w:val="20"/>
                <w:szCs w:val="20"/>
                <w:color w:val="auto"/>
              </w:rPr>
            </w:pPr>
            <w:r>
              <w:rPr>
                <w:rFonts w:ascii="Times New Roman" w:cs="Times New Roman" w:eastAsia="Times New Roman" w:hAnsi="Times New Roman"/>
                <w:sz w:val="14"/>
                <w:szCs w:val="14"/>
                <w:color w:val="auto"/>
              </w:rPr>
              <w:t>0.95</w:t>
            </w:r>
          </w:p>
        </w:tc>
        <w:tc>
          <w:tcPr>
            <w:tcW w:w="0" w:type="dxa"/>
            <w:vAlign w:val="bottom"/>
          </w:tcPr>
          <w:p>
            <w:pPr>
              <w:spacing w:after="0"/>
              <w:rPr>
                <w:sz w:val="1"/>
                <w:szCs w:val="1"/>
                <w:color w:val="auto"/>
              </w:rPr>
            </w:pPr>
          </w:p>
        </w:tc>
      </w:tr>
      <w:tr>
        <w:trPr>
          <w:trHeight w:val="193"/>
        </w:trPr>
        <w:tc>
          <w:tcPr>
            <w:tcW w:w="24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Other time deposits</w:t>
            </w:r>
          </w:p>
        </w:tc>
        <w:tc>
          <w:tcPr>
            <w:tcW w:w="160" w:type="dxa"/>
            <w:vAlign w:val="bottom"/>
          </w:tcPr>
          <w:p>
            <w:pPr>
              <w:spacing w:after="0"/>
              <w:rPr>
                <w:sz w:val="16"/>
                <w:szCs w:val="16"/>
                <w:color w:val="auto"/>
              </w:rPr>
            </w:pPr>
          </w:p>
        </w:tc>
        <w:tc>
          <w:tcPr>
            <w:tcW w:w="8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43,839</w:t>
            </w:r>
          </w:p>
        </w:tc>
        <w:tc>
          <w:tcPr>
            <w:tcW w:w="180" w:type="dxa"/>
            <w:vAlign w:val="bottom"/>
          </w:tcPr>
          <w:p>
            <w:pPr>
              <w:spacing w:after="0"/>
              <w:rPr>
                <w:sz w:val="16"/>
                <w:szCs w:val="16"/>
                <w:color w:val="auto"/>
              </w:rPr>
            </w:pPr>
          </w:p>
        </w:tc>
        <w:tc>
          <w:tcPr>
            <w:tcW w:w="7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1,276</w:t>
            </w:r>
          </w:p>
        </w:tc>
        <w:tc>
          <w:tcPr>
            <w:tcW w:w="100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2.91</w:t>
            </w:r>
          </w:p>
        </w:tc>
        <w:tc>
          <w:tcPr>
            <w:tcW w:w="200" w:type="dxa"/>
            <w:vAlign w:val="bottom"/>
          </w:tcPr>
          <w:p>
            <w:pPr>
              <w:spacing w:after="0"/>
              <w:rPr>
                <w:sz w:val="16"/>
                <w:szCs w:val="16"/>
                <w:color w:val="auto"/>
              </w:rPr>
            </w:pPr>
          </w:p>
        </w:tc>
        <w:tc>
          <w:tcPr>
            <w:tcW w:w="8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22,637</w:t>
            </w:r>
          </w:p>
        </w:tc>
        <w:tc>
          <w:tcPr>
            <w:tcW w:w="160" w:type="dxa"/>
            <w:vAlign w:val="bottom"/>
          </w:tcPr>
          <w:p>
            <w:pPr>
              <w:spacing w:after="0"/>
              <w:rPr>
                <w:sz w:val="16"/>
                <w:szCs w:val="16"/>
                <w:color w:val="auto"/>
              </w:rPr>
            </w:pPr>
          </w:p>
        </w:tc>
        <w:tc>
          <w:tcPr>
            <w:tcW w:w="7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145</w:t>
            </w:r>
          </w:p>
        </w:tc>
        <w:tc>
          <w:tcPr>
            <w:tcW w:w="10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0.64</w:t>
            </w: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37,676</w:t>
            </w:r>
          </w:p>
        </w:tc>
        <w:tc>
          <w:tcPr>
            <w:tcW w:w="140" w:type="dxa"/>
            <w:vAlign w:val="bottom"/>
          </w:tcPr>
          <w:p>
            <w:pPr>
              <w:spacing w:after="0"/>
              <w:rPr>
                <w:sz w:val="16"/>
                <w:szCs w:val="16"/>
                <w:color w:val="auto"/>
              </w:rPr>
            </w:pPr>
          </w:p>
        </w:tc>
        <w:tc>
          <w:tcPr>
            <w:tcW w:w="7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441</w:t>
            </w:r>
          </w:p>
        </w:tc>
        <w:tc>
          <w:tcPr>
            <w:tcW w:w="9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1.17</w:t>
            </w:r>
          </w:p>
        </w:tc>
        <w:tc>
          <w:tcPr>
            <w:tcW w:w="0" w:type="dxa"/>
            <w:vAlign w:val="bottom"/>
          </w:tcPr>
          <w:p>
            <w:pPr>
              <w:spacing w:after="0"/>
              <w:rPr>
                <w:sz w:val="1"/>
                <w:szCs w:val="1"/>
                <w:color w:val="auto"/>
              </w:rPr>
            </w:pPr>
          </w:p>
        </w:tc>
      </w:tr>
      <w:tr>
        <w:trPr>
          <w:trHeight w:val="23"/>
        </w:trPr>
        <w:tc>
          <w:tcPr>
            <w:tcW w:w="24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2460" w:type="dxa"/>
            <w:vAlign w:val="bottom"/>
            <w:tcBorders>
              <w:bottom w:val="single" w:sz="8" w:color="DBDBDB"/>
            </w:tcBorders>
            <w:shd w:val="clear" w:color="auto" w:fill="DBDBDB"/>
          </w:tcPr>
          <w:p>
            <w:pPr>
              <w:spacing w:after="0"/>
              <w:rPr>
                <w:sz w:val="20"/>
                <w:szCs w:val="20"/>
                <w:color w:val="auto"/>
              </w:rPr>
            </w:pPr>
            <w:r>
              <w:rPr>
                <w:rFonts w:ascii="Times New Roman" w:cs="Times New Roman" w:eastAsia="Times New Roman" w:hAnsi="Times New Roman"/>
                <w:sz w:val="14"/>
                <w:szCs w:val="14"/>
                <w:color w:val="auto"/>
              </w:rPr>
              <w:t>Total interest-bearing deposits</w:t>
            </w:r>
          </w:p>
        </w:tc>
        <w:tc>
          <w:tcPr>
            <w:tcW w:w="160" w:type="dxa"/>
            <w:vAlign w:val="bottom"/>
            <w:tcBorders>
              <w:bottom w:val="single" w:sz="8" w:color="DBDBDB"/>
            </w:tcBorders>
            <w:shd w:val="clear" w:color="auto" w:fill="DBDBDB"/>
          </w:tcPr>
          <w:p>
            <w:pPr>
              <w:spacing w:after="0"/>
              <w:rPr>
                <w:sz w:val="16"/>
                <w:szCs w:val="16"/>
                <w:color w:val="auto"/>
              </w:rPr>
            </w:pPr>
          </w:p>
        </w:tc>
        <w:tc>
          <w:tcPr>
            <w:tcW w:w="820" w:type="dxa"/>
            <w:vAlign w:val="bottom"/>
            <w:tcBorders>
              <w:bottom w:val="single" w:sz="8" w:color="DBDBDB"/>
            </w:tcBorders>
            <w:shd w:val="clear" w:color="auto" w:fill="DBDBDB"/>
          </w:tcPr>
          <w:p>
            <w:pPr>
              <w:jc w:val="right"/>
              <w:ind w:right="48"/>
              <w:spacing w:after="0"/>
              <w:rPr>
                <w:sz w:val="20"/>
                <w:szCs w:val="20"/>
                <w:color w:val="auto"/>
              </w:rPr>
            </w:pPr>
            <w:r>
              <w:rPr>
                <w:rFonts w:ascii="Times New Roman" w:cs="Times New Roman" w:eastAsia="Times New Roman" w:hAnsi="Times New Roman"/>
                <w:sz w:val="14"/>
                <w:szCs w:val="14"/>
                <w:color w:val="auto"/>
              </w:rPr>
              <w:t>571,067</w:t>
            </w:r>
          </w:p>
        </w:tc>
        <w:tc>
          <w:tcPr>
            <w:tcW w:w="180" w:type="dxa"/>
            <w:vAlign w:val="bottom"/>
            <w:tcBorders>
              <w:bottom w:val="single" w:sz="8" w:color="DBDBDB"/>
            </w:tcBorders>
            <w:shd w:val="clear" w:color="auto" w:fill="DBDBDB"/>
          </w:tcPr>
          <w:p>
            <w:pPr>
              <w:spacing w:after="0"/>
              <w:rPr>
                <w:sz w:val="16"/>
                <w:szCs w:val="16"/>
                <w:color w:val="auto"/>
              </w:rPr>
            </w:pPr>
          </w:p>
        </w:tc>
        <w:tc>
          <w:tcPr>
            <w:tcW w:w="780" w:type="dxa"/>
            <w:vAlign w:val="bottom"/>
            <w:tcBorders>
              <w:bottom w:val="single" w:sz="8" w:color="DBDBDB"/>
            </w:tcBorders>
            <w:shd w:val="clear" w:color="auto" w:fill="DBDBDB"/>
          </w:tcPr>
          <w:p>
            <w:pPr>
              <w:jc w:val="right"/>
              <w:ind w:right="68"/>
              <w:spacing w:after="0"/>
              <w:rPr>
                <w:sz w:val="20"/>
                <w:szCs w:val="20"/>
                <w:color w:val="auto"/>
              </w:rPr>
            </w:pPr>
            <w:r>
              <w:rPr>
                <w:rFonts w:ascii="Times New Roman" w:cs="Times New Roman" w:eastAsia="Times New Roman" w:hAnsi="Times New Roman"/>
                <w:sz w:val="14"/>
                <w:szCs w:val="14"/>
                <w:color w:val="auto"/>
              </w:rPr>
              <w:t>16,150</w:t>
            </w:r>
          </w:p>
        </w:tc>
        <w:tc>
          <w:tcPr>
            <w:tcW w:w="1000" w:type="dxa"/>
            <w:vAlign w:val="bottom"/>
            <w:tcBorders>
              <w:bottom w:val="single" w:sz="8" w:color="DBDBDB"/>
            </w:tcBorders>
            <w:shd w:val="clear" w:color="auto" w:fill="DBDBDB"/>
          </w:tcPr>
          <w:p>
            <w:pPr>
              <w:ind w:left="520"/>
              <w:spacing w:after="0"/>
              <w:rPr>
                <w:sz w:val="20"/>
                <w:szCs w:val="20"/>
                <w:color w:val="auto"/>
              </w:rPr>
            </w:pPr>
            <w:r>
              <w:rPr>
                <w:rFonts w:ascii="Times New Roman" w:cs="Times New Roman" w:eastAsia="Times New Roman" w:hAnsi="Times New Roman"/>
                <w:sz w:val="14"/>
                <w:szCs w:val="14"/>
                <w:color w:val="auto"/>
              </w:rPr>
              <w:t>2.83</w:t>
            </w:r>
          </w:p>
        </w:tc>
        <w:tc>
          <w:tcPr>
            <w:tcW w:w="200" w:type="dxa"/>
            <w:vAlign w:val="bottom"/>
            <w:tcBorders>
              <w:bottom w:val="single" w:sz="8" w:color="DBDBDB"/>
            </w:tcBorders>
            <w:shd w:val="clear" w:color="auto" w:fill="DBDBDB"/>
          </w:tcPr>
          <w:p>
            <w:pPr>
              <w:spacing w:after="0"/>
              <w:rPr>
                <w:sz w:val="16"/>
                <w:szCs w:val="16"/>
                <w:color w:val="auto"/>
              </w:rPr>
            </w:pPr>
          </w:p>
        </w:tc>
        <w:tc>
          <w:tcPr>
            <w:tcW w:w="820" w:type="dxa"/>
            <w:vAlign w:val="bottom"/>
            <w:tcBorders>
              <w:bottom w:val="single" w:sz="8" w:color="DBDBDB"/>
            </w:tcBorders>
            <w:shd w:val="clear" w:color="auto" w:fill="DBDBDB"/>
          </w:tcPr>
          <w:p>
            <w:pPr>
              <w:jc w:val="right"/>
              <w:ind w:right="28"/>
              <w:spacing w:after="0"/>
              <w:rPr>
                <w:sz w:val="20"/>
                <w:szCs w:val="20"/>
                <w:color w:val="auto"/>
              </w:rPr>
            </w:pPr>
            <w:r>
              <w:rPr>
                <w:rFonts w:ascii="Times New Roman" w:cs="Times New Roman" w:eastAsia="Times New Roman" w:hAnsi="Times New Roman"/>
                <w:sz w:val="14"/>
                <w:szCs w:val="14"/>
                <w:color w:val="auto"/>
              </w:rPr>
              <w:t>603,251</w:t>
            </w:r>
          </w:p>
        </w:tc>
        <w:tc>
          <w:tcPr>
            <w:tcW w:w="160" w:type="dxa"/>
            <w:vAlign w:val="bottom"/>
            <w:tcBorders>
              <w:bottom w:val="single" w:sz="8" w:color="DBDBDB"/>
            </w:tcBorders>
            <w:shd w:val="clear" w:color="auto" w:fill="DBDBDB"/>
          </w:tcPr>
          <w:p>
            <w:pPr>
              <w:spacing w:after="0"/>
              <w:rPr>
                <w:sz w:val="16"/>
                <w:szCs w:val="16"/>
                <w:color w:val="auto"/>
              </w:rPr>
            </w:pPr>
          </w:p>
        </w:tc>
        <w:tc>
          <w:tcPr>
            <w:tcW w:w="760" w:type="dxa"/>
            <w:vAlign w:val="bottom"/>
            <w:tcBorders>
              <w:bottom w:val="single" w:sz="8" w:color="DBDBDB"/>
            </w:tcBorders>
            <w:shd w:val="clear" w:color="auto" w:fill="DBDBDB"/>
          </w:tcPr>
          <w:p>
            <w:pPr>
              <w:jc w:val="right"/>
              <w:ind w:right="68"/>
              <w:spacing w:after="0"/>
              <w:rPr>
                <w:sz w:val="20"/>
                <w:szCs w:val="20"/>
                <w:color w:val="auto"/>
              </w:rPr>
            </w:pPr>
            <w:r>
              <w:rPr>
                <w:rFonts w:ascii="Times New Roman" w:cs="Times New Roman" w:eastAsia="Times New Roman" w:hAnsi="Times New Roman"/>
                <w:sz w:val="14"/>
                <w:szCs w:val="14"/>
                <w:color w:val="auto"/>
              </w:rPr>
              <w:t>3,482</w:t>
            </w:r>
          </w:p>
        </w:tc>
        <w:tc>
          <w:tcPr>
            <w:tcW w:w="1020" w:type="dxa"/>
            <w:vAlign w:val="bottom"/>
            <w:tcBorders>
              <w:bottom w:val="single" w:sz="8" w:color="DBDBDB"/>
            </w:tcBorders>
            <w:shd w:val="clear" w:color="auto" w:fill="DBDBDB"/>
          </w:tcPr>
          <w:p>
            <w:pPr>
              <w:jc w:val="right"/>
              <w:ind w:right="168"/>
              <w:spacing w:after="0"/>
              <w:rPr>
                <w:sz w:val="20"/>
                <w:szCs w:val="20"/>
                <w:color w:val="auto"/>
              </w:rPr>
            </w:pPr>
            <w:r>
              <w:rPr>
                <w:rFonts w:ascii="Times New Roman" w:cs="Times New Roman" w:eastAsia="Times New Roman" w:hAnsi="Times New Roman"/>
                <w:sz w:val="14"/>
                <w:szCs w:val="14"/>
                <w:color w:val="auto"/>
              </w:rPr>
              <w:t>0.58</w:t>
            </w:r>
          </w:p>
        </w:tc>
        <w:tc>
          <w:tcPr>
            <w:tcW w:w="200" w:type="dxa"/>
            <w:vAlign w:val="bottom"/>
            <w:tcBorders>
              <w:bottom w:val="single" w:sz="8" w:color="DBDBDB"/>
            </w:tcBorders>
            <w:shd w:val="clear" w:color="auto" w:fill="DBDBDB"/>
          </w:tcPr>
          <w:p>
            <w:pPr>
              <w:spacing w:after="0"/>
              <w:rPr>
                <w:sz w:val="16"/>
                <w:szCs w:val="16"/>
                <w:color w:val="auto"/>
              </w:rPr>
            </w:pPr>
          </w:p>
        </w:tc>
        <w:tc>
          <w:tcPr>
            <w:tcW w:w="78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592,059</w:t>
            </w:r>
          </w:p>
        </w:tc>
        <w:tc>
          <w:tcPr>
            <w:tcW w:w="140" w:type="dxa"/>
            <w:vAlign w:val="bottom"/>
            <w:tcBorders>
              <w:bottom w:val="single" w:sz="8" w:color="DBDBDB"/>
            </w:tcBorders>
            <w:shd w:val="clear" w:color="auto" w:fill="DBDBDB"/>
          </w:tcPr>
          <w:p>
            <w:pPr>
              <w:spacing w:after="0"/>
              <w:rPr>
                <w:sz w:val="16"/>
                <w:szCs w:val="16"/>
                <w:color w:val="auto"/>
              </w:rPr>
            </w:pPr>
          </w:p>
        </w:tc>
        <w:tc>
          <w:tcPr>
            <w:tcW w:w="780" w:type="dxa"/>
            <w:vAlign w:val="bottom"/>
            <w:tcBorders>
              <w:bottom w:val="single" w:sz="8" w:color="DBDBDB"/>
            </w:tcBorders>
            <w:shd w:val="clear" w:color="auto" w:fill="DBDBDB"/>
          </w:tcPr>
          <w:p>
            <w:pPr>
              <w:jc w:val="right"/>
              <w:ind w:right="48"/>
              <w:spacing w:after="0"/>
              <w:rPr>
                <w:sz w:val="20"/>
                <w:szCs w:val="20"/>
                <w:color w:val="auto"/>
              </w:rPr>
            </w:pPr>
            <w:r>
              <w:rPr>
                <w:rFonts w:ascii="Times New Roman" w:cs="Times New Roman" w:eastAsia="Times New Roman" w:hAnsi="Times New Roman"/>
                <w:sz w:val="14"/>
                <w:szCs w:val="14"/>
                <w:color w:val="auto"/>
              </w:rPr>
              <w:t>1,171</w:t>
            </w:r>
          </w:p>
        </w:tc>
        <w:tc>
          <w:tcPr>
            <w:tcW w:w="920" w:type="dxa"/>
            <w:vAlign w:val="bottom"/>
            <w:tcBorders>
              <w:bottom w:val="single" w:sz="8" w:color="DBDBDB"/>
            </w:tcBorders>
            <w:shd w:val="clear" w:color="auto" w:fill="DBDBDB"/>
          </w:tcPr>
          <w:p>
            <w:pPr>
              <w:jc w:val="right"/>
              <w:ind w:right="108"/>
              <w:spacing w:after="0"/>
              <w:rPr>
                <w:sz w:val="20"/>
                <w:szCs w:val="20"/>
                <w:color w:val="auto"/>
              </w:rPr>
            </w:pPr>
            <w:r>
              <w:rPr>
                <w:rFonts w:ascii="Times New Roman" w:cs="Times New Roman" w:eastAsia="Times New Roman" w:hAnsi="Times New Roman"/>
                <w:sz w:val="14"/>
                <w:szCs w:val="14"/>
                <w:color w:val="auto"/>
              </w:rPr>
              <w:t>0.20</w:t>
            </w:r>
          </w:p>
        </w:tc>
        <w:tc>
          <w:tcPr>
            <w:tcW w:w="0" w:type="dxa"/>
            <w:vAlign w:val="bottom"/>
          </w:tcPr>
          <w:p>
            <w:pPr>
              <w:spacing w:after="0"/>
              <w:rPr>
                <w:sz w:val="1"/>
                <w:szCs w:val="1"/>
                <w:color w:val="auto"/>
              </w:rPr>
            </w:pPr>
          </w:p>
        </w:tc>
      </w:tr>
      <w:tr>
        <w:trPr>
          <w:trHeight w:val="193"/>
        </w:trPr>
        <w:tc>
          <w:tcPr>
            <w:tcW w:w="2460" w:type="dxa"/>
            <w:vAlign w:val="bottom"/>
          </w:tcPr>
          <w:p>
            <w:pPr>
              <w:spacing w:after="0"/>
              <w:rPr>
                <w:sz w:val="20"/>
                <w:szCs w:val="20"/>
                <w:color w:val="auto"/>
              </w:rPr>
            </w:pPr>
            <w:r>
              <w:rPr>
                <w:rFonts w:ascii="Times New Roman" w:cs="Times New Roman" w:eastAsia="Times New Roman" w:hAnsi="Times New Roman"/>
                <w:sz w:val="14"/>
                <w:szCs w:val="14"/>
                <w:color w:val="auto"/>
              </w:rPr>
              <w:t>Short-term borrowings</w:t>
            </w:r>
          </w:p>
        </w:tc>
        <w:tc>
          <w:tcPr>
            <w:tcW w:w="160" w:type="dxa"/>
            <w:vAlign w:val="bottom"/>
          </w:tcPr>
          <w:p>
            <w:pPr>
              <w:spacing w:after="0"/>
              <w:rPr>
                <w:sz w:val="16"/>
                <w:szCs w:val="16"/>
                <w:color w:val="auto"/>
              </w:rPr>
            </w:pPr>
          </w:p>
        </w:tc>
        <w:tc>
          <w:tcPr>
            <w:tcW w:w="8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2,241</w:t>
            </w:r>
          </w:p>
        </w:tc>
        <w:tc>
          <w:tcPr>
            <w:tcW w:w="180" w:type="dxa"/>
            <w:vAlign w:val="bottom"/>
          </w:tcPr>
          <w:p>
            <w:pPr>
              <w:spacing w:after="0"/>
              <w:rPr>
                <w:sz w:val="16"/>
                <w:szCs w:val="16"/>
                <w:color w:val="auto"/>
              </w:rPr>
            </w:pPr>
          </w:p>
        </w:tc>
        <w:tc>
          <w:tcPr>
            <w:tcW w:w="7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116</w:t>
            </w:r>
          </w:p>
        </w:tc>
        <w:tc>
          <w:tcPr>
            <w:tcW w:w="100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5.18</w:t>
            </w:r>
          </w:p>
        </w:tc>
        <w:tc>
          <w:tcPr>
            <w:tcW w:w="200" w:type="dxa"/>
            <w:vAlign w:val="bottom"/>
          </w:tcPr>
          <w:p>
            <w:pPr>
              <w:spacing w:after="0"/>
              <w:rPr>
                <w:sz w:val="16"/>
                <w:szCs w:val="16"/>
                <w:color w:val="auto"/>
              </w:rPr>
            </w:pPr>
          </w:p>
        </w:tc>
        <w:tc>
          <w:tcPr>
            <w:tcW w:w="8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11</w:t>
            </w:r>
          </w:p>
        </w:tc>
        <w:tc>
          <w:tcPr>
            <w:tcW w:w="160" w:type="dxa"/>
            <w:vAlign w:val="bottom"/>
          </w:tcPr>
          <w:p>
            <w:pPr>
              <w:spacing w:after="0"/>
              <w:rPr>
                <w:sz w:val="16"/>
                <w:szCs w:val="16"/>
                <w:color w:val="auto"/>
              </w:rPr>
            </w:pPr>
          </w:p>
        </w:tc>
        <w:tc>
          <w:tcPr>
            <w:tcW w:w="7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40" w:type="dxa"/>
            <w:vAlign w:val="bottom"/>
          </w:tcPr>
          <w:p>
            <w:pPr>
              <w:spacing w:after="0"/>
              <w:rPr>
                <w:sz w:val="16"/>
                <w:szCs w:val="16"/>
                <w:color w:val="auto"/>
              </w:rPr>
            </w:pPr>
          </w:p>
        </w:tc>
        <w:tc>
          <w:tcPr>
            <w:tcW w:w="7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24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2460" w:type="dxa"/>
            <w:vAlign w:val="bottom"/>
            <w:tcBorders>
              <w:bottom w:val="single" w:sz="8" w:color="DBDBDB"/>
            </w:tcBorders>
            <w:shd w:val="clear" w:color="auto" w:fill="DBDBDB"/>
          </w:tcPr>
          <w:p>
            <w:pPr>
              <w:spacing w:after="0"/>
              <w:rPr>
                <w:sz w:val="20"/>
                <w:szCs w:val="20"/>
                <w:color w:val="auto"/>
              </w:rPr>
            </w:pPr>
            <w:r>
              <w:rPr>
                <w:rFonts w:ascii="Times New Roman" w:cs="Times New Roman" w:eastAsia="Times New Roman" w:hAnsi="Times New Roman"/>
                <w:sz w:val="14"/>
                <w:szCs w:val="14"/>
                <w:color w:val="auto"/>
              </w:rPr>
              <w:t>Total interest-bearing liabilities</w:t>
            </w:r>
          </w:p>
        </w:tc>
        <w:tc>
          <w:tcPr>
            <w:tcW w:w="160" w:type="dxa"/>
            <w:vAlign w:val="bottom"/>
            <w:tcBorders>
              <w:bottom w:val="single" w:sz="8" w:color="DBDBDB"/>
            </w:tcBorders>
            <w:shd w:val="clear" w:color="auto" w:fill="DBDBDB"/>
          </w:tcPr>
          <w:p>
            <w:pPr>
              <w:spacing w:after="0"/>
              <w:rPr>
                <w:sz w:val="16"/>
                <w:szCs w:val="16"/>
                <w:color w:val="auto"/>
              </w:rPr>
            </w:pPr>
          </w:p>
        </w:tc>
        <w:tc>
          <w:tcPr>
            <w:tcW w:w="820" w:type="dxa"/>
            <w:vAlign w:val="bottom"/>
            <w:tcBorders>
              <w:bottom w:val="single" w:sz="8" w:color="DBDBDB"/>
            </w:tcBorders>
            <w:shd w:val="clear" w:color="auto" w:fill="DBDBDB"/>
          </w:tcPr>
          <w:p>
            <w:pPr>
              <w:jc w:val="right"/>
              <w:ind w:right="48"/>
              <w:spacing w:after="0"/>
              <w:rPr>
                <w:sz w:val="20"/>
                <w:szCs w:val="20"/>
                <w:color w:val="auto"/>
              </w:rPr>
            </w:pPr>
            <w:r>
              <w:rPr>
                <w:rFonts w:ascii="Times New Roman" w:cs="Times New Roman" w:eastAsia="Times New Roman" w:hAnsi="Times New Roman"/>
                <w:sz w:val="14"/>
                <w:szCs w:val="14"/>
                <w:color w:val="auto"/>
              </w:rPr>
              <w:t>573,308</w:t>
            </w:r>
          </w:p>
        </w:tc>
        <w:tc>
          <w:tcPr>
            <w:tcW w:w="180" w:type="dxa"/>
            <w:vAlign w:val="bottom"/>
            <w:tcBorders>
              <w:bottom w:val="single" w:sz="8" w:color="DBDBDB"/>
            </w:tcBorders>
            <w:shd w:val="clear" w:color="auto" w:fill="DBDBDB"/>
          </w:tcPr>
          <w:p>
            <w:pPr>
              <w:spacing w:after="0"/>
              <w:rPr>
                <w:sz w:val="16"/>
                <w:szCs w:val="16"/>
                <w:color w:val="auto"/>
              </w:rPr>
            </w:pPr>
          </w:p>
        </w:tc>
        <w:tc>
          <w:tcPr>
            <w:tcW w:w="780" w:type="dxa"/>
            <w:vAlign w:val="bottom"/>
            <w:tcBorders>
              <w:bottom w:val="single" w:sz="8" w:color="DBDBDB"/>
            </w:tcBorders>
            <w:shd w:val="clear" w:color="auto" w:fill="DBDBDB"/>
          </w:tcPr>
          <w:p>
            <w:pPr>
              <w:jc w:val="right"/>
              <w:ind w:right="68"/>
              <w:spacing w:after="0"/>
              <w:rPr>
                <w:sz w:val="20"/>
                <w:szCs w:val="20"/>
                <w:color w:val="auto"/>
              </w:rPr>
            </w:pPr>
            <w:r>
              <w:rPr>
                <w:rFonts w:ascii="Times New Roman" w:cs="Times New Roman" w:eastAsia="Times New Roman" w:hAnsi="Times New Roman"/>
                <w:sz w:val="14"/>
                <w:szCs w:val="14"/>
                <w:color w:val="auto"/>
              </w:rPr>
              <w:t>16,266</w:t>
            </w:r>
          </w:p>
        </w:tc>
        <w:tc>
          <w:tcPr>
            <w:tcW w:w="1000" w:type="dxa"/>
            <w:vAlign w:val="bottom"/>
            <w:tcBorders>
              <w:bottom w:val="single" w:sz="8" w:color="DBDBDB"/>
            </w:tcBorders>
            <w:shd w:val="clear" w:color="auto" w:fill="DBDBDB"/>
          </w:tcPr>
          <w:p>
            <w:pPr>
              <w:ind w:left="520"/>
              <w:spacing w:after="0"/>
              <w:rPr>
                <w:sz w:val="20"/>
                <w:szCs w:val="20"/>
                <w:color w:val="auto"/>
              </w:rPr>
            </w:pPr>
            <w:r>
              <w:rPr>
                <w:rFonts w:ascii="Times New Roman" w:cs="Times New Roman" w:eastAsia="Times New Roman" w:hAnsi="Times New Roman"/>
                <w:sz w:val="14"/>
                <w:szCs w:val="14"/>
                <w:color w:val="auto"/>
              </w:rPr>
              <w:t>2.84 %</w:t>
            </w:r>
          </w:p>
        </w:tc>
        <w:tc>
          <w:tcPr>
            <w:tcW w:w="200" w:type="dxa"/>
            <w:vAlign w:val="bottom"/>
            <w:tcBorders>
              <w:bottom w:val="single" w:sz="8" w:color="DBDBDB"/>
            </w:tcBorders>
            <w:shd w:val="clear" w:color="auto" w:fill="DBDBDB"/>
          </w:tcPr>
          <w:p>
            <w:pPr>
              <w:spacing w:after="0"/>
              <w:rPr>
                <w:sz w:val="16"/>
                <w:szCs w:val="16"/>
                <w:color w:val="auto"/>
              </w:rPr>
            </w:pPr>
          </w:p>
        </w:tc>
        <w:tc>
          <w:tcPr>
            <w:tcW w:w="820" w:type="dxa"/>
            <w:vAlign w:val="bottom"/>
            <w:tcBorders>
              <w:bottom w:val="single" w:sz="8" w:color="DBDBDB"/>
            </w:tcBorders>
            <w:shd w:val="clear" w:color="auto" w:fill="DBDBDB"/>
          </w:tcPr>
          <w:p>
            <w:pPr>
              <w:jc w:val="right"/>
              <w:ind w:right="28"/>
              <w:spacing w:after="0"/>
              <w:rPr>
                <w:sz w:val="20"/>
                <w:szCs w:val="20"/>
                <w:color w:val="auto"/>
              </w:rPr>
            </w:pPr>
            <w:r>
              <w:rPr>
                <w:rFonts w:ascii="Times New Roman" w:cs="Times New Roman" w:eastAsia="Times New Roman" w:hAnsi="Times New Roman"/>
                <w:sz w:val="14"/>
                <w:szCs w:val="14"/>
                <w:color w:val="auto"/>
              </w:rPr>
              <w:t>603,262</w:t>
            </w:r>
          </w:p>
        </w:tc>
        <w:tc>
          <w:tcPr>
            <w:tcW w:w="160" w:type="dxa"/>
            <w:vAlign w:val="bottom"/>
            <w:tcBorders>
              <w:bottom w:val="single" w:sz="8" w:color="DBDBDB"/>
            </w:tcBorders>
            <w:shd w:val="clear" w:color="auto" w:fill="DBDBDB"/>
          </w:tcPr>
          <w:p>
            <w:pPr>
              <w:spacing w:after="0"/>
              <w:rPr>
                <w:sz w:val="16"/>
                <w:szCs w:val="16"/>
                <w:color w:val="auto"/>
              </w:rPr>
            </w:pPr>
          </w:p>
        </w:tc>
        <w:tc>
          <w:tcPr>
            <w:tcW w:w="760" w:type="dxa"/>
            <w:vAlign w:val="bottom"/>
            <w:tcBorders>
              <w:bottom w:val="single" w:sz="8" w:color="DBDBDB"/>
            </w:tcBorders>
            <w:shd w:val="clear" w:color="auto" w:fill="DBDBDB"/>
          </w:tcPr>
          <w:p>
            <w:pPr>
              <w:jc w:val="right"/>
              <w:ind w:right="68"/>
              <w:spacing w:after="0"/>
              <w:rPr>
                <w:sz w:val="20"/>
                <w:szCs w:val="20"/>
                <w:color w:val="auto"/>
              </w:rPr>
            </w:pPr>
            <w:r>
              <w:rPr>
                <w:rFonts w:ascii="Times New Roman" w:cs="Times New Roman" w:eastAsia="Times New Roman" w:hAnsi="Times New Roman"/>
                <w:sz w:val="14"/>
                <w:szCs w:val="14"/>
                <w:color w:val="auto"/>
              </w:rPr>
              <w:t>3,482</w:t>
            </w:r>
          </w:p>
        </w:tc>
        <w:tc>
          <w:tcPr>
            <w:tcW w:w="1020" w:type="dxa"/>
            <w:vAlign w:val="bottom"/>
            <w:tcBorders>
              <w:bottom w:val="single" w:sz="8" w:color="DBDBDB"/>
            </w:tcBorders>
            <w:shd w:val="clear" w:color="auto" w:fill="DBDBDB"/>
          </w:tcPr>
          <w:p>
            <w:pPr>
              <w:jc w:val="right"/>
              <w:ind w:right="8"/>
              <w:spacing w:after="0"/>
              <w:rPr>
                <w:sz w:val="20"/>
                <w:szCs w:val="20"/>
                <w:color w:val="auto"/>
              </w:rPr>
            </w:pPr>
            <w:r>
              <w:rPr>
                <w:rFonts w:ascii="Times New Roman" w:cs="Times New Roman" w:eastAsia="Times New Roman" w:hAnsi="Times New Roman"/>
                <w:sz w:val="14"/>
                <w:szCs w:val="14"/>
                <w:color w:val="auto"/>
              </w:rPr>
              <w:t>0.58 %</w:t>
            </w:r>
          </w:p>
        </w:tc>
        <w:tc>
          <w:tcPr>
            <w:tcW w:w="200" w:type="dxa"/>
            <w:vAlign w:val="bottom"/>
            <w:tcBorders>
              <w:bottom w:val="single" w:sz="8" w:color="DBDBDB"/>
            </w:tcBorders>
            <w:shd w:val="clear" w:color="auto" w:fill="DBDBDB"/>
          </w:tcPr>
          <w:p>
            <w:pPr>
              <w:spacing w:after="0"/>
              <w:rPr>
                <w:sz w:val="16"/>
                <w:szCs w:val="16"/>
                <w:color w:val="auto"/>
              </w:rPr>
            </w:pPr>
          </w:p>
        </w:tc>
        <w:tc>
          <w:tcPr>
            <w:tcW w:w="78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592,069</w:t>
            </w:r>
          </w:p>
        </w:tc>
        <w:tc>
          <w:tcPr>
            <w:tcW w:w="140" w:type="dxa"/>
            <w:vAlign w:val="bottom"/>
            <w:tcBorders>
              <w:bottom w:val="single" w:sz="8" w:color="DBDBDB"/>
            </w:tcBorders>
            <w:shd w:val="clear" w:color="auto" w:fill="DBDBDB"/>
          </w:tcPr>
          <w:p>
            <w:pPr>
              <w:spacing w:after="0"/>
              <w:rPr>
                <w:sz w:val="16"/>
                <w:szCs w:val="16"/>
                <w:color w:val="auto"/>
              </w:rPr>
            </w:pPr>
          </w:p>
        </w:tc>
        <w:tc>
          <w:tcPr>
            <w:tcW w:w="780" w:type="dxa"/>
            <w:vAlign w:val="bottom"/>
            <w:tcBorders>
              <w:bottom w:val="single" w:sz="8" w:color="DBDBDB"/>
            </w:tcBorders>
            <w:shd w:val="clear" w:color="auto" w:fill="DBDBDB"/>
          </w:tcPr>
          <w:p>
            <w:pPr>
              <w:jc w:val="right"/>
              <w:ind w:right="48"/>
              <w:spacing w:after="0"/>
              <w:rPr>
                <w:sz w:val="20"/>
                <w:szCs w:val="20"/>
                <w:color w:val="auto"/>
              </w:rPr>
            </w:pPr>
            <w:r>
              <w:rPr>
                <w:rFonts w:ascii="Times New Roman" w:cs="Times New Roman" w:eastAsia="Times New Roman" w:hAnsi="Times New Roman"/>
                <w:sz w:val="14"/>
                <w:szCs w:val="14"/>
                <w:color w:val="auto"/>
              </w:rPr>
              <w:t>1,171</w:t>
            </w:r>
          </w:p>
        </w:tc>
        <w:tc>
          <w:tcPr>
            <w:tcW w:w="92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0.20 %</w:t>
            </w:r>
          </w:p>
        </w:tc>
        <w:tc>
          <w:tcPr>
            <w:tcW w:w="0" w:type="dxa"/>
            <w:vAlign w:val="bottom"/>
          </w:tcPr>
          <w:p>
            <w:pPr>
              <w:spacing w:after="0"/>
              <w:rPr>
                <w:sz w:val="1"/>
                <w:szCs w:val="1"/>
                <w:color w:val="auto"/>
              </w:rPr>
            </w:pPr>
          </w:p>
        </w:tc>
      </w:tr>
      <w:tr>
        <w:trPr>
          <w:trHeight w:val="195"/>
        </w:trPr>
        <w:tc>
          <w:tcPr>
            <w:tcW w:w="2460" w:type="dxa"/>
            <w:vAlign w:val="bottom"/>
          </w:tcPr>
          <w:p>
            <w:pPr>
              <w:spacing w:after="0"/>
              <w:rPr>
                <w:sz w:val="20"/>
                <w:szCs w:val="20"/>
                <w:color w:val="auto"/>
              </w:rPr>
            </w:pPr>
            <w:r>
              <w:rPr>
                <w:rFonts w:ascii="Times New Roman" w:cs="Times New Roman" w:eastAsia="Times New Roman" w:hAnsi="Times New Roman"/>
                <w:sz w:val="14"/>
                <w:szCs w:val="14"/>
                <w:color w:val="auto"/>
              </w:rPr>
              <w:t>Noninterest-bearing liabilities</w:t>
            </w: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460" w:type="dxa"/>
            <w:vAlign w:val="bottom"/>
            <w:tcBorders>
              <w:bottom w:val="single" w:sz="8" w:color="DBDBDB"/>
            </w:tcBorders>
            <w:shd w:val="clear" w:color="auto" w:fill="DBDBDB"/>
          </w:tcPr>
          <w:p>
            <w:pPr>
              <w:ind w:left="120"/>
              <w:spacing w:after="0"/>
              <w:rPr>
                <w:sz w:val="20"/>
                <w:szCs w:val="20"/>
                <w:color w:val="auto"/>
              </w:rPr>
            </w:pPr>
            <w:r>
              <w:rPr>
                <w:rFonts w:ascii="Times New Roman" w:cs="Times New Roman" w:eastAsia="Times New Roman" w:hAnsi="Times New Roman"/>
                <w:sz w:val="14"/>
                <w:szCs w:val="14"/>
                <w:color w:val="auto"/>
              </w:rPr>
              <w:t>Demand deposits</w:t>
            </w:r>
          </w:p>
        </w:tc>
        <w:tc>
          <w:tcPr>
            <w:tcW w:w="160" w:type="dxa"/>
            <w:vAlign w:val="bottom"/>
            <w:tcBorders>
              <w:bottom w:val="single" w:sz="8" w:color="DBDBDB"/>
            </w:tcBorders>
            <w:shd w:val="clear" w:color="auto" w:fill="DBDBDB"/>
          </w:tcPr>
          <w:p>
            <w:pPr>
              <w:spacing w:after="0"/>
              <w:rPr>
                <w:sz w:val="17"/>
                <w:szCs w:val="17"/>
                <w:color w:val="auto"/>
              </w:rPr>
            </w:pPr>
          </w:p>
        </w:tc>
        <w:tc>
          <w:tcPr>
            <w:tcW w:w="820" w:type="dxa"/>
            <w:vAlign w:val="bottom"/>
            <w:tcBorders>
              <w:bottom w:val="single" w:sz="8" w:color="DBDBDB"/>
            </w:tcBorders>
            <w:shd w:val="clear" w:color="auto" w:fill="DBDBDB"/>
          </w:tcPr>
          <w:p>
            <w:pPr>
              <w:jc w:val="right"/>
              <w:ind w:right="48"/>
              <w:spacing w:after="0"/>
              <w:rPr>
                <w:sz w:val="20"/>
                <w:szCs w:val="20"/>
                <w:color w:val="auto"/>
              </w:rPr>
            </w:pPr>
            <w:r>
              <w:rPr>
                <w:rFonts w:ascii="Times New Roman" w:cs="Times New Roman" w:eastAsia="Times New Roman" w:hAnsi="Times New Roman"/>
                <w:sz w:val="14"/>
                <w:szCs w:val="14"/>
                <w:color w:val="auto"/>
              </w:rPr>
              <w:t>512,608</w:t>
            </w:r>
          </w:p>
        </w:tc>
        <w:tc>
          <w:tcPr>
            <w:tcW w:w="180" w:type="dxa"/>
            <w:vAlign w:val="bottom"/>
            <w:tcBorders>
              <w:bottom w:val="single" w:sz="8" w:color="DBDBDB"/>
            </w:tcBorders>
            <w:shd w:val="clear" w:color="auto" w:fill="DBDBDB"/>
          </w:tcPr>
          <w:p>
            <w:pPr>
              <w:spacing w:after="0"/>
              <w:rPr>
                <w:sz w:val="17"/>
                <w:szCs w:val="17"/>
                <w:color w:val="auto"/>
              </w:rPr>
            </w:pPr>
          </w:p>
        </w:tc>
        <w:tc>
          <w:tcPr>
            <w:tcW w:w="780" w:type="dxa"/>
            <w:vAlign w:val="bottom"/>
            <w:tcBorders>
              <w:bottom w:val="single" w:sz="8" w:color="DBDBDB"/>
            </w:tcBorders>
            <w:shd w:val="clear" w:color="auto" w:fill="DBDBDB"/>
          </w:tcPr>
          <w:p>
            <w:pPr>
              <w:spacing w:after="0"/>
              <w:rPr>
                <w:sz w:val="17"/>
                <w:szCs w:val="17"/>
                <w:color w:val="auto"/>
              </w:rPr>
            </w:pPr>
          </w:p>
        </w:tc>
        <w:tc>
          <w:tcPr>
            <w:tcW w:w="1000" w:type="dxa"/>
            <w:vAlign w:val="bottom"/>
            <w:tcBorders>
              <w:bottom w:val="single" w:sz="8" w:color="DBDBDB"/>
            </w:tcBorders>
            <w:shd w:val="clear" w:color="auto" w:fill="DBDBDB"/>
          </w:tcPr>
          <w:p>
            <w:pPr>
              <w:spacing w:after="0"/>
              <w:rPr>
                <w:sz w:val="17"/>
                <w:szCs w:val="17"/>
                <w:color w:val="auto"/>
              </w:rPr>
            </w:pPr>
          </w:p>
        </w:tc>
        <w:tc>
          <w:tcPr>
            <w:tcW w:w="200" w:type="dxa"/>
            <w:vAlign w:val="bottom"/>
            <w:tcBorders>
              <w:bottom w:val="single" w:sz="8" w:color="DBDBDB"/>
            </w:tcBorders>
            <w:shd w:val="clear" w:color="auto" w:fill="DBDBDB"/>
          </w:tcPr>
          <w:p>
            <w:pPr>
              <w:spacing w:after="0"/>
              <w:rPr>
                <w:sz w:val="17"/>
                <w:szCs w:val="17"/>
                <w:color w:val="auto"/>
              </w:rPr>
            </w:pPr>
          </w:p>
        </w:tc>
        <w:tc>
          <w:tcPr>
            <w:tcW w:w="820" w:type="dxa"/>
            <w:vAlign w:val="bottom"/>
            <w:tcBorders>
              <w:bottom w:val="single" w:sz="8" w:color="DBDBDB"/>
            </w:tcBorders>
            <w:shd w:val="clear" w:color="auto" w:fill="DBDBDB"/>
          </w:tcPr>
          <w:p>
            <w:pPr>
              <w:jc w:val="right"/>
              <w:ind w:right="28"/>
              <w:spacing w:after="0"/>
              <w:rPr>
                <w:sz w:val="20"/>
                <w:szCs w:val="20"/>
                <w:color w:val="auto"/>
              </w:rPr>
            </w:pPr>
            <w:r>
              <w:rPr>
                <w:rFonts w:ascii="Times New Roman" w:cs="Times New Roman" w:eastAsia="Times New Roman" w:hAnsi="Times New Roman"/>
                <w:sz w:val="14"/>
                <w:szCs w:val="14"/>
                <w:color w:val="auto"/>
              </w:rPr>
              <w:t>588,121</w:t>
            </w:r>
          </w:p>
        </w:tc>
        <w:tc>
          <w:tcPr>
            <w:tcW w:w="160" w:type="dxa"/>
            <w:vAlign w:val="bottom"/>
            <w:tcBorders>
              <w:bottom w:val="single" w:sz="8" w:color="DBDBDB"/>
            </w:tcBorders>
            <w:shd w:val="clear" w:color="auto" w:fill="DBDBDB"/>
          </w:tcPr>
          <w:p>
            <w:pPr>
              <w:spacing w:after="0"/>
              <w:rPr>
                <w:sz w:val="17"/>
                <w:szCs w:val="17"/>
                <w:color w:val="auto"/>
              </w:rPr>
            </w:pPr>
          </w:p>
        </w:tc>
        <w:tc>
          <w:tcPr>
            <w:tcW w:w="760" w:type="dxa"/>
            <w:vAlign w:val="bottom"/>
            <w:tcBorders>
              <w:bottom w:val="single" w:sz="8" w:color="DBDBDB"/>
            </w:tcBorders>
            <w:shd w:val="clear" w:color="auto" w:fill="DBDBDB"/>
          </w:tcPr>
          <w:p>
            <w:pPr>
              <w:spacing w:after="0"/>
              <w:rPr>
                <w:sz w:val="17"/>
                <w:szCs w:val="17"/>
                <w:color w:val="auto"/>
              </w:rPr>
            </w:pPr>
          </w:p>
        </w:tc>
        <w:tc>
          <w:tcPr>
            <w:tcW w:w="1020" w:type="dxa"/>
            <w:vAlign w:val="bottom"/>
            <w:tcBorders>
              <w:bottom w:val="single" w:sz="8" w:color="DBDBDB"/>
            </w:tcBorders>
            <w:shd w:val="clear" w:color="auto" w:fill="DBDBDB"/>
          </w:tcPr>
          <w:p>
            <w:pPr>
              <w:spacing w:after="0"/>
              <w:rPr>
                <w:sz w:val="17"/>
                <w:szCs w:val="17"/>
                <w:color w:val="auto"/>
              </w:rPr>
            </w:pPr>
          </w:p>
        </w:tc>
        <w:tc>
          <w:tcPr>
            <w:tcW w:w="200" w:type="dxa"/>
            <w:vAlign w:val="bottom"/>
            <w:tcBorders>
              <w:bottom w:val="single" w:sz="8" w:color="DBDBDB"/>
            </w:tcBorders>
            <w:shd w:val="clear" w:color="auto" w:fill="DBDBDB"/>
          </w:tcPr>
          <w:p>
            <w:pPr>
              <w:spacing w:after="0"/>
              <w:rPr>
                <w:sz w:val="17"/>
                <w:szCs w:val="17"/>
                <w:color w:val="auto"/>
              </w:rPr>
            </w:pPr>
          </w:p>
        </w:tc>
        <w:tc>
          <w:tcPr>
            <w:tcW w:w="78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447,880</w:t>
            </w:r>
          </w:p>
        </w:tc>
        <w:tc>
          <w:tcPr>
            <w:tcW w:w="140" w:type="dxa"/>
            <w:vAlign w:val="bottom"/>
            <w:tcBorders>
              <w:bottom w:val="single" w:sz="8" w:color="DBDBDB"/>
            </w:tcBorders>
            <w:shd w:val="clear" w:color="auto" w:fill="DBDBDB"/>
          </w:tcPr>
          <w:p>
            <w:pPr>
              <w:spacing w:after="0"/>
              <w:rPr>
                <w:sz w:val="17"/>
                <w:szCs w:val="17"/>
                <w:color w:val="auto"/>
              </w:rPr>
            </w:pPr>
          </w:p>
        </w:tc>
        <w:tc>
          <w:tcPr>
            <w:tcW w:w="780" w:type="dxa"/>
            <w:vAlign w:val="bottom"/>
            <w:tcBorders>
              <w:bottom w:val="single" w:sz="8" w:color="DBDBDB"/>
            </w:tcBorders>
            <w:shd w:val="clear" w:color="auto" w:fill="DBDBDB"/>
          </w:tcPr>
          <w:p>
            <w:pPr>
              <w:spacing w:after="0"/>
              <w:rPr>
                <w:sz w:val="17"/>
                <w:szCs w:val="17"/>
                <w:color w:val="auto"/>
              </w:rPr>
            </w:pPr>
          </w:p>
        </w:tc>
        <w:tc>
          <w:tcPr>
            <w:tcW w:w="920" w:type="dxa"/>
            <w:vAlign w:val="bottom"/>
            <w:tcBorders>
              <w:bottom w:val="single" w:sz="8" w:color="DBDBDB"/>
            </w:tcBorders>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4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Accounts and drafts payable</w:t>
            </w:r>
          </w:p>
        </w:tc>
        <w:tc>
          <w:tcPr>
            <w:tcW w:w="160" w:type="dxa"/>
            <w:vAlign w:val="bottom"/>
          </w:tcPr>
          <w:p>
            <w:pPr>
              <w:spacing w:after="0"/>
              <w:rPr>
                <w:sz w:val="16"/>
                <w:szCs w:val="16"/>
                <w:color w:val="auto"/>
              </w:rPr>
            </w:pPr>
          </w:p>
        </w:tc>
        <w:tc>
          <w:tcPr>
            <w:tcW w:w="8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1,081,245</w:t>
            </w: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1,141,329</w:t>
            </w: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986,572</w:t>
            </w: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2460" w:type="dxa"/>
            <w:vAlign w:val="bottom"/>
            <w:tcBorders>
              <w:bottom w:val="single" w:sz="8" w:color="DBDBDB"/>
            </w:tcBorders>
            <w:shd w:val="clear" w:color="auto" w:fill="DBDBDB"/>
          </w:tcPr>
          <w:p>
            <w:pPr>
              <w:ind w:left="120"/>
              <w:spacing w:after="0"/>
              <w:rPr>
                <w:sz w:val="20"/>
                <w:szCs w:val="20"/>
                <w:color w:val="auto"/>
              </w:rPr>
            </w:pPr>
            <w:r>
              <w:rPr>
                <w:rFonts w:ascii="Times New Roman" w:cs="Times New Roman" w:eastAsia="Times New Roman" w:hAnsi="Times New Roman"/>
                <w:sz w:val="14"/>
                <w:szCs w:val="14"/>
                <w:color w:val="auto"/>
              </w:rPr>
              <w:t>Other liabilities</w:t>
            </w:r>
          </w:p>
        </w:tc>
        <w:tc>
          <w:tcPr>
            <w:tcW w:w="160" w:type="dxa"/>
            <w:vAlign w:val="bottom"/>
            <w:tcBorders>
              <w:bottom w:val="single" w:sz="8" w:color="DBDBDB"/>
            </w:tcBorders>
            <w:shd w:val="clear" w:color="auto" w:fill="DBDBDB"/>
          </w:tcPr>
          <w:p>
            <w:pPr>
              <w:spacing w:after="0"/>
              <w:rPr>
                <w:sz w:val="18"/>
                <w:szCs w:val="18"/>
                <w:color w:val="auto"/>
              </w:rPr>
            </w:pPr>
          </w:p>
        </w:tc>
        <w:tc>
          <w:tcPr>
            <w:tcW w:w="820" w:type="dxa"/>
            <w:vAlign w:val="bottom"/>
            <w:tcBorders>
              <w:bottom w:val="single" w:sz="8" w:color="DBDBDB"/>
            </w:tcBorders>
            <w:shd w:val="clear" w:color="auto" w:fill="DBDBDB"/>
          </w:tcPr>
          <w:p>
            <w:pPr>
              <w:jc w:val="right"/>
              <w:ind w:right="48"/>
              <w:spacing w:after="0"/>
              <w:rPr>
                <w:sz w:val="20"/>
                <w:szCs w:val="20"/>
                <w:color w:val="auto"/>
              </w:rPr>
            </w:pPr>
            <w:r>
              <w:rPr>
                <w:rFonts w:ascii="Times New Roman" w:cs="Times New Roman" w:eastAsia="Times New Roman" w:hAnsi="Times New Roman"/>
                <w:sz w:val="14"/>
                <w:szCs w:val="14"/>
                <w:color w:val="auto"/>
              </w:rPr>
              <w:t>41,378</w:t>
            </w:r>
          </w:p>
        </w:tc>
        <w:tc>
          <w:tcPr>
            <w:tcW w:w="180" w:type="dxa"/>
            <w:vAlign w:val="bottom"/>
            <w:tcBorders>
              <w:bottom w:val="single" w:sz="8" w:color="DBDBDB"/>
            </w:tcBorders>
            <w:shd w:val="clear" w:color="auto" w:fill="DBDBDB"/>
          </w:tcPr>
          <w:p>
            <w:pPr>
              <w:spacing w:after="0"/>
              <w:rPr>
                <w:sz w:val="18"/>
                <w:szCs w:val="18"/>
                <w:color w:val="auto"/>
              </w:rPr>
            </w:pPr>
          </w:p>
        </w:tc>
        <w:tc>
          <w:tcPr>
            <w:tcW w:w="780" w:type="dxa"/>
            <w:vAlign w:val="bottom"/>
            <w:tcBorders>
              <w:bottom w:val="single" w:sz="8" w:color="DBDBDB"/>
            </w:tcBorders>
            <w:shd w:val="clear" w:color="auto" w:fill="DBDBDB"/>
          </w:tcPr>
          <w:p>
            <w:pPr>
              <w:spacing w:after="0"/>
              <w:rPr>
                <w:sz w:val="18"/>
                <w:szCs w:val="18"/>
                <w:color w:val="auto"/>
              </w:rPr>
            </w:pPr>
          </w:p>
        </w:tc>
        <w:tc>
          <w:tcPr>
            <w:tcW w:w="1000" w:type="dxa"/>
            <w:vAlign w:val="bottom"/>
            <w:tcBorders>
              <w:bottom w:val="single" w:sz="8" w:color="DBDBDB"/>
            </w:tcBorders>
            <w:shd w:val="clear" w:color="auto" w:fill="DBDBDB"/>
          </w:tcPr>
          <w:p>
            <w:pPr>
              <w:spacing w:after="0"/>
              <w:rPr>
                <w:sz w:val="18"/>
                <w:szCs w:val="18"/>
                <w:color w:val="auto"/>
              </w:rPr>
            </w:pPr>
          </w:p>
        </w:tc>
        <w:tc>
          <w:tcPr>
            <w:tcW w:w="200" w:type="dxa"/>
            <w:vAlign w:val="bottom"/>
            <w:tcBorders>
              <w:bottom w:val="single" w:sz="8" w:color="DBDBDB"/>
            </w:tcBorders>
            <w:shd w:val="clear" w:color="auto" w:fill="DBDBDB"/>
          </w:tcPr>
          <w:p>
            <w:pPr>
              <w:spacing w:after="0"/>
              <w:rPr>
                <w:sz w:val="18"/>
                <w:szCs w:val="18"/>
                <w:color w:val="auto"/>
              </w:rPr>
            </w:pPr>
          </w:p>
        </w:tc>
        <w:tc>
          <w:tcPr>
            <w:tcW w:w="820" w:type="dxa"/>
            <w:vAlign w:val="bottom"/>
            <w:tcBorders>
              <w:bottom w:val="single" w:sz="8" w:color="DBDBDB"/>
            </w:tcBorders>
            <w:shd w:val="clear" w:color="auto" w:fill="DBDBDB"/>
          </w:tcPr>
          <w:p>
            <w:pPr>
              <w:jc w:val="right"/>
              <w:ind w:right="28"/>
              <w:spacing w:after="0"/>
              <w:rPr>
                <w:sz w:val="20"/>
                <w:szCs w:val="20"/>
                <w:color w:val="auto"/>
              </w:rPr>
            </w:pPr>
            <w:r>
              <w:rPr>
                <w:rFonts w:ascii="Times New Roman" w:cs="Times New Roman" w:eastAsia="Times New Roman" w:hAnsi="Times New Roman"/>
                <w:sz w:val="14"/>
                <w:szCs w:val="14"/>
                <w:color w:val="auto"/>
              </w:rPr>
              <w:t>42,224</w:t>
            </w:r>
          </w:p>
        </w:tc>
        <w:tc>
          <w:tcPr>
            <w:tcW w:w="160" w:type="dxa"/>
            <w:vAlign w:val="bottom"/>
            <w:tcBorders>
              <w:bottom w:val="single" w:sz="8" w:color="DBDBDB"/>
            </w:tcBorders>
            <w:shd w:val="clear" w:color="auto" w:fill="DBDBDB"/>
          </w:tcPr>
          <w:p>
            <w:pPr>
              <w:spacing w:after="0"/>
              <w:rPr>
                <w:sz w:val="18"/>
                <w:szCs w:val="18"/>
                <w:color w:val="auto"/>
              </w:rPr>
            </w:pPr>
          </w:p>
        </w:tc>
        <w:tc>
          <w:tcPr>
            <w:tcW w:w="760" w:type="dxa"/>
            <w:vAlign w:val="bottom"/>
            <w:tcBorders>
              <w:bottom w:val="single" w:sz="8" w:color="DBDBDB"/>
            </w:tcBorders>
            <w:shd w:val="clear" w:color="auto" w:fill="DBDBDB"/>
          </w:tcPr>
          <w:p>
            <w:pPr>
              <w:spacing w:after="0"/>
              <w:rPr>
                <w:sz w:val="18"/>
                <w:szCs w:val="18"/>
                <w:color w:val="auto"/>
              </w:rPr>
            </w:pPr>
          </w:p>
        </w:tc>
        <w:tc>
          <w:tcPr>
            <w:tcW w:w="1020" w:type="dxa"/>
            <w:vAlign w:val="bottom"/>
            <w:tcBorders>
              <w:bottom w:val="single" w:sz="8" w:color="DBDBDB"/>
            </w:tcBorders>
            <w:shd w:val="clear" w:color="auto" w:fill="DBDBDB"/>
          </w:tcPr>
          <w:p>
            <w:pPr>
              <w:spacing w:after="0"/>
              <w:rPr>
                <w:sz w:val="18"/>
                <w:szCs w:val="18"/>
                <w:color w:val="auto"/>
              </w:rPr>
            </w:pPr>
          </w:p>
        </w:tc>
        <w:tc>
          <w:tcPr>
            <w:tcW w:w="200" w:type="dxa"/>
            <w:vAlign w:val="bottom"/>
            <w:tcBorders>
              <w:bottom w:val="single" w:sz="8" w:color="DBDBDB"/>
            </w:tcBorders>
            <w:shd w:val="clear" w:color="auto" w:fill="DBDBDB"/>
          </w:tcPr>
          <w:p>
            <w:pPr>
              <w:spacing w:after="0"/>
              <w:rPr>
                <w:sz w:val="18"/>
                <w:szCs w:val="18"/>
                <w:color w:val="auto"/>
              </w:rPr>
            </w:pPr>
          </w:p>
        </w:tc>
        <w:tc>
          <w:tcPr>
            <w:tcW w:w="78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54,035</w:t>
            </w:r>
          </w:p>
        </w:tc>
        <w:tc>
          <w:tcPr>
            <w:tcW w:w="140" w:type="dxa"/>
            <w:vAlign w:val="bottom"/>
            <w:tcBorders>
              <w:bottom w:val="single" w:sz="8" w:color="DBDBDB"/>
            </w:tcBorders>
            <w:shd w:val="clear" w:color="auto" w:fill="DBDBDB"/>
          </w:tcPr>
          <w:p>
            <w:pPr>
              <w:spacing w:after="0"/>
              <w:rPr>
                <w:sz w:val="18"/>
                <w:szCs w:val="18"/>
                <w:color w:val="auto"/>
              </w:rPr>
            </w:pPr>
          </w:p>
        </w:tc>
        <w:tc>
          <w:tcPr>
            <w:tcW w:w="780" w:type="dxa"/>
            <w:vAlign w:val="bottom"/>
            <w:tcBorders>
              <w:bottom w:val="single" w:sz="8" w:color="DBDBDB"/>
            </w:tcBorders>
            <w:shd w:val="clear" w:color="auto" w:fill="DBDBDB"/>
          </w:tcPr>
          <w:p>
            <w:pPr>
              <w:spacing w:after="0"/>
              <w:rPr>
                <w:sz w:val="18"/>
                <w:szCs w:val="18"/>
                <w:color w:val="auto"/>
              </w:rPr>
            </w:pPr>
          </w:p>
        </w:tc>
        <w:tc>
          <w:tcPr>
            <w:tcW w:w="920" w:type="dxa"/>
            <w:vAlign w:val="bottom"/>
            <w:tcBorders>
              <w:bottom w:val="single" w:sz="8" w:color="DBDBDB"/>
            </w:tcBorders>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24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Total liabilities</w:t>
            </w:r>
          </w:p>
        </w:tc>
        <w:tc>
          <w:tcPr>
            <w:tcW w:w="16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2,208,539</w:t>
            </w:r>
          </w:p>
        </w:tc>
        <w:tc>
          <w:tcPr>
            <w:tcW w:w="18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2,374,936</w:t>
            </w:r>
          </w:p>
        </w:tc>
        <w:tc>
          <w:tcPr>
            <w:tcW w:w="16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2,080,556</w:t>
            </w:r>
          </w:p>
        </w:tc>
        <w:tc>
          <w:tcPr>
            <w:tcW w:w="14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460" w:type="dxa"/>
            <w:vAlign w:val="bottom"/>
            <w:tcBorders>
              <w:bottom w:val="single" w:sz="8" w:color="DBDBDB"/>
            </w:tcBorders>
            <w:shd w:val="clear" w:color="auto" w:fill="DBDBDB"/>
          </w:tcPr>
          <w:p>
            <w:pPr>
              <w:spacing w:after="0"/>
              <w:rPr>
                <w:sz w:val="20"/>
                <w:szCs w:val="20"/>
                <w:color w:val="auto"/>
              </w:rPr>
            </w:pPr>
            <w:r>
              <w:rPr>
                <w:rFonts w:ascii="Times New Roman" w:cs="Times New Roman" w:eastAsia="Times New Roman" w:hAnsi="Times New Roman"/>
                <w:sz w:val="14"/>
                <w:szCs w:val="14"/>
                <w:color w:val="auto"/>
              </w:rPr>
              <w:t>Shareholders’ equity</w:t>
            </w:r>
          </w:p>
        </w:tc>
        <w:tc>
          <w:tcPr>
            <w:tcW w:w="160" w:type="dxa"/>
            <w:vAlign w:val="bottom"/>
            <w:tcBorders>
              <w:bottom w:val="single" w:sz="8" w:color="DBDBDB"/>
            </w:tcBorders>
            <w:shd w:val="clear" w:color="auto" w:fill="DBDBDB"/>
          </w:tcPr>
          <w:p>
            <w:pPr>
              <w:spacing w:after="0"/>
              <w:rPr>
                <w:sz w:val="17"/>
                <w:szCs w:val="17"/>
                <w:color w:val="auto"/>
              </w:rPr>
            </w:pPr>
          </w:p>
        </w:tc>
        <w:tc>
          <w:tcPr>
            <w:tcW w:w="820" w:type="dxa"/>
            <w:vAlign w:val="bottom"/>
            <w:tcBorders>
              <w:bottom w:val="single" w:sz="8" w:color="DBDBDB"/>
            </w:tcBorders>
            <w:shd w:val="clear" w:color="auto" w:fill="DBDBDB"/>
          </w:tcPr>
          <w:p>
            <w:pPr>
              <w:jc w:val="right"/>
              <w:ind w:right="48"/>
              <w:spacing w:after="0"/>
              <w:rPr>
                <w:sz w:val="20"/>
                <w:szCs w:val="20"/>
                <w:color w:val="auto"/>
              </w:rPr>
            </w:pPr>
            <w:r>
              <w:rPr>
                <w:rFonts w:ascii="Times New Roman" w:cs="Times New Roman" w:eastAsia="Times New Roman" w:hAnsi="Times New Roman"/>
                <w:sz w:val="14"/>
                <w:szCs w:val="14"/>
                <w:color w:val="auto"/>
              </w:rPr>
              <w:t>211,069</w:t>
            </w:r>
          </w:p>
        </w:tc>
        <w:tc>
          <w:tcPr>
            <w:tcW w:w="180" w:type="dxa"/>
            <w:vAlign w:val="bottom"/>
            <w:tcBorders>
              <w:bottom w:val="single" w:sz="8" w:color="DBDBDB"/>
            </w:tcBorders>
            <w:shd w:val="clear" w:color="auto" w:fill="DBDBDB"/>
          </w:tcPr>
          <w:p>
            <w:pPr>
              <w:spacing w:after="0"/>
              <w:rPr>
                <w:sz w:val="17"/>
                <w:szCs w:val="17"/>
                <w:color w:val="auto"/>
              </w:rPr>
            </w:pPr>
          </w:p>
        </w:tc>
        <w:tc>
          <w:tcPr>
            <w:tcW w:w="780" w:type="dxa"/>
            <w:vAlign w:val="bottom"/>
            <w:tcBorders>
              <w:bottom w:val="single" w:sz="8" w:color="DBDBDB"/>
            </w:tcBorders>
            <w:shd w:val="clear" w:color="auto" w:fill="DBDBDB"/>
          </w:tcPr>
          <w:p>
            <w:pPr>
              <w:spacing w:after="0"/>
              <w:rPr>
                <w:sz w:val="17"/>
                <w:szCs w:val="17"/>
                <w:color w:val="auto"/>
              </w:rPr>
            </w:pPr>
          </w:p>
        </w:tc>
        <w:tc>
          <w:tcPr>
            <w:tcW w:w="1000" w:type="dxa"/>
            <w:vAlign w:val="bottom"/>
            <w:tcBorders>
              <w:bottom w:val="single" w:sz="8" w:color="DBDBDB"/>
            </w:tcBorders>
            <w:shd w:val="clear" w:color="auto" w:fill="DBDBDB"/>
          </w:tcPr>
          <w:p>
            <w:pPr>
              <w:spacing w:after="0"/>
              <w:rPr>
                <w:sz w:val="17"/>
                <w:szCs w:val="17"/>
                <w:color w:val="auto"/>
              </w:rPr>
            </w:pPr>
          </w:p>
        </w:tc>
        <w:tc>
          <w:tcPr>
            <w:tcW w:w="200" w:type="dxa"/>
            <w:vAlign w:val="bottom"/>
            <w:tcBorders>
              <w:bottom w:val="single" w:sz="8" w:color="DBDBDB"/>
            </w:tcBorders>
            <w:shd w:val="clear" w:color="auto" w:fill="DBDBDB"/>
          </w:tcPr>
          <w:p>
            <w:pPr>
              <w:spacing w:after="0"/>
              <w:rPr>
                <w:sz w:val="17"/>
                <w:szCs w:val="17"/>
                <w:color w:val="auto"/>
              </w:rPr>
            </w:pPr>
          </w:p>
        </w:tc>
        <w:tc>
          <w:tcPr>
            <w:tcW w:w="820" w:type="dxa"/>
            <w:vAlign w:val="bottom"/>
            <w:tcBorders>
              <w:bottom w:val="single" w:sz="8" w:color="DBDBDB"/>
            </w:tcBorders>
            <w:shd w:val="clear" w:color="auto" w:fill="DBDBDB"/>
          </w:tcPr>
          <w:p>
            <w:pPr>
              <w:jc w:val="right"/>
              <w:ind w:right="28"/>
              <w:spacing w:after="0"/>
              <w:rPr>
                <w:sz w:val="20"/>
                <w:szCs w:val="20"/>
                <w:color w:val="auto"/>
              </w:rPr>
            </w:pPr>
            <w:r>
              <w:rPr>
                <w:rFonts w:ascii="Times New Roman" w:cs="Times New Roman" w:eastAsia="Times New Roman" w:hAnsi="Times New Roman"/>
                <w:sz w:val="14"/>
                <w:szCs w:val="14"/>
                <w:color w:val="auto"/>
              </w:rPr>
              <w:t>211,142</w:t>
            </w:r>
          </w:p>
        </w:tc>
        <w:tc>
          <w:tcPr>
            <w:tcW w:w="160" w:type="dxa"/>
            <w:vAlign w:val="bottom"/>
            <w:tcBorders>
              <w:bottom w:val="single" w:sz="8" w:color="DBDBDB"/>
            </w:tcBorders>
            <w:shd w:val="clear" w:color="auto" w:fill="DBDBDB"/>
          </w:tcPr>
          <w:p>
            <w:pPr>
              <w:spacing w:after="0"/>
              <w:rPr>
                <w:sz w:val="17"/>
                <w:szCs w:val="17"/>
                <w:color w:val="auto"/>
              </w:rPr>
            </w:pPr>
          </w:p>
        </w:tc>
        <w:tc>
          <w:tcPr>
            <w:tcW w:w="760" w:type="dxa"/>
            <w:vAlign w:val="bottom"/>
            <w:tcBorders>
              <w:bottom w:val="single" w:sz="8" w:color="DBDBDB"/>
            </w:tcBorders>
            <w:shd w:val="clear" w:color="auto" w:fill="DBDBDB"/>
          </w:tcPr>
          <w:p>
            <w:pPr>
              <w:spacing w:after="0"/>
              <w:rPr>
                <w:sz w:val="17"/>
                <w:szCs w:val="17"/>
                <w:color w:val="auto"/>
              </w:rPr>
            </w:pPr>
          </w:p>
        </w:tc>
        <w:tc>
          <w:tcPr>
            <w:tcW w:w="1020" w:type="dxa"/>
            <w:vAlign w:val="bottom"/>
            <w:tcBorders>
              <w:bottom w:val="single" w:sz="8" w:color="DBDBDB"/>
            </w:tcBorders>
            <w:shd w:val="clear" w:color="auto" w:fill="DBDBDB"/>
          </w:tcPr>
          <w:p>
            <w:pPr>
              <w:spacing w:after="0"/>
              <w:rPr>
                <w:sz w:val="17"/>
                <w:szCs w:val="17"/>
                <w:color w:val="auto"/>
              </w:rPr>
            </w:pPr>
          </w:p>
        </w:tc>
        <w:tc>
          <w:tcPr>
            <w:tcW w:w="200" w:type="dxa"/>
            <w:vAlign w:val="bottom"/>
            <w:tcBorders>
              <w:bottom w:val="single" w:sz="8" w:color="DBDBDB"/>
            </w:tcBorders>
            <w:shd w:val="clear" w:color="auto" w:fill="DBDBDB"/>
          </w:tcPr>
          <w:p>
            <w:pPr>
              <w:spacing w:after="0"/>
              <w:rPr>
                <w:sz w:val="17"/>
                <w:szCs w:val="17"/>
                <w:color w:val="auto"/>
              </w:rPr>
            </w:pPr>
          </w:p>
        </w:tc>
        <w:tc>
          <w:tcPr>
            <w:tcW w:w="78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253,436</w:t>
            </w:r>
          </w:p>
        </w:tc>
        <w:tc>
          <w:tcPr>
            <w:tcW w:w="140" w:type="dxa"/>
            <w:vAlign w:val="bottom"/>
            <w:tcBorders>
              <w:bottom w:val="single" w:sz="8" w:color="DBDBDB"/>
            </w:tcBorders>
            <w:shd w:val="clear" w:color="auto" w:fill="DBDBDB"/>
          </w:tcPr>
          <w:p>
            <w:pPr>
              <w:spacing w:after="0"/>
              <w:rPr>
                <w:sz w:val="17"/>
                <w:szCs w:val="17"/>
                <w:color w:val="auto"/>
              </w:rPr>
            </w:pPr>
          </w:p>
        </w:tc>
        <w:tc>
          <w:tcPr>
            <w:tcW w:w="780" w:type="dxa"/>
            <w:vAlign w:val="bottom"/>
            <w:tcBorders>
              <w:bottom w:val="single" w:sz="8" w:color="DBDBDB"/>
            </w:tcBorders>
            <w:shd w:val="clear" w:color="auto" w:fill="DBDBDB"/>
          </w:tcPr>
          <w:p>
            <w:pPr>
              <w:spacing w:after="0"/>
              <w:rPr>
                <w:sz w:val="17"/>
                <w:szCs w:val="17"/>
                <w:color w:val="auto"/>
              </w:rPr>
            </w:pPr>
          </w:p>
        </w:tc>
        <w:tc>
          <w:tcPr>
            <w:tcW w:w="920" w:type="dxa"/>
            <w:vAlign w:val="bottom"/>
            <w:tcBorders>
              <w:bottom w:val="single" w:sz="8" w:color="DBDBDB"/>
            </w:tcBorders>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460" w:type="dxa"/>
            <w:vAlign w:val="bottom"/>
          </w:tcPr>
          <w:p>
            <w:pPr>
              <w:spacing w:after="0"/>
              <w:rPr>
                <w:sz w:val="20"/>
                <w:szCs w:val="20"/>
                <w:color w:val="auto"/>
              </w:rPr>
            </w:pPr>
            <w:r>
              <w:rPr>
                <w:rFonts w:ascii="Times New Roman" w:cs="Times New Roman" w:eastAsia="Times New Roman" w:hAnsi="Times New Roman"/>
                <w:sz w:val="14"/>
                <w:szCs w:val="14"/>
                <w:color w:val="auto"/>
              </w:rPr>
              <w:t>Total liabilities and shareholders’ equity</w:t>
            </w: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2,419,608</w:t>
            </w: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2,586,078</w:t>
            </w: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2,333,992</w:t>
            </w: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4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460" w:type="dxa"/>
            <w:vAlign w:val="bottom"/>
            <w:shd w:val="clear" w:color="auto" w:fill="DBDBDB"/>
          </w:tcPr>
          <w:p>
            <w:pPr>
              <w:spacing w:after="0"/>
              <w:rPr>
                <w:sz w:val="20"/>
                <w:szCs w:val="20"/>
                <w:color w:val="auto"/>
              </w:rPr>
            </w:pPr>
            <w:r>
              <w:rPr>
                <w:rFonts w:ascii="Times New Roman" w:cs="Times New Roman" w:eastAsia="Times New Roman" w:hAnsi="Times New Roman"/>
                <w:sz w:val="14"/>
                <w:szCs w:val="14"/>
                <w:color w:val="auto"/>
              </w:rPr>
              <w:t xml:space="preserve">Net interest income </w:t>
            </w:r>
            <w:r>
              <w:rPr>
                <w:rFonts w:ascii="Times New Roman" w:cs="Times New Roman" w:eastAsia="Times New Roman" w:hAnsi="Times New Roman"/>
                <w:sz w:val="18"/>
                <w:szCs w:val="18"/>
                <w:b w:val="1"/>
                <w:bCs w:val="1"/>
                <w:color w:val="auto"/>
                <w:vertAlign w:val="superscript"/>
              </w:rPr>
              <w:t>(3)</w:t>
            </w:r>
          </w:p>
        </w:tc>
        <w:tc>
          <w:tcPr>
            <w:tcW w:w="160" w:type="dxa"/>
            <w:vAlign w:val="bottom"/>
            <w:shd w:val="clear" w:color="auto" w:fill="DBDBDB"/>
          </w:tcPr>
          <w:p>
            <w:pPr>
              <w:spacing w:after="0"/>
              <w:rPr>
                <w:sz w:val="18"/>
                <w:szCs w:val="18"/>
                <w:color w:val="auto"/>
              </w:rPr>
            </w:pPr>
          </w:p>
        </w:tc>
        <w:tc>
          <w:tcPr>
            <w:tcW w:w="820" w:type="dxa"/>
            <w:vAlign w:val="bottom"/>
            <w:shd w:val="clear" w:color="auto" w:fill="DBDBDB"/>
          </w:tcPr>
          <w:p>
            <w:pPr>
              <w:spacing w:after="0"/>
              <w:rPr>
                <w:sz w:val="18"/>
                <w:szCs w:val="18"/>
                <w:color w:val="auto"/>
              </w:rPr>
            </w:pPr>
          </w:p>
        </w:tc>
        <w:tc>
          <w:tcPr>
            <w:tcW w:w="1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DBDBDB"/>
          </w:tcPr>
          <w:p>
            <w:pPr>
              <w:jc w:val="right"/>
              <w:ind w:right="68"/>
              <w:spacing w:after="0"/>
              <w:rPr>
                <w:sz w:val="20"/>
                <w:szCs w:val="20"/>
                <w:color w:val="auto"/>
              </w:rPr>
            </w:pPr>
            <w:r>
              <w:rPr>
                <w:rFonts w:ascii="Times New Roman" w:cs="Times New Roman" w:eastAsia="Times New Roman" w:hAnsi="Times New Roman"/>
                <w:sz w:val="14"/>
                <w:szCs w:val="14"/>
                <w:color w:val="auto"/>
              </w:rPr>
              <w:t>67,583</w:t>
            </w:r>
          </w:p>
        </w:tc>
        <w:tc>
          <w:tcPr>
            <w:tcW w:w="1000" w:type="dxa"/>
            <w:vAlign w:val="bottom"/>
            <w:shd w:val="clear" w:color="auto" w:fill="DBDBDB"/>
          </w:tcPr>
          <w:p>
            <w:pPr>
              <w:spacing w:after="0"/>
              <w:rPr>
                <w:sz w:val="18"/>
                <w:szCs w:val="18"/>
                <w:color w:val="auto"/>
              </w:rPr>
            </w:pPr>
          </w:p>
        </w:tc>
        <w:tc>
          <w:tcPr>
            <w:tcW w:w="200" w:type="dxa"/>
            <w:vAlign w:val="bottom"/>
            <w:shd w:val="clear" w:color="auto" w:fill="DBDBDB"/>
          </w:tcPr>
          <w:p>
            <w:pPr>
              <w:spacing w:after="0"/>
              <w:rPr>
                <w:sz w:val="18"/>
                <w:szCs w:val="18"/>
                <w:color w:val="auto"/>
              </w:rPr>
            </w:pPr>
          </w:p>
        </w:tc>
        <w:tc>
          <w:tcPr>
            <w:tcW w:w="820" w:type="dxa"/>
            <w:vAlign w:val="bottom"/>
            <w:shd w:val="clear" w:color="auto" w:fill="DBDBDB"/>
          </w:tcPr>
          <w:p>
            <w:pPr>
              <w:spacing w:after="0"/>
              <w:rPr>
                <w:sz w:val="18"/>
                <w:szCs w:val="18"/>
                <w:color w:val="auto"/>
              </w:rPr>
            </w:pPr>
          </w:p>
        </w:tc>
        <w:tc>
          <w:tcPr>
            <w:tcW w:w="1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DBDBDB"/>
          </w:tcPr>
          <w:p>
            <w:pPr>
              <w:jc w:val="right"/>
              <w:ind w:right="68"/>
              <w:spacing w:after="0"/>
              <w:rPr>
                <w:sz w:val="20"/>
                <w:szCs w:val="20"/>
                <w:color w:val="auto"/>
              </w:rPr>
            </w:pPr>
            <w:r>
              <w:rPr>
                <w:rFonts w:ascii="Times New Roman" w:cs="Times New Roman" w:eastAsia="Times New Roman" w:hAnsi="Times New Roman"/>
                <w:sz w:val="14"/>
                <w:szCs w:val="14"/>
                <w:color w:val="auto"/>
              </w:rPr>
              <w:t>60,533</w:t>
            </w:r>
          </w:p>
        </w:tc>
        <w:tc>
          <w:tcPr>
            <w:tcW w:w="1020" w:type="dxa"/>
            <w:vAlign w:val="bottom"/>
            <w:shd w:val="clear" w:color="auto" w:fill="DBDBDB"/>
          </w:tcPr>
          <w:p>
            <w:pPr>
              <w:spacing w:after="0"/>
              <w:rPr>
                <w:sz w:val="18"/>
                <w:szCs w:val="18"/>
                <w:color w:val="auto"/>
              </w:rPr>
            </w:pPr>
          </w:p>
        </w:tc>
        <w:tc>
          <w:tcPr>
            <w:tcW w:w="200" w:type="dxa"/>
            <w:vAlign w:val="bottom"/>
            <w:shd w:val="clear" w:color="auto" w:fill="DBDBDB"/>
          </w:tcPr>
          <w:p>
            <w:pPr>
              <w:spacing w:after="0"/>
              <w:rPr>
                <w:sz w:val="18"/>
                <w:szCs w:val="18"/>
                <w:color w:val="auto"/>
              </w:rPr>
            </w:pPr>
          </w:p>
        </w:tc>
        <w:tc>
          <w:tcPr>
            <w:tcW w:w="780" w:type="dxa"/>
            <w:vAlign w:val="bottom"/>
            <w:shd w:val="clear" w:color="auto" w:fill="DBDBDB"/>
          </w:tcPr>
          <w:p>
            <w:pPr>
              <w:spacing w:after="0"/>
              <w:rPr>
                <w:sz w:val="18"/>
                <w:szCs w:val="18"/>
                <w:color w:val="auto"/>
              </w:rPr>
            </w:pPr>
          </w:p>
        </w:tc>
        <w:tc>
          <w:tcPr>
            <w:tcW w:w="1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DBDBDB"/>
          </w:tcPr>
          <w:p>
            <w:pPr>
              <w:jc w:val="right"/>
              <w:ind w:right="48"/>
              <w:spacing w:after="0"/>
              <w:rPr>
                <w:sz w:val="20"/>
                <w:szCs w:val="20"/>
                <w:color w:val="auto"/>
              </w:rPr>
            </w:pPr>
            <w:r>
              <w:rPr>
                <w:rFonts w:ascii="Times New Roman" w:cs="Times New Roman" w:eastAsia="Times New Roman" w:hAnsi="Times New Roman"/>
                <w:sz w:val="14"/>
                <w:szCs w:val="14"/>
                <w:color w:val="auto"/>
              </w:rPr>
              <w:t>46,199</w:t>
            </w:r>
          </w:p>
        </w:tc>
        <w:tc>
          <w:tcPr>
            <w:tcW w:w="92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60" w:type="dxa"/>
            <w:vAlign w:val="bottom"/>
          </w:tcPr>
          <w:p>
            <w:pPr>
              <w:spacing w:after="0"/>
              <w:rPr>
                <w:sz w:val="20"/>
                <w:szCs w:val="20"/>
                <w:color w:val="auto"/>
              </w:rPr>
            </w:pPr>
            <w:r>
              <w:rPr>
                <w:rFonts w:ascii="Times New Roman" w:cs="Times New Roman" w:eastAsia="Times New Roman" w:hAnsi="Times New Roman"/>
                <w:sz w:val="14"/>
                <w:szCs w:val="14"/>
                <w:color w:val="auto"/>
              </w:rPr>
              <w:t xml:space="preserve">Net interest margin </w:t>
            </w:r>
            <w:r>
              <w:rPr>
                <w:rFonts w:ascii="Times New Roman" w:cs="Times New Roman" w:eastAsia="Times New Roman" w:hAnsi="Times New Roman"/>
                <w:sz w:val="18"/>
                <w:szCs w:val="18"/>
                <w:b w:val="1"/>
                <w:bCs w:val="1"/>
                <w:color w:val="auto"/>
                <w:vertAlign w:val="superscript"/>
              </w:rPr>
              <w:t>(3)</w:t>
            </w: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3.25 %</w:t>
            </w: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2.74 %</w:t>
            </w: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2.31 %</w:t>
            </w:r>
          </w:p>
        </w:tc>
        <w:tc>
          <w:tcPr>
            <w:tcW w:w="0" w:type="dxa"/>
            <w:vAlign w:val="bottom"/>
          </w:tcPr>
          <w:p>
            <w:pPr>
              <w:spacing w:after="0"/>
              <w:rPr>
                <w:sz w:val="1"/>
                <w:szCs w:val="1"/>
                <w:color w:val="auto"/>
              </w:rPr>
            </w:pPr>
          </w:p>
        </w:tc>
      </w:tr>
      <w:tr>
        <w:trPr>
          <w:trHeight w:val="196"/>
        </w:trPr>
        <w:tc>
          <w:tcPr>
            <w:tcW w:w="2460" w:type="dxa"/>
            <w:vAlign w:val="bottom"/>
            <w:tcBorders>
              <w:bottom w:val="single" w:sz="8" w:color="DBDBDB"/>
            </w:tcBorders>
            <w:shd w:val="clear" w:color="auto" w:fill="DBDBDB"/>
          </w:tcPr>
          <w:p>
            <w:pPr>
              <w:spacing w:after="0"/>
              <w:rPr>
                <w:sz w:val="20"/>
                <w:szCs w:val="20"/>
                <w:color w:val="auto"/>
              </w:rPr>
            </w:pPr>
            <w:r>
              <w:rPr>
                <w:rFonts w:ascii="Times New Roman" w:cs="Times New Roman" w:eastAsia="Times New Roman" w:hAnsi="Times New Roman"/>
                <w:sz w:val="14"/>
                <w:szCs w:val="14"/>
                <w:color w:val="auto"/>
              </w:rPr>
              <w:t>Interest spread</w:t>
            </w:r>
          </w:p>
        </w:tc>
        <w:tc>
          <w:tcPr>
            <w:tcW w:w="160" w:type="dxa"/>
            <w:vAlign w:val="bottom"/>
            <w:tcBorders>
              <w:bottom w:val="single" w:sz="8" w:color="DBDBDB"/>
            </w:tcBorders>
            <w:shd w:val="clear" w:color="auto" w:fill="DBDBDB"/>
          </w:tcPr>
          <w:p>
            <w:pPr>
              <w:spacing w:after="0"/>
              <w:rPr>
                <w:sz w:val="17"/>
                <w:szCs w:val="17"/>
                <w:color w:val="auto"/>
              </w:rPr>
            </w:pPr>
          </w:p>
        </w:tc>
        <w:tc>
          <w:tcPr>
            <w:tcW w:w="820" w:type="dxa"/>
            <w:vAlign w:val="bottom"/>
            <w:tcBorders>
              <w:bottom w:val="single" w:sz="8" w:color="DBDBDB"/>
            </w:tcBorders>
            <w:shd w:val="clear" w:color="auto" w:fill="DBDBDB"/>
          </w:tcPr>
          <w:p>
            <w:pPr>
              <w:spacing w:after="0"/>
              <w:rPr>
                <w:sz w:val="17"/>
                <w:szCs w:val="17"/>
                <w:color w:val="auto"/>
              </w:rPr>
            </w:pPr>
          </w:p>
        </w:tc>
        <w:tc>
          <w:tcPr>
            <w:tcW w:w="180" w:type="dxa"/>
            <w:vAlign w:val="bottom"/>
            <w:tcBorders>
              <w:bottom w:val="single" w:sz="8" w:color="DBDBDB"/>
            </w:tcBorders>
            <w:shd w:val="clear" w:color="auto" w:fill="DBDBDB"/>
          </w:tcPr>
          <w:p>
            <w:pPr>
              <w:spacing w:after="0"/>
              <w:rPr>
                <w:sz w:val="17"/>
                <w:szCs w:val="17"/>
                <w:color w:val="auto"/>
              </w:rPr>
            </w:pPr>
          </w:p>
        </w:tc>
        <w:tc>
          <w:tcPr>
            <w:tcW w:w="780" w:type="dxa"/>
            <w:vAlign w:val="bottom"/>
            <w:tcBorders>
              <w:bottom w:val="single" w:sz="8" w:color="DBDBDB"/>
            </w:tcBorders>
            <w:shd w:val="clear" w:color="auto" w:fill="DBDBDB"/>
          </w:tcPr>
          <w:p>
            <w:pPr>
              <w:spacing w:after="0"/>
              <w:rPr>
                <w:sz w:val="17"/>
                <w:szCs w:val="17"/>
                <w:color w:val="auto"/>
              </w:rPr>
            </w:pPr>
          </w:p>
        </w:tc>
        <w:tc>
          <w:tcPr>
            <w:tcW w:w="1000" w:type="dxa"/>
            <w:vAlign w:val="bottom"/>
            <w:tcBorders>
              <w:bottom w:val="single" w:sz="8" w:color="DBDBDB"/>
            </w:tcBorders>
            <w:shd w:val="clear" w:color="auto" w:fill="DBDBDB"/>
          </w:tcPr>
          <w:p>
            <w:pPr>
              <w:ind w:left="520"/>
              <w:spacing w:after="0"/>
              <w:rPr>
                <w:sz w:val="20"/>
                <w:szCs w:val="20"/>
                <w:color w:val="auto"/>
              </w:rPr>
            </w:pPr>
            <w:r>
              <w:rPr>
                <w:rFonts w:ascii="Times New Roman" w:cs="Times New Roman" w:eastAsia="Times New Roman" w:hAnsi="Times New Roman"/>
                <w:sz w:val="14"/>
                <w:szCs w:val="14"/>
                <w:color w:val="auto"/>
              </w:rPr>
              <w:t>1.20 %</w:t>
            </w:r>
          </w:p>
        </w:tc>
        <w:tc>
          <w:tcPr>
            <w:tcW w:w="200" w:type="dxa"/>
            <w:vAlign w:val="bottom"/>
            <w:tcBorders>
              <w:bottom w:val="single" w:sz="8" w:color="DBDBDB"/>
            </w:tcBorders>
            <w:shd w:val="clear" w:color="auto" w:fill="DBDBDB"/>
          </w:tcPr>
          <w:p>
            <w:pPr>
              <w:spacing w:after="0"/>
              <w:rPr>
                <w:sz w:val="17"/>
                <w:szCs w:val="17"/>
                <w:color w:val="auto"/>
              </w:rPr>
            </w:pPr>
          </w:p>
        </w:tc>
        <w:tc>
          <w:tcPr>
            <w:tcW w:w="820" w:type="dxa"/>
            <w:vAlign w:val="bottom"/>
            <w:tcBorders>
              <w:bottom w:val="single" w:sz="8" w:color="DBDBDB"/>
            </w:tcBorders>
            <w:shd w:val="clear" w:color="auto" w:fill="DBDBDB"/>
          </w:tcPr>
          <w:p>
            <w:pPr>
              <w:spacing w:after="0"/>
              <w:rPr>
                <w:sz w:val="17"/>
                <w:szCs w:val="17"/>
                <w:color w:val="auto"/>
              </w:rPr>
            </w:pPr>
          </w:p>
        </w:tc>
        <w:tc>
          <w:tcPr>
            <w:tcW w:w="160" w:type="dxa"/>
            <w:vAlign w:val="bottom"/>
            <w:tcBorders>
              <w:bottom w:val="single" w:sz="8" w:color="DBDBDB"/>
            </w:tcBorders>
            <w:shd w:val="clear" w:color="auto" w:fill="DBDBDB"/>
          </w:tcPr>
          <w:p>
            <w:pPr>
              <w:spacing w:after="0"/>
              <w:rPr>
                <w:sz w:val="17"/>
                <w:szCs w:val="17"/>
                <w:color w:val="auto"/>
              </w:rPr>
            </w:pPr>
          </w:p>
        </w:tc>
        <w:tc>
          <w:tcPr>
            <w:tcW w:w="760" w:type="dxa"/>
            <w:vAlign w:val="bottom"/>
            <w:tcBorders>
              <w:bottom w:val="single" w:sz="8" w:color="DBDBDB"/>
            </w:tcBorders>
            <w:shd w:val="clear" w:color="auto" w:fill="DBDBDB"/>
          </w:tcPr>
          <w:p>
            <w:pPr>
              <w:spacing w:after="0"/>
              <w:rPr>
                <w:sz w:val="17"/>
                <w:szCs w:val="17"/>
                <w:color w:val="auto"/>
              </w:rPr>
            </w:pPr>
          </w:p>
        </w:tc>
        <w:tc>
          <w:tcPr>
            <w:tcW w:w="1020" w:type="dxa"/>
            <w:vAlign w:val="bottom"/>
            <w:tcBorders>
              <w:bottom w:val="single" w:sz="8" w:color="DBDBDB"/>
            </w:tcBorders>
            <w:shd w:val="clear" w:color="auto" w:fill="DBDBDB"/>
          </w:tcPr>
          <w:p>
            <w:pPr>
              <w:jc w:val="right"/>
              <w:ind w:right="8"/>
              <w:spacing w:after="0"/>
              <w:rPr>
                <w:sz w:val="20"/>
                <w:szCs w:val="20"/>
                <w:color w:val="auto"/>
              </w:rPr>
            </w:pPr>
            <w:r>
              <w:rPr>
                <w:rFonts w:ascii="Times New Roman" w:cs="Times New Roman" w:eastAsia="Times New Roman" w:hAnsi="Times New Roman"/>
                <w:sz w:val="14"/>
                <w:szCs w:val="14"/>
                <w:color w:val="auto"/>
              </w:rPr>
              <w:t>2.32 %</w:t>
            </w:r>
          </w:p>
        </w:tc>
        <w:tc>
          <w:tcPr>
            <w:tcW w:w="200" w:type="dxa"/>
            <w:vAlign w:val="bottom"/>
            <w:tcBorders>
              <w:bottom w:val="single" w:sz="8" w:color="DBDBDB"/>
            </w:tcBorders>
            <w:shd w:val="clear" w:color="auto" w:fill="DBDBDB"/>
          </w:tcPr>
          <w:p>
            <w:pPr>
              <w:spacing w:after="0"/>
              <w:rPr>
                <w:sz w:val="17"/>
                <w:szCs w:val="17"/>
                <w:color w:val="auto"/>
              </w:rPr>
            </w:pPr>
          </w:p>
        </w:tc>
        <w:tc>
          <w:tcPr>
            <w:tcW w:w="780" w:type="dxa"/>
            <w:vAlign w:val="bottom"/>
            <w:tcBorders>
              <w:bottom w:val="single" w:sz="8" w:color="DBDBDB"/>
            </w:tcBorders>
            <w:shd w:val="clear" w:color="auto" w:fill="DBDBDB"/>
          </w:tcPr>
          <w:p>
            <w:pPr>
              <w:spacing w:after="0"/>
              <w:rPr>
                <w:sz w:val="17"/>
                <w:szCs w:val="17"/>
                <w:color w:val="auto"/>
              </w:rPr>
            </w:pPr>
          </w:p>
        </w:tc>
        <w:tc>
          <w:tcPr>
            <w:tcW w:w="140" w:type="dxa"/>
            <w:vAlign w:val="bottom"/>
            <w:tcBorders>
              <w:bottom w:val="single" w:sz="8" w:color="DBDBDB"/>
            </w:tcBorders>
            <w:shd w:val="clear" w:color="auto" w:fill="DBDBDB"/>
          </w:tcPr>
          <w:p>
            <w:pPr>
              <w:spacing w:after="0"/>
              <w:rPr>
                <w:sz w:val="17"/>
                <w:szCs w:val="17"/>
                <w:color w:val="auto"/>
              </w:rPr>
            </w:pPr>
          </w:p>
        </w:tc>
        <w:tc>
          <w:tcPr>
            <w:tcW w:w="780" w:type="dxa"/>
            <w:vAlign w:val="bottom"/>
            <w:tcBorders>
              <w:bottom w:val="single" w:sz="8" w:color="DBDBDB"/>
            </w:tcBorders>
            <w:shd w:val="clear" w:color="auto" w:fill="DBDBDB"/>
          </w:tcPr>
          <w:p>
            <w:pPr>
              <w:spacing w:after="0"/>
              <w:rPr>
                <w:sz w:val="17"/>
                <w:szCs w:val="17"/>
                <w:color w:val="auto"/>
              </w:rPr>
            </w:pPr>
          </w:p>
        </w:tc>
        <w:tc>
          <w:tcPr>
            <w:tcW w:w="92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2.17 %</w:t>
            </w:r>
          </w:p>
        </w:tc>
        <w:tc>
          <w:tcPr>
            <w:tcW w:w="0" w:type="dxa"/>
            <w:vAlign w:val="bottom"/>
          </w:tcPr>
          <w:p>
            <w:pPr>
              <w:spacing w:after="0"/>
              <w:rPr>
                <w:sz w:val="1"/>
                <w:szCs w:val="1"/>
                <w:color w:val="auto"/>
              </w:rPr>
            </w:pPr>
          </w:p>
        </w:tc>
      </w:tr>
      <w:tr>
        <w:trPr>
          <w:trHeight w:val="20"/>
        </w:trPr>
        <w:tc>
          <w:tcPr>
            <w:tcW w:w="24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ind w:left="640" w:hanging="632"/>
        <w:spacing w:after="0"/>
        <w:tabs>
          <w:tab w:leader="none" w:pos="64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Balances shown are daily averages.</w:t>
      </w:r>
    </w:p>
    <w:p>
      <w:pPr>
        <w:spacing w:after="0" w:line="27" w:lineRule="exact"/>
        <w:rPr>
          <w:rFonts w:ascii="Times New Roman" w:cs="Times New Roman" w:eastAsia="Times New Roman" w:hAnsi="Times New Roman"/>
          <w:sz w:val="18"/>
          <w:szCs w:val="18"/>
          <w:b w:val="1"/>
          <w:bCs w:val="1"/>
          <w:color w:val="auto"/>
        </w:rPr>
      </w:pPr>
    </w:p>
    <w:p>
      <w:pPr>
        <w:ind w:left="660" w:right="120" w:hanging="652"/>
        <w:spacing w:after="0" w:line="250" w:lineRule="auto"/>
        <w:tabs>
          <w:tab w:leader="none" w:pos="654"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Interest income on loans includes net loan fees of $686,000, $684,000, and $3.4 million for 2023, 2022 and 2021, respectively. Loan fees include $0, $167,000, and $2.6 million of PPP loan fees for 2023, 2022 and 2021, respectively.</w:t>
      </w:r>
    </w:p>
    <w:p>
      <w:pPr>
        <w:ind w:left="660" w:right="80" w:hanging="652"/>
        <w:spacing w:after="0" w:line="250" w:lineRule="auto"/>
        <w:tabs>
          <w:tab w:leader="none" w:pos="654"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Interest income is presented on a tax-equivalent basis assuming a tax rate of 21%. The tax-equivalent adjustment was approximately $1.1 million, $1.7 million and $1.9 million for 2023, 2022, and 2021, respectively.</w:t>
      </w:r>
    </w:p>
    <w:p>
      <w:pPr>
        <w:ind w:left="660" w:right="100" w:hanging="652"/>
        <w:spacing w:after="0" w:line="260" w:lineRule="auto"/>
        <w:tabs>
          <w:tab w:leader="none" w:pos="654"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For purposes of these computations, yields on investment securities are computed as interest income divided by the average amortized cost of the investments.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31" w:name="page32"/>
    <w:bookmarkEnd w:id="31"/>
    <w:p>
      <w:pPr>
        <w:ind w:left="10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100" w:type="dxa"/>
        <w:tblCellMar>
          <w:top w:w="0" w:type="dxa"/>
          <w:left w:w="0" w:type="dxa"/>
          <w:bottom w:w="0" w:type="dxa"/>
          <w:right w:w="0" w:type="dxa"/>
        </w:tblCellMar>
      </w:tblPr>
      <w:tr>
        <w:trPr>
          <w:trHeight w:val="238"/>
        </w:trPr>
        <w:tc>
          <w:tcPr>
            <w:tcW w:w="40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Analysis of Net Interest Income Changes</w:t>
            </w: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432"/>
        </w:trPr>
        <w:tc>
          <w:tcPr>
            <w:tcW w:w="984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The following table presents the changes in interest income and expense between years due to changes in volume and interest rates.</w:t>
            </w: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77"/>
        </w:trPr>
        <w:tc>
          <w:tcPr>
            <w:tcW w:w="26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2023 Over 2022</w:t>
            </w:r>
          </w:p>
        </w:tc>
        <w:tc>
          <w:tcPr>
            <w:tcW w:w="3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2022 Over 2021</w:t>
            </w:r>
          </w:p>
        </w:tc>
        <w:tc>
          <w:tcPr>
            <w:tcW w:w="3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r>
      <w:tr>
        <w:trPr>
          <w:trHeight w:val="257"/>
        </w:trPr>
        <w:tc>
          <w:tcPr>
            <w:tcW w:w="2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230"/>
              <w:spacing w:after="0" w:line="256" w:lineRule="exact"/>
              <w:rPr>
                <w:sz w:val="20"/>
                <w:szCs w:val="20"/>
                <w:color w:val="auto"/>
              </w:rPr>
            </w:pPr>
            <w:r>
              <w:rPr>
                <w:rFonts w:ascii="Times New Roman" w:cs="Times New Roman" w:eastAsia="Times New Roman" w:hAnsi="Times New Roman"/>
                <w:sz w:val="18"/>
                <w:szCs w:val="18"/>
                <w:b w:val="1"/>
                <w:bCs w:val="1"/>
                <w:color w:val="auto"/>
              </w:rPr>
              <w:t xml:space="preserve">Volume </w:t>
            </w:r>
            <w:r>
              <w:rPr>
                <w:rFonts w:ascii="Times New Roman" w:cs="Times New Roman" w:eastAsia="Times New Roman" w:hAnsi="Times New Roman"/>
                <w:sz w:val="23"/>
                <w:szCs w:val="23"/>
                <w:b w:val="1"/>
                <w:bCs w:val="1"/>
                <w:color w:val="auto"/>
                <w:vertAlign w:val="superscript"/>
              </w:rPr>
              <w:t>(1)</w:t>
            </w: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370"/>
              <w:spacing w:after="0" w:line="256" w:lineRule="exact"/>
              <w:rPr>
                <w:sz w:val="20"/>
                <w:szCs w:val="20"/>
                <w:color w:val="auto"/>
              </w:rPr>
            </w:pPr>
            <w:r>
              <w:rPr>
                <w:rFonts w:ascii="Times New Roman" w:cs="Times New Roman" w:eastAsia="Times New Roman" w:hAnsi="Times New Roman"/>
                <w:sz w:val="18"/>
                <w:szCs w:val="18"/>
                <w:b w:val="1"/>
                <w:bCs w:val="1"/>
                <w:color w:val="auto"/>
              </w:rPr>
              <w:t xml:space="preserve">Rate </w:t>
            </w:r>
            <w:r>
              <w:rPr>
                <w:rFonts w:ascii="Times New Roman" w:cs="Times New Roman" w:eastAsia="Times New Roman" w:hAnsi="Times New Roman"/>
                <w:sz w:val="23"/>
                <w:szCs w:val="23"/>
                <w:b w:val="1"/>
                <w:bCs w:val="1"/>
                <w:color w:val="auto"/>
                <w:vertAlign w:val="superscript"/>
              </w:rPr>
              <w:t>(1)</w:t>
            </w: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270"/>
              <w:spacing w:after="0" w:line="256" w:lineRule="exact"/>
              <w:rPr>
                <w:sz w:val="20"/>
                <w:szCs w:val="20"/>
                <w:color w:val="auto"/>
              </w:rPr>
            </w:pPr>
            <w:r>
              <w:rPr>
                <w:rFonts w:ascii="Times New Roman" w:cs="Times New Roman" w:eastAsia="Times New Roman" w:hAnsi="Times New Roman"/>
                <w:sz w:val="18"/>
                <w:szCs w:val="18"/>
                <w:b w:val="1"/>
                <w:bCs w:val="1"/>
                <w:color w:val="auto"/>
              </w:rPr>
              <w:t>Volume</w:t>
            </w:r>
            <w:r>
              <w:rPr>
                <w:rFonts w:ascii="Times New Roman" w:cs="Times New Roman" w:eastAsia="Times New Roman" w:hAnsi="Times New Roman"/>
                <w:sz w:val="23"/>
                <w:szCs w:val="23"/>
                <w:b w:val="1"/>
                <w:bCs w:val="1"/>
                <w:color w:val="auto"/>
                <w:vertAlign w:val="superscript"/>
              </w:rPr>
              <w:t>(1)</w:t>
            </w:r>
          </w:p>
        </w:tc>
        <w:tc>
          <w:tcPr>
            <w:tcW w:w="3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350"/>
              <w:spacing w:after="0" w:line="256" w:lineRule="exact"/>
              <w:rPr>
                <w:sz w:val="20"/>
                <w:szCs w:val="20"/>
                <w:color w:val="auto"/>
              </w:rPr>
            </w:pPr>
            <w:r>
              <w:rPr>
                <w:rFonts w:ascii="Times New Roman" w:cs="Times New Roman" w:eastAsia="Times New Roman" w:hAnsi="Times New Roman"/>
                <w:sz w:val="18"/>
                <w:szCs w:val="18"/>
                <w:b w:val="1"/>
                <w:bCs w:val="1"/>
                <w:color w:val="auto"/>
              </w:rPr>
              <w:t xml:space="preserve">Rate </w:t>
            </w:r>
            <w:r>
              <w:rPr>
                <w:rFonts w:ascii="Times New Roman" w:cs="Times New Roman" w:eastAsia="Times New Roman" w:hAnsi="Times New Roman"/>
                <w:sz w:val="23"/>
                <w:szCs w:val="23"/>
                <w:b w:val="1"/>
                <w:bCs w:val="1"/>
                <w:color w:val="auto"/>
                <w:vertAlign w:val="superscript"/>
              </w:rPr>
              <w:t>(1)</w:t>
            </w:r>
          </w:p>
        </w:tc>
        <w:tc>
          <w:tcPr>
            <w:tcW w:w="3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05"/>
        </w:trPr>
        <w:tc>
          <w:tcPr>
            <w:tcW w:w="2660" w:type="dxa"/>
            <w:vAlign w:val="bottom"/>
            <w:shd w:val="clear" w:color="auto" w:fill="DBDBDB"/>
          </w:tcPr>
          <w:p>
            <w:pPr>
              <w:ind w:left="20"/>
              <w:spacing w:after="0" w:line="205" w:lineRule="exact"/>
              <w:rPr>
                <w:sz w:val="20"/>
                <w:szCs w:val="20"/>
                <w:color w:val="auto"/>
              </w:rPr>
            </w:pPr>
            <w:r>
              <w:rPr>
                <w:rFonts w:ascii="Times New Roman" w:cs="Times New Roman" w:eastAsia="Times New Roman" w:hAnsi="Times New Roman"/>
                <w:sz w:val="18"/>
                <w:szCs w:val="18"/>
                <w:color w:val="auto"/>
              </w:rPr>
              <w:t>Increase (decrease) in interest</w:t>
            </w:r>
          </w:p>
        </w:tc>
        <w:tc>
          <w:tcPr>
            <w:tcW w:w="200" w:type="dxa"/>
            <w:vAlign w:val="bottom"/>
            <w:shd w:val="clear" w:color="auto" w:fill="DBDBDB"/>
          </w:tcPr>
          <w:p>
            <w:pPr>
              <w:spacing w:after="0"/>
              <w:rPr>
                <w:sz w:val="17"/>
                <w:szCs w:val="17"/>
                <w:color w:val="auto"/>
              </w:rPr>
            </w:pPr>
          </w:p>
        </w:tc>
        <w:tc>
          <w:tcPr>
            <w:tcW w:w="1180" w:type="dxa"/>
            <w:vAlign w:val="bottom"/>
            <w:shd w:val="clear" w:color="auto" w:fill="DBDBDB"/>
          </w:tcPr>
          <w:p>
            <w:pPr>
              <w:spacing w:after="0"/>
              <w:rPr>
                <w:sz w:val="17"/>
                <w:szCs w:val="17"/>
                <w:color w:val="auto"/>
              </w:rPr>
            </w:pPr>
          </w:p>
        </w:tc>
        <w:tc>
          <w:tcPr>
            <w:tcW w:w="320" w:type="dxa"/>
            <w:vAlign w:val="bottom"/>
            <w:shd w:val="clear" w:color="auto" w:fill="DBDBDB"/>
          </w:tcPr>
          <w:p>
            <w:pPr>
              <w:spacing w:after="0"/>
              <w:rPr>
                <w:sz w:val="17"/>
                <w:szCs w:val="17"/>
                <w:color w:val="auto"/>
              </w:rPr>
            </w:pPr>
          </w:p>
        </w:tc>
        <w:tc>
          <w:tcPr>
            <w:tcW w:w="1140" w:type="dxa"/>
            <w:vAlign w:val="bottom"/>
            <w:shd w:val="clear" w:color="auto" w:fill="DBDBDB"/>
          </w:tcPr>
          <w:p>
            <w:pPr>
              <w:spacing w:after="0"/>
              <w:rPr>
                <w:sz w:val="17"/>
                <w:szCs w:val="17"/>
                <w:color w:val="auto"/>
              </w:rPr>
            </w:pPr>
          </w:p>
        </w:tc>
        <w:tc>
          <w:tcPr>
            <w:tcW w:w="340" w:type="dxa"/>
            <w:vAlign w:val="bottom"/>
            <w:shd w:val="clear" w:color="auto" w:fill="DBDBDB"/>
          </w:tcPr>
          <w:p>
            <w:pPr>
              <w:spacing w:after="0"/>
              <w:rPr>
                <w:sz w:val="17"/>
                <w:szCs w:val="17"/>
                <w:color w:val="auto"/>
              </w:rPr>
            </w:pPr>
          </w:p>
        </w:tc>
        <w:tc>
          <w:tcPr>
            <w:tcW w:w="106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1180" w:type="dxa"/>
            <w:vAlign w:val="bottom"/>
            <w:shd w:val="clear" w:color="auto" w:fill="DBDBDB"/>
          </w:tcPr>
          <w:p>
            <w:pPr>
              <w:spacing w:after="0"/>
              <w:rPr>
                <w:sz w:val="17"/>
                <w:szCs w:val="17"/>
                <w:color w:val="auto"/>
              </w:rPr>
            </w:pPr>
          </w:p>
        </w:tc>
        <w:tc>
          <w:tcPr>
            <w:tcW w:w="300" w:type="dxa"/>
            <w:vAlign w:val="bottom"/>
            <w:shd w:val="clear" w:color="auto" w:fill="DBDBDB"/>
          </w:tcPr>
          <w:p>
            <w:pPr>
              <w:spacing w:after="0"/>
              <w:rPr>
                <w:sz w:val="17"/>
                <w:szCs w:val="17"/>
                <w:color w:val="auto"/>
              </w:rPr>
            </w:pPr>
          </w:p>
        </w:tc>
        <w:tc>
          <w:tcPr>
            <w:tcW w:w="1140" w:type="dxa"/>
            <w:vAlign w:val="bottom"/>
            <w:shd w:val="clear" w:color="auto" w:fill="DBDBDB"/>
          </w:tcPr>
          <w:p>
            <w:pPr>
              <w:spacing w:after="0"/>
              <w:rPr>
                <w:sz w:val="17"/>
                <w:szCs w:val="17"/>
                <w:color w:val="auto"/>
              </w:rPr>
            </w:pPr>
          </w:p>
        </w:tc>
        <w:tc>
          <w:tcPr>
            <w:tcW w:w="340" w:type="dxa"/>
            <w:vAlign w:val="bottom"/>
            <w:shd w:val="clear" w:color="auto" w:fill="DBDBDB"/>
          </w:tcPr>
          <w:p>
            <w:pPr>
              <w:spacing w:after="0"/>
              <w:rPr>
                <w:sz w:val="17"/>
                <w:szCs w:val="17"/>
                <w:color w:val="auto"/>
              </w:rPr>
            </w:pPr>
          </w:p>
        </w:tc>
        <w:tc>
          <w:tcPr>
            <w:tcW w:w="1060" w:type="dxa"/>
            <w:vAlign w:val="bottom"/>
            <w:shd w:val="clear" w:color="auto" w:fill="DBDBDB"/>
          </w:tcPr>
          <w:p>
            <w:pPr>
              <w:spacing w:after="0"/>
              <w:rPr>
                <w:sz w:val="17"/>
                <w:szCs w:val="17"/>
                <w:color w:val="auto"/>
              </w:rPr>
            </w:pPr>
          </w:p>
        </w:tc>
      </w:tr>
      <w:tr>
        <w:trPr>
          <w:trHeight w:val="248"/>
        </w:trPr>
        <w:tc>
          <w:tcPr>
            <w:tcW w:w="266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income:</w:t>
            </w:r>
          </w:p>
        </w:tc>
        <w:tc>
          <w:tcPr>
            <w:tcW w:w="200" w:type="dxa"/>
            <w:vAlign w:val="bottom"/>
            <w:shd w:val="clear" w:color="auto" w:fill="DBDBDB"/>
          </w:tcPr>
          <w:p>
            <w:pPr>
              <w:spacing w:after="0"/>
              <w:rPr>
                <w:sz w:val="21"/>
                <w:szCs w:val="21"/>
                <w:color w:val="auto"/>
              </w:rPr>
            </w:pPr>
          </w:p>
        </w:tc>
        <w:tc>
          <w:tcPr>
            <w:tcW w:w="1180" w:type="dxa"/>
            <w:vAlign w:val="bottom"/>
            <w:shd w:val="clear" w:color="auto" w:fill="DBDBDB"/>
          </w:tcPr>
          <w:p>
            <w:pPr>
              <w:spacing w:after="0"/>
              <w:rPr>
                <w:sz w:val="21"/>
                <w:szCs w:val="21"/>
                <w:color w:val="auto"/>
              </w:rPr>
            </w:pPr>
          </w:p>
        </w:tc>
        <w:tc>
          <w:tcPr>
            <w:tcW w:w="320" w:type="dxa"/>
            <w:vAlign w:val="bottom"/>
            <w:shd w:val="clear" w:color="auto" w:fill="DBDBDB"/>
          </w:tcPr>
          <w:p>
            <w:pPr>
              <w:spacing w:after="0"/>
              <w:rPr>
                <w:sz w:val="21"/>
                <w:szCs w:val="21"/>
                <w:color w:val="auto"/>
              </w:rPr>
            </w:pPr>
          </w:p>
        </w:tc>
        <w:tc>
          <w:tcPr>
            <w:tcW w:w="1140" w:type="dxa"/>
            <w:vAlign w:val="bottom"/>
            <w:shd w:val="clear" w:color="auto" w:fill="DBDBDB"/>
          </w:tcPr>
          <w:p>
            <w:pPr>
              <w:spacing w:after="0"/>
              <w:rPr>
                <w:sz w:val="21"/>
                <w:szCs w:val="21"/>
                <w:color w:val="auto"/>
              </w:rPr>
            </w:pPr>
          </w:p>
        </w:tc>
        <w:tc>
          <w:tcPr>
            <w:tcW w:w="340" w:type="dxa"/>
            <w:vAlign w:val="bottom"/>
            <w:shd w:val="clear" w:color="auto" w:fill="DBDBDB"/>
          </w:tcPr>
          <w:p>
            <w:pPr>
              <w:spacing w:after="0"/>
              <w:rPr>
                <w:sz w:val="21"/>
                <w:szCs w:val="21"/>
                <w:color w:val="auto"/>
              </w:rPr>
            </w:pPr>
          </w:p>
        </w:tc>
        <w:tc>
          <w:tcPr>
            <w:tcW w:w="1060" w:type="dxa"/>
            <w:vAlign w:val="bottom"/>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220" w:type="dxa"/>
            <w:vAlign w:val="bottom"/>
            <w:shd w:val="clear" w:color="auto" w:fill="DBDBDB"/>
          </w:tcPr>
          <w:p>
            <w:pPr>
              <w:spacing w:after="0"/>
              <w:rPr>
                <w:sz w:val="21"/>
                <w:szCs w:val="21"/>
                <w:color w:val="auto"/>
              </w:rPr>
            </w:pPr>
          </w:p>
        </w:tc>
        <w:tc>
          <w:tcPr>
            <w:tcW w:w="1180" w:type="dxa"/>
            <w:vAlign w:val="bottom"/>
            <w:shd w:val="clear" w:color="auto" w:fill="DBDBDB"/>
          </w:tcPr>
          <w:p>
            <w:pPr>
              <w:spacing w:after="0"/>
              <w:rPr>
                <w:sz w:val="21"/>
                <w:szCs w:val="21"/>
                <w:color w:val="auto"/>
              </w:rPr>
            </w:pPr>
          </w:p>
        </w:tc>
        <w:tc>
          <w:tcPr>
            <w:tcW w:w="300" w:type="dxa"/>
            <w:vAlign w:val="bottom"/>
            <w:shd w:val="clear" w:color="auto" w:fill="DBDBDB"/>
          </w:tcPr>
          <w:p>
            <w:pPr>
              <w:spacing w:after="0"/>
              <w:rPr>
                <w:sz w:val="21"/>
                <w:szCs w:val="21"/>
                <w:color w:val="auto"/>
              </w:rPr>
            </w:pPr>
          </w:p>
        </w:tc>
        <w:tc>
          <w:tcPr>
            <w:tcW w:w="1140" w:type="dxa"/>
            <w:vAlign w:val="bottom"/>
            <w:shd w:val="clear" w:color="auto" w:fill="DBDBDB"/>
          </w:tcPr>
          <w:p>
            <w:pPr>
              <w:spacing w:after="0"/>
              <w:rPr>
                <w:sz w:val="21"/>
                <w:szCs w:val="21"/>
                <w:color w:val="auto"/>
              </w:rPr>
            </w:pPr>
          </w:p>
        </w:tc>
        <w:tc>
          <w:tcPr>
            <w:tcW w:w="340" w:type="dxa"/>
            <w:vAlign w:val="bottom"/>
            <w:shd w:val="clear" w:color="auto" w:fill="DBDBDB"/>
          </w:tcPr>
          <w:p>
            <w:pPr>
              <w:spacing w:after="0"/>
              <w:rPr>
                <w:sz w:val="21"/>
                <w:szCs w:val="21"/>
                <w:color w:val="auto"/>
              </w:rPr>
            </w:pPr>
          </w:p>
        </w:tc>
        <w:tc>
          <w:tcPr>
            <w:tcW w:w="1060" w:type="dxa"/>
            <w:vAlign w:val="bottom"/>
            <w:shd w:val="clear" w:color="auto" w:fill="DBDBDB"/>
          </w:tcPr>
          <w:p>
            <w:pPr>
              <w:spacing w:after="0"/>
              <w:rPr>
                <w:sz w:val="21"/>
                <w:szCs w:val="21"/>
                <w:color w:val="auto"/>
              </w:rPr>
            </w:pPr>
          </w:p>
        </w:tc>
      </w:tr>
      <w:tr>
        <w:trPr>
          <w:trHeight w:val="257"/>
        </w:trPr>
        <w:tc>
          <w:tcPr>
            <w:tcW w:w="2660" w:type="dxa"/>
            <w:vAlign w:val="bottom"/>
          </w:tcPr>
          <w:p>
            <w:pPr>
              <w:ind w:left="20"/>
              <w:spacing w:after="0" w:line="256" w:lineRule="exact"/>
              <w:rPr>
                <w:sz w:val="20"/>
                <w:szCs w:val="20"/>
                <w:color w:val="auto"/>
              </w:rPr>
            </w:pPr>
            <w:r>
              <w:rPr>
                <w:rFonts w:ascii="Times New Roman" w:cs="Times New Roman" w:eastAsia="Times New Roman" w:hAnsi="Times New Roman"/>
                <w:sz w:val="18"/>
                <w:szCs w:val="18"/>
                <w:color w:val="auto"/>
              </w:rPr>
              <w:t xml:space="preserve">Loans </w:t>
            </w:r>
            <w:r>
              <w:rPr>
                <w:rFonts w:ascii="Times New Roman" w:cs="Times New Roman" w:eastAsia="Times New Roman" w:hAnsi="Times New Roman"/>
                <w:sz w:val="23"/>
                <w:szCs w:val="23"/>
                <w:b w:val="1"/>
                <w:bCs w:val="1"/>
                <w:color w:val="auto"/>
                <w:vertAlign w:val="superscript"/>
              </w:rPr>
              <w:t>(2)</w:t>
            </w:r>
            <w:r>
              <w:rPr>
                <w:rFonts w:ascii="Times New Roman" w:cs="Times New Roman" w:eastAsia="Times New Roman" w:hAnsi="Times New Roman"/>
                <w:sz w:val="18"/>
                <w:szCs w:val="18"/>
                <w:color w:val="auto"/>
              </w:rPr>
              <w: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2,657</w:t>
            </w:r>
          </w:p>
        </w:tc>
        <w:tc>
          <w:tcPr>
            <w:tcW w:w="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8,708</w:t>
            </w:r>
          </w:p>
        </w:tc>
        <w:tc>
          <w:tcPr>
            <w:tcW w:w="3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11,365</w:t>
            </w:r>
          </w:p>
        </w:tc>
        <w:tc>
          <w:tcPr>
            <w:tcW w:w="100" w:type="dxa"/>
            <w:vAlign w:val="bottom"/>
          </w:tcPr>
          <w:p>
            <w:pPr>
              <w:spacing w:after="0"/>
              <w:rPr>
                <w:sz w:val="22"/>
                <w:szCs w:val="22"/>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4,150</w:t>
            </w:r>
          </w:p>
        </w:tc>
        <w:tc>
          <w:tcPr>
            <w:tcW w:w="3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132</w:t>
            </w:r>
          </w:p>
        </w:tc>
        <w:tc>
          <w:tcPr>
            <w:tcW w:w="3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4,282</w:t>
            </w:r>
          </w:p>
        </w:tc>
      </w:tr>
      <w:tr>
        <w:trPr>
          <w:trHeight w:val="257"/>
        </w:trPr>
        <w:tc>
          <w:tcPr>
            <w:tcW w:w="266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Securities:</w:t>
            </w:r>
          </w:p>
        </w:tc>
        <w:tc>
          <w:tcPr>
            <w:tcW w:w="200" w:type="dxa"/>
            <w:vAlign w:val="bottom"/>
            <w:shd w:val="clear" w:color="auto" w:fill="DBDBDB"/>
          </w:tcPr>
          <w:p>
            <w:pPr>
              <w:spacing w:after="0"/>
              <w:rPr>
                <w:sz w:val="22"/>
                <w:szCs w:val="22"/>
                <w:color w:val="auto"/>
              </w:rPr>
            </w:pPr>
          </w:p>
        </w:tc>
        <w:tc>
          <w:tcPr>
            <w:tcW w:w="1180" w:type="dxa"/>
            <w:vAlign w:val="bottom"/>
            <w:shd w:val="clear" w:color="auto" w:fill="DBDBDB"/>
          </w:tcPr>
          <w:p>
            <w:pPr>
              <w:spacing w:after="0"/>
              <w:rPr>
                <w:sz w:val="22"/>
                <w:szCs w:val="22"/>
                <w:color w:val="auto"/>
              </w:rPr>
            </w:pPr>
          </w:p>
        </w:tc>
        <w:tc>
          <w:tcPr>
            <w:tcW w:w="320" w:type="dxa"/>
            <w:vAlign w:val="bottom"/>
            <w:shd w:val="clear" w:color="auto" w:fill="DBDBDB"/>
          </w:tcPr>
          <w:p>
            <w:pPr>
              <w:spacing w:after="0"/>
              <w:rPr>
                <w:sz w:val="22"/>
                <w:szCs w:val="22"/>
                <w:color w:val="auto"/>
              </w:rPr>
            </w:pPr>
          </w:p>
        </w:tc>
        <w:tc>
          <w:tcPr>
            <w:tcW w:w="1140" w:type="dxa"/>
            <w:vAlign w:val="bottom"/>
            <w:shd w:val="clear" w:color="auto" w:fill="DBDBDB"/>
          </w:tcPr>
          <w:p>
            <w:pPr>
              <w:spacing w:after="0"/>
              <w:rPr>
                <w:sz w:val="22"/>
                <w:szCs w:val="22"/>
                <w:color w:val="auto"/>
              </w:rPr>
            </w:pPr>
          </w:p>
        </w:tc>
        <w:tc>
          <w:tcPr>
            <w:tcW w:w="340" w:type="dxa"/>
            <w:vAlign w:val="bottom"/>
            <w:shd w:val="clear" w:color="auto" w:fill="DBDBDB"/>
          </w:tcPr>
          <w:p>
            <w:pPr>
              <w:spacing w:after="0"/>
              <w:rPr>
                <w:sz w:val="22"/>
                <w:szCs w:val="22"/>
                <w:color w:val="auto"/>
              </w:rPr>
            </w:pPr>
          </w:p>
        </w:tc>
        <w:tc>
          <w:tcPr>
            <w:tcW w:w="1060" w:type="dxa"/>
            <w:vAlign w:val="bottom"/>
            <w:shd w:val="clear" w:color="auto" w:fill="DBDBDB"/>
          </w:tcPr>
          <w:p>
            <w:pPr>
              <w:spacing w:after="0"/>
              <w:rPr>
                <w:sz w:val="22"/>
                <w:szCs w:val="22"/>
                <w:color w:val="auto"/>
              </w:rPr>
            </w:pPr>
          </w:p>
        </w:tc>
        <w:tc>
          <w:tcPr>
            <w:tcW w:w="100" w:type="dxa"/>
            <w:vAlign w:val="bottom"/>
            <w:shd w:val="clear" w:color="auto" w:fill="DBDBDB"/>
          </w:tcPr>
          <w:p>
            <w:pPr>
              <w:spacing w:after="0"/>
              <w:rPr>
                <w:sz w:val="22"/>
                <w:szCs w:val="22"/>
                <w:color w:val="auto"/>
              </w:rPr>
            </w:pPr>
          </w:p>
        </w:tc>
        <w:tc>
          <w:tcPr>
            <w:tcW w:w="220" w:type="dxa"/>
            <w:vAlign w:val="bottom"/>
            <w:shd w:val="clear" w:color="auto" w:fill="DBDBDB"/>
          </w:tcPr>
          <w:p>
            <w:pPr>
              <w:spacing w:after="0"/>
              <w:rPr>
                <w:sz w:val="22"/>
                <w:szCs w:val="22"/>
                <w:color w:val="auto"/>
              </w:rPr>
            </w:pPr>
          </w:p>
        </w:tc>
        <w:tc>
          <w:tcPr>
            <w:tcW w:w="1180" w:type="dxa"/>
            <w:vAlign w:val="bottom"/>
            <w:shd w:val="clear" w:color="auto" w:fill="DBDBDB"/>
          </w:tcPr>
          <w:p>
            <w:pPr>
              <w:spacing w:after="0"/>
              <w:rPr>
                <w:sz w:val="22"/>
                <w:szCs w:val="22"/>
                <w:color w:val="auto"/>
              </w:rPr>
            </w:pPr>
          </w:p>
        </w:tc>
        <w:tc>
          <w:tcPr>
            <w:tcW w:w="300" w:type="dxa"/>
            <w:vAlign w:val="bottom"/>
            <w:shd w:val="clear" w:color="auto" w:fill="DBDBDB"/>
          </w:tcPr>
          <w:p>
            <w:pPr>
              <w:spacing w:after="0"/>
              <w:rPr>
                <w:sz w:val="22"/>
                <w:szCs w:val="22"/>
                <w:color w:val="auto"/>
              </w:rPr>
            </w:pPr>
          </w:p>
        </w:tc>
        <w:tc>
          <w:tcPr>
            <w:tcW w:w="1140" w:type="dxa"/>
            <w:vAlign w:val="bottom"/>
            <w:shd w:val="clear" w:color="auto" w:fill="DBDBDB"/>
          </w:tcPr>
          <w:p>
            <w:pPr>
              <w:spacing w:after="0"/>
              <w:rPr>
                <w:sz w:val="22"/>
                <w:szCs w:val="22"/>
                <w:color w:val="auto"/>
              </w:rPr>
            </w:pPr>
          </w:p>
        </w:tc>
        <w:tc>
          <w:tcPr>
            <w:tcW w:w="340" w:type="dxa"/>
            <w:vAlign w:val="bottom"/>
            <w:shd w:val="clear" w:color="auto" w:fill="DBDBDB"/>
          </w:tcPr>
          <w:p>
            <w:pPr>
              <w:spacing w:after="0"/>
              <w:rPr>
                <w:sz w:val="22"/>
                <w:szCs w:val="22"/>
                <w:color w:val="auto"/>
              </w:rPr>
            </w:pPr>
          </w:p>
        </w:tc>
        <w:tc>
          <w:tcPr>
            <w:tcW w:w="1060" w:type="dxa"/>
            <w:vAlign w:val="bottom"/>
            <w:shd w:val="clear" w:color="auto" w:fill="DBDBDB"/>
          </w:tcPr>
          <w:p>
            <w:pPr>
              <w:spacing w:after="0"/>
              <w:rPr>
                <w:sz w:val="22"/>
                <w:szCs w:val="22"/>
                <w:color w:val="auto"/>
              </w:rPr>
            </w:pPr>
          </w:p>
        </w:tc>
      </w:tr>
      <w:tr>
        <w:trPr>
          <w:trHeight w:val="250"/>
        </w:trPr>
        <w:tc>
          <w:tcPr>
            <w:tcW w:w="26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Taxable</w:t>
            </w:r>
          </w:p>
        </w:tc>
        <w:tc>
          <w:tcPr>
            <w:tcW w:w="2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658</w:t>
            </w:r>
          </w:p>
        </w:tc>
        <w:tc>
          <w:tcPr>
            <w:tcW w:w="3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3,377</w:t>
            </w: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5,780</w:t>
            </w:r>
          </w:p>
        </w:tc>
        <w:tc>
          <w:tcPr>
            <w:tcW w:w="30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1,756</w:t>
            </w: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7,536</w:t>
            </w:r>
          </w:p>
        </w:tc>
      </w:tr>
      <w:tr>
        <w:trPr>
          <w:trHeight w:val="263"/>
        </w:trPr>
        <w:tc>
          <w:tcPr>
            <w:tcW w:w="2660" w:type="dxa"/>
            <w:vAlign w:val="bottom"/>
            <w:shd w:val="clear" w:color="auto" w:fill="DBDBDB"/>
          </w:tcPr>
          <w:p>
            <w:pPr>
              <w:ind w:left="300"/>
              <w:spacing w:after="0" w:line="263" w:lineRule="exact"/>
              <w:rPr>
                <w:sz w:val="20"/>
                <w:szCs w:val="20"/>
                <w:color w:val="auto"/>
              </w:rPr>
            </w:pPr>
            <w:r>
              <w:rPr>
                <w:rFonts w:ascii="Times New Roman" w:cs="Times New Roman" w:eastAsia="Times New Roman" w:hAnsi="Times New Roman"/>
                <w:sz w:val="18"/>
                <w:szCs w:val="18"/>
                <w:color w:val="auto"/>
              </w:rPr>
              <w:t xml:space="preserve">Tax-exempt </w:t>
            </w:r>
            <w:r>
              <w:rPr>
                <w:rFonts w:ascii="Times New Roman" w:cs="Times New Roman" w:eastAsia="Times New Roman" w:hAnsi="Times New Roman"/>
                <w:sz w:val="23"/>
                <w:szCs w:val="23"/>
                <w:b w:val="1"/>
                <w:bCs w:val="1"/>
                <w:color w:val="auto"/>
                <w:vertAlign w:val="superscript"/>
              </w:rPr>
              <w:t>(3)</w:t>
            </w:r>
          </w:p>
        </w:tc>
        <w:tc>
          <w:tcPr>
            <w:tcW w:w="200" w:type="dxa"/>
            <w:vAlign w:val="bottom"/>
            <w:shd w:val="clear" w:color="auto" w:fill="DBDBDB"/>
          </w:tcPr>
          <w:p>
            <w:pPr>
              <w:spacing w:after="0"/>
              <w:rPr>
                <w:sz w:val="22"/>
                <w:szCs w:val="22"/>
                <w:color w:val="auto"/>
              </w:rPr>
            </w:pPr>
          </w:p>
        </w:tc>
        <w:tc>
          <w:tcPr>
            <w:tcW w:w="11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(2,351)</w:t>
            </w:r>
          </w:p>
        </w:tc>
        <w:tc>
          <w:tcPr>
            <w:tcW w:w="320" w:type="dxa"/>
            <w:vAlign w:val="bottom"/>
            <w:shd w:val="clear" w:color="auto" w:fill="DBDBDB"/>
          </w:tcPr>
          <w:p>
            <w:pPr>
              <w:spacing w:after="0"/>
              <w:rPr>
                <w:sz w:val="22"/>
                <w:szCs w:val="22"/>
                <w:color w:val="auto"/>
              </w:rPr>
            </w:pPr>
          </w:p>
        </w:tc>
        <w:tc>
          <w:tcPr>
            <w:tcW w:w="11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340" w:type="dxa"/>
            <w:vAlign w:val="bottom"/>
            <w:shd w:val="clear" w:color="auto" w:fill="DBDBDB"/>
          </w:tcPr>
          <w:p>
            <w:pPr>
              <w:spacing w:after="0"/>
              <w:rPr>
                <w:sz w:val="22"/>
                <w:szCs w:val="22"/>
                <w:color w:val="auto"/>
              </w:rPr>
            </w:pPr>
          </w:p>
        </w:tc>
        <w:tc>
          <w:tcPr>
            <w:tcW w:w="10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(2,857)</w:t>
            </w:r>
          </w:p>
        </w:tc>
        <w:tc>
          <w:tcPr>
            <w:tcW w:w="100" w:type="dxa"/>
            <w:vAlign w:val="bottom"/>
            <w:shd w:val="clear" w:color="auto" w:fill="DBDBDB"/>
          </w:tcPr>
          <w:p>
            <w:pPr>
              <w:spacing w:after="0"/>
              <w:rPr>
                <w:sz w:val="22"/>
                <w:szCs w:val="22"/>
                <w:color w:val="auto"/>
              </w:rPr>
            </w:pPr>
          </w:p>
        </w:tc>
        <w:tc>
          <w:tcPr>
            <w:tcW w:w="220" w:type="dxa"/>
            <w:vAlign w:val="bottom"/>
            <w:shd w:val="clear" w:color="auto" w:fill="DBDBDB"/>
          </w:tcPr>
          <w:p>
            <w:pPr>
              <w:spacing w:after="0"/>
              <w:rPr>
                <w:sz w:val="22"/>
                <w:szCs w:val="22"/>
                <w:color w:val="auto"/>
              </w:rPr>
            </w:pPr>
          </w:p>
        </w:tc>
        <w:tc>
          <w:tcPr>
            <w:tcW w:w="11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(734)</w:t>
            </w:r>
          </w:p>
        </w:tc>
        <w:tc>
          <w:tcPr>
            <w:tcW w:w="300" w:type="dxa"/>
            <w:vAlign w:val="bottom"/>
            <w:shd w:val="clear" w:color="auto" w:fill="DBDBDB"/>
          </w:tcPr>
          <w:p>
            <w:pPr>
              <w:spacing w:after="0"/>
              <w:rPr>
                <w:sz w:val="22"/>
                <w:szCs w:val="22"/>
                <w:color w:val="auto"/>
              </w:rPr>
            </w:pPr>
          </w:p>
        </w:tc>
        <w:tc>
          <w:tcPr>
            <w:tcW w:w="11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340" w:type="dxa"/>
            <w:vAlign w:val="bottom"/>
            <w:shd w:val="clear" w:color="auto" w:fill="DBDBDB"/>
          </w:tcPr>
          <w:p>
            <w:pPr>
              <w:spacing w:after="0"/>
              <w:rPr>
                <w:sz w:val="22"/>
                <w:szCs w:val="22"/>
                <w:color w:val="auto"/>
              </w:rPr>
            </w:pPr>
          </w:p>
        </w:tc>
        <w:tc>
          <w:tcPr>
            <w:tcW w:w="10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(876)</w:t>
            </w:r>
          </w:p>
        </w:tc>
      </w:tr>
      <w:tr>
        <w:trPr>
          <w:trHeight w:val="250"/>
        </w:trPr>
        <w:tc>
          <w:tcPr>
            <w:tcW w:w="2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Short-term investments</w:t>
            </w:r>
          </w:p>
        </w:tc>
        <w:tc>
          <w:tcPr>
            <w:tcW w:w="2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(2,671)</w:t>
            </w:r>
          </w:p>
        </w:tc>
        <w:tc>
          <w:tcPr>
            <w:tcW w:w="3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9,962</w:t>
            </w:r>
          </w:p>
        </w:tc>
        <w:tc>
          <w:tcPr>
            <w:tcW w:w="3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7,291</w:t>
            </w:r>
          </w:p>
        </w:tc>
        <w:tc>
          <w:tcPr>
            <w:tcW w:w="1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3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5,994</w:t>
            </w:r>
          </w:p>
        </w:tc>
        <w:tc>
          <w:tcPr>
            <w:tcW w:w="3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5,703</w:t>
            </w:r>
          </w:p>
        </w:tc>
      </w:tr>
      <w:tr>
        <w:trPr>
          <w:trHeight w:val="250"/>
        </w:trPr>
        <w:tc>
          <w:tcPr>
            <w:tcW w:w="2660" w:type="dxa"/>
            <w:vAlign w:val="bottom"/>
            <w:tcBorders>
              <w:bottom w:val="single" w:sz="8" w:color="auto"/>
            </w:tcBorders>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Total interest income</w:t>
            </w:r>
          </w:p>
        </w:tc>
        <w:tc>
          <w:tcPr>
            <w:tcW w:w="200" w:type="dxa"/>
            <w:vAlign w:val="bottom"/>
            <w:tcBorders>
              <w:bottom w:val="single" w:sz="8" w:color="auto"/>
            </w:tcBorders>
            <w:shd w:val="clear" w:color="auto" w:fill="DBDBDB"/>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(1,707)</w:t>
            </w:r>
          </w:p>
        </w:tc>
        <w:tc>
          <w:tcPr>
            <w:tcW w:w="320" w:type="dxa"/>
            <w:vAlign w:val="bottom"/>
            <w:tcBorders>
              <w:bottom w:val="single" w:sz="8" w:color="auto"/>
            </w:tcBorders>
            <w:shd w:val="clear" w:color="auto" w:fill="DBDBDB"/>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DBDBDB"/>
          </w:tcPr>
          <w:p>
            <w:pPr>
              <w:jc w:val="right"/>
              <w:ind w:right="30"/>
              <w:spacing w:after="0"/>
              <w:rPr>
                <w:sz w:val="20"/>
                <w:szCs w:val="20"/>
                <w:color w:val="auto"/>
              </w:rPr>
            </w:pPr>
            <w:r>
              <w:rPr>
                <w:rFonts w:ascii="Times New Roman" w:cs="Times New Roman" w:eastAsia="Times New Roman" w:hAnsi="Times New Roman"/>
                <w:sz w:val="18"/>
                <w:szCs w:val="18"/>
                <w:color w:val="auto"/>
              </w:rPr>
              <w:t>21,541</w:t>
            </w:r>
          </w:p>
        </w:tc>
        <w:tc>
          <w:tcPr>
            <w:tcW w:w="340" w:type="dxa"/>
            <w:vAlign w:val="bottom"/>
            <w:tcBorders>
              <w:bottom w:val="single" w:sz="8" w:color="auto"/>
            </w:tcBorders>
            <w:shd w:val="clear" w:color="auto" w:fill="DBDBDB"/>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19,834</w:t>
            </w:r>
          </w:p>
        </w:tc>
        <w:tc>
          <w:tcPr>
            <w:tcW w:w="100" w:type="dxa"/>
            <w:vAlign w:val="bottom"/>
            <w:tcBorders>
              <w:bottom w:val="single" w:sz="8" w:color="auto"/>
            </w:tcBorders>
            <w:shd w:val="clear" w:color="auto" w:fill="DBDBDB"/>
          </w:tcPr>
          <w:p>
            <w:pPr>
              <w:spacing w:after="0"/>
              <w:rPr>
                <w:sz w:val="21"/>
                <w:szCs w:val="21"/>
                <w:color w:val="auto"/>
              </w:rPr>
            </w:pPr>
          </w:p>
        </w:tc>
        <w:tc>
          <w:tcPr>
            <w:tcW w:w="220" w:type="dxa"/>
            <w:vAlign w:val="bottom"/>
            <w:tcBorders>
              <w:bottom w:val="single" w:sz="8" w:color="auto"/>
            </w:tcBorders>
            <w:shd w:val="clear" w:color="auto" w:fill="DBDBDB"/>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DBDBDB"/>
          </w:tcPr>
          <w:p>
            <w:pPr>
              <w:jc w:val="right"/>
              <w:ind w:right="30"/>
              <w:spacing w:after="0"/>
              <w:rPr>
                <w:sz w:val="20"/>
                <w:szCs w:val="20"/>
                <w:color w:val="auto"/>
              </w:rPr>
            </w:pPr>
            <w:r>
              <w:rPr>
                <w:rFonts w:ascii="Times New Roman" w:cs="Times New Roman" w:eastAsia="Times New Roman" w:hAnsi="Times New Roman"/>
                <w:sz w:val="18"/>
                <w:szCs w:val="18"/>
                <w:color w:val="auto"/>
              </w:rPr>
              <w:t>8,905</w:t>
            </w:r>
          </w:p>
        </w:tc>
        <w:tc>
          <w:tcPr>
            <w:tcW w:w="300" w:type="dxa"/>
            <w:vAlign w:val="bottom"/>
            <w:tcBorders>
              <w:bottom w:val="single" w:sz="8" w:color="auto"/>
            </w:tcBorders>
            <w:shd w:val="clear" w:color="auto" w:fill="DBDBDB"/>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DBDBDB"/>
          </w:tcPr>
          <w:p>
            <w:pPr>
              <w:jc w:val="right"/>
              <w:ind w:right="30"/>
              <w:spacing w:after="0"/>
              <w:rPr>
                <w:sz w:val="20"/>
                <w:szCs w:val="20"/>
                <w:color w:val="auto"/>
              </w:rPr>
            </w:pPr>
            <w:r>
              <w:rPr>
                <w:rFonts w:ascii="Times New Roman" w:cs="Times New Roman" w:eastAsia="Times New Roman" w:hAnsi="Times New Roman"/>
                <w:sz w:val="18"/>
                <w:szCs w:val="18"/>
                <w:color w:val="auto"/>
              </w:rPr>
              <w:t>7,740</w:t>
            </w:r>
          </w:p>
        </w:tc>
        <w:tc>
          <w:tcPr>
            <w:tcW w:w="340" w:type="dxa"/>
            <w:vAlign w:val="bottom"/>
            <w:tcBorders>
              <w:bottom w:val="single" w:sz="8" w:color="auto"/>
            </w:tcBorders>
            <w:shd w:val="clear" w:color="auto" w:fill="DBDBDB"/>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16,645</w:t>
            </w:r>
          </w:p>
        </w:tc>
      </w:tr>
      <w:tr>
        <w:trPr>
          <w:trHeight w:val="250"/>
        </w:trPr>
        <w:tc>
          <w:tcPr>
            <w:tcW w:w="2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on:</w:t>
            </w: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18"/>
        </w:trPr>
        <w:tc>
          <w:tcPr>
            <w:tcW w:w="2660" w:type="dxa"/>
            <w:vAlign w:val="bottom"/>
            <w:shd w:val="clear" w:color="auto" w:fill="DBDBDB"/>
          </w:tcPr>
          <w:p>
            <w:pPr>
              <w:ind w:left="300"/>
              <w:spacing w:after="0"/>
              <w:rPr>
                <w:sz w:val="20"/>
                <w:szCs w:val="20"/>
                <w:color w:val="auto"/>
              </w:rPr>
            </w:pPr>
            <w:r>
              <w:rPr>
                <w:rFonts w:ascii="Times New Roman" w:cs="Times New Roman" w:eastAsia="Times New Roman" w:hAnsi="Times New Roman"/>
                <w:sz w:val="18"/>
                <w:szCs w:val="18"/>
                <w:color w:val="auto"/>
              </w:rPr>
              <w:t>Interest-bearing demand</w:t>
            </w:r>
          </w:p>
        </w:tc>
        <w:tc>
          <w:tcPr>
            <w:tcW w:w="200" w:type="dxa"/>
            <w:vAlign w:val="bottom"/>
            <w:shd w:val="clear" w:color="auto" w:fill="DBDBDB"/>
          </w:tcPr>
          <w:p>
            <w:pPr>
              <w:spacing w:after="0"/>
              <w:rPr>
                <w:sz w:val="18"/>
                <w:szCs w:val="18"/>
                <w:color w:val="auto"/>
              </w:rPr>
            </w:pPr>
          </w:p>
        </w:tc>
        <w:tc>
          <w:tcPr>
            <w:tcW w:w="1180" w:type="dxa"/>
            <w:vAlign w:val="bottom"/>
            <w:shd w:val="clear" w:color="auto" w:fill="DBDBDB"/>
          </w:tcPr>
          <w:p>
            <w:pPr>
              <w:spacing w:after="0"/>
              <w:rPr>
                <w:sz w:val="18"/>
                <w:szCs w:val="18"/>
                <w:color w:val="auto"/>
              </w:rPr>
            </w:pPr>
          </w:p>
        </w:tc>
        <w:tc>
          <w:tcPr>
            <w:tcW w:w="320" w:type="dxa"/>
            <w:vAlign w:val="bottom"/>
            <w:shd w:val="clear" w:color="auto" w:fill="DBDBDB"/>
          </w:tcPr>
          <w:p>
            <w:pPr>
              <w:spacing w:after="0"/>
              <w:rPr>
                <w:sz w:val="18"/>
                <w:szCs w:val="18"/>
                <w:color w:val="auto"/>
              </w:rPr>
            </w:pPr>
          </w:p>
        </w:tc>
        <w:tc>
          <w:tcPr>
            <w:tcW w:w="1140" w:type="dxa"/>
            <w:vAlign w:val="bottom"/>
            <w:shd w:val="clear" w:color="auto" w:fill="DBDBDB"/>
          </w:tcPr>
          <w:p>
            <w:pPr>
              <w:spacing w:after="0"/>
              <w:rPr>
                <w:sz w:val="18"/>
                <w:szCs w:val="18"/>
                <w:color w:val="auto"/>
              </w:rPr>
            </w:pPr>
          </w:p>
        </w:tc>
        <w:tc>
          <w:tcPr>
            <w:tcW w:w="340" w:type="dxa"/>
            <w:vAlign w:val="bottom"/>
            <w:shd w:val="clear" w:color="auto" w:fill="DBDBDB"/>
          </w:tcPr>
          <w:p>
            <w:pPr>
              <w:spacing w:after="0"/>
              <w:rPr>
                <w:sz w:val="18"/>
                <w:szCs w:val="18"/>
                <w:color w:val="auto"/>
              </w:rPr>
            </w:pPr>
          </w:p>
        </w:tc>
        <w:tc>
          <w:tcPr>
            <w:tcW w:w="106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220" w:type="dxa"/>
            <w:vAlign w:val="bottom"/>
            <w:shd w:val="clear" w:color="auto" w:fill="DBDBDB"/>
          </w:tcPr>
          <w:p>
            <w:pPr>
              <w:spacing w:after="0"/>
              <w:rPr>
                <w:sz w:val="18"/>
                <w:szCs w:val="18"/>
                <w:color w:val="auto"/>
              </w:rPr>
            </w:pPr>
          </w:p>
        </w:tc>
        <w:tc>
          <w:tcPr>
            <w:tcW w:w="1180" w:type="dxa"/>
            <w:vAlign w:val="bottom"/>
            <w:shd w:val="clear" w:color="auto" w:fill="DBDBDB"/>
          </w:tcPr>
          <w:p>
            <w:pPr>
              <w:spacing w:after="0"/>
              <w:rPr>
                <w:sz w:val="18"/>
                <w:szCs w:val="18"/>
                <w:color w:val="auto"/>
              </w:rPr>
            </w:pPr>
          </w:p>
        </w:tc>
        <w:tc>
          <w:tcPr>
            <w:tcW w:w="300" w:type="dxa"/>
            <w:vAlign w:val="bottom"/>
            <w:shd w:val="clear" w:color="auto" w:fill="DBDBDB"/>
          </w:tcPr>
          <w:p>
            <w:pPr>
              <w:spacing w:after="0"/>
              <w:rPr>
                <w:sz w:val="18"/>
                <w:szCs w:val="18"/>
                <w:color w:val="auto"/>
              </w:rPr>
            </w:pPr>
          </w:p>
        </w:tc>
        <w:tc>
          <w:tcPr>
            <w:tcW w:w="1140" w:type="dxa"/>
            <w:vAlign w:val="bottom"/>
            <w:shd w:val="clear" w:color="auto" w:fill="DBDBDB"/>
          </w:tcPr>
          <w:p>
            <w:pPr>
              <w:spacing w:after="0"/>
              <w:rPr>
                <w:sz w:val="18"/>
                <w:szCs w:val="18"/>
                <w:color w:val="auto"/>
              </w:rPr>
            </w:pPr>
          </w:p>
        </w:tc>
        <w:tc>
          <w:tcPr>
            <w:tcW w:w="340" w:type="dxa"/>
            <w:vAlign w:val="bottom"/>
            <w:shd w:val="clear" w:color="auto" w:fill="DBDBDB"/>
          </w:tcPr>
          <w:p>
            <w:pPr>
              <w:spacing w:after="0"/>
              <w:rPr>
                <w:sz w:val="18"/>
                <w:szCs w:val="18"/>
                <w:color w:val="auto"/>
              </w:rPr>
            </w:pPr>
          </w:p>
        </w:tc>
        <w:tc>
          <w:tcPr>
            <w:tcW w:w="1060" w:type="dxa"/>
            <w:vAlign w:val="bottom"/>
            <w:shd w:val="clear" w:color="auto" w:fill="DBDBDB"/>
          </w:tcPr>
          <w:p>
            <w:pPr>
              <w:spacing w:after="0"/>
              <w:rPr>
                <w:sz w:val="18"/>
                <w:szCs w:val="18"/>
                <w:color w:val="auto"/>
              </w:rPr>
            </w:pPr>
          </w:p>
        </w:tc>
      </w:tr>
      <w:tr>
        <w:trPr>
          <w:trHeight w:val="248"/>
        </w:trPr>
        <w:tc>
          <w:tcPr>
            <w:tcW w:w="266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deposits</w:t>
            </w:r>
          </w:p>
        </w:tc>
        <w:tc>
          <w:tcPr>
            <w:tcW w:w="200" w:type="dxa"/>
            <w:vAlign w:val="bottom"/>
            <w:shd w:val="clear" w:color="auto" w:fill="DBDBDB"/>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320" w:type="dxa"/>
            <w:vAlign w:val="bottom"/>
            <w:shd w:val="clear" w:color="auto" w:fill="DBDBDB"/>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DBDBDB"/>
          </w:tcPr>
          <w:p>
            <w:pPr>
              <w:jc w:val="right"/>
              <w:ind w:right="30"/>
              <w:spacing w:after="0"/>
              <w:rPr>
                <w:sz w:val="20"/>
                <w:szCs w:val="20"/>
                <w:color w:val="auto"/>
              </w:rPr>
            </w:pPr>
            <w:r>
              <w:rPr>
                <w:rFonts w:ascii="Times New Roman" w:cs="Times New Roman" w:eastAsia="Times New Roman" w:hAnsi="Times New Roman"/>
                <w:sz w:val="18"/>
                <w:szCs w:val="18"/>
                <w:color w:val="auto"/>
              </w:rPr>
              <w:t>11,267</w:t>
            </w:r>
          </w:p>
        </w:tc>
        <w:tc>
          <w:tcPr>
            <w:tcW w:w="340" w:type="dxa"/>
            <w:vAlign w:val="bottom"/>
            <w:shd w:val="clear" w:color="auto" w:fill="DBDBDB"/>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10,938</w:t>
            </w:r>
          </w:p>
        </w:tc>
        <w:tc>
          <w:tcPr>
            <w:tcW w:w="100" w:type="dxa"/>
            <w:vAlign w:val="bottom"/>
            <w:shd w:val="clear" w:color="auto" w:fill="DBDBDB"/>
          </w:tcPr>
          <w:p>
            <w:pPr>
              <w:spacing w:after="0"/>
              <w:rPr>
                <w:sz w:val="21"/>
                <w:szCs w:val="21"/>
                <w:color w:val="auto"/>
              </w:rPr>
            </w:pPr>
          </w:p>
        </w:tc>
        <w:tc>
          <w:tcPr>
            <w:tcW w:w="220" w:type="dxa"/>
            <w:vAlign w:val="bottom"/>
            <w:shd w:val="clear" w:color="auto" w:fill="DBDBDB"/>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DBDBDB"/>
          </w:tcPr>
          <w:p>
            <w:pPr>
              <w:jc w:val="right"/>
              <w:ind w:right="30"/>
              <w:spacing w:after="0"/>
              <w:rPr>
                <w:sz w:val="20"/>
                <w:szCs w:val="20"/>
                <w:color w:val="auto"/>
              </w:rPr>
            </w:pPr>
            <w:r>
              <w:rPr>
                <w:rFonts w:ascii="Times New Roman" w:cs="Times New Roman" w:eastAsia="Times New Roman" w:hAnsi="Times New Roman"/>
                <w:sz w:val="18"/>
                <w:szCs w:val="18"/>
                <w:color w:val="auto"/>
              </w:rPr>
              <w:t>32</w:t>
            </w:r>
          </w:p>
        </w:tc>
        <w:tc>
          <w:tcPr>
            <w:tcW w:w="300" w:type="dxa"/>
            <w:vAlign w:val="bottom"/>
            <w:shd w:val="clear" w:color="auto" w:fill="DBDBDB"/>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DBDBDB"/>
          </w:tcPr>
          <w:p>
            <w:pPr>
              <w:jc w:val="right"/>
              <w:ind w:right="30"/>
              <w:spacing w:after="0"/>
              <w:rPr>
                <w:sz w:val="20"/>
                <w:szCs w:val="20"/>
                <w:color w:val="auto"/>
              </w:rPr>
            </w:pPr>
            <w:r>
              <w:rPr>
                <w:rFonts w:ascii="Times New Roman" w:cs="Times New Roman" w:eastAsia="Times New Roman" w:hAnsi="Times New Roman"/>
                <w:sz w:val="18"/>
                <w:szCs w:val="18"/>
                <w:color w:val="auto"/>
              </w:rPr>
              <w:t>2,504</w:t>
            </w:r>
          </w:p>
        </w:tc>
        <w:tc>
          <w:tcPr>
            <w:tcW w:w="340" w:type="dxa"/>
            <w:vAlign w:val="bottom"/>
            <w:shd w:val="clear" w:color="auto" w:fill="DBDBDB"/>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2,536</w:t>
            </w:r>
          </w:p>
        </w:tc>
      </w:tr>
      <w:tr>
        <w:trPr>
          <w:trHeight w:val="250"/>
        </w:trPr>
        <w:tc>
          <w:tcPr>
            <w:tcW w:w="26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Savings deposits</w:t>
            </w: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3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100</w:t>
            </w: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0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32</w:t>
            </w: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63"/>
        </w:trPr>
        <w:tc>
          <w:tcPr>
            <w:tcW w:w="2660" w:type="dxa"/>
            <w:vAlign w:val="bottom"/>
            <w:shd w:val="clear" w:color="auto" w:fill="DBDBDB"/>
          </w:tcPr>
          <w:p>
            <w:pPr>
              <w:ind w:left="300"/>
              <w:spacing w:after="0"/>
              <w:rPr>
                <w:sz w:val="20"/>
                <w:szCs w:val="20"/>
                <w:color w:val="auto"/>
              </w:rPr>
            </w:pPr>
            <w:r>
              <w:rPr>
                <w:rFonts w:ascii="Times New Roman" w:cs="Times New Roman" w:eastAsia="Times New Roman" w:hAnsi="Times New Roman"/>
                <w:sz w:val="18"/>
                <w:szCs w:val="18"/>
                <w:color w:val="auto"/>
              </w:rPr>
              <w:t>Time deposits &gt;=$250</w:t>
            </w:r>
          </w:p>
        </w:tc>
        <w:tc>
          <w:tcPr>
            <w:tcW w:w="200" w:type="dxa"/>
            <w:vAlign w:val="bottom"/>
            <w:shd w:val="clear" w:color="auto" w:fill="DBDBDB"/>
          </w:tcPr>
          <w:p>
            <w:pPr>
              <w:spacing w:after="0"/>
              <w:rPr>
                <w:sz w:val="22"/>
                <w:szCs w:val="22"/>
                <w:color w:val="auto"/>
              </w:rPr>
            </w:pPr>
          </w:p>
        </w:tc>
        <w:tc>
          <w:tcPr>
            <w:tcW w:w="1180" w:type="dxa"/>
            <w:vAlign w:val="bottom"/>
            <w:shd w:val="clear" w:color="auto" w:fill="DBDBDB"/>
          </w:tcPr>
          <w:p>
            <w:pPr>
              <w:jc w:val="right"/>
              <w:ind w:right="10"/>
              <w:spacing w:after="0"/>
              <w:rPr>
                <w:sz w:val="20"/>
                <w:szCs w:val="20"/>
                <w:color w:val="auto"/>
              </w:rPr>
            </w:pPr>
            <w:r>
              <w:rPr>
                <w:rFonts w:ascii="Times New Roman" w:cs="Times New Roman" w:eastAsia="Times New Roman" w:hAnsi="Times New Roman"/>
                <w:sz w:val="18"/>
                <w:szCs w:val="18"/>
                <w:color w:val="auto"/>
              </w:rPr>
              <w:t>71</w:t>
            </w:r>
          </w:p>
        </w:tc>
        <w:tc>
          <w:tcPr>
            <w:tcW w:w="320" w:type="dxa"/>
            <w:vAlign w:val="bottom"/>
            <w:shd w:val="clear" w:color="auto" w:fill="DBDBDB"/>
          </w:tcPr>
          <w:p>
            <w:pPr>
              <w:spacing w:after="0"/>
              <w:rPr>
                <w:sz w:val="22"/>
                <w:szCs w:val="22"/>
                <w:color w:val="auto"/>
              </w:rPr>
            </w:pPr>
          </w:p>
        </w:tc>
        <w:tc>
          <w:tcPr>
            <w:tcW w:w="1140" w:type="dxa"/>
            <w:vAlign w:val="bottom"/>
            <w:shd w:val="clear" w:color="auto" w:fill="DBDBDB"/>
          </w:tcPr>
          <w:p>
            <w:pPr>
              <w:jc w:val="right"/>
              <w:ind w:right="30"/>
              <w:spacing w:after="0"/>
              <w:rPr>
                <w:sz w:val="20"/>
                <w:szCs w:val="20"/>
                <w:color w:val="auto"/>
              </w:rPr>
            </w:pPr>
            <w:r>
              <w:rPr>
                <w:rFonts w:ascii="Times New Roman" w:cs="Times New Roman" w:eastAsia="Times New Roman" w:hAnsi="Times New Roman"/>
                <w:sz w:val="18"/>
                <w:szCs w:val="18"/>
                <w:color w:val="auto"/>
              </w:rPr>
              <w:t>453</w:t>
            </w:r>
          </w:p>
        </w:tc>
        <w:tc>
          <w:tcPr>
            <w:tcW w:w="340" w:type="dxa"/>
            <w:vAlign w:val="bottom"/>
            <w:shd w:val="clear" w:color="auto" w:fill="DBDBDB"/>
          </w:tcPr>
          <w:p>
            <w:pPr>
              <w:spacing w:after="0"/>
              <w:rPr>
                <w:sz w:val="22"/>
                <w:szCs w:val="22"/>
                <w:color w:val="auto"/>
              </w:rPr>
            </w:pPr>
          </w:p>
        </w:tc>
        <w:tc>
          <w:tcPr>
            <w:tcW w:w="10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100" w:type="dxa"/>
            <w:vAlign w:val="bottom"/>
            <w:shd w:val="clear" w:color="auto" w:fill="DBDBDB"/>
          </w:tcPr>
          <w:p>
            <w:pPr>
              <w:spacing w:after="0"/>
              <w:rPr>
                <w:sz w:val="22"/>
                <w:szCs w:val="22"/>
                <w:color w:val="auto"/>
              </w:rPr>
            </w:pPr>
          </w:p>
        </w:tc>
        <w:tc>
          <w:tcPr>
            <w:tcW w:w="220" w:type="dxa"/>
            <w:vAlign w:val="bottom"/>
            <w:shd w:val="clear" w:color="auto" w:fill="DBDBDB"/>
          </w:tcPr>
          <w:p>
            <w:pPr>
              <w:spacing w:after="0"/>
              <w:rPr>
                <w:sz w:val="22"/>
                <w:szCs w:val="22"/>
                <w:color w:val="auto"/>
              </w:rPr>
            </w:pPr>
          </w:p>
        </w:tc>
        <w:tc>
          <w:tcPr>
            <w:tcW w:w="1180" w:type="dxa"/>
            <w:vAlign w:val="bottom"/>
            <w:shd w:val="clear" w:color="auto" w:fill="DBDBDB"/>
          </w:tcPr>
          <w:p>
            <w:pPr>
              <w:jc w:val="right"/>
              <w:ind w:right="30"/>
              <w:spacing w:after="0"/>
              <w:rPr>
                <w:sz w:val="20"/>
                <w:szCs w:val="20"/>
                <w:color w:val="auto"/>
              </w:rPr>
            </w:pPr>
            <w:r>
              <w:rPr>
                <w:rFonts w:ascii="Times New Roman" w:cs="Times New Roman" w:eastAsia="Times New Roman" w:hAnsi="Times New Roman"/>
                <w:sz w:val="18"/>
                <w:szCs w:val="18"/>
                <w:color w:val="auto"/>
              </w:rPr>
              <w:t>36</w:t>
            </w:r>
          </w:p>
        </w:tc>
        <w:tc>
          <w:tcPr>
            <w:tcW w:w="300" w:type="dxa"/>
            <w:vAlign w:val="bottom"/>
            <w:shd w:val="clear" w:color="auto" w:fill="DBDBDB"/>
          </w:tcPr>
          <w:p>
            <w:pPr>
              <w:spacing w:after="0"/>
              <w:rPr>
                <w:sz w:val="22"/>
                <w:szCs w:val="22"/>
                <w:color w:val="auto"/>
              </w:rPr>
            </w:pPr>
          </w:p>
        </w:tc>
        <w:tc>
          <w:tcPr>
            <w:tcW w:w="1140" w:type="dxa"/>
            <w:vAlign w:val="bottom"/>
            <w:shd w:val="clear" w:color="auto" w:fill="DBDBDB"/>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c>
          <w:tcPr>
            <w:tcW w:w="340" w:type="dxa"/>
            <w:vAlign w:val="bottom"/>
            <w:shd w:val="clear" w:color="auto" w:fill="DBDBDB"/>
          </w:tcPr>
          <w:p>
            <w:pPr>
              <w:spacing w:after="0"/>
              <w:rPr>
                <w:sz w:val="22"/>
                <w:szCs w:val="22"/>
                <w:color w:val="auto"/>
              </w:rPr>
            </w:pPr>
          </w:p>
        </w:tc>
        <w:tc>
          <w:tcPr>
            <w:tcW w:w="10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50"/>
        </w:trPr>
        <w:tc>
          <w:tcPr>
            <w:tcW w:w="26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Other time deposits</w:t>
            </w:r>
          </w:p>
        </w:tc>
        <w:tc>
          <w:tcPr>
            <w:tcW w:w="2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236</w:t>
            </w:r>
          </w:p>
        </w:tc>
        <w:tc>
          <w:tcPr>
            <w:tcW w:w="3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895</w:t>
            </w: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3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w:t>
            </w:r>
          </w:p>
        </w:tc>
      </w:tr>
      <w:tr>
        <w:trPr>
          <w:trHeight w:val="257"/>
        </w:trPr>
        <w:tc>
          <w:tcPr>
            <w:tcW w:w="2660" w:type="dxa"/>
            <w:vAlign w:val="bottom"/>
            <w:tcBorders>
              <w:bottom w:val="single" w:sz="8" w:color="auto"/>
            </w:tcBorders>
            <w:shd w:val="clear" w:color="auto" w:fill="DBDBDB"/>
          </w:tcPr>
          <w:p>
            <w:pPr>
              <w:ind w:left="300"/>
              <w:spacing w:after="0"/>
              <w:rPr>
                <w:sz w:val="20"/>
                <w:szCs w:val="20"/>
                <w:color w:val="auto"/>
              </w:rPr>
            </w:pPr>
            <w:r>
              <w:rPr>
                <w:rFonts w:ascii="Times New Roman" w:cs="Times New Roman" w:eastAsia="Times New Roman" w:hAnsi="Times New Roman"/>
                <w:sz w:val="18"/>
                <w:szCs w:val="18"/>
                <w:color w:val="auto"/>
              </w:rPr>
              <w:t>Short-term borrowings</w:t>
            </w:r>
          </w:p>
        </w:tc>
        <w:tc>
          <w:tcPr>
            <w:tcW w:w="200" w:type="dxa"/>
            <w:vAlign w:val="bottom"/>
            <w:tcBorders>
              <w:bottom w:val="single" w:sz="8" w:color="auto"/>
            </w:tcBorders>
            <w:shd w:val="clear" w:color="auto" w:fill="DBDBDB"/>
          </w:tcPr>
          <w:p>
            <w:pPr>
              <w:spacing w:after="0"/>
              <w:rPr>
                <w:sz w:val="22"/>
                <w:szCs w:val="22"/>
                <w:color w:val="auto"/>
              </w:rPr>
            </w:pPr>
          </w:p>
        </w:tc>
        <w:tc>
          <w:tcPr>
            <w:tcW w:w="1180" w:type="dxa"/>
            <w:vAlign w:val="bottom"/>
            <w:tcBorders>
              <w:bottom w:val="single" w:sz="8" w:color="auto"/>
            </w:tcBorders>
            <w:shd w:val="clear" w:color="auto" w:fill="DBDBDB"/>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shd w:val="clear" w:color="auto" w:fill="DBDBDB"/>
          </w:tcPr>
          <w:p>
            <w:pPr>
              <w:spacing w:after="0"/>
              <w:rPr>
                <w:sz w:val="22"/>
                <w:szCs w:val="22"/>
                <w:color w:val="auto"/>
              </w:rPr>
            </w:pPr>
          </w:p>
        </w:tc>
        <w:tc>
          <w:tcPr>
            <w:tcW w:w="1140" w:type="dxa"/>
            <w:vAlign w:val="bottom"/>
            <w:tcBorders>
              <w:bottom w:val="single" w:sz="8" w:color="auto"/>
            </w:tcBorders>
            <w:shd w:val="clear" w:color="auto" w:fill="DBDBDB"/>
          </w:tcPr>
          <w:p>
            <w:pPr>
              <w:jc w:val="right"/>
              <w:ind w:right="30"/>
              <w:spacing w:after="0"/>
              <w:rPr>
                <w:sz w:val="20"/>
                <w:szCs w:val="20"/>
                <w:color w:val="auto"/>
              </w:rPr>
            </w:pPr>
            <w:r>
              <w:rPr>
                <w:rFonts w:ascii="Times New Roman" w:cs="Times New Roman" w:eastAsia="Times New Roman" w:hAnsi="Times New Roman"/>
                <w:sz w:val="18"/>
                <w:szCs w:val="18"/>
                <w:color w:val="auto"/>
              </w:rPr>
              <w:t>116</w:t>
            </w:r>
          </w:p>
        </w:tc>
        <w:tc>
          <w:tcPr>
            <w:tcW w:w="340" w:type="dxa"/>
            <w:vAlign w:val="bottom"/>
            <w:tcBorders>
              <w:bottom w:val="single" w:sz="8" w:color="auto"/>
            </w:tcBorders>
            <w:shd w:val="clear" w:color="auto" w:fill="DBDBDB"/>
          </w:tcPr>
          <w:p>
            <w:pPr>
              <w:spacing w:after="0"/>
              <w:rPr>
                <w:sz w:val="22"/>
                <w:szCs w:val="22"/>
                <w:color w:val="auto"/>
              </w:rPr>
            </w:pPr>
          </w:p>
        </w:tc>
        <w:tc>
          <w:tcPr>
            <w:tcW w:w="106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tcBorders>
              <w:bottom w:val="single" w:sz="8" w:color="auto"/>
            </w:tcBorders>
            <w:shd w:val="clear" w:color="auto" w:fill="DBDBDB"/>
          </w:tcPr>
          <w:p>
            <w:pPr>
              <w:spacing w:after="0"/>
              <w:rPr>
                <w:sz w:val="22"/>
                <w:szCs w:val="22"/>
                <w:color w:val="auto"/>
              </w:rPr>
            </w:pPr>
          </w:p>
        </w:tc>
        <w:tc>
          <w:tcPr>
            <w:tcW w:w="220" w:type="dxa"/>
            <w:vAlign w:val="bottom"/>
            <w:tcBorders>
              <w:bottom w:val="single" w:sz="8" w:color="auto"/>
            </w:tcBorders>
            <w:shd w:val="clear" w:color="auto" w:fill="DBDBDB"/>
          </w:tcPr>
          <w:p>
            <w:pPr>
              <w:spacing w:after="0"/>
              <w:rPr>
                <w:sz w:val="22"/>
                <w:szCs w:val="22"/>
                <w:color w:val="auto"/>
              </w:rPr>
            </w:pPr>
          </w:p>
        </w:tc>
        <w:tc>
          <w:tcPr>
            <w:tcW w:w="1180" w:type="dxa"/>
            <w:vAlign w:val="bottom"/>
            <w:tcBorders>
              <w:bottom w:val="single" w:sz="8" w:color="auto"/>
            </w:tcBorders>
            <w:shd w:val="clear" w:color="auto" w:fill="DBDBDB"/>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shd w:val="clear" w:color="auto" w:fill="DBDBDB"/>
          </w:tcPr>
          <w:p>
            <w:pPr>
              <w:spacing w:after="0"/>
              <w:rPr>
                <w:sz w:val="22"/>
                <w:szCs w:val="22"/>
                <w:color w:val="auto"/>
              </w:rPr>
            </w:pPr>
          </w:p>
        </w:tc>
        <w:tc>
          <w:tcPr>
            <w:tcW w:w="1140" w:type="dxa"/>
            <w:vAlign w:val="bottom"/>
            <w:tcBorders>
              <w:bottom w:val="single" w:sz="8" w:color="auto"/>
            </w:tcBorders>
            <w:shd w:val="clear" w:color="auto" w:fill="DBDBDB"/>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shd w:val="clear" w:color="auto" w:fill="DBDBDB"/>
          </w:tcPr>
          <w:p>
            <w:pPr>
              <w:spacing w:after="0"/>
              <w:rPr>
                <w:sz w:val="22"/>
                <w:szCs w:val="22"/>
                <w:color w:val="auto"/>
              </w:rPr>
            </w:pPr>
          </w:p>
        </w:tc>
        <w:tc>
          <w:tcPr>
            <w:tcW w:w="106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2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interest expense</w:t>
            </w:r>
          </w:p>
        </w:tc>
        <w:tc>
          <w:tcPr>
            <w:tcW w:w="2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3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12,831</w:t>
            </w:r>
          </w:p>
        </w:tc>
        <w:tc>
          <w:tcPr>
            <w:tcW w:w="3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12,784</w:t>
            </w:r>
          </w:p>
        </w:tc>
        <w:tc>
          <w:tcPr>
            <w:tcW w:w="1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3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2,385</w:t>
            </w:r>
          </w:p>
        </w:tc>
        <w:tc>
          <w:tcPr>
            <w:tcW w:w="3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2,311</w:t>
            </w:r>
          </w:p>
        </w:tc>
      </w:tr>
      <w:tr>
        <w:trPr>
          <w:trHeight w:val="250"/>
        </w:trPr>
        <w:tc>
          <w:tcPr>
            <w:tcW w:w="2660" w:type="dxa"/>
            <w:vAlign w:val="bottom"/>
            <w:tcBorders>
              <w:bottom w:val="single" w:sz="8" w:color="auto"/>
            </w:tcBorders>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Net interest income</w:t>
            </w:r>
          </w:p>
        </w:tc>
        <w:tc>
          <w:tcPr>
            <w:tcW w:w="200" w:type="dxa"/>
            <w:vAlign w:val="bottom"/>
            <w:tcBorders>
              <w:bottom w:val="single" w:sz="8" w:color="auto"/>
            </w:tcBorders>
            <w:shd w:val="clear" w:color="auto" w:fill="DBDBDB"/>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(1,660)</w:t>
            </w:r>
          </w:p>
        </w:tc>
        <w:tc>
          <w:tcPr>
            <w:tcW w:w="320" w:type="dxa"/>
            <w:vAlign w:val="bottom"/>
            <w:tcBorders>
              <w:bottom w:val="single" w:sz="8" w:color="auto"/>
            </w:tcBorders>
            <w:shd w:val="clear" w:color="auto" w:fill="DBDBDB"/>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DBDBDB"/>
          </w:tcPr>
          <w:p>
            <w:pPr>
              <w:jc w:val="right"/>
              <w:ind w:right="30"/>
              <w:spacing w:after="0"/>
              <w:rPr>
                <w:sz w:val="20"/>
                <w:szCs w:val="20"/>
                <w:color w:val="auto"/>
              </w:rPr>
            </w:pPr>
            <w:r>
              <w:rPr>
                <w:rFonts w:ascii="Times New Roman" w:cs="Times New Roman" w:eastAsia="Times New Roman" w:hAnsi="Times New Roman"/>
                <w:sz w:val="18"/>
                <w:szCs w:val="18"/>
                <w:color w:val="auto"/>
              </w:rPr>
              <w:t>8,710</w:t>
            </w:r>
          </w:p>
        </w:tc>
        <w:tc>
          <w:tcPr>
            <w:tcW w:w="340" w:type="dxa"/>
            <w:vAlign w:val="bottom"/>
            <w:tcBorders>
              <w:bottom w:val="single" w:sz="8" w:color="auto"/>
            </w:tcBorders>
            <w:shd w:val="clear" w:color="auto" w:fill="DBDBDB"/>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7,050</w:t>
            </w:r>
          </w:p>
        </w:tc>
        <w:tc>
          <w:tcPr>
            <w:tcW w:w="100" w:type="dxa"/>
            <w:vAlign w:val="bottom"/>
            <w:tcBorders>
              <w:bottom w:val="single" w:sz="8" w:color="auto"/>
            </w:tcBorders>
            <w:shd w:val="clear" w:color="auto" w:fill="DBDBDB"/>
          </w:tcPr>
          <w:p>
            <w:pPr>
              <w:spacing w:after="0"/>
              <w:rPr>
                <w:sz w:val="21"/>
                <w:szCs w:val="21"/>
                <w:color w:val="auto"/>
              </w:rPr>
            </w:pPr>
          </w:p>
        </w:tc>
        <w:tc>
          <w:tcPr>
            <w:tcW w:w="220" w:type="dxa"/>
            <w:vAlign w:val="bottom"/>
            <w:tcBorders>
              <w:bottom w:val="single" w:sz="8" w:color="auto"/>
            </w:tcBorders>
            <w:shd w:val="clear" w:color="auto" w:fill="DBDBDB"/>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DBDBDB"/>
          </w:tcPr>
          <w:p>
            <w:pPr>
              <w:jc w:val="right"/>
              <w:ind w:right="30"/>
              <w:spacing w:after="0"/>
              <w:rPr>
                <w:sz w:val="20"/>
                <w:szCs w:val="20"/>
                <w:color w:val="auto"/>
              </w:rPr>
            </w:pPr>
            <w:r>
              <w:rPr>
                <w:rFonts w:ascii="Times New Roman" w:cs="Times New Roman" w:eastAsia="Times New Roman" w:hAnsi="Times New Roman"/>
                <w:sz w:val="18"/>
                <w:szCs w:val="18"/>
                <w:color w:val="auto"/>
              </w:rPr>
              <w:t>8,979</w:t>
            </w:r>
          </w:p>
        </w:tc>
        <w:tc>
          <w:tcPr>
            <w:tcW w:w="300" w:type="dxa"/>
            <w:vAlign w:val="bottom"/>
            <w:tcBorders>
              <w:bottom w:val="single" w:sz="8" w:color="auto"/>
            </w:tcBorders>
            <w:shd w:val="clear" w:color="auto" w:fill="DBDBDB"/>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DBDBDB"/>
          </w:tcPr>
          <w:p>
            <w:pPr>
              <w:jc w:val="right"/>
              <w:ind w:right="30"/>
              <w:spacing w:after="0"/>
              <w:rPr>
                <w:sz w:val="20"/>
                <w:szCs w:val="20"/>
                <w:color w:val="auto"/>
              </w:rPr>
            </w:pPr>
            <w:r>
              <w:rPr>
                <w:rFonts w:ascii="Times New Roman" w:cs="Times New Roman" w:eastAsia="Times New Roman" w:hAnsi="Times New Roman"/>
                <w:sz w:val="18"/>
                <w:szCs w:val="18"/>
                <w:color w:val="auto"/>
              </w:rPr>
              <w:t>5,355</w:t>
            </w:r>
          </w:p>
        </w:tc>
        <w:tc>
          <w:tcPr>
            <w:tcW w:w="340" w:type="dxa"/>
            <w:vAlign w:val="bottom"/>
            <w:tcBorders>
              <w:bottom w:val="single" w:sz="8" w:color="auto"/>
            </w:tcBorders>
            <w:shd w:val="clear" w:color="auto" w:fill="DBDBDB"/>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14,334</w:t>
            </w:r>
          </w:p>
        </w:tc>
      </w:tr>
    </w:tbl>
    <w:p>
      <w:pPr>
        <w:spacing w:after="0" w:line="76" w:lineRule="exact"/>
        <w:rPr>
          <w:sz w:val="20"/>
          <w:szCs w:val="20"/>
          <w:color w:val="auto"/>
        </w:rPr>
      </w:pPr>
    </w:p>
    <w:p>
      <w:pPr>
        <w:ind w:left="760" w:right="160" w:hanging="652"/>
        <w:spacing w:after="0" w:line="261" w:lineRule="auto"/>
        <w:tabs>
          <w:tab w:leader="none" w:pos="754"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change in interest due to the combined rate/volume variance has been allocated in proportion to the absolute dollar amounts of the change in each.</w:t>
      </w:r>
    </w:p>
    <w:p>
      <w:pPr>
        <w:ind w:left="740" w:hanging="632"/>
        <w:spacing w:after="0"/>
        <w:tabs>
          <w:tab w:leader="none" w:pos="74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Interest income includes net loan fees.</w:t>
      </w:r>
    </w:p>
    <w:p>
      <w:pPr>
        <w:spacing w:after="0" w:line="9" w:lineRule="exact"/>
        <w:rPr>
          <w:rFonts w:ascii="Times New Roman" w:cs="Times New Roman" w:eastAsia="Times New Roman" w:hAnsi="Times New Roman"/>
          <w:sz w:val="18"/>
          <w:szCs w:val="18"/>
          <w:b w:val="1"/>
          <w:bCs w:val="1"/>
          <w:color w:val="auto"/>
        </w:rPr>
      </w:pPr>
    </w:p>
    <w:p>
      <w:pPr>
        <w:ind w:left="740" w:hanging="632"/>
        <w:spacing w:after="0"/>
        <w:tabs>
          <w:tab w:leader="none" w:pos="74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Interest income is presented on a tax-equivalent basis assuming a tax rate of 21%.</w:t>
      </w:r>
    </w:p>
    <w:p>
      <w:pPr>
        <w:spacing w:after="0" w:line="20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Loan Portfolio</w:t>
      </w:r>
    </w:p>
    <w:p>
      <w:pPr>
        <w:spacing w:after="0" w:line="20" w:lineRule="exact"/>
        <w:rPr>
          <w:sz w:val="20"/>
          <w:szCs w:val="20"/>
          <w:color w:val="auto"/>
        </w:rPr>
      </w:pPr>
    </w:p>
    <w:p>
      <w:pPr>
        <w:jc w:val="both"/>
        <w:ind w:left="100"/>
        <w:spacing w:after="0" w:line="239" w:lineRule="auto"/>
        <w:rPr>
          <w:sz w:val="20"/>
          <w:szCs w:val="20"/>
          <w:color w:val="auto"/>
        </w:rPr>
      </w:pPr>
      <w:r>
        <w:rPr>
          <w:rFonts w:ascii="Times New Roman" w:cs="Times New Roman" w:eastAsia="Times New Roman" w:hAnsi="Times New Roman"/>
          <w:sz w:val="18"/>
          <w:szCs w:val="18"/>
          <w:color w:val="auto"/>
        </w:rPr>
        <w:t>Interest earned on the loan portfolio is a primary source of income for the Company. The loan portfolio was $1.01 billion, representing 40.9% of the Company's total assets as of December 31, 2023 and generated $50.8 million in interest income during the year then ended. The following tables show the composition of the loan portfolio at the end of the periods indicated and remaining maturities for loans as of December 31, 2023.</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Loans by Type</w:t>
            </w:r>
          </w:p>
        </w:tc>
        <w:tc>
          <w:tcPr>
            <w:tcW w:w="3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3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2860" w:type="dxa"/>
            <w:vAlign w:val="bottom"/>
          </w:tcPr>
          <w:p>
            <w:pPr>
              <w:spacing w:after="0"/>
              <w:rPr>
                <w:sz w:val="21"/>
                <w:szCs w:val="21"/>
                <w:color w:val="auto"/>
              </w:rPr>
            </w:pPr>
          </w:p>
        </w:tc>
      </w:tr>
      <w:tr>
        <w:trPr>
          <w:trHeight w:val="250"/>
        </w:trPr>
        <w:tc>
          <w:tcPr>
            <w:tcW w:w="100" w:type="dxa"/>
            <w:vAlign w:val="bottom"/>
          </w:tcPr>
          <w:p>
            <w:pPr>
              <w:spacing w:after="0"/>
              <w:rPr>
                <w:sz w:val="21"/>
                <w:szCs w:val="21"/>
                <w:color w:val="auto"/>
              </w:rPr>
            </w:pPr>
          </w:p>
        </w:tc>
        <w:tc>
          <w:tcPr>
            <w:tcW w:w="4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4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860" w:type="dxa"/>
            <w:vAlign w:val="bottom"/>
          </w:tcPr>
          <w:p>
            <w:pPr>
              <w:spacing w:after="0"/>
              <w:rPr>
                <w:sz w:val="21"/>
                <w:szCs w:val="21"/>
                <w:color w:val="auto"/>
              </w:rPr>
            </w:pPr>
          </w:p>
        </w:tc>
      </w:tr>
      <w:tr>
        <w:trPr>
          <w:trHeight w:val="257"/>
        </w:trPr>
        <w:tc>
          <w:tcPr>
            <w:tcW w:w="100" w:type="dxa"/>
            <w:vAlign w:val="bottom"/>
          </w:tcPr>
          <w:p>
            <w:pPr>
              <w:spacing w:after="0"/>
              <w:rPr>
                <w:sz w:val="22"/>
                <w:szCs w:val="22"/>
                <w:color w:val="auto"/>
              </w:rPr>
            </w:pPr>
          </w:p>
        </w:tc>
        <w:tc>
          <w:tcPr>
            <w:tcW w:w="406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300" w:type="dxa"/>
            <w:vAlign w:val="bottom"/>
            <w:shd w:val="clear" w:color="auto" w:fill="DBDBDB"/>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498,502</w:t>
            </w:r>
          </w:p>
        </w:tc>
        <w:tc>
          <w:tcPr>
            <w:tcW w:w="440" w:type="dxa"/>
            <w:vAlign w:val="bottom"/>
            <w:shd w:val="clear" w:color="auto" w:fill="DBDBDB"/>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561,616</w:t>
            </w:r>
          </w:p>
        </w:tc>
        <w:tc>
          <w:tcPr>
            <w:tcW w:w="380" w:type="dxa"/>
            <w:vAlign w:val="bottom"/>
            <w:shd w:val="clear" w:color="auto" w:fill="DBDBDB"/>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450,336</w:t>
            </w:r>
          </w:p>
        </w:tc>
        <w:tc>
          <w:tcPr>
            <w:tcW w:w="2860" w:type="dxa"/>
            <w:vAlign w:val="bottom"/>
          </w:tcPr>
          <w:p>
            <w:pPr>
              <w:spacing w:after="0"/>
              <w:rPr>
                <w:sz w:val="22"/>
                <w:szCs w:val="22"/>
                <w:color w:val="auto"/>
              </w:rPr>
            </w:pPr>
          </w:p>
        </w:tc>
      </w:tr>
      <w:tr>
        <w:trPr>
          <w:trHeight w:val="250"/>
        </w:trPr>
        <w:tc>
          <w:tcPr>
            <w:tcW w:w="100" w:type="dxa"/>
            <w:vAlign w:val="bottom"/>
          </w:tcPr>
          <w:p>
            <w:pPr>
              <w:spacing w:after="0"/>
              <w:rPr>
                <w:sz w:val="21"/>
                <w:szCs w:val="21"/>
                <w:color w:val="auto"/>
              </w:rPr>
            </w:pPr>
          </w:p>
        </w:tc>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Real estate (commercial and faith-based):</w:t>
            </w: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860" w:type="dxa"/>
            <w:vAlign w:val="bottom"/>
          </w:tcPr>
          <w:p>
            <w:pPr>
              <w:spacing w:after="0"/>
              <w:rPr>
                <w:sz w:val="21"/>
                <w:szCs w:val="21"/>
                <w:color w:val="auto"/>
              </w:rPr>
            </w:pPr>
          </w:p>
        </w:tc>
      </w:tr>
      <w:tr>
        <w:trPr>
          <w:trHeight w:val="263"/>
        </w:trPr>
        <w:tc>
          <w:tcPr>
            <w:tcW w:w="100" w:type="dxa"/>
            <w:vAlign w:val="bottom"/>
          </w:tcPr>
          <w:p>
            <w:pPr>
              <w:spacing w:after="0"/>
              <w:rPr>
                <w:sz w:val="22"/>
                <w:szCs w:val="22"/>
                <w:color w:val="auto"/>
              </w:rPr>
            </w:pPr>
          </w:p>
        </w:tc>
        <w:tc>
          <w:tcPr>
            <w:tcW w:w="4060" w:type="dxa"/>
            <w:vAlign w:val="bottom"/>
            <w:shd w:val="clear" w:color="auto" w:fill="DBDBDB"/>
          </w:tcPr>
          <w:p>
            <w:pPr>
              <w:ind w:left="300"/>
              <w:spacing w:after="0"/>
              <w:rPr>
                <w:sz w:val="20"/>
                <w:szCs w:val="20"/>
                <w:color w:val="auto"/>
              </w:rPr>
            </w:pPr>
            <w:r>
              <w:rPr>
                <w:rFonts w:ascii="Times New Roman" w:cs="Times New Roman" w:eastAsia="Times New Roman" w:hAnsi="Times New Roman"/>
                <w:sz w:val="18"/>
                <w:szCs w:val="18"/>
                <w:color w:val="auto"/>
              </w:rPr>
              <w:t>Mortgage</w:t>
            </w:r>
          </w:p>
        </w:tc>
        <w:tc>
          <w:tcPr>
            <w:tcW w:w="300" w:type="dxa"/>
            <w:vAlign w:val="bottom"/>
            <w:shd w:val="clear" w:color="auto" w:fill="DBDBDB"/>
          </w:tcPr>
          <w:p>
            <w:pPr>
              <w:spacing w:after="0"/>
              <w:rPr>
                <w:sz w:val="22"/>
                <w:szCs w:val="22"/>
                <w:color w:val="auto"/>
              </w:rPr>
            </w:pPr>
          </w:p>
        </w:tc>
        <w:tc>
          <w:tcPr>
            <w:tcW w:w="10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499,739</w:t>
            </w:r>
          </w:p>
        </w:tc>
        <w:tc>
          <w:tcPr>
            <w:tcW w:w="440" w:type="dxa"/>
            <w:vAlign w:val="bottom"/>
            <w:shd w:val="clear" w:color="auto" w:fill="DBDBDB"/>
          </w:tcPr>
          <w:p>
            <w:pPr>
              <w:spacing w:after="0"/>
              <w:rPr>
                <w:sz w:val="22"/>
                <w:szCs w:val="22"/>
                <w:color w:val="auto"/>
              </w:rPr>
            </w:pPr>
          </w:p>
        </w:tc>
        <w:tc>
          <w:tcPr>
            <w:tcW w:w="10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495,280</w:t>
            </w:r>
          </w:p>
        </w:tc>
        <w:tc>
          <w:tcPr>
            <w:tcW w:w="380" w:type="dxa"/>
            <w:vAlign w:val="bottom"/>
            <w:shd w:val="clear" w:color="auto" w:fill="DBDBDB"/>
          </w:tcPr>
          <w:p>
            <w:pPr>
              <w:spacing w:after="0"/>
              <w:rPr>
                <w:sz w:val="22"/>
                <w:szCs w:val="22"/>
                <w:color w:val="auto"/>
              </w:rPr>
            </w:pPr>
          </w:p>
        </w:tc>
        <w:tc>
          <w:tcPr>
            <w:tcW w:w="10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464,341</w:t>
            </w:r>
          </w:p>
        </w:tc>
        <w:tc>
          <w:tcPr>
            <w:tcW w:w="2860" w:type="dxa"/>
            <w:vAlign w:val="bottom"/>
          </w:tcPr>
          <w:p>
            <w:pPr>
              <w:spacing w:after="0"/>
              <w:rPr>
                <w:sz w:val="22"/>
                <w:szCs w:val="22"/>
                <w:color w:val="auto"/>
              </w:rPr>
            </w:pPr>
          </w:p>
        </w:tc>
      </w:tr>
      <w:tr>
        <w:trPr>
          <w:trHeight w:val="250"/>
        </w:trPr>
        <w:tc>
          <w:tcPr>
            <w:tcW w:w="100" w:type="dxa"/>
            <w:vAlign w:val="bottom"/>
          </w:tcPr>
          <w:p>
            <w:pPr>
              <w:spacing w:after="0"/>
              <w:rPr>
                <w:sz w:val="21"/>
                <w:szCs w:val="21"/>
                <w:color w:val="auto"/>
              </w:rPr>
            </w:pPr>
          </w:p>
        </w:tc>
        <w:tc>
          <w:tcPr>
            <w:tcW w:w="40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Construction</w:t>
            </w: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16,023</w:t>
            </w:r>
          </w:p>
        </w:tc>
        <w:tc>
          <w:tcPr>
            <w:tcW w:w="4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25,968</w:t>
            </w:r>
          </w:p>
        </w:tc>
        <w:tc>
          <w:tcPr>
            <w:tcW w:w="3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39,461</w:t>
            </w:r>
          </w:p>
        </w:tc>
        <w:tc>
          <w:tcPr>
            <w:tcW w:w="2860" w:type="dxa"/>
            <w:vAlign w:val="bottom"/>
          </w:tcPr>
          <w:p>
            <w:pPr>
              <w:spacing w:after="0"/>
              <w:rPr>
                <w:sz w:val="21"/>
                <w:szCs w:val="21"/>
                <w:color w:val="auto"/>
              </w:rPr>
            </w:pPr>
          </w:p>
        </w:tc>
      </w:tr>
      <w:tr>
        <w:trPr>
          <w:trHeight w:val="263"/>
        </w:trPr>
        <w:tc>
          <w:tcPr>
            <w:tcW w:w="100" w:type="dxa"/>
            <w:vAlign w:val="bottom"/>
          </w:tcPr>
          <w:p>
            <w:pPr>
              <w:spacing w:after="0"/>
              <w:rPr>
                <w:sz w:val="22"/>
                <w:szCs w:val="22"/>
                <w:color w:val="auto"/>
              </w:rPr>
            </w:pPr>
          </w:p>
        </w:tc>
        <w:tc>
          <w:tcPr>
            <w:tcW w:w="406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PPP</w:t>
            </w:r>
          </w:p>
        </w:tc>
        <w:tc>
          <w:tcPr>
            <w:tcW w:w="300" w:type="dxa"/>
            <w:vAlign w:val="bottom"/>
            <w:shd w:val="clear" w:color="auto" w:fill="DBDBDB"/>
          </w:tcPr>
          <w:p>
            <w:pPr>
              <w:spacing w:after="0"/>
              <w:rPr>
                <w:sz w:val="22"/>
                <w:szCs w:val="22"/>
                <w:color w:val="auto"/>
              </w:rPr>
            </w:pPr>
          </w:p>
        </w:tc>
        <w:tc>
          <w:tcPr>
            <w:tcW w:w="10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DBDBDB"/>
          </w:tcPr>
          <w:p>
            <w:pPr>
              <w:spacing w:after="0"/>
              <w:rPr>
                <w:sz w:val="22"/>
                <w:szCs w:val="22"/>
                <w:color w:val="auto"/>
              </w:rPr>
            </w:pPr>
          </w:p>
        </w:tc>
        <w:tc>
          <w:tcPr>
            <w:tcW w:w="10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DBDBDB"/>
          </w:tcPr>
          <w:p>
            <w:pPr>
              <w:spacing w:after="0"/>
              <w:rPr>
                <w:sz w:val="22"/>
                <w:szCs w:val="22"/>
                <w:color w:val="auto"/>
              </w:rPr>
            </w:pPr>
          </w:p>
        </w:tc>
        <w:tc>
          <w:tcPr>
            <w:tcW w:w="10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6,299</w:t>
            </w:r>
          </w:p>
        </w:tc>
        <w:tc>
          <w:tcPr>
            <w:tcW w:w="2860" w:type="dxa"/>
            <w:vAlign w:val="bottom"/>
          </w:tcPr>
          <w:p>
            <w:pPr>
              <w:spacing w:after="0"/>
              <w:rPr>
                <w:sz w:val="22"/>
                <w:szCs w:val="22"/>
                <w:color w:val="auto"/>
              </w:rPr>
            </w:pPr>
          </w:p>
        </w:tc>
      </w:tr>
      <w:tr>
        <w:trPr>
          <w:trHeight w:val="250"/>
        </w:trPr>
        <w:tc>
          <w:tcPr>
            <w:tcW w:w="100" w:type="dxa"/>
            <w:vAlign w:val="bottom"/>
          </w:tcPr>
          <w:p>
            <w:pPr>
              <w:spacing w:after="0"/>
              <w:rPr>
                <w:sz w:val="21"/>
                <w:szCs w:val="21"/>
                <w:color w:val="auto"/>
              </w:rPr>
            </w:pPr>
          </w:p>
        </w:tc>
        <w:tc>
          <w:tcPr>
            <w:tcW w:w="4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4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3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2860" w:type="dxa"/>
            <w:vAlign w:val="bottom"/>
          </w:tcPr>
          <w:p>
            <w:pPr>
              <w:spacing w:after="0"/>
              <w:rPr>
                <w:sz w:val="21"/>
                <w:szCs w:val="21"/>
                <w:color w:val="auto"/>
              </w:rPr>
            </w:pPr>
          </w:p>
        </w:tc>
      </w:tr>
      <w:tr>
        <w:trPr>
          <w:trHeight w:val="250"/>
        </w:trPr>
        <w:tc>
          <w:tcPr>
            <w:tcW w:w="100" w:type="dxa"/>
            <w:vAlign w:val="bottom"/>
          </w:tcPr>
          <w:p>
            <w:pPr>
              <w:spacing w:after="0"/>
              <w:rPr>
                <w:sz w:val="21"/>
                <w:szCs w:val="21"/>
                <w:color w:val="auto"/>
              </w:rPr>
            </w:pPr>
          </w:p>
        </w:tc>
        <w:tc>
          <w:tcPr>
            <w:tcW w:w="4060" w:type="dxa"/>
            <w:vAlign w:val="bottom"/>
            <w:tcBorders>
              <w:bottom w:val="single" w:sz="8" w:color="auto"/>
            </w:tcBorders>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Total loans</w:t>
            </w:r>
          </w:p>
        </w:tc>
        <w:tc>
          <w:tcPr>
            <w:tcW w:w="300" w:type="dxa"/>
            <w:vAlign w:val="bottom"/>
            <w:tcBorders>
              <w:bottom w:val="single" w:sz="8" w:color="auto"/>
            </w:tcBorders>
            <w:shd w:val="clear" w:color="auto" w:fill="DBDBDB"/>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1,014,318</w:t>
            </w:r>
          </w:p>
        </w:tc>
        <w:tc>
          <w:tcPr>
            <w:tcW w:w="440" w:type="dxa"/>
            <w:vAlign w:val="bottom"/>
            <w:tcBorders>
              <w:bottom w:val="single" w:sz="8" w:color="auto"/>
            </w:tcBorders>
            <w:shd w:val="clear" w:color="auto" w:fill="DBDBDB"/>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1,082,906</w:t>
            </w:r>
          </w:p>
        </w:tc>
        <w:tc>
          <w:tcPr>
            <w:tcW w:w="380" w:type="dxa"/>
            <w:vAlign w:val="bottom"/>
            <w:tcBorders>
              <w:bottom w:val="single" w:sz="8" w:color="auto"/>
            </w:tcBorders>
            <w:shd w:val="clear" w:color="auto" w:fill="DBDBDB"/>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960,567</w:t>
            </w:r>
          </w:p>
        </w:tc>
        <w:tc>
          <w:tcPr>
            <w:tcW w:w="2860" w:type="dxa"/>
            <w:vAlign w:val="bottom"/>
          </w:tcPr>
          <w:p>
            <w:pPr>
              <w:spacing w:after="0"/>
              <w:rPr>
                <w:sz w:val="21"/>
                <w:szCs w:val="21"/>
                <w:color w:val="auto"/>
              </w:rPr>
            </w:pPr>
          </w:p>
        </w:tc>
      </w:tr>
      <w:tr>
        <w:trPr>
          <w:trHeight w:val="918"/>
        </w:trPr>
        <w:tc>
          <w:tcPr>
            <w:tcW w:w="10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29</w:t>
            </w:r>
          </w:p>
        </w:tc>
        <w:tc>
          <w:tcPr>
            <w:tcW w:w="10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60" w:type="dxa"/>
            <w:vAlign w:val="bottom"/>
          </w:tcPr>
          <w:p>
            <w:pPr>
              <w:spacing w:after="0"/>
              <w:rPr>
                <w:sz w:val="24"/>
                <w:szCs w:val="24"/>
                <w:color w:val="auto"/>
              </w:rPr>
            </w:pPr>
          </w:p>
        </w:tc>
      </w:tr>
      <w:tr>
        <w:trPr>
          <w:trHeight w:val="101"/>
        </w:trPr>
        <w:tc>
          <w:tcPr>
            <w:tcW w:w="100" w:type="dxa"/>
            <w:vAlign w:val="bottom"/>
          </w:tcPr>
          <w:p>
            <w:pPr>
              <w:spacing w:after="0"/>
              <w:rPr>
                <w:sz w:val="8"/>
                <w:szCs w:val="8"/>
                <w:color w:val="auto"/>
              </w:rPr>
            </w:pPr>
          </w:p>
        </w:tc>
        <w:tc>
          <w:tcPr>
            <w:tcW w:w="406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080" w:type="dxa"/>
            <w:vAlign w:val="bottom"/>
            <w:tcBorders>
              <w:bottom w:val="single" w:sz="8" w:color="9A9A9A"/>
            </w:tcBorders>
          </w:tcPr>
          <w:p>
            <w:pPr>
              <w:spacing w:after="0"/>
              <w:rPr>
                <w:sz w:val="8"/>
                <w:szCs w:val="8"/>
                <w:color w:val="auto"/>
              </w:rPr>
            </w:pPr>
          </w:p>
        </w:tc>
        <w:tc>
          <w:tcPr>
            <w:tcW w:w="440" w:type="dxa"/>
            <w:vAlign w:val="bottom"/>
            <w:tcBorders>
              <w:bottom w:val="single" w:sz="8" w:color="9A9A9A"/>
            </w:tcBorders>
          </w:tcPr>
          <w:p>
            <w:pPr>
              <w:spacing w:after="0"/>
              <w:rPr>
                <w:sz w:val="8"/>
                <w:szCs w:val="8"/>
                <w:color w:val="auto"/>
              </w:rPr>
            </w:pPr>
          </w:p>
        </w:tc>
        <w:tc>
          <w:tcPr>
            <w:tcW w:w="104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1080" w:type="dxa"/>
            <w:vAlign w:val="bottom"/>
            <w:tcBorders>
              <w:bottom w:val="single" w:sz="8" w:color="9A9A9A"/>
            </w:tcBorders>
          </w:tcPr>
          <w:p>
            <w:pPr>
              <w:spacing w:after="0"/>
              <w:rPr>
                <w:sz w:val="8"/>
                <w:szCs w:val="8"/>
                <w:color w:val="auto"/>
              </w:rPr>
            </w:pPr>
          </w:p>
        </w:tc>
        <w:tc>
          <w:tcPr>
            <w:tcW w:w="286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7179310</wp:posOffset>
            </wp:positionH>
            <wp:positionV relativeFrom="paragraph">
              <wp:posOffset>-29210</wp:posOffset>
            </wp:positionV>
            <wp:extent cx="3365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55880</wp:posOffset>
            </wp:positionH>
            <wp:positionV relativeFrom="paragraph">
              <wp:posOffset>-29210</wp:posOffset>
            </wp:positionV>
            <wp:extent cx="3429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340"/>
          </w:cols>
          <w:pgMar w:left="220" w:top="333"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Loans by Maturity as of December 31, 2023</w:t>
            </w: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00" w:type="dxa"/>
            <w:vAlign w:val="bottom"/>
            <w:gridSpan w:val="4"/>
          </w:tcPr>
          <w:p>
            <w:pPr>
              <w:ind w:left="620"/>
              <w:spacing w:after="0"/>
              <w:rPr>
                <w:sz w:val="20"/>
                <w:szCs w:val="20"/>
                <w:color w:val="auto"/>
              </w:rPr>
            </w:pPr>
            <w:r>
              <w:rPr>
                <w:rFonts w:ascii="Times New Roman" w:cs="Times New Roman" w:eastAsia="Times New Roman" w:hAnsi="Times New Roman"/>
                <w:sz w:val="18"/>
                <w:szCs w:val="18"/>
                <w:b w:val="1"/>
                <w:bCs w:val="1"/>
                <w:color w:val="auto"/>
              </w:rPr>
              <w:t>One Year</w:t>
            </w:r>
          </w:p>
        </w:tc>
        <w:tc>
          <w:tcPr>
            <w:tcW w:w="240" w:type="dxa"/>
            <w:vAlign w:val="bottom"/>
          </w:tcPr>
          <w:p>
            <w:pPr>
              <w:spacing w:after="0"/>
              <w:rPr>
                <w:sz w:val="24"/>
                <w:szCs w:val="24"/>
                <w:color w:val="auto"/>
              </w:rPr>
            </w:pPr>
          </w:p>
        </w:tc>
        <w:tc>
          <w:tcPr>
            <w:tcW w:w="2320" w:type="dxa"/>
            <w:vAlign w:val="bottom"/>
            <w:gridSpan w:val="4"/>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6"/>
              </w:rPr>
              <w:t>Over 1 Year</w:t>
            </w:r>
          </w:p>
        </w:tc>
        <w:tc>
          <w:tcPr>
            <w:tcW w:w="260" w:type="dxa"/>
            <w:vAlign w:val="bottom"/>
          </w:tcPr>
          <w:p>
            <w:pPr>
              <w:spacing w:after="0"/>
              <w:rPr>
                <w:sz w:val="24"/>
                <w:szCs w:val="24"/>
                <w:color w:val="auto"/>
              </w:rPr>
            </w:pPr>
          </w:p>
        </w:tc>
        <w:tc>
          <w:tcPr>
            <w:tcW w:w="2220" w:type="dxa"/>
            <w:vAlign w:val="bottom"/>
            <w:gridSpan w:val="3"/>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Over 5 Years</w:t>
            </w: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3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Or Less</w:t>
            </w: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320" w:type="dxa"/>
            <w:vAlign w:val="bottom"/>
            <w:gridSpan w:val="4"/>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Through 5 Years</w:t>
            </w:r>
          </w:p>
        </w:tc>
        <w:tc>
          <w:tcPr>
            <w:tcW w:w="260" w:type="dxa"/>
            <w:vAlign w:val="bottom"/>
          </w:tcPr>
          <w:p>
            <w:pPr>
              <w:spacing w:after="0"/>
              <w:rPr>
                <w:sz w:val="21"/>
                <w:szCs w:val="21"/>
                <w:color w:val="auto"/>
              </w:rPr>
            </w:pPr>
          </w:p>
        </w:tc>
        <w:tc>
          <w:tcPr>
            <w:tcW w:w="2220" w:type="dxa"/>
            <w:vAlign w:val="bottom"/>
            <w:gridSpan w:val="3"/>
          </w:tcPr>
          <w:p>
            <w:pPr>
              <w:jc w:val="right"/>
              <w:ind w:right="370"/>
              <w:spacing w:after="0" w:line="243" w:lineRule="exact"/>
              <w:rPr>
                <w:sz w:val="20"/>
                <w:szCs w:val="20"/>
                <w:color w:val="auto"/>
              </w:rPr>
            </w:pPr>
            <w:r>
              <w:rPr>
                <w:rFonts w:ascii="Times New Roman" w:cs="Times New Roman" w:eastAsia="Times New Roman" w:hAnsi="Times New Roman"/>
                <w:sz w:val="18"/>
                <w:szCs w:val="18"/>
                <w:b w:val="1"/>
                <w:bCs w:val="1"/>
                <w:color w:val="auto"/>
              </w:rPr>
              <w:t xml:space="preserve">Through 15 Years </w:t>
            </w:r>
            <w:r>
              <w:rPr>
                <w:rFonts w:ascii="Times New Roman" w:cs="Times New Roman" w:eastAsia="Times New Roman" w:hAnsi="Times New Roman"/>
                <w:sz w:val="23"/>
                <w:szCs w:val="23"/>
                <w:b w:val="1"/>
                <w:bCs w:val="1"/>
                <w:color w:val="auto"/>
                <w:vertAlign w:val="superscript"/>
              </w:rPr>
              <w:t>(1)</w:t>
            </w:r>
          </w:p>
        </w:tc>
        <w:tc>
          <w:tcPr>
            <w:tcW w:w="3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9"/>
        </w:trPr>
        <w:tc>
          <w:tcPr>
            <w:tcW w:w="238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4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jc w:val="right"/>
              <w:ind w:right="310"/>
              <w:spacing w:after="0" w:line="169" w:lineRule="exact"/>
              <w:rPr>
                <w:sz w:val="20"/>
                <w:szCs w:val="20"/>
                <w:color w:val="auto"/>
              </w:rPr>
            </w:pPr>
            <w:r>
              <w:rPr>
                <w:rFonts w:ascii="Times New Roman" w:cs="Times New Roman" w:eastAsia="Times New Roman" w:hAnsi="Times New Roman"/>
                <w:sz w:val="18"/>
                <w:szCs w:val="18"/>
                <w:b w:val="1"/>
                <w:bCs w:val="1"/>
                <w:color w:val="auto"/>
              </w:rPr>
              <w:t>Fixed</w:t>
            </w:r>
          </w:p>
        </w:tc>
        <w:tc>
          <w:tcPr>
            <w:tcW w:w="3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jc w:val="center"/>
              <w:ind w:right="170"/>
              <w:spacing w:after="0" w:line="169" w:lineRule="exact"/>
              <w:rPr>
                <w:sz w:val="20"/>
                <w:szCs w:val="20"/>
                <w:color w:val="auto"/>
              </w:rPr>
            </w:pPr>
            <w:r>
              <w:rPr>
                <w:rFonts w:ascii="Times New Roman" w:cs="Times New Roman" w:eastAsia="Times New Roman" w:hAnsi="Times New Roman"/>
                <w:sz w:val="18"/>
                <w:szCs w:val="18"/>
                <w:b w:val="1"/>
                <w:bCs w:val="1"/>
                <w:color w:val="auto"/>
                <w:w w:val="99"/>
              </w:rPr>
              <w:t>Floating</w:t>
            </w:r>
          </w:p>
        </w:tc>
        <w:tc>
          <w:tcPr>
            <w:tcW w:w="10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jc w:val="right"/>
              <w:ind w:right="310"/>
              <w:spacing w:after="0" w:line="169" w:lineRule="exact"/>
              <w:rPr>
                <w:sz w:val="20"/>
                <w:szCs w:val="20"/>
                <w:color w:val="auto"/>
              </w:rPr>
            </w:pPr>
            <w:r>
              <w:rPr>
                <w:rFonts w:ascii="Times New Roman" w:cs="Times New Roman" w:eastAsia="Times New Roman" w:hAnsi="Times New Roman"/>
                <w:sz w:val="18"/>
                <w:szCs w:val="18"/>
                <w:b w:val="1"/>
                <w:bCs w:val="1"/>
                <w:color w:val="auto"/>
              </w:rPr>
              <w:t>Fixed</w:t>
            </w:r>
          </w:p>
        </w:tc>
        <w:tc>
          <w:tcPr>
            <w:tcW w:w="26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jc w:val="center"/>
              <w:ind w:right="110"/>
              <w:spacing w:after="0" w:line="169" w:lineRule="exact"/>
              <w:rPr>
                <w:sz w:val="20"/>
                <w:szCs w:val="20"/>
                <w:color w:val="auto"/>
              </w:rPr>
            </w:pPr>
            <w:r>
              <w:rPr>
                <w:rFonts w:ascii="Times New Roman" w:cs="Times New Roman" w:eastAsia="Times New Roman" w:hAnsi="Times New Roman"/>
                <w:sz w:val="18"/>
                <w:szCs w:val="18"/>
                <w:b w:val="1"/>
                <w:bCs w:val="1"/>
                <w:color w:val="auto"/>
                <w:w w:val="99"/>
              </w:rPr>
              <w:t>Floating</w:t>
            </w:r>
          </w:p>
        </w:tc>
        <w:tc>
          <w:tcPr>
            <w:tcW w:w="8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jc w:val="right"/>
              <w:ind w:right="310"/>
              <w:spacing w:after="0" w:line="169" w:lineRule="exact"/>
              <w:rPr>
                <w:sz w:val="20"/>
                <w:szCs w:val="20"/>
                <w:color w:val="auto"/>
              </w:rPr>
            </w:pPr>
            <w:r>
              <w:rPr>
                <w:rFonts w:ascii="Times New Roman" w:cs="Times New Roman" w:eastAsia="Times New Roman" w:hAnsi="Times New Roman"/>
                <w:sz w:val="18"/>
                <w:szCs w:val="18"/>
                <w:b w:val="1"/>
                <w:bCs w:val="1"/>
                <w:color w:val="auto"/>
              </w:rPr>
              <w:t>Fixed</w:t>
            </w:r>
          </w:p>
        </w:tc>
        <w:tc>
          <w:tcPr>
            <w:tcW w:w="26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jc w:val="right"/>
              <w:ind w:right="190"/>
              <w:spacing w:after="0" w:line="169" w:lineRule="exact"/>
              <w:rPr>
                <w:sz w:val="20"/>
                <w:szCs w:val="20"/>
                <w:color w:val="auto"/>
              </w:rPr>
            </w:pPr>
            <w:r>
              <w:rPr>
                <w:rFonts w:ascii="Times New Roman" w:cs="Times New Roman" w:eastAsia="Times New Roman" w:hAnsi="Times New Roman"/>
                <w:sz w:val="18"/>
                <w:szCs w:val="18"/>
                <w:b w:val="1"/>
                <w:bCs w:val="1"/>
                <w:color w:val="auto"/>
              </w:rPr>
              <w:t>Floating</w:t>
            </w:r>
          </w:p>
        </w:tc>
        <w:tc>
          <w:tcPr>
            <w:tcW w:w="340" w:type="dxa"/>
            <w:vAlign w:val="bottom"/>
          </w:tcPr>
          <w:p>
            <w:pPr>
              <w:spacing w:after="0"/>
              <w:rPr>
                <w:sz w:val="14"/>
                <w:szCs w:val="14"/>
                <w:color w:val="auto"/>
              </w:rPr>
            </w:pPr>
          </w:p>
        </w:tc>
        <w:tc>
          <w:tcPr>
            <w:tcW w:w="940" w:type="dxa"/>
            <w:vAlign w:val="bottom"/>
            <w:vMerge w:val="restart"/>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3"/>
        </w:trPr>
        <w:tc>
          <w:tcPr>
            <w:tcW w:w="2380" w:type="dxa"/>
            <w:vAlign w:val="bottom"/>
            <w:tcBorders>
              <w:bottom w:val="single" w:sz="8" w:color="auto"/>
            </w:tcBorders>
            <w:vMerge w:val="continue"/>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Rate</w:t>
            </w:r>
          </w:p>
        </w:tc>
        <w:tc>
          <w:tcPr>
            <w:tcW w:w="3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Rate</w:t>
            </w:r>
          </w:p>
        </w:tc>
        <w:tc>
          <w:tcPr>
            <w:tcW w:w="2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Rate</w:t>
            </w:r>
          </w:p>
        </w:tc>
        <w:tc>
          <w:tcPr>
            <w:tcW w:w="2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Rate</w:t>
            </w:r>
          </w:p>
        </w:tc>
        <w:tc>
          <w:tcPr>
            <w:tcW w:w="2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Rate</w:t>
            </w:r>
          </w:p>
        </w:tc>
        <w:tc>
          <w:tcPr>
            <w:tcW w:w="2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Rate</w:t>
            </w:r>
          </w:p>
        </w:tc>
        <w:tc>
          <w:tcPr>
            <w:tcW w:w="3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38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240" w:type="dxa"/>
            <w:vAlign w:val="bottom"/>
            <w:shd w:val="clear" w:color="auto" w:fill="DBDBDB"/>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DBDBDB"/>
          </w:tcPr>
          <w:p>
            <w:pPr>
              <w:jc w:val="right"/>
              <w:ind w:right="10"/>
              <w:spacing w:after="0"/>
              <w:rPr>
                <w:sz w:val="20"/>
                <w:szCs w:val="20"/>
                <w:color w:val="auto"/>
              </w:rPr>
            </w:pPr>
            <w:r>
              <w:rPr>
                <w:rFonts w:ascii="Times New Roman" w:cs="Times New Roman" w:eastAsia="Times New Roman" w:hAnsi="Times New Roman"/>
                <w:sz w:val="18"/>
                <w:szCs w:val="18"/>
                <w:color w:val="auto"/>
              </w:rPr>
              <w:t>19,711</w:t>
            </w:r>
          </w:p>
        </w:tc>
        <w:tc>
          <w:tcPr>
            <w:tcW w:w="340" w:type="dxa"/>
            <w:vAlign w:val="bottom"/>
            <w:shd w:val="clear" w:color="auto" w:fill="DBDBDB"/>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54,318</w:t>
            </w:r>
          </w:p>
        </w:tc>
        <w:tc>
          <w:tcPr>
            <w:tcW w:w="100" w:type="dxa"/>
            <w:vAlign w:val="bottom"/>
            <w:shd w:val="clear" w:color="auto" w:fill="DBDBDB"/>
          </w:tcPr>
          <w:p>
            <w:pPr>
              <w:spacing w:after="0"/>
              <w:rPr>
                <w:sz w:val="19"/>
                <w:szCs w:val="19"/>
                <w:color w:val="auto"/>
              </w:rPr>
            </w:pPr>
          </w:p>
        </w:tc>
        <w:tc>
          <w:tcPr>
            <w:tcW w:w="240" w:type="dxa"/>
            <w:vAlign w:val="bottom"/>
            <w:shd w:val="clear" w:color="auto" w:fill="DBDBDB"/>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DBDBDB"/>
          </w:tcPr>
          <w:p>
            <w:pPr>
              <w:jc w:val="right"/>
              <w:ind w:right="10"/>
              <w:spacing w:after="0"/>
              <w:rPr>
                <w:sz w:val="20"/>
                <w:szCs w:val="20"/>
                <w:color w:val="auto"/>
              </w:rPr>
            </w:pPr>
            <w:r>
              <w:rPr>
                <w:rFonts w:ascii="Times New Roman" w:cs="Times New Roman" w:eastAsia="Times New Roman" w:hAnsi="Times New Roman"/>
                <w:sz w:val="18"/>
                <w:szCs w:val="18"/>
                <w:color w:val="auto"/>
              </w:rPr>
              <w:t>200,726</w:t>
            </w:r>
          </w:p>
        </w:tc>
        <w:tc>
          <w:tcPr>
            <w:tcW w:w="2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29,778</w:t>
            </w:r>
          </w:p>
        </w:tc>
        <w:tc>
          <w:tcPr>
            <w:tcW w:w="80" w:type="dxa"/>
            <w:vAlign w:val="bottom"/>
            <w:shd w:val="clear" w:color="auto" w:fill="DBDBDB"/>
          </w:tcPr>
          <w:p>
            <w:pPr>
              <w:spacing w:after="0"/>
              <w:rPr>
                <w:sz w:val="19"/>
                <w:szCs w:val="19"/>
                <w:color w:val="auto"/>
              </w:rPr>
            </w:pPr>
          </w:p>
        </w:tc>
        <w:tc>
          <w:tcPr>
            <w:tcW w:w="260" w:type="dxa"/>
            <w:vAlign w:val="bottom"/>
            <w:shd w:val="clear" w:color="auto" w:fill="DBDBDB"/>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DBDBDB"/>
          </w:tcPr>
          <w:p>
            <w:pPr>
              <w:jc w:val="right"/>
              <w:ind w:right="10"/>
              <w:spacing w:after="0"/>
              <w:rPr>
                <w:sz w:val="20"/>
                <w:szCs w:val="20"/>
                <w:color w:val="auto"/>
              </w:rPr>
            </w:pPr>
            <w:r>
              <w:rPr>
                <w:rFonts w:ascii="Times New Roman" w:cs="Times New Roman" w:eastAsia="Times New Roman" w:hAnsi="Times New Roman"/>
                <w:sz w:val="18"/>
                <w:szCs w:val="18"/>
                <w:color w:val="auto"/>
              </w:rPr>
              <w:t>179,335</w:t>
            </w:r>
          </w:p>
        </w:tc>
        <w:tc>
          <w:tcPr>
            <w:tcW w:w="2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14,634</w:t>
            </w:r>
          </w:p>
        </w:tc>
        <w:tc>
          <w:tcPr>
            <w:tcW w:w="340" w:type="dxa"/>
            <w:vAlign w:val="bottom"/>
            <w:shd w:val="clear" w:color="auto" w:fill="DBDBDB"/>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498,502</w:t>
            </w:r>
          </w:p>
        </w:tc>
        <w:tc>
          <w:tcPr>
            <w:tcW w:w="0" w:type="dxa"/>
            <w:vAlign w:val="bottom"/>
          </w:tcPr>
          <w:p>
            <w:pPr>
              <w:spacing w:after="0"/>
              <w:rPr>
                <w:sz w:val="1"/>
                <w:szCs w:val="1"/>
                <w:color w:val="auto"/>
              </w:rPr>
            </w:pPr>
          </w:p>
        </w:tc>
      </w:tr>
      <w:tr>
        <w:trPr>
          <w:trHeight w:val="230"/>
        </w:trPr>
        <w:tc>
          <w:tcPr>
            <w:tcW w:w="2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Real Estate:</w:t>
            </w: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380" w:type="dxa"/>
            <w:vAlign w:val="bottom"/>
            <w:shd w:val="clear" w:color="auto" w:fill="DBDBDB"/>
          </w:tcPr>
          <w:p>
            <w:pPr>
              <w:ind w:left="260"/>
              <w:spacing w:after="0"/>
              <w:rPr>
                <w:sz w:val="20"/>
                <w:szCs w:val="20"/>
                <w:color w:val="auto"/>
              </w:rPr>
            </w:pPr>
            <w:r>
              <w:rPr>
                <w:rFonts w:ascii="Times New Roman" w:cs="Times New Roman" w:eastAsia="Times New Roman" w:hAnsi="Times New Roman"/>
                <w:sz w:val="18"/>
                <w:szCs w:val="18"/>
                <w:color w:val="auto"/>
              </w:rPr>
              <w:t>Mortgage</w:t>
            </w:r>
          </w:p>
        </w:tc>
        <w:tc>
          <w:tcPr>
            <w:tcW w:w="240" w:type="dxa"/>
            <w:vAlign w:val="bottom"/>
            <w:shd w:val="clear" w:color="auto" w:fill="DBDBDB"/>
          </w:tcPr>
          <w:p>
            <w:pPr>
              <w:spacing w:after="0"/>
              <w:rPr>
                <w:sz w:val="19"/>
                <w:szCs w:val="19"/>
                <w:color w:val="auto"/>
              </w:rPr>
            </w:pPr>
          </w:p>
        </w:tc>
        <w:tc>
          <w:tcPr>
            <w:tcW w:w="960" w:type="dxa"/>
            <w:vAlign w:val="bottom"/>
            <w:shd w:val="clear" w:color="auto" w:fill="DBDBDB"/>
          </w:tcPr>
          <w:p>
            <w:pPr>
              <w:jc w:val="right"/>
              <w:ind w:right="10"/>
              <w:spacing w:after="0"/>
              <w:rPr>
                <w:sz w:val="20"/>
                <w:szCs w:val="20"/>
                <w:color w:val="auto"/>
              </w:rPr>
            </w:pPr>
            <w:r>
              <w:rPr>
                <w:rFonts w:ascii="Times New Roman" w:cs="Times New Roman" w:eastAsia="Times New Roman" w:hAnsi="Times New Roman"/>
                <w:sz w:val="18"/>
                <w:szCs w:val="18"/>
                <w:color w:val="auto"/>
              </w:rPr>
              <w:t>68,144</w:t>
            </w:r>
          </w:p>
        </w:tc>
        <w:tc>
          <w:tcPr>
            <w:tcW w:w="340" w:type="dxa"/>
            <w:vAlign w:val="bottom"/>
            <w:shd w:val="clear" w:color="auto" w:fill="DBDBDB"/>
          </w:tcPr>
          <w:p>
            <w:pPr>
              <w:spacing w:after="0"/>
              <w:rPr>
                <w:sz w:val="19"/>
                <w:szCs w:val="19"/>
                <w:color w:val="auto"/>
              </w:rPr>
            </w:pPr>
          </w:p>
        </w:tc>
        <w:tc>
          <w:tcPr>
            <w:tcW w:w="9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13,175</w:t>
            </w:r>
          </w:p>
        </w:tc>
        <w:tc>
          <w:tcPr>
            <w:tcW w:w="10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980" w:type="dxa"/>
            <w:vAlign w:val="bottom"/>
            <w:shd w:val="clear" w:color="auto" w:fill="DBDBDB"/>
          </w:tcPr>
          <w:p>
            <w:pPr>
              <w:jc w:val="right"/>
              <w:ind w:right="10"/>
              <w:spacing w:after="0"/>
              <w:rPr>
                <w:sz w:val="20"/>
                <w:szCs w:val="20"/>
                <w:color w:val="auto"/>
              </w:rPr>
            </w:pPr>
            <w:r>
              <w:rPr>
                <w:rFonts w:ascii="Times New Roman" w:cs="Times New Roman" w:eastAsia="Times New Roman" w:hAnsi="Times New Roman"/>
                <w:sz w:val="18"/>
                <w:szCs w:val="18"/>
                <w:color w:val="auto"/>
              </w:rPr>
              <w:t>311,474</w:t>
            </w:r>
          </w:p>
        </w:tc>
        <w:tc>
          <w:tcPr>
            <w:tcW w:w="260" w:type="dxa"/>
            <w:vAlign w:val="bottom"/>
            <w:shd w:val="clear" w:color="auto" w:fill="DBDBDB"/>
          </w:tcPr>
          <w:p>
            <w:pPr>
              <w:spacing w:after="0"/>
              <w:rPr>
                <w:sz w:val="19"/>
                <w:szCs w:val="19"/>
                <w:color w:val="auto"/>
              </w:rPr>
            </w:pPr>
          </w:p>
        </w:tc>
        <w:tc>
          <w:tcPr>
            <w:tcW w:w="10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1,741</w:t>
            </w:r>
          </w:p>
        </w:tc>
        <w:tc>
          <w:tcPr>
            <w:tcW w:w="8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960" w:type="dxa"/>
            <w:vAlign w:val="bottom"/>
            <w:shd w:val="clear" w:color="auto" w:fill="DBDBDB"/>
          </w:tcPr>
          <w:p>
            <w:pPr>
              <w:jc w:val="right"/>
              <w:ind w:right="10"/>
              <w:spacing w:after="0"/>
              <w:rPr>
                <w:sz w:val="20"/>
                <w:szCs w:val="20"/>
                <w:color w:val="auto"/>
              </w:rPr>
            </w:pPr>
            <w:r>
              <w:rPr>
                <w:rFonts w:ascii="Times New Roman" w:cs="Times New Roman" w:eastAsia="Times New Roman" w:hAnsi="Times New Roman"/>
                <w:sz w:val="18"/>
                <w:szCs w:val="18"/>
                <w:color w:val="auto"/>
              </w:rPr>
              <w:t>93,587</w:t>
            </w:r>
          </w:p>
        </w:tc>
        <w:tc>
          <w:tcPr>
            <w:tcW w:w="260" w:type="dxa"/>
            <w:vAlign w:val="bottom"/>
            <w:shd w:val="clear" w:color="auto" w:fill="DBDBDB"/>
          </w:tcPr>
          <w:p>
            <w:pPr>
              <w:spacing w:after="0"/>
              <w:rPr>
                <w:sz w:val="19"/>
                <w:szCs w:val="19"/>
                <w:color w:val="auto"/>
              </w:rPr>
            </w:pPr>
          </w:p>
        </w:tc>
        <w:tc>
          <w:tcPr>
            <w:tcW w:w="10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11,618</w:t>
            </w:r>
          </w:p>
        </w:tc>
        <w:tc>
          <w:tcPr>
            <w:tcW w:w="34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499,739</w:t>
            </w:r>
          </w:p>
        </w:tc>
        <w:tc>
          <w:tcPr>
            <w:tcW w:w="0" w:type="dxa"/>
            <w:vAlign w:val="bottom"/>
          </w:tcPr>
          <w:p>
            <w:pPr>
              <w:spacing w:after="0"/>
              <w:rPr>
                <w:sz w:val="1"/>
                <w:szCs w:val="1"/>
                <w:color w:val="auto"/>
              </w:rPr>
            </w:pPr>
          </w:p>
        </w:tc>
      </w:tr>
      <w:tr>
        <w:trPr>
          <w:trHeight w:val="230"/>
        </w:trPr>
        <w:tc>
          <w:tcPr>
            <w:tcW w:w="23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Construction</w:t>
            </w:r>
          </w:p>
        </w:tc>
        <w:tc>
          <w:tcPr>
            <w:tcW w:w="240" w:type="dxa"/>
            <w:vAlign w:val="bottom"/>
          </w:tcPr>
          <w:p>
            <w:pPr>
              <w:spacing w:after="0"/>
              <w:rPr>
                <w:sz w:val="19"/>
                <w:szCs w:val="19"/>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7,784</w:t>
            </w: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838</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7,396</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16,023</w:t>
            </w:r>
          </w:p>
        </w:tc>
        <w:tc>
          <w:tcPr>
            <w:tcW w:w="0" w:type="dxa"/>
            <w:vAlign w:val="bottom"/>
          </w:tcPr>
          <w:p>
            <w:pPr>
              <w:spacing w:after="0"/>
              <w:rPr>
                <w:sz w:val="1"/>
                <w:szCs w:val="1"/>
                <w:color w:val="auto"/>
              </w:rPr>
            </w:pPr>
          </w:p>
        </w:tc>
      </w:tr>
      <w:tr>
        <w:trPr>
          <w:trHeight w:val="229"/>
        </w:trPr>
        <w:tc>
          <w:tcPr>
            <w:tcW w:w="2380" w:type="dxa"/>
            <w:vAlign w:val="bottom"/>
            <w:tcBorders>
              <w:bottom w:val="single" w:sz="8" w:color="auto"/>
            </w:tcBorders>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auto"/>
            </w:tcBorders>
            <w:shd w:val="clear" w:color="auto" w:fill="DBDBDB"/>
          </w:tcPr>
          <w:p>
            <w:pPr>
              <w:spacing w:after="0"/>
              <w:rPr>
                <w:sz w:val="19"/>
                <w:szCs w:val="19"/>
                <w:color w:val="auto"/>
              </w:rPr>
            </w:pPr>
          </w:p>
        </w:tc>
        <w:tc>
          <w:tcPr>
            <w:tcW w:w="960" w:type="dxa"/>
            <w:vAlign w:val="bottom"/>
            <w:tcBorders>
              <w:bottom w:val="single" w:sz="8" w:color="auto"/>
            </w:tcBorders>
            <w:shd w:val="clear" w:color="auto" w:fill="DBDBDB"/>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shd w:val="clear" w:color="auto" w:fill="DBDBDB"/>
          </w:tcPr>
          <w:p>
            <w:pPr>
              <w:spacing w:after="0"/>
              <w:rPr>
                <w:sz w:val="19"/>
                <w:szCs w:val="19"/>
                <w:color w:val="auto"/>
              </w:rPr>
            </w:pPr>
          </w:p>
        </w:tc>
        <w:tc>
          <w:tcPr>
            <w:tcW w:w="90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Borders>
              <w:bottom w:val="single" w:sz="8" w:color="auto"/>
            </w:tcBorders>
            <w:shd w:val="clear" w:color="auto" w:fill="DBDBDB"/>
          </w:tcPr>
          <w:p>
            <w:pPr>
              <w:spacing w:after="0"/>
              <w:rPr>
                <w:sz w:val="19"/>
                <w:szCs w:val="19"/>
                <w:color w:val="auto"/>
              </w:rPr>
            </w:pPr>
          </w:p>
        </w:tc>
        <w:tc>
          <w:tcPr>
            <w:tcW w:w="240" w:type="dxa"/>
            <w:vAlign w:val="bottom"/>
            <w:tcBorders>
              <w:bottom w:val="single" w:sz="8" w:color="auto"/>
            </w:tcBorders>
            <w:shd w:val="clear" w:color="auto" w:fill="DBDBDB"/>
          </w:tcPr>
          <w:p>
            <w:pPr>
              <w:spacing w:after="0"/>
              <w:rPr>
                <w:sz w:val="19"/>
                <w:szCs w:val="19"/>
                <w:color w:val="auto"/>
              </w:rPr>
            </w:pPr>
          </w:p>
        </w:tc>
        <w:tc>
          <w:tcPr>
            <w:tcW w:w="980" w:type="dxa"/>
            <w:vAlign w:val="bottom"/>
            <w:tcBorders>
              <w:bottom w:val="single" w:sz="8" w:color="auto"/>
            </w:tcBorders>
            <w:shd w:val="clear" w:color="auto" w:fill="DBDBDB"/>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shd w:val="clear" w:color="auto" w:fill="DBDBDB"/>
          </w:tcPr>
          <w:p>
            <w:pPr>
              <w:spacing w:after="0"/>
              <w:rPr>
                <w:sz w:val="19"/>
                <w:szCs w:val="19"/>
                <w:color w:val="auto"/>
              </w:rPr>
            </w:pPr>
          </w:p>
        </w:tc>
        <w:tc>
          <w:tcPr>
            <w:tcW w:w="1080" w:type="dxa"/>
            <w:vAlign w:val="bottom"/>
            <w:tcBorders>
              <w:bottom w:val="single" w:sz="8" w:color="auto"/>
            </w:tcBorders>
            <w:gridSpan w:val="2"/>
            <w:shd w:val="clear" w:color="auto" w:fill="DBDBDB"/>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shd w:val="clear" w:color="auto" w:fill="DBDBDB"/>
          </w:tcPr>
          <w:p>
            <w:pPr>
              <w:spacing w:after="0"/>
              <w:rPr>
                <w:sz w:val="19"/>
                <w:szCs w:val="19"/>
                <w:color w:val="auto"/>
              </w:rPr>
            </w:pPr>
          </w:p>
        </w:tc>
        <w:tc>
          <w:tcPr>
            <w:tcW w:w="960" w:type="dxa"/>
            <w:vAlign w:val="bottom"/>
            <w:tcBorders>
              <w:bottom w:val="single" w:sz="8" w:color="auto"/>
            </w:tcBorders>
            <w:shd w:val="clear" w:color="auto" w:fill="DBDBDB"/>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shd w:val="clear" w:color="auto" w:fill="DBDBDB"/>
          </w:tcPr>
          <w:p>
            <w:pPr>
              <w:spacing w:after="0"/>
              <w:rPr>
                <w:sz w:val="19"/>
                <w:szCs w:val="19"/>
                <w:color w:val="auto"/>
              </w:rPr>
            </w:pPr>
          </w:p>
        </w:tc>
        <w:tc>
          <w:tcPr>
            <w:tcW w:w="100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shd w:val="clear" w:color="auto" w:fill="DBDBDB"/>
          </w:tcPr>
          <w:p>
            <w:pPr>
              <w:spacing w:after="0"/>
              <w:rPr>
                <w:sz w:val="19"/>
                <w:szCs w:val="19"/>
                <w:color w:val="auto"/>
              </w:rPr>
            </w:pPr>
          </w:p>
        </w:tc>
        <w:tc>
          <w:tcPr>
            <w:tcW w:w="94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23"/>
        </w:trPr>
        <w:tc>
          <w:tcPr>
            <w:tcW w:w="2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loans</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95,639</w:t>
            </w:r>
          </w:p>
        </w:tc>
        <w:tc>
          <w:tcPr>
            <w:tcW w:w="3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67,552</w:t>
            </w: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513,038</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38,915</w:t>
            </w:r>
          </w:p>
        </w:tc>
        <w:tc>
          <w:tcPr>
            <w:tcW w:w="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272,922</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26,252</w:t>
            </w:r>
          </w:p>
        </w:tc>
        <w:tc>
          <w:tcPr>
            <w:tcW w:w="3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1,014,318</w:t>
            </w:r>
          </w:p>
        </w:tc>
        <w:tc>
          <w:tcPr>
            <w:tcW w:w="0" w:type="dxa"/>
            <w:vAlign w:val="bottom"/>
          </w:tcPr>
          <w:p>
            <w:pPr>
              <w:spacing w:after="0"/>
              <w:rPr>
                <w:sz w:val="1"/>
                <w:szCs w:val="1"/>
                <w:color w:val="auto"/>
              </w:rPr>
            </w:pPr>
          </w:p>
        </w:tc>
      </w:tr>
    </w:tbl>
    <w:p>
      <w:pPr>
        <w:spacing w:after="0" w:line="184" w:lineRule="exact"/>
        <w:rPr>
          <w:sz w:val="20"/>
          <w:szCs w:val="20"/>
          <w:color w:val="auto"/>
        </w:rPr>
      </w:pPr>
    </w:p>
    <w:p>
      <w:pPr>
        <w:ind w:left="640" w:hanging="632"/>
        <w:spacing w:after="0"/>
        <w:tabs>
          <w:tab w:leader="none" w:pos="64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did not have any loans with maturities greater than 15 years.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no concentrations of loans exceeding 10% of total loans, which are not otherwise disclosed in the loan portfolio composition table and as are discussed in Item 8, Note 4, of this report. The Company's primary market niche for banking services is privately held businesses, franchise restaurants, and faith-based ministries.</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Loans to commercial entities are generally secured by the business assets of the borrower, including accounts receivable, inventory, machinery and equipment, and the real estate from which the borrower operates. Operating lines of credit to these companies generally are secured by accounts receivable and inventory, with specific percentages of each determined on a customer-by-customer basis based on various factors including the type of business. Intermediate term credit for machinery and equipment is generally provided at some percentage of the value of the equipment purchased, depending on the type of machinery or equipment purchased by the entity. Loans secured exclusively by real estate to businesses and faith-based ministries are generally made with a maximum 80% loan to value ratio, depending upon the Company's estimate of the resale value and ability of the property to generate cash. The Company's loan policy requires an independent appraisal for all loans over $500,000 secured by real estate. Company management monitors the local economy in an attempt to determine whether it has had a significant deteriorating effect on such real estate loans. When problems are identified, appraised values are updated on a continual basis, either internally or through an updated external appraisal.</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Loans decreased $68.6 million, or 6.3%, to $1.01 billion at December 31, 2023. Lease finance receivables and franchise restaurant loans, which are both included in commercial and industrial loans, decreased $39.4 million, or 24.5%, and $8.6 million, or 3.9%, respectively, during 2023. Commercial and industrial loans decreased $14.5 million, or 8.0%, during 2023. These decreases were due to being more selective in booking new loans as a result of the decline in deposits during the year. Additional details regarding the types and maturities of loans in the loan portfolio are contained in the tables above and in Item 8, Note 4.</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Provision and Allowance for Credit Losses on Loans and Allowance for Unfunded Commitments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recorded a release of credit losses and off-balance sheet credit exposures of $550,000 in 2023 and a provision for credit losses of $1.4 million in 2022. The amount of the (release of) provision for credit losses was derived from the Company’s CECL model. The amount of the provision will fluctuate as determined by these analyses. The Company had net loan recoveries of $0 and $13,000 in 2023 and 2022, respectively. The ACL was $13.1 million at December 31, 2023 compared to $13.5 million at December 31, 2022. The ACL represented 1.29% and 1.25% of outstanding loans at December 31, 2023 and December 31, 2022, respectively. The allowance for unfunded commitments was $132,000 at December 31, 2023 and $232,000 at December 31, 2022. There were no nonperforming loans outstanding at December 31, 2023 and one nonperforming loan outstanding with an outstanding balance of $1.2 million, or 0.11% of total loans at December 31, 2022. The single nonperforming loan at December 31, 2022 paid off in full during January 2023.</w:t>
      </w:r>
    </w:p>
    <w:p>
      <w:pPr>
        <w:spacing w:after="0" w:line="200" w:lineRule="exact"/>
        <w:rPr>
          <w:sz w:val="20"/>
          <w:szCs w:val="20"/>
          <w:color w:val="auto"/>
        </w:rPr>
      </w:pPr>
    </w:p>
    <w:p>
      <w:pPr>
        <w:spacing w:after="0" w:line="20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ACL has been established and is maintained to estimate the lifetime credit losses expected in the loan portfolio. An ongoing assessment is performed to determine if the balance is adequate. Charges or credits are made to expense based on changes in the economic forecast, qualitative risk factors, loan volume, and individual loans. For loans that are individually</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evaluated, the Company uses two impairment measurement methods: 1) the present value of expected future cash flows and 2) collateral values.</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Federal and state regulatory agencies review the Company’s methodology for maintaining the ACL. These agencies may require the Company to adjust the ACL based on their judgments and interpretations about information available to them at the time of their examinations.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schedule summarizes activity in the ACL and the allocation of the allowance to the Company’s loan categories.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Summary of Credit Loss Experience</w:t>
            </w: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499"/>
        </w:trPr>
        <w:tc>
          <w:tcPr>
            <w:tcW w:w="37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3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r>
      <w:tr>
        <w:trPr>
          <w:trHeight w:val="237"/>
        </w:trPr>
        <w:tc>
          <w:tcPr>
            <w:tcW w:w="3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3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3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2019</w:t>
            </w:r>
          </w:p>
        </w:tc>
      </w:tr>
      <w:tr>
        <w:trPr>
          <w:trHeight w:val="223"/>
        </w:trPr>
        <w:tc>
          <w:tcPr>
            <w:tcW w:w="374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Allowance at beginning of year</w:t>
            </w:r>
          </w:p>
        </w:tc>
        <w:tc>
          <w:tcPr>
            <w:tcW w:w="300" w:type="dxa"/>
            <w:vAlign w:val="bottom"/>
            <w:shd w:val="clear" w:color="auto" w:fill="DBDBDB"/>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DBDBDB"/>
          </w:tcPr>
          <w:p>
            <w:pPr>
              <w:jc w:val="right"/>
              <w:ind w:right="170"/>
              <w:spacing w:after="0"/>
              <w:rPr>
                <w:sz w:val="20"/>
                <w:szCs w:val="20"/>
                <w:color w:val="auto"/>
              </w:rPr>
            </w:pPr>
            <w:r>
              <w:rPr>
                <w:rFonts w:ascii="Times New Roman" w:cs="Times New Roman" w:eastAsia="Times New Roman" w:hAnsi="Times New Roman"/>
                <w:sz w:val="18"/>
                <w:szCs w:val="18"/>
                <w:color w:val="auto"/>
              </w:rPr>
              <w:t>13,539</w:t>
            </w:r>
          </w:p>
        </w:tc>
        <w:tc>
          <w:tcPr>
            <w:tcW w:w="360" w:type="dxa"/>
            <w:vAlign w:val="bottom"/>
            <w:shd w:val="clear" w:color="auto" w:fill="DBDBDB"/>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DBDBDB"/>
          </w:tcPr>
          <w:p>
            <w:pPr>
              <w:jc w:val="right"/>
              <w:ind w:right="190"/>
              <w:spacing w:after="0"/>
              <w:rPr>
                <w:sz w:val="20"/>
                <w:szCs w:val="20"/>
                <w:color w:val="auto"/>
              </w:rPr>
            </w:pPr>
            <w:r>
              <w:rPr>
                <w:rFonts w:ascii="Times New Roman" w:cs="Times New Roman" w:eastAsia="Times New Roman" w:hAnsi="Times New Roman"/>
                <w:sz w:val="18"/>
                <w:szCs w:val="18"/>
                <w:color w:val="auto"/>
              </w:rPr>
              <w:t>12,041</w:t>
            </w:r>
          </w:p>
        </w:tc>
        <w:tc>
          <w:tcPr>
            <w:tcW w:w="1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DBDBDB"/>
          </w:tcPr>
          <w:p>
            <w:pPr>
              <w:jc w:val="right"/>
              <w:ind w:right="170"/>
              <w:spacing w:after="0"/>
              <w:rPr>
                <w:sz w:val="20"/>
                <w:szCs w:val="20"/>
                <w:color w:val="auto"/>
              </w:rPr>
            </w:pPr>
            <w:r>
              <w:rPr>
                <w:rFonts w:ascii="Times New Roman" w:cs="Times New Roman" w:eastAsia="Times New Roman" w:hAnsi="Times New Roman"/>
                <w:sz w:val="18"/>
                <w:szCs w:val="18"/>
                <w:color w:val="auto"/>
              </w:rPr>
              <w:t>11,944</w:t>
            </w:r>
          </w:p>
        </w:tc>
        <w:tc>
          <w:tcPr>
            <w:tcW w:w="360" w:type="dxa"/>
            <w:vAlign w:val="bottom"/>
            <w:shd w:val="clear" w:color="auto" w:fill="DBDBDB"/>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DBDBDB"/>
          </w:tcPr>
          <w:p>
            <w:pPr>
              <w:jc w:val="right"/>
              <w:ind w:right="190"/>
              <w:spacing w:after="0"/>
              <w:rPr>
                <w:sz w:val="20"/>
                <w:szCs w:val="20"/>
                <w:color w:val="auto"/>
              </w:rPr>
            </w:pPr>
            <w:r>
              <w:rPr>
                <w:rFonts w:ascii="Times New Roman" w:cs="Times New Roman" w:eastAsia="Times New Roman" w:hAnsi="Times New Roman"/>
                <w:sz w:val="18"/>
                <w:szCs w:val="18"/>
                <w:color w:val="auto"/>
              </w:rPr>
              <w:t>11,279</w:t>
            </w:r>
          </w:p>
        </w:tc>
        <w:tc>
          <w:tcPr>
            <w:tcW w:w="360" w:type="dxa"/>
            <w:vAlign w:val="bottom"/>
            <w:shd w:val="clear" w:color="auto" w:fill="DBDBDB"/>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DBDBDB"/>
          </w:tcPr>
          <w:p>
            <w:pPr>
              <w:jc w:val="right"/>
              <w:ind w:right="130"/>
              <w:spacing w:after="0"/>
              <w:rPr>
                <w:sz w:val="20"/>
                <w:szCs w:val="20"/>
                <w:color w:val="auto"/>
              </w:rPr>
            </w:pPr>
            <w:r>
              <w:rPr>
                <w:rFonts w:ascii="Times New Roman" w:cs="Times New Roman" w:eastAsia="Times New Roman" w:hAnsi="Times New Roman"/>
                <w:sz w:val="18"/>
                <w:szCs w:val="18"/>
                <w:color w:val="auto"/>
              </w:rPr>
              <w:t>10,225</w:t>
            </w:r>
          </w:p>
        </w:tc>
      </w:tr>
      <w:tr>
        <w:trPr>
          <w:trHeight w:val="229"/>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Loans charged-off:</w:t>
            </w: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3740" w:type="dxa"/>
            <w:vAlign w:val="bottom"/>
            <w:shd w:val="clear" w:color="auto" w:fill="DBDBDB"/>
          </w:tcPr>
          <w:p>
            <w:pPr>
              <w:ind w:left="36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300" w:type="dxa"/>
            <w:vAlign w:val="bottom"/>
            <w:shd w:val="clear" w:color="auto" w:fill="DBDBDB"/>
          </w:tcPr>
          <w:p>
            <w:pPr>
              <w:spacing w:after="0"/>
              <w:rPr>
                <w:sz w:val="19"/>
                <w:szCs w:val="19"/>
                <w:color w:val="auto"/>
              </w:rPr>
            </w:pPr>
          </w:p>
        </w:tc>
        <w:tc>
          <w:tcPr>
            <w:tcW w:w="1180" w:type="dxa"/>
            <w:vAlign w:val="bottom"/>
            <w:shd w:val="clear" w:color="auto" w:fill="DBDBDB"/>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DBDBDB"/>
          </w:tcPr>
          <w:p>
            <w:pPr>
              <w:spacing w:after="0"/>
              <w:rPr>
                <w:sz w:val="19"/>
                <w:szCs w:val="19"/>
                <w:color w:val="auto"/>
              </w:rPr>
            </w:pPr>
          </w:p>
        </w:tc>
        <w:tc>
          <w:tcPr>
            <w:tcW w:w="1180" w:type="dxa"/>
            <w:vAlign w:val="bottom"/>
            <w:shd w:val="clear" w:color="auto" w:fill="DBDBDB"/>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DBDBDB"/>
          </w:tcPr>
          <w:p>
            <w:pPr>
              <w:spacing w:after="0"/>
              <w:rPr>
                <w:sz w:val="19"/>
                <w:szCs w:val="19"/>
                <w:color w:val="auto"/>
              </w:rPr>
            </w:pPr>
          </w:p>
        </w:tc>
        <w:tc>
          <w:tcPr>
            <w:tcW w:w="1320" w:type="dxa"/>
            <w:vAlign w:val="bottom"/>
            <w:shd w:val="clear" w:color="auto" w:fill="DBDBDB"/>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DBDBDB"/>
          </w:tcPr>
          <w:p>
            <w:pPr>
              <w:spacing w:after="0"/>
              <w:rPr>
                <w:sz w:val="19"/>
                <w:szCs w:val="19"/>
                <w:color w:val="auto"/>
              </w:rPr>
            </w:pPr>
          </w:p>
        </w:tc>
        <w:tc>
          <w:tcPr>
            <w:tcW w:w="1160" w:type="dxa"/>
            <w:vAlign w:val="bottom"/>
            <w:shd w:val="clear" w:color="auto" w:fill="DBDBDB"/>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DBDBDB"/>
          </w:tcPr>
          <w:p>
            <w:pPr>
              <w:spacing w:after="0"/>
              <w:rPr>
                <w:sz w:val="19"/>
                <w:szCs w:val="19"/>
                <w:color w:val="auto"/>
              </w:rPr>
            </w:pPr>
          </w:p>
        </w:tc>
        <w:tc>
          <w:tcPr>
            <w:tcW w:w="1100" w:type="dxa"/>
            <w:vAlign w:val="bottom"/>
            <w:shd w:val="clear" w:color="auto" w:fill="DBDBDB"/>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Real estate (commercial and faith-based):</w:t>
            </w: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3740" w:type="dxa"/>
            <w:vAlign w:val="bottom"/>
            <w:shd w:val="clear" w:color="auto" w:fill="DBDBDB"/>
          </w:tcPr>
          <w:p>
            <w:pPr>
              <w:ind w:left="920"/>
              <w:spacing w:after="0"/>
              <w:rPr>
                <w:sz w:val="20"/>
                <w:szCs w:val="20"/>
                <w:color w:val="auto"/>
              </w:rPr>
            </w:pPr>
            <w:r>
              <w:rPr>
                <w:rFonts w:ascii="Times New Roman" w:cs="Times New Roman" w:eastAsia="Times New Roman" w:hAnsi="Times New Roman"/>
                <w:sz w:val="18"/>
                <w:szCs w:val="18"/>
                <w:color w:val="auto"/>
              </w:rPr>
              <w:t>Mortgage</w:t>
            </w:r>
          </w:p>
        </w:tc>
        <w:tc>
          <w:tcPr>
            <w:tcW w:w="300" w:type="dxa"/>
            <w:vAlign w:val="bottom"/>
            <w:shd w:val="clear" w:color="auto" w:fill="DBDBDB"/>
          </w:tcPr>
          <w:p>
            <w:pPr>
              <w:spacing w:after="0"/>
              <w:rPr>
                <w:sz w:val="19"/>
                <w:szCs w:val="19"/>
                <w:color w:val="auto"/>
              </w:rPr>
            </w:pPr>
          </w:p>
        </w:tc>
        <w:tc>
          <w:tcPr>
            <w:tcW w:w="1180" w:type="dxa"/>
            <w:vAlign w:val="bottom"/>
            <w:shd w:val="clear" w:color="auto" w:fill="DBDBDB"/>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DBDBDB"/>
          </w:tcPr>
          <w:p>
            <w:pPr>
              <w:spacing w:after="0"/>
              <w:rPr>
                <w:sz w:val="19"/>
                <w:szCs w:val="19"/>
                <w:color w:val="auto"/>
              </w:rPr>
            </w:pPr>
          </w:p>
        </w:tc>
        <w:tc>
          <w:tcPr>
            <w:tcW w:w="1180" w:type="dxa"/>
            <w:vAlign w:val="bottom"/>
            <w:shd w:val="clear" w:color="auto" w:fill="DBDBDB"/>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DBDBDB"/>
          </w:tcPr>
          <w:p>
            <w:pPr>
              <w:spacing w:after="0"/>
              <w:rPr>
                <w:sz w:val="19"/>
                <w:szCs w:val="19"/>
                <w:color w:val="auto"/>
              </w:rPr>
            </w:pPr>
          </w:p>
        </w:tc>
        <w:tc>
          <w:tcPr>
            <w:tcW w:w="1320" w:type="dxa"/>
            <w:vAlign w:val="bottom"/>
            <w:shd w:val="clear" w:color="auto" w:fill="DBDBDB"/>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DBDBDB"/>
          </w:tcPr>
          <w:p>
            <w:pPr>
              <w:spacing w:after="0"/>
              <w:rPr>
                <w:sz w:val="19"/>
                <w:szCs w:val="19"/>
                <w:color w:val="auto"/>
              </w:rPr>
            </w:pPr>
          </w:p>
        </w:tc>
        <w:tc>
          <w:tcPr>
            <w:tcW w:w="1160" w:type="dxa"/>
            <w:vAlign w:val="bottom"/>
            <w:shd w:val="clear" w:color="auto" w:fill="DBDBDB"/>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DBDBDB"/>
          </w:tcPr>
          <w:p>
            <w:pPr>
              <w:spacing w:after="0"/>
              <w:rPr>
                <w:sz w:val="19"/>
                <w:szCs w:val="19"/>
                <w:color w:val="auto"/>
              </w:rPr>
            </w:pPr>
          </w:p>
        </w:tc>
        <w:tc>
          <w:tcPr>
            <w:tcW w:w="1100" w:type="dxa"/>
            <w:vAlign w:val="bottom"/>
            <w:shd w:val="clear" w:color="auto" w:fill="DBDBDB"/>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374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Construction</w:t>
            </w:r>
          </w:p>
        </w:tc>
        <w:tc>
          <w:tcPr>
            <w:tcW w:w="300" w:type="dxa"/>
            <w:vAlign w:val="bottom"/>
          </w:tcPr>
          <w:p>
            <w:pPr>
              <w:spacing w:after="0"/>
              <w:rPr>
                <w:sz w:val="19"/>
                <w:szCs w:val="19"/>
                <w:color w:val="auto"/>
              </w:rPr>
            </w:pPr>
          </w:p>
        </w:tc>
        <w:tc>
          <w:tcPr>
            <w:tcW w:w="11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3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740" w:type="dxa"/>
            <w:vAlign w:val="bottom"/>
            <w:tcBorders>
              <w:bottom w:val="single" w:sz="8" w:color="auto"/>
            </w:tcBorders>
            <w:shd w:val="clear" w:color="auto" w:fill="DBDBDB"/>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Borders>
              <w:bottom w:val="single" w:sz="8" w:color="auto"/>
            </w:tcBorders>
            <w:shd w:val="clear" w:color="auto" w:fill="DBDBDB"/>
          </w:tcPr>
          <w:p>
            <w:pPr>
              <w:spacing w:after="0"/>
              <w:rPr>
                <w:sz w:val="19"/>
                <w:szCs w:val="19"/>
                <w:color w:val="auto"/>
              </w:rPr>
            </w:pPr>
          </w:p>
        </w:tc>
        <w:tc>
          <w:tcPr>
            <w:tcW w:w="1180" w:type="dxa"/>
            <w:vAlign w:val="bottom"/>
            <w:tcBorders>
              <w:bottom w:val="single" w:sz="8" w:color="auto"/>
            </w:tcBorders>
            <w:shd w:val="clear" w:color="auto" w:fill="DBDBDB"/>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shd w:val="clear" w:color="auto" w:fill="DBDBDB"/>
          </w:tcPr>
          <w:p>
            <w:pPr>
              <w:spacing w:after="0"/>
              <w:rPr>
                <w:sz w:val="19"/>
                <w:szCs w:val="19"/>
                <w:color w:val="auto"/>
              </w:rPr>
            </w:pPr>
          </w:p>
        </w:tc>
        <w:tc>
          <w:tcPr>
            <w:tcW w:w="1180" w:type="dxa"/>
            <w:vAlign w:val="bottom"/>
            <w:tcBorders>
              <w:bottom w:val="single" w:sz="8" w:color="auto"/>
            </w:tcBorders>
            <w:shd w:val="clear" w:color="auto" w:fill="DBDBDB"/>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shd w:val="clear" w:color="auto" w:fill="DBDBDB"/>
          </w:tcPr>
          <w:p>
            <w:pPr>
              <w:spacing w:after="0"/>
              <w:rPr>
                <w:sz w:val="19"/>
                <w:szCs w:val="19"/>
                <w:color w:val="auto"/>
              </w:rPr>
            </w:pPr>
          </w:p>
        </w:tc>
        <w:tc>
          <w:tcPr>
            <w:tcW w:w="1320" w:type="dxa"/>
            <w:vAlign w:val="bottom"/>
            <w:tcBorders>
              <w:bottom w:val="single" w:sz="8" w:color="auto"/>
            </w:tcBorders>
            <w:shd w:val="clear" w:color="auto" w:fill="DBDBDB"/>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shd w:val="clear" w:color="auto" w:fill="DBDBDB"/>
          </w:tcPr>
          <w:p>
            <w:pPr>
              <w:spacing w:after="0"/>
              <w:rPr>
                <w:sz w:val="19"/>
                <w:szCs w:val="19"/>
                <w:color w:val="auto"/>
              </w:rPr>
            </w:pPr>
          </w:p>
        </w:tc>
        <w:tc>
          <w:tcPr>
            <w:tcW w:w="1160" w:type="dxa"/>
            <w:vAlign w:val="bottom"/>
            <w:tcBorders>
              <w:bottom w:val="single" w:sz="8" w:color="auto"/>
            </w:tcBorders>
            <w:shd w:val="clear" w:color="auto" w:fill="DBDBDB"/>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shd w:val="clear" w:color="auto" w:fill="DBDBDB"/>
          </w:tcPr>
          <w:p>
            <w:pPr>
              <w:spacing w:after="0"/>
              <w:rPr>
                <w:sz w:val="19"/>
                <w:szCs w:val="19"/>
                <w:color w:val="auto"/>
              </w:rPr>
            </w:pPr>
          </w:p>
        </w:tc>
        <w:tc>
          <w:tcPr>
            <w:tcW w:w="1100" w:type="dxa"/>
            <w:vAlign w:val="bottom"/>
            <w:tcBorders>
              <w:bottom w:val="single" w:sz="8" w:color="auto"/>
            </w:tcBorders>
            <w:shd w:val="clear" w:color="auto" w:fill="DBDBDB"/>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3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loans charged-off</w:t>
            </w: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374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Recoveries of loans previously charged-off:</w:t>
            </w:r>
          </w:p>
        </w:tc>
        <w:tc>
          <w:tcPr>
            <w:tcW w:w="300" w:type="dxa"/>
            <w:vAlign w:val="bottom"/>
            <w:shd w:val="clear" w:color="auto" w:fill="DBDBDB"/>
          </w:tcPr>
          <w:p>
            <w:pPr>
              <w:spacing w:after="0"/>
              <w:rPr>
                <w:sz w:val="19"/>
                <w:szCs w:val="19"/>
                <w:color w:val="auto"/>
              </w:rPr>
            </w:pPr>
          </w:p>
        </w:tc>
        <w:tc>
          <w:tcPr>
            <w:tcW w:w="118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118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32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116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1100" w:type="dxa"/>
            <w:vAlign w:val="bottom"/>
            <w:shd w:val="clear" w:color="auto" w:fill="DBDBDB"/>
          </w:tcPr>
          <w:p>
            <w:pPr>
              <w:spacing w:after="0"/>
              <w:rPr>
                <w:sz w:val="19"/>
                <w:szCs w:val="19"/>
                <w:color w:val="auto"/>
              </w:rPr>
            </w:pPr>
          </w:p>
        </w:tc>
      </w:tr>
      <w:tr>
        <w:trPr>
          <w:trHeight w:val="229"/>
        </w:trPr>
        <w:tc>
          <w:tcPr>
            <w:tcW w:w="3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300" w:type="dxa"/>
            <w:vAlign w:val="bottom"/>
          </w:tcPr>
          <w:p>
            <w:pPr>
              <w:spacing w:after="0"/>
              <w:rPr>
                <w:sz w:val="19"/>
                <w:szCs w:val="19"/>
                <w:color w:val="auto"/>
              </w:rPr>
            </w:pPr>
          </w:p>
        </w:tc>
        <w:tc>
          <w:tcPr>
            <w:tcW w:w="11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13</w:t>
            </w:r>
          </w:p>
        </w:tc>
        <w:tc>
          <w:tcPr>
            <w:tcW w:w="180" w:type="dxa"/>
            <w:vAlign w:val="bottom"/>
          </w:tcPr>
          <w:p>
            <w:pPr>
              <w:spacing w:after="0"/>
              <w:rPr>
                <w:sz w:val="19"/>
                <w:szCs w:val="19"/>
                <w:color w:val="auto"/>
              </w:rPr>
            </w:pPr>
          </w:p>
        </w:tc>
        <w:tc>
          <w:tcPr>
            <w:tcW w:w="13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12</w:t>
            </w:r>
          </w:p>
        </w:tc>
        <w:tc>
          <w:tcPr>
            <w:tcW w:w="360" w:type="dxa"/>
            <w:vAlign w:val="bottom"/>
          </w:tcPr>
          <w:p>
            <w:pPr>
              <w:spacing w:after="0"/>
              <w:rPr>
                <w:sz w:val="19"/>
                <w:szCs w:val="19"/>
                <w:color w:val="auto"/>
              </w:rPr>
            </w:pPr>
          </w:p>
        </w:tc>
        <w:tc>
          <w:tcPr>
            <w:tcW w:w="11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19</w:t>
            </w:r>
          </w:p>
        </w:tc>
        <w:tc>
          <w:tcPr>
            <w:tcW w:w="360" w:type="dxa"/>
            <w:vAlign w:val="bottom"/>
          </w:tcPr>
          <w:p>
            <w:pPr>
              <w:spacing w:after="0"/>
              <w:rPr>
                <w:sz w:val="19"/>
                <w:szCs w:val="19"/>
                <w:color w:val="auto"/>
              </w:rPr>
            </w:pPr>
          </w:p>
        </w:tc>
        <w:tc>
          <w:tcPr>
            <w:tcW w:w="11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81</w:t>
            </w:r>
          </w:p>
        </w:tc>
      </w:tr>
      <w:tr>
        <w:trPr>
          <w:trHeight w:val="230"/>
        </w:trPr>
        <w:tc>
          <w:tcPr>
            <w:tcW w:w="3740" w:type="dxa"/>
            <w:vAlign w:val="bottom"/>
            <w:shd w:val="clear" w:color="auto" w:fill="DBDBDB"/>
          </w:tcPr>
          <w:p>
            <w:pPr>
              <w:ind w:left="360"/>
              <w:spacing w:after="0"/>
              <w:rPr>
                <w:sz w:val="20"/>
                <w:szCs w:val="20"/>
                <w:color w:val="auto"/>
              </w:rPr>
            </w:pPr>
            <w:r>
              <w:rPr>
                <w:rFonts w:ascii="Times New Roman" w:cs="Times New Roman" w:eastAsia="Times New Roman" w:hAnsi="Times New Roman"/>
                <w:sz w:val="18"/>
                <w:szCs w:val="18"/>
                <w:color w:val="auto"/>
              </w:rPr>
              <w:t>Real estate (commercial and faith-based):</w:t>
            </w:r>
          </w:p>
        </w:tc>
        <w:tc>
          <w:tcPr>
            <w:tcW w:w="300" w:type="dxa"/>
            <w:vAlign w:val="bottom"/>
            <w:shd w:val="clear" w:color="auto" w:fill="DBDBDB"/>
          </w:tcPr>
          <w:p>
            <w:pPr>
              <w:spacing w:after="0"/>
              <w:rPr>
                <w:sz w:val="19"/>
                <w:szCs w:val="19"/>
                <w:color w:val="auto"/>
              </w:rPr>
            </w:pPr>
          </w:p>
        </w:tc>
        <w:tc>
          <w:tcPr>
            <w:tcW w:w="118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118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32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116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1100" w:type="dxa"/>
            <w:vAlign w:val="bottom"/>
            <w:shd w:val="clear" w:color="auto" w:fill="DBDBDB"/>
          </w:tcPr>
          <w:p>
            <w:pPr>
              <w:spacing w:after="0"/>
              <w:rPr>
                <w:sz w:val="19"/>
                <w:szCs w:val="19"/>
                <w:color w:val="auto"/>
              </w:rPr>
            </w:pPr>
          </w:p>
        </w:tc>
      </w:tr>
      <w:tr>
        <w:trPr>
          <w:trHeight w:val="229"/>
        </w:trPr>
        <w:tc>
          <w:tcPr>
            <w:tcW w:w="374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Mortgage</w:t>
            </w:r>
          </w:p>
        </w:tc>
        <w:tc>
          <w:tcPr>
            <w:tcW w:w="300" w:type="dxa"/>
            <w:vAlign w:val="bottom"/>
          </w:tcPr>
          <w:p>
            <w:pPr>
              <w:spacing w:after="0"/>
              <w:rPr>
                <w:sz w:val="19"/>
                <w:szCs w:val="19"/>
                <w:color w:val="auto"/>
              </w:rPr>
            </w:pPr>
          </w:p>
        </w:tc>
        <w:tc>
          <w:tcPr>
            <w:tcW w:w="11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3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15</w:t>
            </w:r>
          </w:p>
        </w:tc>
        <w:tc>
          <w:tcPr>
            <w:tcW w:w="360" w:type="dxa"/>
            <w:vAlign w:val="bottom"/>
          </w:tcPr>
          <w:p>
            <w:pPr>
              <w:spacing w:after="0"/>
              <w:rPr>
                <w:sz w:val="19"/>
                <w:szCs w:val="19"/>
                <w:color w:val="auto"/>
              </w:rPr>
            </w:pPr>
          </w:p>
        </w:tc>
        <w:tc>
          <w:tcPr>
            <w:tcW w:w="11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w:t>
            </w:r>
          </w:p>
        </w:tc>
        <w:tc>
          <w:tcPr>
            <w:tcW w:w="360" w:type="dxa"/>
            <w:vAlign w:val="bottom"/>
          </w:tcPr>
          <w:p>
            <w:pPr>
              <w:spacing w:after="0"/>
              <w:rPr>
                <w:sz w:val="19"/>
                <w:szCs w:val="19"/>
                <w:color w:val="auto"/>
              </w:rPr>
            </w:pPr>
          </w:p>
        </w:tc>
        <w:tc>
          <w:tcPr>
            <w:tcW w:w="11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740" w:type="dxa"/>
            <w:vAlign w:val="bottom"/>
            <w:shd w:val="clear" w:color="auto" w:fill="DBDBDB"/>
          </w:tcPr>
          <w:p>
            <w:pPr>
              <w:ind w:left="920"/>
              <w:spacing w:after="0"/>
              <w:rPr>
                <w:sz w:val="20"/>
                <w:szCs w:val="20"/>
                <w:color w:val="auto"/>
              </w:rPr>
            </w:pPr>
            <w:r>
              <w:rPr>
                <w:rFonts w:ascii="Times New Roman" w:cs="Times New Roman" w:eastAsia="Times New Roman" w:hAnsi="Times New Roman"/>
                <w:sz w:val="18"/>
                <w:szCs w:val="18"/>
                <w:color w:val="auto"/>
              </w:rPr>
              <w:t>Construction</w:t>
            </w:r>
          </w:p>
        </w:tc>
        <w:tc>
          <w:tcPr>
            <w:tcW w:w="300" w:type="dxa"/>
            <w:vAlign w:val="bottom"/>
            <w:shd w:val="clear" w:color="auto" w:fill="DBDBDB"/>
          </w:tcPr>
          <w:p>
            <w:pPr>
              <w:spacing w:after="0"/>
              <w:rPr>
                <w:sz w:val="19"/>
                <w:szCs w:val="19"/>
                <w:color w:val="auto"/>
              </w:rPr>
            </w:pPr>
          </w:p>
        </w:tc>
        <w:tc>
          <w:tcPr>
            <w:tcW w:w="1180" w:type="dxa"/>
            <w:vAlign w:val="bottom"/>
            <w:shd w:val="clear" w:color="auto" w:fill="DBDBDB"/>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DBDBDB"/>
          </w:tcPr>
          <w:p>
            <w:pPr>
              <w:spacing w:after="0"/>
              <w:rPr>
                <w:sz w:val="19"/>
                <w:szCs w:val="19"/>
                <w:color w:val="auto"/>
              </w:rPr>
            </w:pPr>
          </w:p>
        </w:tc>
        <w:tc>
          <w:tcPr>
            <w:tcW w:w="1180" w:type="dxa"/>
            <w:vAlign w:val="bottom"/>
            <w:shd w:val="clear" w:color="auto" w:fill="DBDBDB"/>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DBDBDB"/>
          </w:tcPr>
          <w:p>
            <w:pPr>
              <w:spacing w:after="0"/>
              <w:rPr>
                <w:sz w:val="19"/>
                <w:szCs w:val="19"/>
                <w:color w:val="auto"/>
              </w:rPr>
            </w:pPr>
          </w:p>
        </w:tc>
        <w:tc>
          <w:tcPr>
            <w:tcW w:w="1320" w:type="dxa"/>
            <w:vAlign w:val="bottom"/>
            <w:shd w:val="clear" w:color="auto" w:fill="DBDBDB"/>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DBDBDB"/>
          </w:tcPr>
          <w:p>
            <w:pPr>
              <w:spacing w:after="0"/>
              <w:rPr>
                <w:sz w:val="19"/>
                <w:szCs w:val="19"/>
                <w:color w:val="auto"/>
              </w:rPr>
            </w:pPr>
          </w:p>
        </w:tc>
        <w:tc>
          <w:tcPr>
            <w:tcW w:w="1160" w:type="dxa"/>
            <w:vAlign w:val="bottom"/>
            <w:shd w:val="clear" w:color="auto" w:fill="DBDBDB"/>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DBDBDB"/>
          </w:tcPr>
          <w:p>
            <w:pPr>
              <w:spacing w:after="0"/>
              <w:rPr>
                <w:sz w:val="19"/>
                <w:szCs w:val="19"/>
                <w:color w:val="auto"/>
              </w:rPr>
            </w:pPr>
          </w:p>
        </w:tc>
        <w:tc>
          <w:tcPr>
            <w:tcW w:w="1100" w:type="dxa"/>
            <w:vAlign w:val="bottom"/>
            <w:shd w:val="clear" w:color="auto" w:fill="DBDBDB"/>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74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3740" w:type="dxa"/>
            <w:vAlign w:val="bottom"/>
            <w:tcBorders>
              <w:bottom w:val="single" w:sz="8" w:color="auto"/>
            </w:tcBorders>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Total recoveries of loans previously charged-off</w:t>
            </w:r>
          </w:p>
        </w:tc>
        <w:tc>
          <w:tcPr>
            <w:tcW w:w="300" w:type="dxa"/>
            <w:vAlign w:val="bottom"/>
            <w:tcBorders>
              <w:bottom w:val="single" w:sz="8" w:color="auto"/>
            </w:tcBorders>
            <w:shd w:val="clear" w:color="auto" w:fill="DBDBDB"/>
          </w:tcPr>
          <w:p>
            <w:pPr>
              <w:spacing w:after="0"/>
              <w:rPr>
                <w:sz w:val="19"/>
                <w:szCs w:val="19"/>
                <w:color w:val="auto"/>
              </w:rPr>
            </w:pPr>
          </w:p>
        </w:tc>
        <w:tc>
          <w:tcPr>
            <w:tcW w:w="1180" w:type="dxa"/>
            <w:vAlign w:val="bottom"/>
            <w:tcBorders>
              <w:bottom w:val="single" w:sz="8" w:color="auto"/>
            </w:tcBorders>
            <w:shd w:val="clear" w:color="auto" w:fill="DBDBDB"/>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shd w:val="clear" w:color="auto" w:fill="DBDBDB"/>
          </w:tcPr>
          <w:p>
            <w:pPr>
              <w:spacing w:after="0"/>
              <w:rPr>
                <w:sz w:val="19"/>
                <w:szCs w:val="19"/>
                <w:color w:val="auto"/>
              </w:rPr>
            </w:pPr>
          </w:p>
        </w:tc>
        <w:tc>
          <w:tcPr>
            <w:tcW w:w="1180" w:type="dxa"/>
            <w:vAlign w:val="bottom"/>
            <w:tcBorders>
              <w:bottom w:val="single" w:sz="8" w:color="auto"/>
            </w:tcBorders>
            <w:shd w:val="clear" w:color="auto" w:fill="DBDBDB"/>
          </w:tcPr>
          <w:p>
            <w:pPr>
              <w:jc w:val="right"/>
              <w:ind w:right="190"/>
              <w:spacing w:after="0"/>
              <w:rPr>
                <w:sz w:val="20"/>
                <w:szCs w:val="20"/>
                <w:color w:val="auto"/>
              </w:rPr>
            </w:pPr>
            <w:r>
              <w:rPr>
                <w:rFonts w:ascii="Times New Roman" w:cs="Times New Roman" w:eastAsia="Times New Roman" w:hAnsi="Times New Roman"/>
                <w:sz w:val="18"/>
                <w:szCs w:val="18"/>
                <w:color w:val="auto"/>
              </w:rPr>
              <w:t>13</w:t>
            </w:r>
          </w:p>
        </w:tc>
        <w:tc>
          <w:tcPr>
            <w:tcW w:w="180" w:type="dxa"/>
            <w:vAlign w:val="bottom"/>
            <w:tcBorders>
              <w:bottom w:val="single" w:sz="8" w:color="auto"/>
            </w:tcBorders>
            <w:shd w:val="clear" w:color="auto" w:fill="DBDBDB"/>
          </w:tcPr>
          <w:p>
            <w:pPr>
              <w:spacing w:after="0"/>
              <w:rPr>
                <w:sz w:val="19"/>
                <w:szCs w:val="19"/>
                <w:color w:val="auto"/>
              </w:rPr>
            </w:pPr>
          </w:p>
        </w:tc>
        <w:tc>
          <w:tcPr>
            <w:tcW w:w="1320" w:type="dxa"/>
            <w:vAlign w:val="bottom"/>
            <w:tcBorders>
              <w:bottom w:val="single" w:sz="8" w:color="auto"/>
            </w:tcBorders>
            <w:shd w:val="clear" w:color="auto" w:fill="DBDBDB"/>
          </w:tcPr>
          <w:p>
            <w:pPr>
              <w:jc w:val="right"/>
              <w:ind w:right="170"/>
              <w:spacing w:after="0"/>
              <w:rPr>
                <w:sz w:val="20"/>
                <w:szCs w:val="20"/>
                <w:color w:val="auto"/>
              </w:rPr>
            </w:pPr>
            <w:r>
              <w:rPr>
                <w:rFonts w:ascii="Times New Roman" w:cs="Times New Roman" w:eastAsia="Times New Roman" w:hAnsi="Times New Roman"/>
                <w:sz w:val="18"/>
                <w:szCs w:val="18"/>
                <w:color w:val="auto"/>
              </w:rPr>
              <w:t>27</w:t>
            </w:r>
          </w:p>
        </w:tc>
        <w:tc>
          <w:tcPr>
            <w:tcW w:w="360" w:type="dxa"/>
            <w:vAlign w:val="bottom"/>
            <w:tcBorders>
              <w:bottom w:val="single" w:sz="8" w:color="auto"/>
            </w:tcBorders>
            <w:shd w:val="clear" w:color="auto" w:fill="DBDBDB"/>
          </w:tcPr>
          <w:p>
            <w:pPr>
              <w:spacing w:after="0"/>
              <w:rPr>
                <w:sz w:val="19"/>
                <w:szCs w:val="19"/>
                <w:color w:val="auto"/>
              </w:rPr>
            </w:pPr>
          </w:p>
        </w:tc>
        <w:tc>
          <w:tcPr>
            <w:tcW w:w="1160" w:type="dxa"/>
            <w:vAlign w:val="bottom"/>
            <w:tcBorders>
              <w:bottom w:val="single" w:sz="8" w:color="auto"/>
            </w:tcBorders>
            <w:shd w:val="clear" w:color="auto" w:fill="DBDBDB"/>
          </w:tcPr>
          <w:p>
            <w:pPr>
              <w:jc w:val="right"/>
              <w:ind w:right="190"/>
              <w:spacing w:after="0"/>
              <w:rPr>
                <w:sz w:val="20"/>
                <w:szCs w:val="20"/>
                <w:color w:val="auto"/>
              </w:rPr>
            </w:pPr>
            <w:r>
              <w:rPr>
                <w:rFonts w:ascii="Times New Roman" w:cs="Times New Roman" w:eastAsia="Times New Roman" w:hAnsi="Times New Roman"/>
                <w:sz w:val="18"/>
                <w:szCs w:val="18"/>
                <w:color w:val="auto"/>
              </w:rPr>
              <w:t>20</w:t>
            </w:r>
          </w:p>
        </w:tc>
        <w:tc>
          <w:tcPr>
            <w:tcW w:w="360" w:type="dxa"/>
            <w:vAlign w:val="bottom"/>
            <w:tcBorders>
              <w:bottom w:val="single" w:sz="8" w:color="auto"/>
            </w:tcBorders>
            <w:shd w:val="clear" w:color="auto" w:fill="DBDBDB"/>
          </w:tcPr>
          <w:p>
            <w:pPr>
              <w:spacing w:after="0"/>
              <w:rPr>
                <w:sz w:val="19"/>
                <w:szCs w:val="19"/>
                <w:color w:val="auto"/>
              </w:rPr>
            </w:pPr>
          </w:p>
        </w:tc>
        <w:tc>
          <w:tcPr>
            <w:tcW w:w="1100" w:type="dxa"/>
            <w:vAlign w:val="bottom"/>
            <w:tcBorders>
              <w:bottom w:val="single" w:sz="8" w:color="auto"/>
            </w:tcBorders>
            <w:shd w:val="clear" w:color="auto" w:fill="DBDBDB"/>
          </w:tcPr>
          <w:p>
            <w:pPr>
              <w:jc w:val="right"/>
              <w:ind w:right="130"/>
              <w:spacing w:after="0"/>
              <w:rPr>
                <w:sz w:val="20"/>
                <w:szCs w:val="20"/>
                <w:color w:val="auto"/>
              </w:rPr>
            </w:pPr>
            <w:r>
              <w:rPr>
                <w:rFonts w:ascii="Times New Roman" w:cs="Times New Roman" w:eastAsia="Times New Roman" w:hAnsi="Times New Roman"/>
                <w:sz w:val="18"/>
                <w:szCs w:val="18"/>
                <w:color w:val="auto"/>
              </w:rPr>
              <w:t>81</w:t>
            </w:r>
          </w:p>
        </w:tc>
      </w:tr>
      <w:tr>
        <w:trPr>
          <w:trHeight w:val="223"/>
        </w:trPr>
        <w:tc>
          <w:tcPr>
            <w:tcW w:w="3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loans recovered</w:t>
            </w: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(13)</w:t>
            </w: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(27)</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(20)</w:t>
            </w: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(81)</w:t>
            </w:r>
          </w:p>
        </w:tc>
      </w:tr>
      <w:tr>
        <w:trPr>
          <w:trHeight w:val="223"/>
        </w:trPr>
        <w:tc>
          <w:tcPr>
            <w:tcW w:w="3740" w:type="dxa"/>
            <w:vAlign w:val="bottom"/>
            <w:tcBorders>
              <w:bottom w:val="single" w:sz="8" w:color="auto"/>
            </w:tcBorders>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(Release of) provision for credit losses</w:t>
            </w:r>
          </w:p>
        </w:tc>
        <w:tc>
          <w:tcPr>
            <w:tcW w:w="300" w:type="dxa"/>
            <w:vAlign w:val="bottom"/>
            <w:tcBorders>
              <w:bottom w:val="single" w:sz="8" w:color="auto"/>
            </w:tcBorders>
            <w:shd w:val="clear" w:color="auto" w:fill="DBDBDB"/>
          </w:tcPr>
          <w:p>
            <w:pPr>
              <w:spacing w:after="0"/>
              <w:rPr>
                <w:sz w:val="19"/>
                <w:szCs w:val="19"/>
                <w:color w:val="auto"/>
              </w:rPr>
            </w:pPr>
          </w:p>
        </w:tc>
        <w:tc>
          <w:tcPr>
            <w:tcW w:w="1180" w:type="dxa"/>
            <w:vAlign w:val="bottom"/>
            <w:tcBorders>
              <w:bottom w:val="single" w:sz="8" w:color="auto"/>
            </w:tcBorders>
            <w:shd w:val="clear" w:color="auto" w:fill="DBDBDB"/>
          </w:tcPr>
          <w:p>
            <w:pPr>
              <w:jc w:val="right"/>
              <w:ind w:right="130"/>
              <w:spacing w:after="0"/>
              <w:rPr>
                <w:sz w:val="20"/>
                <w:szCs w:val="20"/>
                <w:color w:val="auto"/>
              </w:rPr>
            </w:pPr>
            <w:r>
              <w:rPr>
                <w:rFonts w:ascii="Times New Roman" w:cs="Times New Roman" w:eastAsia="Times New Roman" w:hAnsi="Times New Roman"/>
                <w:sz w:val="18"/>
                <w:szCs w:val="18"/>
                <w:color w:val="auto"/>
              </w:rPr>
              <w:t>(450)</w:t>
            </w:r>
          </w:p>
        </w:tc>
        <w:tc>
          <w:tcPr>
            <w:tcW w:w="360" w:type="dxa"/>
            <w:vAlign w:val="bottom"/>
            <w:tcBorders>
              <w:bottom w:val="single" w:sz="8" w:color="auto"/>
            </w:tcBorders>
            <w:shd w:val="clear" w:color="auto" w:fill="DBDBDB"/>
          </w:tcPr>
          <w:p>
            <w:pPr>
              <w:spacing w:after="0"/>
              <w:rPr>
                <w:sz w:val="19"/>
                <w:szCs w:val="19"/>
                <w:color w:val="auto"/>
              </w:rPr>
            </w:pPr>
          </w:p>
        </w:tc>
        <w:tc>
          <w:tcPr>
            <w:tcW w:w="1180" w:type="dxa"/>
            <w:vAlign w:val="bottom"/>
            <w:tcBorders>
              <w:bottom w:val="single" w:sz="8" w:color="auto"/>
            </w:tcBorders>
            <w:shd w:val="clear" w:color="auto" w:fill="DBDBDB"/>
          </w:tcPr>
          <w:p>
            <w:pPr>
              <w:jc w:val="right"/>
              <w:ind w:right="190"/>
              <w:spacing w:after="0"/>
              <w:rPr>
                <w:sz w:val="20"/>
                <w:szCs w:val="20"/>
                <w:color w:val="auto"/>
              </w:rPr>
            </w:pPr>
            <w:r>
              <w:rPr>
                <w:rFonts w:ascii="Times New Roman" w:cs="Times New Roman" w:eastAsia="Times New Roman" w:hAnsi="Times New Roman"/>
                <w:sz w:val="18"/>
                <w:szCs w:val="18"/>
                <w:color w:val="auto"/>
              </w:rPr>
              <w:t>1,485</w:t>
            </w:r>
          </w:p>
        </w:tc>
        <w:tc>
          <w:tcPr>
            <w:tcW w:w="180" w:type="dxa"/>
            <w:vAlign w:val="bottom"/>
            <w:tcBorders>
              <w:bottom w:val="single" w:sz="8" w:color="auto"/>
            </w:tcBorders>
            <w:shd w:val="clear" w:color="auto" w:fill="DBDBDB"/>
          </w:tcPr>
          <w:p>
            <w:pPr>
              <w:spacing w:after="0"/>
              <w:rPr>
                <w:sz w:val="19"/>
                <w:szCs w:val="19"/>
                <w:color w:val="auto"/>
              </w:rPr>
            </w:pPr>
          </w:p>
        </w:tc>
        <w:tc>
          <w:tcPr>
            <w:tcW w:w="1320" w:type="dxa"/>
            <w:vAlign w:val="bottom"/>
            <w:tcBorders>
              <w:bottom w:val="single" w:sz="8" w:color="auto"/>
            </w:tcBorders>
            <w:shd w:val="clear" w:color="auto" w:fill="DBDBDB"/>
          </w:tcPr>
          <w:p>
            <w:pPr>
              <w:jc w:val="right"/>
              <w:ind w:right="170"/>
              <w:spacing w:after="0"/>
              <w:rPr>
                <w:sz w:val="20"/>
                <w:szCs w:val="20"/>
                <w:color w:val="auto"/>
              </w:rPr>
            </w:pPr>
            <w:r>
              <w:rPr>
                <w:rFonts w:ascii="Times New Roman" w:cs="Times New Roman" w:eastAsia="Times New Roman" w:hAnsi="Times New Roman"/>
                <w:sz w:val="18"/>
                <w:szCs w:val="18"/>
                <w:color w:val="auto"/>
              </w:rPr>
              <w:t>70</w:t>
            </w:r>
          </w:p>
        </w:tc>
        <w:tc>
          <w:tcPr>
            <w:tcW w:w="360" w:type="dxa"/>
            <w:vAlign w:val="bottom"/>
            <w:tcBorders>
              <w:bottom w:val="single" w:sz="8" w:color="auto"/>
            </w:tcBorders>
            <w:shd w:val="clear" w:color="auto" w:fill="DBDBDB"/>
          </w:tcPr>
          <w:p>
            <w:pPr>
              <w:spacing w:after="0"/>
              <w:rPr>
                <w:sz w:val="19"/>
                <w:szCs w:val="19"/>
                <w:color w:val="auto"/>
              </w:rPr>
            </w:pPr>
          </w:p>
        </w:tc>
        <w:tc>
          <w:tcPr>
            <w:tcW w:w="1160" w:type="dxa"/>
            <w:vAlign w:val="bottom"/>
            <w:tcBorders>
              <w:bottom w:val="single" w:sz="8" w:color="auto"/>
            </w:tcBorders>
            <w:shd w:val="clear" w:color="auto" w:fill="DBDBDB"/>
          </w:tcPr>
          <w:p>
            <w:pPr>
              <w:jc w:val="right"/>
              <w:ind w:right="190"/>
              <w:spacing w:after="0"/>
              <w:rPr>
                <w:sz w:val="20"/>
                <w:szCs w:val="20"/>
                <w:color w:val="auto"/>
              </w:rPr>
            </w:pPr>
            <w:r>
              <w:rPr>
                <w:rFonts w:ascii="Times New Roman" w:cs="Times New Roman" w:eastAsia="Times New Roman" w:hAnsi="Times New Roman"/>
                <w:sz w:val="18"/>
                <w:szCs w:val="18"/>
                <w:color w:val="auto"/>
              </w:rPr>
              <w:t>645</w:t>
            </w:r>
          </w:p>
        </w:tc>
        <w:tc>
          <w:tcPr>
            <w:tcW w:w="360" w:type="dxa"/>
            <w:vAlign w:val="bottom"/>
            <w:tcBorders>
              <w:bottom w:val="single" w:sz="8" w:color="auto"/>
            </w:tcBorders>
            <w:shd w:val="clear" w:color="auto" w:fill="DBDBDB"/>
          </w:tcPr>
          <w:p>
            <w:pPr>
              <w:spacing w:after="0"/>
              <w:rPr>
                <w:sz w:val="19"/>
                <w:szCs w:val="19"/>
                <w:color w:val="auto"/>
              </w:rPr>
            </w:pPr>
          </w:p>
        </w:tc>
        <w:tc>
          <w:tcPr>
            <w:tcW w:w="1100" w:type="dxa"/>
            <w:vAlign w:val="bottom"/>
            <w:tcBorders>
              <w:bottom w:val="single" w:sz="8" w:color="auto"/>
            </w:tcBorders>
            <w:shd w:val="clear" w:color="auto" w:fill="DBDBDB"/>
          </w:tcPr>
          <w:p>
            <w:pPr>
              <w:jc w:val="right"/>
              <w:ind w:right="130"/>
              <w:spacing w:after="0"/>
              <w:rPr>
                <w:sz w:val="20"/>
                <w:szCs w:val="20"/>
                <w:color w:val="auto"/>
              </w:rPr>
            </w:pPr>
            <w:r>
              <w:rPr>
                <w:rFonts w:ascii="Times New Roman" w:cs="Times New Roman" w:eastAsia="Times New Roman" w:hAnsi="Times New Roman"/>
                <w:sz w:val="18"/>
                <w:szCs w:val="18"/>
                <w:color w:val="auto"/>
              </w:rPr>
              <w:t>250</w:t>
            </w:r>
          </w:p>
        </w:tc>
      </w:tr>
      <w:tr>
        <w:trPr>
          <w:trHeight w:val="223"/>
        </w:trPr>
        <w:tc>
          <w:tcPr>
            <w:tcW w:w="3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Allowance at end of year</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13,089</w:t>
            </w:r>
          </w:p>
        </w:tc>
        <w:tc>
          <w:tcPr>
            <w:tcW w:w="3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13,539</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12,041</w:t>
            </w:r>
          </w:p>
        </w:tc>
        <w:tc>
          <w:tcPr>
            <w:tcW w:w="3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11,944</w:t>
            </w:r>
          </w:p>
        </w:tc>
        <w:tc>
          <w:tcPr>
            <w:tcW w:w="3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10,556</w:t>
            </w:r>
          </w:p>
        </w:tc>
      </w:tr>
      <w:tr>
        <w:trPr>
          <w:trHeight w:val="169"/>
        </w:trPr>
        <w:tc>
          <w:tcPr>
            <w:tcW w:w="3740" w:type="dxa"/>
            <w:vAlign w:val="bottom"/>
            <w:shd w:val="clear" w:color="auto" w:fill="DBDBDB"/>
          </w:tcPr>
          <w:p>
            <w:pPr>
              <w:ind w:left="20"/>
              <w:spacing w:after="0" w:line="169" w:lineRule="exact"/>
              <w:rPr>
                <w:sz w:val="20"/>
                <w:szCs w:val="20"/>
                <w:color w:val="auto"/>
              </w:rPr>
            </w:pPr>
            <w:r>
              <w:rPr>
                <w:rFonts w:ascii="Times New Roman" w:cs="Times New Roman" w:eastAsia="Times New Roman" w:hAnsi="Times New Roman"/>
                <w:sz w:val="18"/>
                <w:szCs w:val="18"/>
                <w:color w:val="auto"/>
              </w:rPr>
              <w:t>Cumulative effect of accounting change (ASU</w:t>
            </w:r>
          </w:p>
        </w:tc>
        <w:tc>
          <w:tcPr>
            <w:tcW w:w="300" w:type="dxa"/>
            <w:vAlign w:val="bottom"/>
            <w:shd w:val="clear" w:color="auto" w:fill="DBDBDB"/>
          </w:tcPr>
          <w:p>
            <w:pPr>
              <w:spacing w:after="0"/>
              <w:rPr>
                <w:sz w:val="14"/>
                <w:szCs w:val="14"/>
                <w:color w:val="auto"/>
              </w:rPr>
            </w:pPr>
          </w:p>
        </w:tc>
        <w:tc>
          <w:tcPr>
            <w:tcW w:w="1180" w:type="dxa"/>
            <w:vAlign w:val="bottom"/>
            <w:shd w:val="clear" w:color="auto" w:fill="DBDBDB"/>
          </w:tcPr>
          <w:p>
            <w:pPr>
              <w:spacing w:after="0"/>
              <w:rPr>
                <w:sz w:val="14"/>
                <w:szCs w:val="14"/>
                <w:color w:val="auto"/>
              </w:rPr>
            </w:pPr>
          </w:p>
        </w:tc>
        <w:tc>
          <w:tcPr>
            <w:tcW w:w="360" w:type="dxa"/>
            <w:vAlign w:val="bottom"/>
            <w:shd w:val="clear" w:color="auto" w:fill="DBDBDB"/>
          </w:tcPr>
          <w:p>
            <w:pPr>
              <w:spacing w:after="0"/>
              <w:rPr>
                <w:sz w:val="14"/>
                <w:szCs w:val="14"/>
                <w:color w:val="auto"/>
              </w:rPr>
            </w:pPr>
          </w:p>
        </w:tc>
        <w:tc>
          <w:tcPr>
            <w:tcW w:w="1180" w:type="dxa"/>
            <w:vAlign w:val="bottom"/>
            <w:shd w:val="clear" w:color="auto" w:fill="DBDBDB"/>
          </w:tcPr>
          <w:p>
            <w:pPr>
              <w:spacing w:after="0"/>
              <w:rPr>
                <w:sz w:val="14"/>
                <w:szCs w:val="14"/>
                <w:color w:val="auto"/>
              </w:rPr>
            </w:pPr>
          </w:p>
        </w:tc>
        <w:tc>
          <w:tcPr>
            <w:tcW w:w="180" w:type="dxa"/>
            <w:vAlign w:val="bottom"/>
            <w:shd w:val="clear" w:color="auto" w:fill="DBDBDB"/>
          </w:tcPr>
          <w:p>
            <w:pPr>
              <w:spacing w:after="0"/>
              <w:rPr>
                <w:sz w:val="14"/>
                <w:szCs w:val="14"/>
                <w:color w:val="auto"/>
              </w:rPr>
            </w:pPr>
          </w:p>
        </w:tc>
        <w:tc>
          <w:tcPr>
            <w:tcW w:w="1320" w:type="dxa"/>
            <w:vAlign w:val="bottom"/>
            <w:shd w:val="clear" w:color="auto" w:fill="DBDBDB"/>
          </w:tcPr>
          <w:p>
            <w:pPr>
              <w:spacing w:after="0"/>
              <w:rPr>
                <w:sz w:val="14"/>
                <w:szCs w:val="14"/>
                <w:color w:val="auto"/>
              </w:rPr>
            </w:pPr>
          </w:p>
        </w:tc>
        <w:tc>
          <w:tcPr>
            <w:tcW w:w="360" w:type="dxa"/>
            <w:vAlign w:val="bottom"/>
            <w:shd w:val="clear" w:color="auto" w:fill="DBDBDB"/>
          </w:tcPr>
          <w:p>
            <w:pPr>
              <w:spacing w:after="0"/>
              <w:rPr>
                <w:sz w:val="14"/>
                <w:szCs w:val="14"/>
                <w:color w:val="auto"/>
              </w:rPr>
            </w:pPr>
          </w:p>
        </w:tc>
        <w:tc>
          <w:tcPr>
            <w:tcW w:w="1160" w:type="dxa"/>
            <w:vAlign w:val="bottom"/>
            <w:shd w:val="clear" w:color="auto" w:fill="DBDBDB"/>
          </w:tcPr>
          <w:p>
            <w:pPr>
              <w:spacing w:after="0"/>
              <w:rPr>
                <w:sz w:val="14"/>
                <w:szCs w:val="14"/>
                <w:color w:val="auto"/>
              </w:rPr>
            </w:pPr>
          </w:p>
        </w:tc>
        <w:tc>
          <w:tcPr>
            <w:tcW w:w="360" w:type="dxa"/>
            <w:vAlign w:val="bottom"/>
            <w:shd w:val="clear" w:color="auto" w:fill="DBDBDB"/>
          </w:tcPr>
          <w:p>
            <w:pPr>
              <w:spacing w:after="0"/>
              <w:rPr>
                <w:sz w:val="14"/>
                <w:szCs w:val="14"/>
                <w:color w:val="auto"/>
              </w:rPr>
            </w:pPr>
          </w:p>
        </w:tc>
        <w:tc>
          <w:tcPr>
            <w:tcW w:w="1100" w:type="dxa"/>
            <w:vAlign w:val="bottom"/>
            <w:shd w:val="clear" w:color="auto" w:fill="DBDBDB"/>
          </w:tcPr>
          <w:p>
            <w:pPr>
              <w:spacing w:after="0"/>
              <w:rPr>
                <w:sz w:val="14"/>
                <w:szCs w:val="14"/>
                <w:color w:val="auto"/>
              </w:rPr>
            </w:pPr>
          </w:p>
        </w:tc>
      </w:tr>
      <w:tr>
        <w:trPr>
          <w:trHeight w:val="243"/>
        </w:trPr>
        <w:tc>
          <w:tcPr>
            <w:tcW w:w="3740" w:type="dxa"/>
            <w:vAlign w:val="bottom"/>
            <w:tcBorders>
              <w:bottom w:val="single" w:sz="8" w:color="auto"/>
            </w:tcBorders>
            <w:shd w:val="clear" w:color="auto" w:fill="DBDBDB"/>
          </w:tcPr>
          <w:p>
            <w:pPr>
              <w:ind w:left="180"/>
              <w:spacing w:after="0"/>
              <w:rPr>
                <w:sz w:val="20"/>
                <w:szCs w:val="20"/>
                <w:color w:val="auto"/>
              </w:rPr>
            </w:pPr>
            <w:r>
              <w:rPr>
                <w:rFonts w:ascii="Times New Roman" w:cs="Times New Roman" w:eastAsia="Times New Roman" w:hAnsi="Times New Roman"/>
                <w:sz w:val="18"/>
                <w:szCs w:val="18"/>
                <w:color w:val="auto"/>
              </w:rPr>
              <w:t>2016-13)</w:t>
            </w:r>
          </w:p>
        </w:tc>
        <w:tc>
          <w:tcPr>
            <w:tcW w:w="300" w:type="dxa"/>
            <w:vAlign w:val="bottom"/>
            <w:tcBorders>
              <w:bottom w:val="single" w:sz="8" w:color="auto"/>
            </w:tcBorders>
            <w:shd w:val="clear" w:color="auto" w:fill="DBDBDB"/>
          </w:tcPr>
          <w:p>
            <w:pPr>
              <w:spacing w:after="0"/>
              <w:rPr>
                <w:sz w:val="21"/>
                <w:szCs w:val="21"/>
                <w:color w:val="auto"/>
              </w:rPr>
            </w:pPr>
          </w:p>
        </w:tc>
        <w:tc>
          <w:tcPr>
            <w:tcW w:w="1180" w:type="dxa"/>
            <w:vAlign w:val="bottom"/>
            <w:tcBorders>
              <w:bottom w:val="single" w:sz="8" w:color="auto"/>
            </w:tcBorders>
            <w:shd w:val="clear" w:color="auto" w:fill="DBDBDB"/>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shd w:val="clear" w:color="auto" w:fill="DBDBDB"/>
          </w:tcPr>
          <w:p>
            <w:pPr>
              <w:spacing w:after="0"/>
              <w:rPr>
                <w:sz w:val="21"/>
                <w:szCs w:val="21"/>
                <w:color w:val="auto"/>
              </w:rPr>
            </w:pPr>
          </w:p>
        </w:tc>
        <w:tc>
          <w:tcPr>
            <w:tcW w:w="1180" w:type="dxa"/>
            <w:vAlign w:val="bottom"/>
            <w:tcBorders>
              <w:bottom w:val="single" w:sz="8" w:color="auto"/>
            </w:tcBorders>
            <w:shd w:val="clear" w:color="auto" w:fill="DBDBDB"/>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shd w:val="clear" w:color="auto" w:fill="DBDBDB"/>
          </w:tcPr>
          <w:p>
            <w:pPr>
              <w:spacing w:after="0"/>
              <w:rPr>
                <w:sz w:val="21"/>
                <w:szCs w:val="21"/>
                <w:color w:val="auto"/>
              </w:rPr>
            </w:pPr>
          </w:p>
        </w:tc>
        <w:tc>
          <w:tcPr>
            <w:tcW w:w="1320" w:type="dxa"/>
            <w:vAlign w:val="bottom"/>
            <w:tcBorders>
              <w:bottom w:val="single" w:sz="8" w:color="auto"/>
            </w:tcBorders>
            <w:shd w:val="clear" w:color="auto" w:fill="DBDBDB"/>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shd w:val="clear" w:color="auto" w:fill="DBDBDB"/>
          </w:tcPr>
          <w:p>
            <w:pPr>
              <w:spacing w:after="0"/>
              <w:rPr>
                <w:sz w:val="21"/>
                <w:szCs w:val="21"/>
                <w:color w:val="auto"/>
              </w:rPr>
            </w:pPr>
          </w:p>
        </w:tc>
        <w:tc>
          <w:tcPr>
            <w:tcW w:w="1160" w:type="dxa"/>
            <w:vAlign w:val="bottom"/>
            <w:tcBorders>
              <w:bottom w:val="single" w:sz="8" w:color="auto"/>
            </w:tcBorders>
            <w:shd w:val="clear" w:color="auto" w:fill="DBDBDB"/>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shd w:val="clear" w:color="auto" w:fill="DBDBDB"/>
          </w:tcPr>
          <w:p>
            <w:pPr>
              <w:spacing w:after="0"/>
              <w:rPr>
                <w:sz w:val="21"/>
                <w:szCs w:val="21"/>
                <w:color w:val="auto"/>
              </w:rPr>
            </w:pPr>
          </w:p>
        </w:tc>
        <w:tc>
          <w:tcPr>
            <w:tcW w:w="1100" w:type="dxa"/>
            <w:vAlign w:val="bottom"/>
            <w:tcBorders>
              <w:bottom w:val="single" w:sz="8" w:color="auto"/>
            </w:tcBorders>
            <w:shd w:val="clear" w:color="auto" w:fill="DBDBDB"/>
          </w:tcPr>
          <w:p>
            <w:pPr>
              <w:jc w:val="right"/>
              <w:ind w:right="130"/>
              <w:spacing w:after="0"/>
              <w:rPr>
                <w:sz w:val="20"/>
                <w:szCs w:val="20"/>
                <w:color w:val="auto"/>
              </w:rPr>
            </w:pPr>
            <w:r>
              <w:rPr>
                <w:rFonts w:ascii="Times New Roman" w:cs="Times New Roman" w:eastAsia="Times New Roman" w:hAnsi="Times New Roman"/>
                <w:sz w:val="18"/>
                <w:szCs w:val="18"/>
                <w:color w:val="auto"/>
              </w:rPr>
              <w:t>723</w:t>
            </w:r>
          </w:p>
        </w:tc>
      </w:tr>
      <w:tr>
        <w:trPr>
          <w:trHeight w:val="223"/>
        </w:trPr>
        <w:tc>
          <w:tcPr>
            <w:tcW w:w="3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Allowance at beginning of next year</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13,089</w:t>
            </w:r>
          </w:p>
        </w:tc>
        <w:tc>
          <w:tcPr>
            <w:tcW w:w="3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13,539</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12,041</w:t>
            </w:r>
          </w:p>
        </w:tc>
        <w:tc>
          <w:tcPr>
            <w:tcW w:w="3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11,944</w:t>
            </w:r>
          </w:p>
        </w:tc>
        <w:tc>
          <w:tcPr>
            <w:tcW w:w="3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11,279</w:t>
            </w:r>
          </w:p>
        </w:tc>
      </w:tr>
      <w:tr>
        <w:trPr>
          <w:trHeight w:val="169"/>
        </w:trPr>
        <w:tc>
          <w:tcPr>
            <w:tcW w:w="3740" w:type="dxa"/>
            <w:vAlign w:val="bottom"/>
            <w:shd w:val="clear" w:color="auto" w:fill="DBDBDB"/>
          </w:tcPr>
          <w:p>
            <w:pPr>
              <w:ind w:left="20"/>
              <w:spacing w:after="0" w:line="169" w:lineRule="exact"/>
              <w:rPr>
                <w:sz w:val="20"/>
                <w:szCs w:val="20"/>
                <w:color w:val="auto"/>
              </w:rPr>
            </w:pPr>
            <w:r>
              <w:rPr>
                <w:rFonts w:ascii="Times New Roman" w:cs="Times New Roman" w:eastAsia="Times New Roman" w:hAnsi="Times New Roman"/>
                <w:sz w:val="18"/>
                <w:szCs w:val="18"/>
                <w:color w:val="auto"/>
              </w:rPr>
              <w:t>Allowance for unfunded commitments at</w:t>
            </w:r>
          </w:p>
        </w:tc>
        <w:tc>
          <w:tcPr>
            <w:tcW w:w="300" w:type="dxa"/>
            <w:vAlign w:val="bottom"/>
            <w:shd w:val="clear" w:color="auto" w:fill="DBDBDB"/>
          </w:tcPr>
          <w:p>
            <w:pPr>
              <w:spacing w:after="0"/>
              <w:rPr>
                <w:sz w:val="14"/>
                <w:szCs w:val="14"/>
                <w:color w:val="auto"/>
              </w:rPr>
            </w:pPr>
          </w:p>
        </w:tc>
        <w:tc>
          <w:tcPr>
            <w:tcW w:w="1180" w:type="dxa"/>
            <w:vAlign w:val="bottom"/>
            <w:shd w:val="clear" w:color="auto" w:fill="DBDBDB"/>
          </w:tcPr>
          <w:p>
            <w:pPr>
              <w:spacing w:after="0"/>
              <w:rPr>
                <w:sz w:val="14"/>
                <w:szCs w:val="14"/>
                <w:color w:val="auto"/>
              </w:rPr>
            </w:pPr>
          </w:p>
        </w:tc>
        <w:tc>
          <w:tcPr>
            <w:tcW w:w="360" w:type="dxa"/>
            <w:vAlign w:val="bottom"/>
            <w:shd w:val="clear" w:color="auto" w:fill="DBDBDB"/>
          </w:tcPr>
          <w:p>
            <w:pPr>
              <w:spacing w:after="0"/>
              <w:rPr>
                <w:sz w:val="14"/>
                <w:szCs w:val="14"/>
                <w:color w:val="auto"/>
              </w:rPr>
            </w:pPr>
          </w:p>
        </w:tc>
        <w:tc>
          <w:tcPr>
            <w:tcW w:w="1180" w:type="dxa"/>
            <w:vAlign w:val="bottom"/>
            <w:shd w:val="clear" w:color="auto" w:fill="DBDBDB"/>
          </w:tcPr>
          <w:p>
            <w:pPr>
              <w:spacing w:after="0"/>
              <w:rPr>
                <w:sz w:val="14"/>
                <w:szCs w:val="14"/>
                <w:color w:val="auto"/>
              </w:rPr>
            </w:pPr>
          </w:p>
        </w:tc>
        <w:tc>
          <w:tcPr>
            <w:tcW w:w="180" w:type="dxa"/>
            <w:vAlign w:val="bottom"/>
            <w:shd w:val="clear" w:color="auto" w:fill="DBDBDB"/>
          </w:tcPr>
          <w:p>
            <w:pPr>
              <w:spacing w:after="0"/>
              <w:rPr>
                <w:sz w:val="14"/>
                <w:szCs w:val="14"/>
                <w:color w:val="auto"/>
              </w:rPr>
            </w:pPr>
          </w:p>
        </w:tc>
        <w:tc>
          <w:tcPr>
            <w:tcW w:w="1320" w:type="dxa"/>
            <w:vAlign w:val="bottom"/>
            <w:shd w:val="clear" w:color="auto" w:fill="DBDBDB"/>
          </w:tcPr>
          <w:p>
            <w:pPr>
              <w:spacing w:after="0"/>
              <w:rPr>
                <w:sz w:val="14"/>
                <w:szCs w:val="14"/>
                <w:color w:val="auto"/>
              </w:rPr>
            </w:pPr>
          </w:p>
        </w:tc>
        <w:tc>
          <w:tcPr>
            <w:tcW w:w="360" w:type="dxa"/>
            <w:vAlign w:val="bottom"/>
            <w:shd w:val="clear" w:color="auto" w:fill="DBDBDB"/>
          </w:tcPr>
          <w:p>
            <w:pPr>
              <w:spacing w:after="0"/>
              <w:rPr>
                <w:sz w:val="14"/>
                <w:szCs w:val="14"/>
                <w:color w:val="auto"/>
              </w:rPr>
            </w:pPr>
          </w:p>
        </w:tc>
        <w:tc>
          <w:tcPr>
            <w:tcW w:w="1160" w:type="dxa"/>
            <w:vAlign w:val="bottom"/>
            <w:shd w:val="clear" w:color="auto" w:fill="DBDBDB"/>
          </w:tcPr>
          <w:p>
            <w:pPr>
              <w:spacing w:after="0"/>
              <w:rPr>
                <w:sz w:val="14"/>
                <w:szCs w:val="14"/>
                <w:color w:val="auto"/>
              </w:rPr>
            </w:pPr>
          </w:p>
        </w:tc>
        <w:tc>
          <w:tcPr>
            <w:tcW w:w="360" w:type="dxa"/>
            <w:vAlign w:val="bottom"/>
            <w:shd w:val="clear" w:color="auto" w:fill="DBDBDB"/>
          </w:tcPr>
          <w:p>
            <w:pPr>
              <w:spacing w:after="0"/>
              <w:rPr>
                <w:sz w:val="14"/>
                <w:szCs w:val="14"/>
                <w:color w:val="auto"/>
              </w:rPr>
            </w:pPr>
          </w:p>
        </w:tc>
        <w:tc>
          <w:tcPr>
            <w:tcW w:w="1100" w:type="dxa"/>
            <w:vAlign w:val="bottom"/>
            <w:shd w:val="clear" w:color="auto" w:fill="DBDBDB"/>
          </w:tcPr>
          <w:p>
            <w:pPr>
              <w:spacing w:after="0"/>
              <w:rPr>
                <w:sz w:val="14"/>
                <w:szCs w:val="14"/>
                <w:color w:val="auto"/>
              </w:rPr>
            </w:pPr>
          </w:p>
        </w:tc>
      </w:tr>
      <w:tr>
        <w:trPr>
          <w:trHeight w:val="243"/>
        </w:trPr>
        <w:tc>
          <w:tcPr>
            <w:tcW w:w="3740" w:type="dxa"/>
            <w:vAlign w:val="bottom"/>
            <w:tcBorders>
              <w:bottom w:val="single" w:sz="8" w:color="auto"/>
            </w:tcBorders>
            <w:shd w:val="clear" w:color="auto" w:fill="DBDBDB"/>
          </w:tcPr>
          <w:p>
            <w:pPr>
              <w:ind w:left="180"/>
              <w:spacing w:after="0"/>
              <w:rPr>
                <w:sz w:val="20"/>
                <w:szCs w:val="20"/>
                <w:color w:val="auto"/>
              </w:rPr>
            </w:pPr>
            <w:r>
              <w:rPr>
                <w:rFonts w:ascii="Times New Roman" w:cs="Times New Roman" w:eastAsia="Times New Roman" w:hAnsi="Times New Roman"/>
                <w:sz w:val="18"/>
                <w:szCs w:val="18"/>
                <w:color w:val="auto"/>
              </w:rPr>
              <w:t>beginning of year</w:t>
            </w:r>
          </w:p>
        </w:tc>
        <w:tc>
          <w:tcPr>
            <w:tcW w:w="300" w:type="dxa"/>
            <w:vAlign w:val="bottom"/>
            <w:tcBorders>
              <w:bottom w:val="single" w:sz="8" w:color="auto"/>
            </w:tcBorders>
            <w:shd w:val="clear" w:color="auto" w:fill="DBDBDB"/>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DBDBDB"/>
          </w:tcPr>
          <w:p>
            <w:pPr>
              <w:jc w:val="right"/>
              <w:ind w:right="170"/>
              <w:spacing w:after="0"/>
              <w:rPr>
                <w:sz w:val="20"/>
                <w:szCs w:val="20"/>
                <w:color w:val="auto"/>
              </w:rPr>
            </w:pPr>
            <w:r>
              <w:rPr>
                <w:rFonts w:ascii="Times New Roman" w:cs="Times New Roman" w:eastAsia="Times New Roman" w:hAnsi="Times New Roman"/>
                <w:sz w:val="18"/>
                <w:szCs w:val="18"/>
                <w:color w:val="auto"/>
              </w:rPr>
              <w:t>232</w:t>
            </w:r>
          </w:p>
        </w:tc>
        <w:tc>
          <w:tcPr>
            <w:tcW w:w="360" w:type="dxa"/>
            <w:vAlign w:val="bottom"/>
            <w:tcBorders>
              <w:bottom w:val="single" w:sz="8" w:color="auto"/>
            </w:tcBorders>
            <w:shd w:val="clear" w:color="auto" w:fill="DBDBDB"/>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DBDBDB"/>
          </w:tcPr>
          <w:p>
            <w:pPr>
              <w:jc w:val="right"/>
              <w:ind w:right="190"/>
              <w:spacing w:after="0"/>
              <w:rPr>
                <w:sz w:val="20"/>
                <w:szCs w:val="20"/>
                <w:color w:val="auto"/>
              </w:rPr>
            </w:pPr>
            <w:r>
              <w:rPr>
                <w:rFonts w:ascii="Times New Roman" w:cs="Times New Roman" w:eastAsia="Times New Roman" w:hAnsi="Times New Roman"/>
                <w:sz w:val="18"/>
                <w:szCs w:val="18"/>
                <w:color w:val="auto"/>
              </w:rPr>
              <w:t>367</w:t>
            </w:r>
          </w:p>
        </w:tc>
        <w:tc>
          <w:tcPr>
            <w:tcW w:w="18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DBDBDB"/>
          </w:tcPr>
          <w:p>
            <w:pPr>
              <w:jc w:val="right"/>
              <w:ind w:right="170"/>
              <w:spacing w:after="0"/>
              <w:rPr>
                <w:sz w:val="20"/>
                <w:szCs w:val="20"/>
                <w:color w:val="auto"/>
              </w:rPr>
            </w:pPr>
            <w:r>
              <w:rPr>
                <w:rFonts w:ascii="Times New Roman" w:cs="Times New Roman" w:eastAsia="Times New Roman" w:hAnsi="Times New Roman"/>
                <w:sz w:val="18"/>
                <w:szCs w:val="18"/>
                <w:color w:val="auto"/>
              </w:rPr>
              <w:t>567</w:t>
            </w:r>
          </w:p>
        </w:tc>
        <w:tc>
          <w:tcPr>
            <w:tcW w:w="360" w:type="dxa"/>
            <w:vAlign w:val="bottom"/>
            <w:tcBorders>
              <w:bottom w:val="single" w:sz="8" w:color="auto"/>
            </w:tcBorders>
            <w:shd w:val="clear" w:color="auto" w:fill="DBDBDB"/>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DBDBDB"/>
          </w:tcPr>
          <w:p>
            <w:pPr>
              <w:jc w:val="right"/>
              <w:ind w:right="190"/>
              <w:spacing w:after="0"/>
              <w:rPr>
                <w:sz w:val="20"/>
                <w:szCs w:val="20"/>
                <w:color w:val="auto"/>
              </w:rPr>
            </w:pPr>
            <w:r>
              <w:rPr>
                <w:rFonts w:ascii="Times New Roman" w:cs="Times New Roman" w:eastAsia="Times New Roman" w:hAnsi="Times New Roman"/>
                <w:sz w:val="18"/>
                <w:szCs w:val="18"/>
                <w:color w:val="auto"/>
              </w:rPr>
              <w:t>402</w:t>
            </w:r>
          </w:p>
        </w:tc>
        <w:tc>
          <w:tcPr>
            <w:tcW w:w="360" w:type="dxa"/>
            <w:vAlign w:val="bottom"/>
            <w:tcBorders>
              <w:bottom w:val="single" w:sz="8" w:color="auto"/>
            </w:tcBorders>
            <w:shd w:val="clear" w:color="auto" w:fill="DBDBDB"/>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DBDBDB"/>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3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(Release of) provision for credit losses</w:t>
            </w: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(100)</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(135)</w:t>
            </w: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(200)</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165</w:t>
            </w: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169"/>
        </w:trPr>
        <w:tc>
          <w:tcPr>
            <w:tcW w:w="3740" w:type="dxa"/>
            <w:vAlign w:val="bottom"/>
            <w:shd w:val="clear" w:color="auto" w:fill="DBDBDB"/>
          </w:tcPr>
          <w:p>
            <w:pPr>
              <w:ind w:left="20"/>
              <w:spacing w:after="0" w:line="169" w:lineRule="exact"/>
              <w:rPr>
                <w:sz w:val="20"/>
                <w:szCs w:val="20"/>
                <w:color w:val="auto"/>
              </w:rPr>
            </w:pPr>
            <w:r>
              <w:rPr>
                <w:rFonts w:ascii="Times New Roman" w:cs="Times New Roman" w:eastAsia="Times New Roman" w:hAnsi="Times New Roman"/>
                <w:sz w:val="18"/>
                <w:szCs w:val="18"/>
                <w:color w:val="auto"/>
              </w:rPr>
              <w:t>Allowance for unfunded commitments at end of</w:t>
            </w:r>
          </w:p>
        </w:tc>
        <w:tc>
          <w:tcPr>
            <w:tcW w:w="300" w:type="dxa"/>
            <w:vAlign w:val="bottom"/>
            <w:shd w:val="clear" w:color="auto" w:fill="DBDBDB"/>
          </w:tcPr>
          <w:p>
            <w:pPr>
              <w:spacing w:after="0"/>
              <w:rPr>
                <w:sz w:val="14"/>
                <w:szCs w:val="14"/>
                <w:color w:val="auto"/>
              </w:rPr>
            </w:pPr>
          </w:p>
        </w:tc>
        <w:tc>
          <w:tcPr>
            <w:tcW w:w="1180" w:type="dxa"/>
            <w:vAlign w:val="bottom"/>
            <w:shd w:val="clear" w:color="auto" w:fill="DBDBDB"/>
          </w:tcPr>
          <w:p>
            <w:pPr>
              <w:spacing w:after="0"/>
              <w:rPr>
                <w:sz w:val="14"/>
                <w:szCs w:val="14"/>
                <w:color w:val="auto"/>
              </w:rPr>
            </w:pPr>
          </w:p>
        </w:tc>
        <w:tc>
          <w:tcPr>
            <w:tcW w:w="360" w:type="dxa"/>
            <w:vAlign w:val="bottom"/>
            <w:shd w:val="clear" w:color="auto" w:fill="DBDBDB"/>
          </w:tcPr>
          <w:p>
            <w:pPr>
              <w:spacing w:after="0"/>
              <w:rPr>
                <w:sz w:val="14"/>
                <w:szCs w:val="14"/>
                <w:color w:val="auto"/>
              </w:rPr>
            </w:pPr>
          </w:p>
        </w:tc>
        <w:tc>
          <w:tcPr>
            <w:tcW w:w="1180" w:type="dxa"/>
            <w:vAlign w:val="bottom"/>
            <w:shd w:val="clear" w:color="auto" w:fill="DBDBDB"/>
          </w:tcPr>
          <w:p>
            <w:pPr>
              <w:spacing w:after="0"/>
              <w:rPr>
                <w:sz w:val="14"/>
                <w:szCs w:val="14"/>
                <w:color w:val="auto"/>
              </w:rPr>
            </w:pPr>
          </w:p>
        </w:tc>
        <w:tc>
          <w:tcPr>
            <w:tcW w:w="180" w:type="dxa"/>
            <w:vAlign w:val="bottom"/>
            <w:shd w:val="clear" w:color="auto" w:fill="DBDBDB"/>
          </w:tcPr>
          <w:p>
            <w:pPr>
              <w:spacing w:after="0"/>
              <w:rPr>
                <w:sz w:val="14"/>
                <w:szCs w:val="14"/>
                <w:color w:val="auto"/>
              </w:rPr>
            </w:pPr>
          </w:p>
        </w:tc>
        <w:tc>
          <w:tcPr>
            <w:tcW w:w="1320" w:type="dxa"/>
            <w:vAlign w:val="bottom"/>
            <w:shd w:val="clear" w:color="auto" w:fill="DBDBDB"/>
          </w:tcPr>
          <w:p>
            <w:pPr>
              <w:spacing w:after="0"/>
              <w:rPr>
                <w:sz w:val="14"/>
                <w:szCs w:val="14"/>
                <w:color w:val="auto"/>
              </w:rPr>
            </w:pPr>
          </w:p>
        </w:tc>
        <w:tc>
          <w:tcPr>
            <w:tcW w:w="360" w:type="dxa"/>
            <w:vAlign w:val="bottom"/>
            <w:shd w:val="clear" w:color="auto" w:fill="DBDBDB"/>
          </w:tcPr>
          <w:p>
            <w:pPr>
              <w:spacing w:after="0"/>
              <w:rPr>
                <w:sz w:val="14"/>
                <w:szCs w:val="14"/>
                <w:color w:val="auto"/>
              </w:rPr>
            </w:pPr>
          </w:p>
        </w:tc>
        <w:tc>
          <w:tcPr>
            <w:tcW w:w="1160" w:type="dxa"/>
            <w:vAlign w:val="bottom"/>
            <w:shd w:val="clear" w:color="auto" w:fill="DBDBDB"/>
          </w:tcPr>
          <w:p>
            <w:pPr>
              <w:spacing w:after="0"/>
              <w:rPr>
                <w:sz w:val="14"/>
                <w:szCs w:val="14"/>
                <w:color w:val="auto"/>
              </w:rPr>
            </w:pPr>
          </w:p>
        </w:tc>
        <w:tc>
          <w:tcPr>
            <w:tcW w:w="360" w:type="dxa"/>
            <w:vAlign w:val="bottom"/>
            <w:shd w:val="clear" w:color="auto" w:fill="DBDBDB"/>
          </w:tcPr>
          <w:p>
            <w:pPr>
              <w:spacing w:after="0"/>
              <w:rPr>
                <w:sz w:val="14"/>
                <w:szCs w:val="14"/>
                <w:color w:val="auto"/>
              </w:rPr>
            </w:pPr>
          </w:p>
        </w:tc>
        <w:tc>
          <w:tcPr>
            <w:tcW w:w="1100" w:type="dxa"/>
            <w:vAlign w:val="bottom"/>
            <w:shd w:val="clear" w:color="auto" w:fill="DBDBDB"/>
          </w:tcPr>
          <w:p>
            <w:pPr>
              <w:spacing w:after="0"/>
              <w:rPr>
                <w:sz w:val="14"/>
                <w:szCs w:val="14"/>
                <w:color w:val="auto"/>
              </w:rPr>
            </w:pPr>
          </w:p>
        </w:tc>
      </w:tr>
      <w:tr>
        <w:trPr>
          <w:trHeight w:val="243"/>
        </w:trPr>
        <w:tc>
          <w:tcPr>
            <w:tcW w:w="3740" w:type="dxa"/>
            <w:vAlign w:val="bottom"/>
            <w:tcBorders>
              <w:bottom w:val="single" w:sz="8" w:color="auto"/>
            </w:tcBorders>
            <w:shd w:val="clear" w:color="auto" w:fill="DBDBDB"/>
          </w:tcPr>
          <w:p>
            <w:pPr>
              <w:ind w:left="180"/>
              <w:spacing w:after="0"/>
              <w:rPr>
                <w:sz w:val="20"/>
                <w:szCs w:val="20"/>
                <w:color w:val="auto"/>
              </w:rPr>
            </w:pPr>
            <w:r>
              <w:rPr>
                <w:rFonts w:ascii="Times New Roman" w:cs="Times New Roman" w:eastAsia="Times New Roman" w:hAnsi="Times New Roman"/>
                <w:sz w:val="18"/>
                <w:szCs w:val="18"/>
                <w:color w:val="auto"/>
              </w:rPr>
              <w:t>year</w:t>
            </w:r>
          </w:p>
        </w:tc>
        <w:tc>
          <w:tcPr>
            <w:tcW w:w="300" w:type="dxa"/>
            <w:vAlign w:val="bottom"/>
            <w:tcBorders>
              <w:bottom w:val="single" w:sz="8" w:color="auto"/>
            </w:tcBorders>
            <w:shd w:val="clear" w:color="auto" w:fill="DBDBDB"/>
          </w:tcPr>
          <w:p>
            <w:pPr>
              <w:spacing w:after="0"/>
              <w:rPr>
                <w:sz w:val="21"/>
                <w:szCs w:val="21"/>
                <w:color w:val="auto"/>
              </w:rPr>
            </w:pPr>
          </w:p>
        </w:tc>
        <w:tc>
          <w:tcPr>
            <w:tcW w:w="1180" w:type="dxa"/>
            <w:vAlign w:val="bottom"/>
            <w:tcBorders>
              <w:bottom w:val="single" w:sz="8" w:color="auto"/>
            </w:tcBorders>
            <w:shd w:val="clear" w:color="auto" w:fill="DBDBDB"/>
          </w:tcPr>
          <w:p>
            <w:pPr>
              <w:jc w:val="right"/>
              <w:ind w:right="170"/>
              <w:spacing w:after="0"/>
              <w:rPr>
                <w:sz w:val="20"/>
                <w:szCs w:val="20"/>
                <w:color w:val="auto"/>
              </w:rPr>
            </w:pPr>
            <w:r>
              <w:rPr>
                <w:rFonts w:ascii="Times New Roman" w:cs="Times New Roman" w:eastAsia="Times New Roman" w:hAnsi="Times New Roman"/>
                <w:sz w:val="18"/>
                <w:szCs w:val="18"/>
                <w:color w:val="auto"/>
              </w:rPr>
              <w:t>132</w:t>
            </w:r>
          </w:p>
        </w:tc>
        <w:tc>
          <w:tcPr>
            <w:tcW w:w="360" w:type="dxa"/>
            <w:vAlign w:val="bottom"/>
            <w:tcBorders>
              <w:bottom w:val="single" w:sz="8" w:color="auto"/>
            </w:tcBorders>
            <w:shd w:val="clear" w:color="auto" w:fill="DBDBDB"/>
          </w:tcPr>
          <w:p>
            <w:pPr>
              <w:spacing w:after="0"/>
              <w:rPr>
                <w:sz w:val="21"/>
                <w:szCs w:val="21"/>
                <w:color w:val="auto"/>
              </w:rPr>
            </w:pPr>
          </w:p>
        </w:tc>
        <w:tc>
          <w:tcPr>
            <w:tcW w:w="1180" w:type="dxa"/>
            <w:vAlign w:val="bottom"/>
            <w:tcBorders>
              <w:bottom w:val="single" w:sz="8" w:color="auto"/>
            </w:tcBorders>
            <w:shd w:val="clear" w:color="auto" w:fill="DBDBDB"/>
          </w:tcPr>
          <w:p>
            <w:pPr>
              <w:jc w:val="right"/>
              <w:ind w:right="190"/>
              <w:spacing w:after="0"/>
              <w:rPr>
                <w:sz w:val="20"/>
                <w:szCs w:val="20"/>
                <w:color w:val="auto"/>
              </w:rPr>
            </w:pPr>
            <w:r>
              <w:rPr>
                <w:rFonts w:ascii="Times New Roman" w:cs="Times New Roman" w:eastAsia="Times New Roman" w:hAnsi="Times New Roman"/>
                <w:sz w:val="18"/>
                <w:szCs w:val="18"/>
                <w:color w:val="auto"/>
              </w:rPr>
              <w:t>232</w:t>
            </w:r>
          </w:p>
        </w:tc>
        <w:tc>
          <w:tcPr>
            <w:tcW w:w="180" w:type="dxa"/>
            <w:vAlign w:val="bottom"/>
            <w:tcBorders>
              <w:bottom w:val="single" w:sz="8" w:color="auto"/>
            </w:tcBorders>
            <w:shd w:val="clear" w:color="auto" w:fill="DBDBDB"/>
          </w:tcPr>
          <w:p>
            <w:pPr>
              <w:spacing w:after="0"/>
              <w:rPr>
                <w:sz w:val="21"/>
                <w:szCs w:val="21"/>
                <w:color w:val="auto"/>
              </w:rPr>
            </w:pPr>
          </w:p>
        </w:tc>
        <w:tc>
          <w:tcPr>
            <w:tcW w:w="1320" w:type="dxa"/>
            <w:vAlign w:val="bottom"/>
            <w:tcBorders>
              <w:bottom w:val="single" w:sz="8" w:color="auto"/>
            </w:tcBorders>
            <w:shd w:val="clear" w:color="auto" w:fill="DBDBDB"/>
          </w:tcPr>
          <w:p>
            <w:pPr>
              <w:jc w:val="right"/>
              <w:ind w:right="170"/>
              <w:spacing w:after="0"/>
              <w:rPr>
                <w:sz w:val="20"/>
                <w:szCs w:val="20"/>
                <w:color w:val="auto"/>
              </w:rPr>
            </w:pPr>
            <w:r>
              <w:rPr>
                <w:rFonts w:ascii="Times New Roman" w:cs="Times New Roman" w:eastAsia="Times New Roman" w:hAnsi="Times New Roman"/>
                <w:sz w:val="18"/>
                <w:szCs w:val="18"/>
                <w:color w:val="auto"/>
              </w:rPr>
              <w:t>367</w:t>
            </w:r>
          </w:p>
        </w:tc>
        <w:tc>
          <w:tcPr>
            <w:tcW w:w="360" w:type="dxa"/>
            <w:vAlign w:val="bottom"/>
            <w:tcBorders>
              <w:bottom w:val="single" w:sz="8" w:color="auto"/>
            </w:tcBorders>
            <w:shd w:val="clear" w:color="auto" w:fill="DBDBDB"/>
          </w:tcPr>
          <w:p>
            <w:pPr>
              <w:spacing w:after="0"/>
              <w:rPr>
                <w:sz w:val="21"/>
                <w:szCs w:val="21"/>
                <w:color w:val="auto"/>
              </w:rPr>
            </w:pPr>
          </w:p>
        </w:tc>
        <w:tc>
          <w:tcPr>
            <w:tcW w:w="1160" w:type="dxa"/>
            <w:vAlign w:val="bottom"/>
            <w:tcBorders>
              <w:bottom w:val="single" w:sz="8" w:color="auto"/>
            </w:tcBorders>
            <w:shd w:val="clear" w:color="auto" w:fill="DBDBDB"/>
          </w:tcPr>
          <w:p>
            <w:pPr>
              <w:jc w:val="right"/>
              <w:ind w:right="190"/>
              <w:spacing w:after="0"/>
              <w:rPr>
                <w:sz w:val="20"/>
                <w:szCs w:val="20"/>
                <w:color w:val="auto"/>
              </w:rPr>
            </w:pPr>
            <w:r>
              <w:rPr>
                <w:rFonts w:ascii="Times New Roman" w:cs="Times New Roman" w:eastAsia="Times New Roman" w:hAnsi="Times New Roman"/>
                <w:sz w:val="18"/>
                <w:szCs w:val="18"/>
                <w:color w:val="auto"/>
              </w:rPr>
              <w:t>567</w:t>
            </w:r>
          </w:p>
        </w:tc>
        <w:tc>
          <w:tcPr>
            <w:tcW w:w="360" w:type="dxa"/>
            <w:vAlign w:val="bottom"/>
            <w:tcBorders>
              <w:bottom w:val="single" w:sz="8" w:color="auto"/>
            </w:tcBorders>
            <w:shd w:val="clear" w:color="auto" w:fill="DBDBDB"/>
          </w:tcPr>
          <w:p>
            <w:pPr>
              <w:spacing w:after="0"/>
              <w:rPr>
                <w:sz w:val="21"/>
                <w:szCs w:val="21"/>
                <w:color w:val="auto"/>
              </w:rPr>
            </w:pPr>
          </w:p>
        </w:tc>
        <w:tc>
          <w:tcPr>
            <w:tcW w:w="1100" w:type="dxa"/>
            <w:vAlign w:val="bottom"/>
            <w:tcBorders>
              <w:bottom w:val="single" w:sz="8" w:color="auto"/>
            </w:tcBorders>
            <w:shd w:val="clear" w:color="auto" w:fill="DBDBDB"/>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169"/>
        </w:trPr>
        <w:tc>
          <w:tcPr>
            <w:tcW w:w="3740" w:type="dxa"/>
            <w:vAlign w:val="bottom"/>
          </w:tcPr>
          <w:p>
            <w:pPr>
              <w:ind w:left="20"/>
              <w:spacing w:after="0" w:line="169" w:lineRule="exact"/>
              <w:rPr>
                <w:sz w:val="20"/>
                <w:szCs w:val="20"/>
                <w:color w:val="auto"/>
              </w:rPr>
            </w:pPr>
            <w:r>
              <w:rPr>
                <w:rFonts w:ascii="Times New Roman" w:cs="Times New Roman" w:eastAsia="Times New Roman" w:hAnsi="Times New Roman"/>
                <w:sz w:val="18"/>
                <w:szCs w:val="18"/>
                <w:color w:val="auto"/>
              </w:rPr>
              <w:t>Cumulative effect of accounting change (ASU</w:t>
            </w: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243"/>
        </w:trPr>
        <w:tc>
          <w:tcPr>
            <w:tcW w:w="37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2016-13)</w:t>
            </w:r>
          </w:p>
        </w:tc>
        <w:tc>
          <w:tcPr>
            <w:tcW w:w="3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402</w:t>
            </w:r>
          </w:p>
        </w:tc>
      </w:tr>
      <w:tr>
        <w:trPr>
          <w:trHeight w:val="169"/>
        </w:trPr>
        <w:tc>
          <w:tcPr>
            <w:tcW w:w="3740" w:type="dxa"/>
            <w:vAlign w:val="bottom"/>
            <w:shd w:val="clear" w:color="auto" w:fill="DBDBDB"/>
          </w:tcPr>
          <w:p>
            <w:pPr>
              <w:ind w:left="20"/>
              <w:spacing w:after="0" w:line="169" w:lineRule="exact"/>
              <w:rPr>
                <w:sz w:val="20"/>
                <w:szCs w:val="20"/>
                <w:color w:val="auto"/>
              </w:rPr>
            </w:pPr>
            <w:r>
              <w:rPr>
                <w:rFonts w:ascii="Times New Roman" w:cs="Times New Roman" w:eastAsia="Times New Roman" w:hAnsi="Times New Roman"/>
                <w:sz w:val="18"/>
                <w:szCs w:val="18"/>
                <w:color w:val="auto"/>
              </w:rPr>
              <w:t>Allowance for unfunded commitments at</w:t>
            </w:r>
          </w:p>
        </w:tc>
        <w:tc>
          <w:tcPr>
            <w:tcW w:w="300" w:type="dxa"/>
            <w:vAlign w:val="bottom"/>
            <w:shd w:val="clear" w:color="auto" w:fill="DBDBDB"/>
          </w:tcPr>
          <w:p>
            <w:pPr>
              <w:spacing w:after="0"/>
              <w:rPr>
                <w:sz w:val="14"/>
                <w:szCs w:val="14"/>
                <w:color w:val="auto"/>
              </w:rPr>
            </w:pPr>
          </w:p>
        </w:tc>
        <w:tc>
          <w:tcPr>
            <w:tcW w:w="1180" w:type="dxa"/>
            <w:vAlign w:val="bottom"/>
            <w:shd w:val="clear" w:color="auto" w:fill="DBDBDB"/>
          </w:tcPr>
          <w:p>
            <w:pPr>
              <w:spacing w:after="0"/>
              <w:rPr>
                <w:sz w:val="14"/>
                <w:szCs w:val="14"/>
                <w:color w:val="auto"/>
              </w:rPr>
            </w:pPr>
          </w:p>
        </w:tc>
        <w:tc>
          <w:tcPr>
            <w:tcW w:w="360" w:type="dxa"/>
            <w:vAlign w:val="bottom"/>
            <w:shd w:val="clear" w:color="auto" w:fill="DBDBDB"/>
          </w:tcPr>
          <w:p>
            <w:pPr>
              <w:spacing w:after="0"/>
              <w:rPr>
                <w:sz w:val="14"/>
                <w:szCs w:val="14"/>
                <w:color w:val="auto"/>
              </w:rPr>
            </w:pPr>
          </w:p>
        </w:tc>
        <w:tc>
          <w:tcPr>
            <w:tcW w:w="1180" w:type="dxa"/>
            <w:vAlign w:val="bottom"/>
            <w:shd w:val="clear" w:color="auto" w:fill="DBDBDB"/>
          </w:tcPr>
          <w:p>
            <w:pPr>
              <w:spacing w:after="0"/>
              <w:rPr>
                <w:sz w:val="14"/>
                <w:szCs w:val="14"/>
                <w:color w:val="auto"/>
              </w:rPr>
            </w:pPr>
          </w:p>
        </w:tc>
        <w:tc>
          <w:tcPr>
            <w:tcW w:w="180" w:type="dxa"/>
            <w:vAlign w:val="bottom"/>
            <w:shd w:val="clear" w:color="auto" w:fill="DBDBDB"/>
          </w:tcPr>
          <w:p>
            <w:pPr>
              <w:spacing w:after="0"/>
              <w:rPr>
                <w:sz w:val="14"/>
                <w:szCs w:val="14"/>
                <w:color w:val="auto"/>
              </w:rPr>
            </w:pPr>
          </w:p>
        </w:tc>
        <w:tc>
          <w:tcPr>
            <w:tcW w:w="1320" w:type="dxa"/>
            <w:vAlign w:val="bottom"/>
            <w:shd w:val="clear" w:color="auto" w:fill="DBDBDB"/>
          </w:tcPr>
          <w:p>
            <w:pPr>
              <w:spacing w:after="0"/>
              <w:rPr>
                <w:sz w:val="14"/>
                <w:szCs w:val="14"/>
                <w:color w:val="auto"/>
              </w:rPr>
            </w:pPr>
          </w:p>
        </w:tc>
        <w:tc>
          <w:tcPr>
            <w:tcW w:w="360" w:type="dxa"/>
            <w:vAlign w:val="bottom"/>
            <w:shd w:val="clear" w:color="auto" w:fill="DBDBDB"/>
          </w:tcPr>
          <w:p>
            <w:pPr>
              <w:spacing w:after="0"/>
              <w:rPr>
                <w:sz w:val="14"/>
                <w:szCs w:val="14"/>
                <w:color w:val="auto"/>
              </w:rPr>
            </w:pPr>
          </w:p>
        </w:tc>
        <w:tc>
          <w:tcPr>
            <w:tcW w:w="1160" w:type="dxa"/>
            <w:vAlign w:val="bottom"/>
            <w:shd w:val="clear" w:color="auto" w:fill="DBDBDB"/>
          </w:tcPr>
          <w:p>
            <w:pPr>
              <w:spacing w:after="0"/>
              <w:rPr>
                <w:sz w:val="14"/>
                <w:szCs w:val="14"/>
                <w:color w:val="auto"/>
              </w:rPr>
            </w:pPr>
          </w:p>
        </w:tc>
        <w:tc>
          <w:tcPr>
            <w:tcW w:w="360" w:type="dxa"/>
            <w:vAlign w:val="bottom"/>
            <w:shd w:val="clear" w:color="auto" w:fill="DBDBDB"/>
          </w:tcPr>
          <w:p>
            <w:pPr>
              <w:spacing w:after="0"/>
              <w:rPr>
                <w:sz w:val="14"/>
                <w:szCs w:val="14"/>
                <w:color w:val="auto"/>
              </w:rPr>
            </w:pPr>
          </w:p>
        </w:tc>
        <w:tc>
          <w:tcPr>
            <w:tcW w:w="1100" w:type="dxa"/>
            <w:vAlign w:val="bottom"/>
            <w:shd w:val="clear" w:color="auto" w:fill="DBDBDB"/>
          </w:tcPr>
          <w:p>
            <w:pPr>
              <w:spacing w:after="0"/>
              <w:rPr>
                <w:sz w:val="14"/>
                <w:szCs w:val="14"/>
                <w:color w:val="auto"/>
              </w:rPr>
            </w:pPr>
          </w:p>
        </w:tc>
      </w:tr>
      <w:tr>
        <w:trPr>
          <w:trHeight w:val="243"/>
        </w:trPr>
        <w:tc>
          <w:tcPr>
            <w:tcW w:w="3740" w:type="dxa"/>
            <w:vAlign w:val="bottom"/>
            <w:tcBorders>
              <w:bottom w:val="single" w:sz="8" w:color="auto"/>
            </w:tcBorders>
            <w:shd w:val="clear" w:color="auto" w:fill="DBDBDB"/>
          </w:tcPr>
          <w:p>
            <w:pPr>
              <w:ind w:left="180"/>
              <w:spacing w:after="0"/>
              <w:rPr>
                <w:sz w:val="20"/>
                <w:szCs w:val="20"/>
                <w:color w:val="auto"/>
              </w:rPr>
            </w:pPr>
            <w:r>
              <w:rPr>
                <w:rFonts w:ascii="Times New Roman" w:cs="Times New Roman" w:eastAsia="Times New Roman" w:hAnsi="Times New Roman"/>
                <w:sz w:val="18"/>
                <w:szCs w:val="18"/>
                <w:color w:val="auto"/>
              </w:rPr>
              <w:t>beginning of next year</w:t>
            </w:r>
          </w:p>
        </w:tc>
        <w:tc>
          <w:tcPr>
            <w:tcW w:w="300" w:type="dxa"/>
            <w:vAlign w:val="bottom"/>
            <w:tcBorders>
              <w:bottom w:val="single" w:sz="8" w:color="auto"/>
            </w:tcBorders>
            <w:shd w:val="clear" w:color="auto" w:fill="DBDBDB"/>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DBDBDB"/>
          </w:tcPr>
          <w:p>
            <w:pPr>
              <w:jc w:val="right"/>
              <w:ind w:right="170"/>
              <w:spacing w:after="0"/>
              <w:rPr>
                <w:sz w:val="20"/>
                <w:szCs w:val="20"/>
                <w:color w:val="auto"/>
              </w:rPr>
            </w:pPr>
            <w:r>
              <w:rPr>
                <w:rFonts w:ascii="Times New Roman" w:cs="Times New Roman" w:eastAsia="Times New Roman" w:hAnsi="Times New Roman"/>
                <w:sz w:val="18"/>
                <w:szCs w:val="18"/>
                <w:color w:val="auto"/>
              </w:rPr>
              <w:t>132</w:t>
            </w:r>
          </w:p>
        </w:tc>
        <w:tc>
          <w:tcPr>
            <w:tcW w:w="360" w:type="dxa"/>
            <w:vAlign w:val="bottom"/>
            <w:tcBorders>
              <w:bottom w:val="single" w:sz="8" w:color="auto"/>
            </w:tcBorders>
            <w:shd w:val="clear" w:color="auto" w:fill="DBDBDB"/>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DBDBDB"/>
          </w:tcPr>
          <w:p>
            <w:pPr>
              <w:jc w:val="right"/>
              <w:ind w:right="190"/>
              <w:spacing w:after="0"/>
              <w:rPr>
                <w:sz w:val="20"/>
                <w:szCs w:val="20"/>
                <w:color w:val="auto"/>
              </w:rPr>
            </w:pPr>
            <w:r>
              <w:rPr>
                <w:rFonts w:ascii="Times New Roman" w:cs="Times New Roman" w:eastAsia="Times New Roman" w:hAnsi="Times New Roman"/>
                <w:sz w:val="18"/>
                <w:szCs w:val="18"/>
                <w:color w:val="auto"/>
              </w:rPr>
              <w:t>232</w:t>
            </w:r>
          </w:p>
        </w:tc>
        <w:tc>
          <w:tcPr>
            <w:tcW w:w="18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DBDBDB"/>
          </w:tcPr>
          <w:p>
            <w:pPr>
              <w:jc w:val="right"/>
              <w:ind w:right="170"/>
              <w:spacing w:after="0"/>
              <w:rPr>
                <w:sz w:val="20"/>
                <w:szCs w:val="20"/>
                <w:color w:val="auto"/>
              </w:rPr>
            </w:pPr>
            <w:r>
              <w:rPr>
                <w:rFonts w:ascii="Times New Roman" w:cs="Times New Roman" w:eastAsia="Times New Roman" w:hAnsi="Times New Roman"/>
                <w:sz w:val="18"/>
                <w:szCs w:val="18"/>
                <w:color w:val="auto"/>
              </w:rPr>
              <w:t>367</w:t>
            </w:r>
          </w:p>
        </w:tc>
        <w:tc>
          <w:tcPr>
            <w:tcW w:w="360" w:type="dxa"/>
            <w:vAlign w:val="bottom"/>
            <w:tcBorders>
              <w:bottom w:val="single" w:sz="8" w:color="auto"/>
            </w:tcBorders>
            <w:shd w:val="clear" w:color="auto" w:fill="DBDBDB"/>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DBDBDB"/>
          </w:tcPr>
          <w:p>
            <w:pPr>
              <w:jc w:val="right"/>
              <w:ind w:right="190"/>
              <w:spacing w:after="0"/>
              <w:rPr>
                <w:sz w:val="20"/>
                <w:szCs w:val="20"/>
                <w:color w:val="auto"/>
              </w:rPr>
            </w:pPr>
            <w:r>
              <w:rPr>
                <w:rFonts w:ascii="Times New Roman" w:cs="Times New Roman" w:eastAsia="Times New Roman" w:hAnsi="Times New Roman"/>
                <w:sz w:val="18"/>
                <w:szCs w:val="18"/>
                <w:color w:val="auto"/>
              </w:rPr>
              <w:t>567</w:t>
            </w:r>
          </w:p>
        </w:tc>
        <w:tc>
          <w:tcPr>
            <w:tcW w:w="360" w:type="dxa"/>
            <w:vAlign w:val="bottom"/>
            <w:tcBorders>
              <w:bottom w:val="single" w:sz="8" w:color="auto"/>
            </w:tcBorders>
            <w:shd w:val="clear" w:color="auto" w:fill="DBDBDB"/>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DBDBDB"/>
          </w:tcPr>
          <w:p>
            <w:pPr>
              <w:jc w:val="right"/>
              <w:ind w:right="130"/>
              <w:spacing w:after="0"/>
              <w:rPr>
                <w:sz w:val="20"/>
                <w:szCs w:val="20"/>
                <w:color w:val="auto"/>
              </w:rPr>
            </w:pPr>
            <w:r>
              <w:rPr>
                <w:rFonts w:ascii="Times New Roman" w:cs="Times New Roman" w:eastAsia="Times New Roman" w:hAnsi="Times New Roman"/>
                <w:sz w:val="18"/>
                <w:szCs w:val="18"/>
                <w:color w:val="auto"/>
              </w:rPr>
              <w:t>402</w:t>
            </w:r>
          </w:p>
        </w:tc>
      </w:tr>
      <w:tr>
        <w:trPr>
          <w:trHeight w:val="223"/>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Loans outstanding:</w:t>
            </w: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3740" w:type="dxa"/>
            <w:vAlign w:val="bottom"/>
            <w:shd w:val="clear" w:color="auto" w:fill="DBDBDB"/>
          </w:tcPr>
          <w:p>
            <w:pPr>
              <w:ind w:left="520"/>
              <w:spacing w:after="0"/>
              <w:rPr>
                <w:sz w:val="20"/>
                <w:szCs w:val="20"/>
                <w:color w:val="auto"/>
              </w:rPr>
            </w:pPr>
            <w:r>
              <w:rPr>
                <w:rFonts w:ascii="Times New Roman" w:cs="Times New Roman" w:eastAsia="Times New Roman" w:hAnsi="Times New Roman"/>
                <w:sz w:val="18"/>
                <w:szCs w:val="18"/>
                <w:color w:val="auto"/>
              </w:rPr>
              <w:t>Average</w:t>
            </w:r>
          </w:p>
        </w:tc>
        <w:tc>
          <w:tcPr>
            <w:tcW w:w="300" w:type="dxa"/>
            <w:vAlign w:val="bottom"/>
            <w:shd w:val="clear" w:color="auto" w:fill="DBDBDB"/>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DBDBDB"/>
          </w:tcPr>
          <w:p>
            <w:pPr>
              <w:jc w:val="right"/>
              <w:ind w:right="170"/>
              <w:spacing w:after="0"/>
              <w:rPr>
                <w:sz w:val="20"/>
                <w:szCs w:val="20"/>
                <w:color w:val="auto"/>
              </w:rPr>
            </w:pPr>
            <w:r>
              <w:rPr>
                <w:rFonts w:ascii="Times New Roman" w:cs="Times New Roman" w:eastAsia="Times New Roman" w:hAnsi="Times New Roman"/>
                <w:sz w:val="18"/>
                <w:szCs w:val="18"/>
                <w:color w:val="auto"/>
              </w:rPr>
              <w:t>1,055,668</w:t>
            </w:r>
          </w:p>
        </w:tc>
        <w:tc>
          <w:tcPr>
            <w:tcW w:w="360" w:type="dxa"/>
            <w:vAlign w:val="bottom"/>
            <w:shd w:val="clear" w:color="auto" w:fill="DBDBDB"/>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DBDBDB"/>
          </w:tcPr>
          <w:p>
            <w:pPr>
              <w:jc w:val="right"/>
              <w:ind w:right="190"/>
              <w:spacing w:after="0"/>
              <w:rPr>
                <w:sz w:val="20"/>
                <w:szCs w:val="20"/>
                <w:color w:val="auto"/>
              </w:rPr>
            </w:pPr>
            <w:r>
              <w:rPr>
                <w:rFonts w:ascii="Times New Roman" w:cs="Times New Roman" w:eastAsia="Times New Roman" w:hAnsi="Times New Roman"/>
                <w:sz w:val="18"/>
                <w:szCs w:val="18"/>
                <w:color w:val="auto"/>
              </w:rPr>
              <w:t>992,004</w:t>
            </w:r>
          </w:p>
        </w:tc>
        <w:tc>
          <w:tcPr>
            <w:tcW w:w="1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DBDBDB"/>
          </w:tcPr>
          <w:p>
            <w:pPr>
              <w:jc w:val="right"/>
              <w:ind w:right="170"/>
              <w:spacing w:after="0"/>
              <w:rPr>
                <w:sz w:val="20"/>
                <w:szCs w:val="20"/>
                <w:color w:val="auto"/>
              </w:rPr>
            </w:pPr>
            <w:r>
              <w:rPr>
                <w:rFonts w:ascii="Times New Roman" w:cs="Times New Roman" w:eastAsia="Times New Roman" w:hAnsi="Times New Roman"/>
                <w:sz w:val="18"/>
                <w:szCs w:val="18"/>
                <w:color w:val="auto"/>
              </w:rPr>
              <w:t>887,662</w:t>
            </w:r>
          </w:p>
        </w:tc>
        <w:tc>
          <w:tcPr>
            <w:tcW w:w="360" w:type="dxa"/>
            <w:vAlign w:val="bottom"/>
            <w:shd w:val="clear" w:color="auto" w:fill="DBDBDB"/>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DBDBDB"/>
          </w:tcPr>
          <w:p>
            <w:pPr>
              <w:jc w:val="right"/>
              <w:ind w:right="190"/>
              <w:spacing w:after="0"/>
              <w:rPr>
                <w:sz w:val="20"/>
                <w:szCs w:val="20"/>
                <w:color w:val="auto"/>
              </w:rPr>
            </w:pPr>
            <w:r>
              <w:rPr>
                <w:rFonts w:ascii="Times New Roman" w:cs="Times New Roman" w:eastAsia="Times New Roman" w:hAnsi="Times New Roman"/>
                <w:sz w:val="18"/>
                <w:szCs w:val="18"/>
                <w:color w:val="auto"/>
              </w:rPr>
              <w:t>906,631</w:t>
            </w:r>
          </w:p>
        </w:tc>
        <w:tc>
          <w:tcPr>
            <w:tcW w:w="360" w:type="dxa"/>
            <w:vAlign w:val="bottom"/>
            <w:shd w:val="clear" w:color="auto" w:fill="DBDBDB"/>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DBDBDB"/>
          </w:tcPr>
          <w:p>
            <w:pPr>
              <w:jc w:val="right"/>
              <w:ind w:right="130"/>
              <w:spacing w:after="0"/>
              <w:rPr>
                <w:sz w:val="20"/>
                <w:szCs w:val="20"/>
                <w:color w:val="auto"/>
              </w:rPr>
            </w:pPr>
            <w:r>
              <w:rPr>
                <w:rFonts w:ascii="Times New Roman" w:cs="Times New Roman" w:eastAsia="Times New Roman" w:hAnsi="Times New Roman"/>
                <w:sz w:val="18"/>
                <w:szCs w:val="18"/>
                <w:color w:val="auto"/>
              </w:rPr>
              <w:t>760,153</w:t>
            </w:r>
          </w:p>
        </w:tc>
      </w:tr>
      <w:tr>
        <w:trPr>
          <w:trHeight w:val="230"/>
        </w:trPr>
        <w:tc>
          <w:tcPr>
            <w:tcW w:w="37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December 31</w:t>
            </w:r>
          </w:p>
        </w:tc>
        <w:tc>
          <w:tcPr>
            <w:tcW w:w="300" w:type="dxa"/>
            <w:vAlign w:val="bottom"/>
          </w:tcPr>
          <w:p>
            <w:pPr>
              <w:spacing w:after="0"/>
              <w:rPr>
                <w:sz w:val="19"/>
                <w:szCs w:val="19"/>
                <w:color w:val="auto"/>
              </w:rPr>
            </w:pPr>
          </w:p>
        </w:tc>
        <w:tc>
          <w:tcPr>
            <w:tcW w:w="11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1,014,318</w:t>
            </w:r>
          </w:p>
        </w:tc>
        <w:tc>
          <w:tcPr>
            <w:tcW w:w="360" w:type="dxa"/>
            <w:vAlign w:val="bottom"/>
          </w:tcPr>
          <w:p>
            <w:pPr>
              <w:spacing w:after="0"/>
              <w:rPr>
                <w:sz w:val="19"/>
                <w:szCs w:val="19"/>
                <w:color w:val="auto"/>
              </w:rPr>
            </w:pPr>
          </w:p>
        </w:tc>
        <w:tc>
          <w:tcPr>
            <w:tcW w:w="11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1,082,906</w:t>
            </w:r>
          </w:p>
        </w:tc>
        <w:tc>
          <w:tcPr>
            <w:tcW w:w="180" w:type="dxa"/>
            <w:vAlign w:val="bottom"/>
          </w:tcPr>
          <w:p>
            <w:pPr>
              <w:spacing w:after="0"/>
              <w:rPr>
                <w:sz w:val="19"/>
                <w:szCs w:val="19"/>
                <w:color w:val="auto"/>
              </w:rPr>
            </w:pPr>
          </w:p>
        </w:tc>
        <w:tc>
          <w:tcPr>
            <w:tcW w:w="13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960,567</w:t>
            </w:r>
          </w:p>
        </w:tc>
        <w:tc>
          <w:tcPr>
            <w:tcW w:w="360" w:type="dxa"/>
            <w:vAlign w:val="bottom"/>
          </w:tcPr>
          <w:p>
            <w:pPr>
              <w:spacing w:after="0"/>
              <w:rPr>
                <w:sz w:val="19"/>
                <w:szCs w:val="19"/>
                <w:color w:val="auto"/>
              </w:rPr>
            </w:pPr>
          </w:p>
        </w:tc>
        <w:tc>
          <w:tcPr>
            <w:tcW w:w="11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891,676</w:t>
            </w:r>
          </w:p>
        </w:tc>
        <w:tc>
          <w:tcPr>
            <w:tcW w:w="360" w:type="dxa"/>
            <w:vAlign w:val="bottom"/>
          </w:tcPr>
          <w:p>
            <w:pPr>
              <w:spacing w:after="0"/>
              <w:rPr>
                <w:sz w:val="19"/>
                <w:szCs w:val="19"/>
                <w:color w:val="auto"/>
              </w:rPr>
            </w:pPr>
          </w:p>
        </w:tc>
        <w:tc>
          <w:tcPr>
            <w:tcW w:w="11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772,638</w:t>
            </w:r>
          </w:p>
        </w:tc>
      </w:tr>
      <w:tr>
        <w:trPr>
          <w:trHeight w:val="175"/>
        </w:trPr>
        <w:tc>
          <w:tcPr>
            <w:tcW w:w="3740" w:type="dxa"/>
            <w:vAlign w:val="bottom"/>
            <w:shd w:val="clear" w:color="auto" w:fill="DBDBDB"/>
          </w:tcPr>
          <w:p>
            <w:pPr>
              <w:ind w:left="20"/>
              <w:spacing w:after="0" w:line="176" w:lineRule="exact"/>
              <w:rPr>
                <w:sz w:val="20"/>
                <w:szCs w:val="20"/>
                <w:color w:val="auto"/>
              </w:rPr>
            </w:pPr>
            <w:r>
              <w:rPr>
                <w:rFonts w:ascii="Times New Roman" w:cs="Times New Roman" w:eastAsia="Times New Roman" w:hAnsi="Times New Roman"/>
                <w:sz w:val="18"/>
                <w:szCs w:val="18"/>
                <w:color w:val="auto"/>
              </w:rPr>
              <w:t>Ratio of allowance for credit losses to loans</w:t>
            </w:r>
          </w:p>
        </w:tc>
        <w:tc>
          <w:tcPr>
            <w:tcW w:w="300" w:type="dxa"/>
            <w:vAlign w:val="bottom"/>
            <w:shd w:val="clear" w:color="auto" w:fill="DBDBDB"/>
          </w:tcPr>
          <w:p>
            <w:pPr>
              <w:spacing w:after="0"/>
              <w:rPr>
                <w:sz w:val="15"/>
                <w:szCs w:val="15"/>
                <w:color w:val="auto"/>
              </w:rPr>
            </w:pPr>
          </w:p>
        </w:tc>
        <w:tc>
          <w:tcPr>
            <w:tcW w:w="1180" w:type="dxa"/>
            <w:vAlign w:val="bottom"/>
            <w:shd w:val="clear" w:color="auto" w:fill="DBDBDB"/>
          </w:tcPr>
          <w:p>
            <w:pPr>
              <w:spacing w:after="0"/>
              <w:rPr>
                <w:sz w:val="15"/>
                <w:szCs w:val="15"/>
                <w:color w:val="auto"/>
              </w:rPr>
            </w:pPr>
          </w:p>
        </w:tc>
        <w:tc>
          <w:tcPr>
            <w:tcW w:w="360" w:type="dxa"/>
            <w:vAlign w:val="bottom"/>
            <w:shd w:val="clear" w:color="auto" w:fill="DBDBDB"/>
          </w:tcPr>
          <w:p>
            <w:pPr>
              <w:spacing w:after="0"/>
              <w:rPr>
                <w:sz w:val="15"/>
                <w:szCs w:val="15"/>
                <w:color w:val="auto"/>
              </w:rPr>
            </w:pPr>
          </w:p>
        </w:tc>
        <w:tc>
          <w:tcPr>
            <w:tcW w:w="1180" w:type="dxa"/>
            <w:vAlign w:val="bottom"/>
            <w:shd w:val="clear" w:color="auto" w:fill="DBDBDB"/>
          </w:tcPr>
          <w:p>
            <w:pPr>
              <w:spacing w:after="0"/>
              <w:rPr>
                <w:sz w:val="15"/>
                <w:szCs w:val="15"/>
                <w:color w:val="auto"/>
              </w:rPr>
            </w:pPr>
          </w:p>
        </w:tc>
        <w:tc>
          <w:tcPr>
            <w:tcW w:w="180" w:type="dxa"/>
            <w:vAlign w:val="bottom"/>
            <w:shd w:val="clear" w:color="auto" w:fill="DBDBDB"/>
          </w:tcPr>
          <w:p>
            <w:pPr>
              <w:spacing w:after="0"/>
              <w:rPr>
                <w:sz w:val="15"/>
                <w:szCs w:val="15"/>
                <w:color w:val="auto"/>
              </w:rPr>
            </w:pPr>
          </w:p>
        </w:tc>
        <w:tc>
          <w:tcPr>
            <w:tcW w:w="1320" w:type="dxa"/>
            <w:vAlign w:val="bottom"/>
            <w:shd w:val="clear" w:color="auto" w:fill="DBDBDB"/>
          </w:tcPr>
          <w:p>
            <w:pPr>
              <w:spacing w:after="0"/>
              <w:rPr>
                <w:sz w:val="15"/>
                <w:szCs w:val="15"/>
                <w:color w:val="auto"/>
              </w:rPr>
            </w:pPr>
          </w:p>
        </w:tc>
        <w:tc>
          <w:tcPr>
            <w:tcW w:w="360" w:type="dxa"/>
            <w:vAlign w:val="bottom"/>
            <w:shd w:val="clear" w:color="auto" w:fill="DBDBDB"/>
          </w:tcPr>
          <w:p>
            <w:pPr>
              <w:spacing w:after="0"/>
              <w:rPr>
                <w:sz w:val="15"/>
                <w:szCs w:val="15"/>
                <w:color w:val="auto"/>
              </w:rPr>
            </w:pPr>
          </w:p>
        </w:tc>
        <w:tc>
          <w:tcPr>
            <w:tcW w:w="1160" w:type="dxa"/>
            <w:vAlign w:val="bottom"/>
            <w:shd w:val="clear" w:color="auto" w:fill="DBDBDB"/>
          </w:tcPr>
          <w:p>
            <w:pPr>
              <w:spacing w:after="0"/>
              <w:rPr>
                <w:sz w:val="15"/>
                <w:szCs w:val="15"/>
                <w:color w:val="auto"/>
              </w:rPr>
            </w:pPr>
          </w:p>
        </w:tc>
        <w:tc>
          <w:tcPr>
            <w:tcW w:w="360" w:type="dxa"/>
            <w:vAlign w:val="bottom"/>
            <w:shd w:val="clear" w:color="auto" w:fill="DBDBDB"/>
          </w:tcPr>
          <w:p>
            <w:pPr>
              <w:spacing w:after="0"/>
              <w:rPr>
                <w:sz w:val="15"/>
                <w:szCs w:val="15"/>
                <w:color w:val="auto"/>
              </w:rPr>
            </w:pPr>
          </w:p>
        </w:tc>
        <w:tc>
          <w:tcPr>
            <w:tcW w:w="1100" w:type="dxa"/>
            <w:vAlign w:val="bottom"/>
            <w:shd w:val="clear" w:color="auto" w:fill="DBDBDB"/>
          </w:tcPr>
          <w:p>
            <w:pPr>
              <w:spacing w:after="0"/>
              <w:rPr>
                <w:sz w:val="15"/>
                <w:szCs w:val="15"/>
                <w:color w:val="auto"/>
              </w:rPr>
            </w:pPr>
          </w:p>
        </w:tc>
      </w:tr>
      <w:tr>
        <w:trPr>
          <w:trHeight w:val="243"/>
        </w:trPr>
        <w:tc>
          <w:tcPr>
            <w:tcW w:w="3740" w:type="dxa"/>
            <w:vAlign w:val="bottom"/>
            <w:shd w:val="clear" w:color="auto" w:fill="DBDBDB"/>
          </w:tcPr>
          <w:p>
            <w:pPr>
              <w:ind w:left="180"/>
              <w:spacing w:after="0"/>
              <w:rPr>
                <w:sz w:val="20"/>
                <w:szCs w:val="20"/>
                <w:color w:val="auto"/>
              </w:rPr>
            </w:pPr>
            <w:r>
              <w:rPr>
                <w:rFonts w:ascii="Times New Roman" w:cs="Times New Roman" w:eastAsia="Times New Roman" w:hAnsi="Times New Roman"/>
                <w:sz w:val="18"/>
                <w:szCs w:val="18"/>
                <w:color w:val="auto"/>
              </w:rPr>
              <w:t>outstanding at December 31</w:t>
            </w:r>
          </w:p>
        </w:tc>
        <w:tc>
          <w:tcPr>
            <w:tcW w:w="300" w:type="dxa"/>
            <w:vAlign w:val="bottom"/>
            <w:shd w:val="clear" w:color="auto" w:fill="DBDBDB"/>
          </w:tcPr>
          <w:p>
            <w:pPr>
              <w:spacing w:after="0"/>
              <w:rPr>
                <w:sz w:val="21"/>
                <w:szCs w:val="21"/>
                <w:color w:val="auto"/>
              </w:rPr>
            </w:pPr>
          </w:p>
        </w:tc>
        <w:tc>
          <w:tcPr>
            <w:tcW w:w="11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1.29 %</w:t>
            </w:r>
          </w:p>
        </w:tc>
        <w:tc>
          <w:tcPr>
            <w:tcW w:w="360" w:type="dxa"/>
            <w:vAlign w:val="bottom"/>
            <w:shd w:val="clear" w:color="auto" w:fill="DBDBDB"/>
          </w:tcPr>
          <w:p>
            <w:pPr>
              <w:spacing w:after="0"/>
              <w:rPr>
                <w:sz w:val="21"/>
                <w:szCs w:val="21"/>
                <w:color w:val="auto"/>
              </w:rPr>
            </w:pPr>
          </w:p>
        </w:tc>
        <w:tc>
          <w:tcPr>
            <w:tcW w:w="11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1.25 %</w:t>
            </w:r>
          </w:p>
        </w:tc>
        <w:tc>
          <w:tcPr>
            <w:tcW w:w="180" w:type="dxa"/>
            <w:vAlign w:val="bottom"/>
            <w:shd w:val="clear" w:color="auto" w:fill="DBDBDB"/>
          </w:tcPr>
          <w:p>
            <w:pPr>
              <w:spacing w:after="0"/>
              <w:rPr>
                <w:sz w:val="21"/>
                <w:szCs w:val="21"/>
                <w:color w:val="auto"/>
              </w:rPr>
            </w:pPr>
          </w:p>
        </w:tc>
        <w:tc>
          <w:tcPr>
            <w:tcW w:w="13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1.25 %</w:t>
            </w:r>
          </w:p>
        </w:tc>
        <w:tc>
          <w:tcPr>
            <w:tcW w:w="360" w:type="dxa"/>
            <w:vAlign w:val="bottom"/>
            <w:shd w:val="clear" w:color="auto" w:fill="DBDBDB"/>
          </w:tcPr>
          <w:p>
            <w:pPr>
              <w:spacing w:after="0"/>
              <w:rPr>
                <w:sz w:val="21"/>
                <w:szCs w:val="21"/>
                <w:color w:val="auto"/>
              </w:rPr>
            </w:pPr>
          </w:p>
        </w:tc>
        <w:tc>
          <w:tcPr>
            <w:tcW w:w="11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1.34 %</w:t>
            </w:r>
          </w:p>
        </w:tc>
        <w:tc>
          <w:tcPr>
            <w:tcW w:w="360" w:type="dxa"/>
            <w:vAlign w:val="bottom"/>
            <w:shd w:val="clear" w:color="auto" w:fill="DBDBDB"/>
          </w:tcPr>
          <w:p>
            <w:pPr>
              <w:spacing w:after="0"/>
              <w:rPr>
                <w:sz w:val="21"/>
                <w:szCs w:val="21"/>
                <w:color w:val="auto"/>
              </w:rPr>
            </w:pPr>
          </w:p>
        </w:tc>
        <w:tc>
          <w:tcPr>
            <w:tcW w:w="11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1.37 %</w:t>
            </w:r>
          </w:p>
        </w:tc>
      </w:tr>
      <w:tr>
        <w:trPr>
          <w:trHeight w:val="175"/>
        </w:trPr>
        <w:tc>
          <w:tcPr>
            <w:tcW w:w="37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Ratio of net recoveries to average loans</w:t>
            </w:r>
          </w:p>
        </w:tc>
        <w:tc>
          <w:tcPr>
            <w:tcW w:w="3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43"/>
        </w:trPr>
        <w:tc>
          <w:tcPr>
            <w:tcW w:w="37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outstanding</w:t>
            </w:r>
          </w:p>
        </w:tc>
        <w:tc>
          <w:tcPr>
            <w:tcW w:w="3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(0.01)%</w:t>
            </w:r>
          </w:p>
        </w:tc>
      </w:tr>
      <w:tr>
        <w:trPr>
          <w:trHeight w:val="223"/>
        </w:trPr>
        <w:tc>
          <w:tcPr>
            <w:tcW w:w="3740" w:type="dxa"/>
            <w:vAlign w:val="bottom"/>
            <w:shd w:val="clear" w:color="auto" w:fill="DBDBDB"/>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Allocation of allowance for credit losses </w:t>
            </w:r>
            <w:r>
              <w:rPr>
                <w:rFonts w:ascii="Times New Roman" w:cs="Times New Roman" w:eastAsia="Times New Roman" w:hAnsi="Times New Roman"/>
                <w:sz w:val="23"/>
                <w:szCs w:val="23"/>
                <w:b w:val="1"/>
                <w:bCs w:val="1"/>
                <w:color w:val="auto"/>
                <w:vertAlign w:val="superscript"/>
              </w:rPr>
              <w:t>(1)</w:t>
            </w:r>
            <w:r>
              <w:rPr>
                <w:rFonts w:ascii="Times New Roman" w:cs="Times New Roman" w:eastAsia="Times New Roman" w:hAnsi="Times New Roman"/>
                <w:sz w:val="18"/>
                <w:szCs w:val="18"/>
                <w:color w:val="auto"/>
              </w:rPr>
              <w:t>:</w:t>
            </w:r>
          </w:p>
        </w:tc>
        <w:tc>
          <w:tcPr>
            <w:tcW w:w="300" w:type="dxa"/>
            <w:vAlign w:val="bottom"/>
            <w:shd w:val="clear" w:color="auto" w:fill="DBDBDB"/>
          </w:tcPr>
          <w:p>
            <w:pPr>
              <w:spacing w:after="0"/>
              <w:rPr>
                <w:sz w:val="19"/>
                <w:szCs w:val="19"/>
                <w:color w:val="auto"/>
              </w:rPr>
            </w:pPr>
          </w:p>
        </w:tc>
        <w:tc>
          <w:tcPr>
            <w:tcW w:w="118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118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32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116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1100" w:type="dxa"/>
            <w:vAlign w:val="bottom"/>
            <w:shd w:val="clear" w:color="auto" w:fill="DBDBDB"/>
          </w:tcPr>
          <w:p>
            <w:pPr>
              <w:spacing w:after="0"/>
              <w:rPr>
                <w:sz w:val="19"/>
                <w:szCs w:val="19"/>
                <w:color w:val="auto"/>
              </w:rPr>
            </w:pPr>
          </w:p>
        </w:tc>
      </w:tr>
      <w:tr>
        <w:trPr>
          <w:trHeight w:val="229"/>
        </w:trPr>
        <w:tc>
          <w:tcPr>
            <w:tcW w:w="3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5,412</w:t>
            </w:r>
          </w:p>
        </w:tc>
        <w:tc>
          <w:tcPr>
            <w:tcW w:w="3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5,977</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5,035</w:t>
            </w:r>
          </w:p>
        </w:tc>
        <w:tc>
          <w:tcPr>
            <w:tcW w:w="3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4,635</w:t>
            </w:r>
          </w:p>
        </w:tc>
        <w:tc>
          <w:tcPr>
            <w:tcW w:w="3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4,874</w:t>
            </w:r>
          </w:p>
        </w:tc>
      </w:tr>
      <w:tr>
        <w:trPr>
          <w:trHeight w:val="230"/>
        </w:trPr>
        <w:tc>
          <w:tcPr>
            <w:tcW w:w="3740" w:type="dxa"/>
            <w:vAlign w:val="bottom"/>
            <w:shd w:val="clear" w:color="auto" w:fill="DBDBDB"/>
          </w:tcPr>
          <w:p>
            <w:pPr>
              <w:ind w:left="180"/>
              <w:spacing w:after="0"/>
              <w:rPr>
                <w:sz w:val="20"/>
                <w:szCs w:val="20"/>
                <w:color w:val="auto"/>
              </w:rPr>
            </w:pPr>
            <w:r>
              <w:rPr>
                <w:rFonts w:ascii="Times New Roman" w:cs="Times New Roman" w:eastAsia="Times New Roman" w:hAnsi="Times New Roman"/>
                <w:sz w:val="18"/>
                <w:szCs w:val="18"/>
                <w:color w:val="auto"/>
              </w:rPr>
              <w:t>Real estate (commercial and faith-based):</w:t>
            </w:r>
          </w:p>
        </w:tc>
        <w:tc>
          <w:tcPr>
            <w:tcW w:w="300" w:type="dxa"/>
            <w:vAlign w:val="bottom"/>
            <w:shd w:val="clear" w:color="auto" w:fill="DBDBDB"/>
          </w:tcPr>
          <w:p>
            <w:pPr>
              <w:spacing w:after="0"/>
              <w:rPr>
                <w:sz w:val="19"/>
                <w:szCs w:val="19"/>
                <w:color w:val="auto"/>
              </w:rPr>
            </w:pPr>
          </w:p>
        </w:tc>
        <w:tc>
          <w:tcPr>
            <w:tcW w:w="118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118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32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116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1100" w:type="dxa"/>
            <w:vAlign w:val="bottom"/>
            <w:shd w:val="clear" w:color="auto" w:fill="DBDBDB"/>
          </w:tcPr>
          <w:p>
            <w:pPr>
              <w:spacing w:after="0"/>
              <w:rPr>
                <w:sz w:val="19"/>
                <w:szCs w:val="19"/>
                <w:color w:val="auto"/>
              </w:rPr>
            </w:pPr>
          </w:p>
        </w:tc>
      </w:tr>
      <w:tr>
        <w:trPr>
          <w:trHeight w:val="229"/>
        </w:trPr>
        <w:tc>
          <w:tcPr>
            <w:tcW w:w="37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Mortgage</w:t>
            </w:r>
          </w:p>
        </w:tc>
        <w:tc>
          <w:tcPr>
            <w:tcW w:w="300" w:type="dxa"/>
            <w:vAlign w:val="bottom"/>
          </w:tcPr>
          <w:p>
            <w:pPr>
              <w:spacing w:after="0"/>
              <w:rPr>
                <w:sz w:val="19"/>
                <w:szCs w:val="19"/>
                <w:color w:val="auto"/>
              </w:rPr>
            </w:pPr>
          </w:p>
        </w:tc>
        <w:tc>
          <w:tcPr>
            <w:tcW w:w="11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7,569</w:t>
            </w:r>
          </w:p>
        </w:tc>
        <w:tc>
          <w:tcPr>
            <w:tcW w:w="360" w:type="dxa"/>
            <w:vAlign w:val="bottom"/>
          </w:tcPr>
          <w:p>
            <w:pPr>
              <w:spacing w:after="0"/>
              <w:rPr>
                <w:sz w:val="19"/>
                <w:szCs w:val="19"/>
                <w:color w:val="auto"/>
              </w:rPr>
            </w:pPr>
          </w:p>
        </w:tc>
        <w:tc>
          <w:tcPr>
            <w:tcW w:w="11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7,378</w:t>
            </w:r>
          </w:p>
        </w:tc>
        <w:tc>
          <w:tcPr>
            <w:tcW w:w="180" w:type="dxa"/>
            <w:vAlign w:val="bottom"/>
          </w:tcPr>
          <w:p>
            <w:pPr>
              <w:spacing w:after="0"/>
              <w:rPr>
                <w:sz w:val="19"/>
                <w:szCs w:val="19"/>
                <w:color w:val="auto"/>
              </w:rPr>
            </w:pPr>
          </w:p>
        </w:tc>
        <w:tc>
          <w:tcPr>
            <w:tcW w:w="13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6,714</w:t>
            </w:r>
          </w:p>
        </w:tc>
        <w:tc>
          <w:tcPr>
            <w:tcW w:w="360" w:type="dxa"/>
            <w:vAlign w:val="bottom"/>
          </w:tcPr>
          <w:p>
            <w:pPr>
              <w:spacing w:after="0"/>
              <w:rPr>
                <w:sz w:val="19"/>
                <w:szCs w:val="19"/>
                <w:color w:val="auto"/>
              </w:rPr>
            </w:pPr>
          </w:p>
        </w:tc>
        <w:tc>
          <w:tcPr>
            <w:tcW w:w="11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6,892</w:t>
            </w:r>
          </w:p>
        </w:tc>
        <w:tc>
          <w:tcPr>
            <w:tcW w:w="360" w:type="dxa"/>
            <w:vAlign w:val="bottom"/>
          </w:tcPr>
          <w:p>
            <w:pPr>
              <w:spacing w:after="0"/>
              <w:rPr>
                <w:sz w:val="19"/>
                <w:szCs w:val="19"/>
                <w:color w:val="auto"/>
              </w:rPr>
            </w:pPr>
          </w:p>
        </w:tc>
        <w:tc>
          <w:tcPr>
            <w:tcW w:w="11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5,370</w:t>
            </w:r>
          </w:p>
        </w:tc>
      </w:tr>
      <w:tr>
        <w:trPr>
          <w:trHeight w:val="230"/>
        </w:trPr>
        <w:tc>
          <w:tcPr>
            <w:tcW w:w="3740" w:type="dxa"/>
            <w:vAlign w:val="bottom"/>
            <w:shd w:val="clear" w:color="auto" w:fill="DBDBDB"/>
          </w:tcPr>
          <w:p>
            <w:pPr>
              <w:ind w:left="640"/>
              <w:spacing w:after="0"/>
              <w:rPr>
                <w:sz w:val="20"/>
                <w:szCs w:val="20"/>
                <w:color w:val="auto"/>
              </w:rPr>
            </w:pPr>
            <w:r>
              <w:rPr>
                <w:rFonts w:ascii="Times New Roman" w:cs="Times New Roman" w:eastAsia="Times New Roman" w:hAnsi="Times New Roman"/>
                <w:sz w:val="18"/>
                <w:szCs w:val="18"/>
                <w:color w:val="auto"/>
              </w:rPr>
              <w:t>Construction</w:t>
            </w:r>
          </w:p>
        </w:tc>
        <w:tc>
          <w:tcPr>
            <w:tcW w:w="300" w:type="dxa"/>
            <w:vAlign w:val="bottom"/>
            <w:shd w:val="clear" w:color="auto" w:fill="DBDBDB"/>
          </w:tcPr>
          <w:p>
            <w:pPr>
              <w:spacing w:after="0"/>
              <w:rPr>
                <w:sz w:val="19"/>
                <w:szCs w:val="19"/>
                <w:color w:val="auto"/>
              </w:rPr>
            </w:pPr>
          </w:p>
        </w:tc>
        <w:tc>
          <w:tcPr>
            <w:tcW w:w="1180" w:type="dxa"/>
            <w:vAlign w:val="bottom"/>
            <w:shd w:val="clear" w:color="auto" w:fill="DBDBDB"/>
          </w:tcPr>
          <w:p>
            <w:pPr>
              <w:jc w:val="right"/>
              <w:ind w:right="170"/>
              <w:spacing w:after="0"/>
              <w:rPr>
                <w:sz w:val="20"/>
                <w:szCs w:val="20"/>
                <w:color w:val="auto"/>
              </w:rPr>
            </w:pPr>
            <w:r>
              <w:rPr>
                <w:rFonts w:ascii="Times New Roman" w:cs="Times New Roman" w:eastAsia="Times New Roman" w:hAnsi="Times New Roman"/>
                <w:sz w:val="18"/>
                <w:szCs w:val="18"/>
                <w:color w:val="auto"/>
              </w:rPr>
              <w:t>108</w:t>
            </w:r>
          </w:p>
        </w:tc>
        <w:tc>
          <w:tcPr>
            <w:tcW w:w="360" w:type="dxa"/>
            <w:vAlign w:val="bottom"/>
            <w:shd w:val="clear" w:color="auto" w:fill="DBDBDB"/>
          </w:tcPr>
          <w:p>
            <w:pPr>
              <w:spacing w:after="0"/>
              <w:rPr>
                <w:sz w:val="19"/>
                <w:szCs w:val="19"/>
                <w:color w:val="auto"/>
              </w:rPr>
            </w:pPr>
          </w:p>
        </w:tc>
        <w:tc>
          <w:tcPr>
            <w:tcW w:w="1180" w:type="dxa"/>
            <w:vAlign w:val="bottom"/>
            <w:shd w:val="clear" w:color="auto" w:fill="DBDBDB"/>
          </w:tcPr>
          <w:p>
            <w:pPr>
              <w:jc w:val="right"/>
              <w:ind w:right="190"/>
              <w:spacing w:after="0"/>
              <w:rPr>
                <w:sz w:val="20"/>
                <w:szCs w:val="20"/>
                <w:color w:val="auto"/>
              </w:rPr>
            </w:pPr>
            <w:r>
              <w:rPr>
                <w:rFonts w:ascii="Times New Roman" w:cs="Times New Roman" w:eastAsia="Times New Roman" w:hAnsi="Times New Roman"/>
                <w:sz w:val="18"/>
                <w:szCs w:val="18"/>
                <w:color w:val="auto"/>
              </w:rPr>
              <w:t>184</w:t>
            </w:r>
          </w:p>
        </w:tc>
        <w:tc>
          <w:tcPr>
            <w:tcW w:w="180" w:type="dxa"/>
            <w:vAlign w:val="bottom"/>
            <w:shd w:val="clear" w:color="auto" w:fill="DBDBDB"/>
          </w:tcPr>
          <w:p>
            <w:pPr>
              <w:spacing w:after="0"/>
              <w:rPr>
                <w:sz w:val="19"/>
                <w:szCs w:val="19"/>
                <w:color w:val="auto"/>
              </w:rPr>
            </w:pPr>
          </w:p>
        </w:tc>
        <w:tc>
          <w:tcPr>
            <w:tcW w:w="1320" w:type="dxa"/>
            <w:vAlign w:val="bottom"/>
            <w:shd w:val="clear" w:color="auto" w:fill="DBDBDB"/>
          </w:tcPr>
          <w:p>
            <w:pPr>
              <w:jc w:val="right"/>
              <w:ind w:right="170"/>
              <w:spacing w:after="0"/>
              <w:rPr>
                <w:sz w:val="20"/>
                <w:szCs w:val="20"/>
                <w:color w:val="auto"/>
              </w:rPr>
            </w:pPr>
            <w:r>
              <w:rPr>
                <w:rFonts w:ascii="Times New Roman" w:cs="Times New Roman" w:eastAsia="Times New Roman" w:hAnsi="Times New Roman"/>
                <w:sz w:val="18"/>
                <w:szCs w:val="18"/>
                <w:color w:val="auto"/>
              </w:rPr>
              <w:t>292</w:t>
            </w:r>
          </w:p>
        </w:tc>
        <w:tc>
          <w:tcPr>
            <w:tcW w:w="360" w:type="dxa"/>
            <w:vAlign w:val="bottom"/>
            <w:shd w:val="clear" w:color="auto" w:fill="DBDBDB"/>
          </w:tcPr>
          <w:p>
            <w:pPr>
              <w:spacing w:after="0"/>
              <w:rPr>
                <w:sz w:val="19"/>
                <w:szCs w:val="19"/>
                <w:color w:val="auto"/>
              </w:rPr>
            </w:pPr>
          </w:p>
        </w:tc>
        <w:tc>
          <w:tcPr>
            <w:tcW w:w="1160" w:type="dxa"/>
            <w:vAlign w:val="bottom"/>
            <w:shd w:val="clear" w:color="auto" w:fill="DBDBDB"/>
          </w:tcPr>
          <w:p>
            <w:pPr>
              <w:jc w:val="right"/>
              <w:ind w:right="190"/>
              <w:spacing w:after="0"/>
              <w:rPr>
                <w:sz w:val="20"/>
                <w:szCs w:val="20"/>
                <w:color w:val="auto"/>
              </w:rPr>
            </w:pPr>
            <w:r>
              <w:rPr>
                <w:rFonts w:ascii="Times New Roman" w:cs="Times New Roman" w:eastAsia="Times New Roman" w:hAnsi="Times New Roman"/>
                <w:sz w:val="18"/>
                <w:szCs w:val="18"/>
                <w:color w:val="auto"/>
              </w:rPr>
              <w:t>417</w:t>
            </w:r>
          </w:p>
        </w:tc>
        <w:tc>
          <w:tcPr>
            <w:tcW w:w="360" w:type="dxa"/>
            <w:vAlign w:val="bottom"/>
            <w:shd w:val="clear" w:color="auto" w:fill="DBDBDB"/>
          </w:tcPr>
          <w:p>
            <w:pPr>
              <w:spacing w:after="0"/>
              <w:rPr>
                <w:sz w:val="19"/>
                <w:szCs w:val="19"/>
                <w:color w:val="auto"/>
              </w:rPr>
            </w:pPr>
          </w:p>
        </w:tc>
        <w:tc>
          <w:tcPr>
            <w:tcW w:w="1100" w:type="dxa"/>
            <w:vAlign w:val="bottom"/>
            <w:shd w:val="clear" w:color="auto" w:fill="DBDBDB"/>
          </w:tcPr>
          <w:p>
            <w:pPr>
              <w:jc w:val="right"/>
              <w:ind w:right="130"/>
              <w:spacing w:after="0"/>
              <w:rPr>
                <w:sz w:val="20"/>
                <w:szCs w:val="20"/>
                <w:color w:val="auto"/>
              </w:rPr>
            </w:pPr>
            <w:r>
              <w:rPr>
                <w:rFonts w:ascii="Times New Roman" w:cs="Times New Roman" w:eastAsia="Times New Roman" w:hAnsi="Times New Roman"/>
                <w:sz w:val="18"/>
                <w:szCs w:val="18"/>
                <w:color w:val="auto"/>
              </w:rPr>
              <w:t>312</w:t>
            </w:r>
          </w:p>
        </w:tc>
      </w:tr>
      <w:tr>
        <w:trPr>
          <w:trHeight w:val="229"/>
        </w:trPr>
        <w:tc>
          <w:tcPr>
            <w:tcW w:w="374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3740" w:type="dxa"/>
            <w:vAlign w:val="bottom"/>
            <w:tcBorders>
              <w:bottom w:val="single" w:sz="8" w:color="auto"/>
            </w:tcBorders>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bottom w:val="single" w:sz="8" w:color="auto"/>
            </w:tcBorders>
            <w:shd w:val="clear" w:color="auto" w:fill="DBDBDB"/>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DBDBDB"/>
          </w:tcPr>
          <w:p>
            <w:pPr>
              <w:jc w:val="right"/>
              <w:ind w:right="170"/>
              <w:spacing w:after="0"/>
              <w:rPr>
                <w:sz w:val="20"/>
                <w:szCs w:val="20"/>
                <w:color w:val="auto"/>
              </w:rPr>
            </w:pPr>
            <w:r>
              <w:rPr>
                <w:rFonts w:ascii="Times New Roman" w:cs="Times New Roman" w:eastAsia="Times New Roman" w:hAnsi="Times New Roman"/>
                <w:sz w:val="18"/>
                <w:szCs w:val="18"/>
                <w:color w:val="auto"/>
              </w:rPr>
              <w:t>13,089</w:t>
            </w:r>
          </w:p>
        </w:tc>
        <w:tc>
          <w:tcPr>
            <w:tcW w:w="360" w:type="dxa"/>
            <w:vAlign w:val="bottom"/>
            <w:tcBorders>
              <w:bottom w:val="single" w:sz="8" w:color="auto"/>
            </w:tcBorders>
            <w:shd w:val="clear" w:color="auto" w:fill="DBDBDB"/>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DBDBDB"/>
          </w:tcPr>
          <w:p>
            <w:pPr>
              <w:jc w:val="right"/>
              <w:ind w:right="190"/>
              <w:spacing w:after="0"/>
              <w:rPr>
                <w:sz w:val="20"/>
                <w:szCs w:val="20"/>
                <w:color w:val="auto"/>
              </w:rPr>
            </w:pPr>
            <w:r>
              <w:rPr>
                <w:rFonts w:ascii="Times New Roman" w:cs="Times New Roman" w:eastAsia="Times New Roman" w:hAnsi="Times New Roman"/>
                <w:sz w:val="18"/>
                <w:szCs w:val="18"/>
                <w:color w:val="auto"/>
              </w:rPr>
              <w:t>13,539</w:t>
            </w:r>
          </w:p>
        </w:tc>
        <w:tc>
          <w:tcPr>
            <w:tcW w:w="18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DBDBDB"/>
          </w:tcPr>
          <w:p>
            <w:pPr>
              <w:jc w:val="right"/>
              <w:ind w:right="170"/>
              <w:spacing w:after="0"/>
              <w:rPr>
                <w:sz w:val="20"/>
                <w:szCs w:val="20"/>
                <w:color w:val="auto"/>
              </w:rPr>
            </w:pPr>
            <w:r>
              <w:rPr>
                <w:rFonts w:ascii="Times New Roman" w:cs="Times New Roman" w:eastAsia="Times New Roman" w:hAnsi="Times New Roman"/>
                <w:sz w:val="18"/>
                <w:szCs w:val="18"/>
                <w:color w:val="auto"/>
              </w:rPr>
              <w:t>12,041</w:t>
            </w:r>
          </w:p>
        </w:tc>
        <w:tc>
          <w:tcPr>
            <w:tcW w:w="360" w:type="dxa"/>
            <w:vAlign w:val="bottom"/>
            <w:tcBorders>
              <w:bottom w:val="single" w:sz="8" w:color="auto"/>
            </w:tcBorders>
            <w:shd w:val="clear" w:color="auto" w:fill="DBDBDB"/>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DBDBDB"/>
          </w:tcPr>
          <w:p>
            <w:pPr>
              <w:jc w:val="right"/>
              <w:ind w:right="190"/>
              <w:spacing w:after="0"/>
              <w:rPr>
                <w:sz w:val="20"/>
                <w:szCs w:val="20"/>
                <w:color w:val="auto"/>
              </w:rPr>
            </w:pPr>
            <w:r>
              <w:rPr>
                <w:rFonts w:ascii="Times New Roman" w:cs="Times New Roman" w:eastAsia="Times New Roman" w:hAnsi="Times New Roman"/>
                <w:sz w:val="18"/>
                <w:szCs w:val="18"/>
                <w:color w:val="auto"/>
              </w:rPr>
              <w:t>11,944</w:t>
            </w:r>
          </w:p>
        </w:tc>
        <w:tc>
          <w:tcPr>
            <w:tcW w:w="360" w:type="dxa"/>
            <w:vAlign w:val="bottom"/>
            <w:tcBorders>
              <w:bottom w:val="single" w:sz="8" w:color="auto"/>
            </w:tcBorders>
            <w:shd w:val="clear" w:color="auto" w:fill="DBDBDB"/>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DBDBDB"/>
          </w:tcPr>
          <w:p>
            <w:pPr>
              <w:jc w:val="right"/>
              <w:ind w:right="130"/>
              <w:spacing w:after="0"/>
              <w:rPr>
                <w:sz w:val="20"/>
                <w:szCs w:val="20"/>
                <w:color w:val="auto"/>
              </w:rPr>
            </w:pPr>
            <w:r>
              <w:rPr>
                <w:rFonts w:ascii="Times New Roman" w:cs="Times New Roman" w:eastAsia="Times New Roman" w:hAnsi="Times New Roman"/>
                <w:sz w:val="18"/>
                <w:szCs w:val="18"/>
                <w:color w:val="auto"/>
              </w:rPr>
              <w:t>10,556</w:t>
            </w:r>
          </w:p>
        </w:tc>
      </w:tr>
      <w:tr>
        <w:trPr>
          <w:trHeight w:val="250"/>
        </w:trPr>
        <w:tc>
          <w:tcPr>
            <w:tcW w:w="37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30"/>
        </w:trPr>
        <w:tc>
          <w:tcPr>
            <w:tcW w:w="374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Percentage of categories to total loans:</w:t>
            </w:r>
          </w:p>
        </w:tc>
        <w:tc>
          <w:tcPr>
            <w:tcW w:w="300" w:type="dxa"/>
            <w:vAlign w:val="bottom"/>
            <w:shd w:val="clear" w:color="auto" w:fill="DBDBDB"/>
          </w:tcPr>
          <w:p>
            <w:pPr>
              <w:spacing w:after="0"/>
              <w:rPr>
                <w:sz w:val="19"/>
                <w:szCs w:val="19"/>
                <w:color w:val="auto"/>
              </w:rPr>
            </w:pPr>
          </w:p>
        </w:tc>
        <w:tc>
          <w:tcPr>
            <w:tcW w:w="118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118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32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116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1100" w:type="dxa"/>
            <w:vAlign w:val="bottom"/>
            <w:shd w:val="clear" w:color="auto" w:fill="DBDBDB"/>
          </w:tcPr>
          <w:p>
            <w:pPr>
              <w:spacing w:after="0"/>
              <w:rPr>
                <w:sz w:val="19"/>
                <w:szCs w:val="19"/>
                <w:color w:val="auto"/>
              </w:rPr>
            </w:pPr>
          </w:p>
        </w:tc>
      </w:tr>
      <w:tr>
        <w:trPr>
          <w:trHeight w:val="229"/>
        </w:trPr>
        <w:tc>
          <w:tcPr>
            <w:tcW w:w="3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49.1 %</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51.9 %</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46.9 %</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33.5 %</w:t>
            </w: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41.9 %</w:t>
            </w:r>
          </w:p>
        </w:tc>
      </w:tr>
      <w:tr>
        <w:trPr>
          <w:trHeight w:val="229"/>
        </w:trPr>
        <w:tc>
          <w:tcPr>
            <w:tcW w:w="3740" w:type="dxa"/>
            <w:vAlign w:val="bottom"/>
            <w:shd w:val="clear" w:color="auto" w:fill="DBDBDB"/>
          </w:tcPr>
          <w:p>
            <w:pPr>
              <w:ind w:left="180"/>
              <w:spacing w:after="0"/>
              <w:rPr>
                <w:sz w:val="20"/>
                <w:szCs w:val="20"/>
                <w:color w:val="auto"/>
              </w:rPr>
            </w:pPr>
            <w:r>
              <w:rPr>
                <w:rFonts w:ascii="Times New Roman" w:cs="Times New Roman" w:eastAsia="Times New Roman" w:hAnsi="Times New Roman"/>
                <w:sz w:val="18"/>
                <w:szCs w:val="18"/>
                <w:color w:val="auto"/>
              </w:rPr>
              <w:t>Real estate (commercial and faith-based):</w:t>
            </w:r>
          </w:p>
        </w:tc>
        <w:tc>
          <w:tcPr>
            <w:tcW w:w="300" w:type="dxa"/>
            <w:vAlign w:val="bottom"/>
            <w:shd w:val="clear" w:color="auto" w:fill="DBDBDB"/>
          </w:tcPr>
          <w:p>
            <w:pPr>
              <w:spacing w:after="0"/>
              <w:rPr>
                <w:sz w:val="19"/>
                <w:szCs w:val="19"/>
                <w:color w:val="auto"/>
              </w:rPr>
            </w:pPr>
          </w:p>
        </w:tc>
        <w:tc>
          <w:tcPr>
            <w:tcW w:w="118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118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32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116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1100" w:type="dxa"/>
            <w:vAlign w:val="bottom"/>
            <w:shd w:val="clear" w:color="auto" w:fill="DBDBDB"/>
          </w:tcPr>
          <w:p>
            <w:pPr>
              <w:spacing w:after="0"/>
              <w:rPr>
                <w:sz w:val="19"/>
                <w:szCs w:val="19"/>
                <w:color w:val="auto"/>
              </w:rPr>
            </w:pPr>
          </w:p>
        </w:tc>
      </w:tr>
      <w:tr>
        <w:trPr>
          <w:trHeight w:val="229"/>
        </w:trPr>
        <w:tc>
          <w:tcPr>
            <w:tcW w:w="37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Mortgage</w:t>
            </w:r>
          </w:p>
        </w:tc>
        <w:tc>
          <w:tcPr>
            <w:tcW w:w="300" w:type="dxa"/>
            <w:vAlign w:val="bottom"/>
          </w:tcPr>
          <w:p>
            <w:pPr>
              <w:spacing w:after="0"/>
              <w:rPr>
                <w:sz w:val="19"/>
                <w:szCs w:val="19"/>
                <w:color w:val="auto"/>
              </w:rPr>
            </w:pPr>
          </w:p>
        </w:tc>
        <w:tc>
          <w:tcPr>
            <w:tcW w:w="11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49.3</w:t>
            </w:r>
          </w:p>
        </w:tc>
        <w:tc>
          <w:tcPr>
            <w:tcW w:w="360" w:type="dxa"/>
            <w:vAlign w:val="bottom"/>
          </w:tcPr>
          <w:p>
            <w:pPr>
              <w:spacing w:after="0"/>
              <w:rPr>
                <w:sz w:val="19"/>
                <w:szCs w:val="19"/>
                <w:color w:val="auto"/>
              </w:rPr>
            </w:pPr>
          </w:p>
        </w:tc>
        <w:tc>
          <w:tcPr>
            <w:tcW w:w="11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45.7</w:t>
            </w:r>
          </w:p>
        </w:tc>
        <w:tc>
          <w:tcPr>
            <w:tcW w:w="180" w:type="dxa"/>
            <w:vAlign w:val="bottom"/>
          </w:tcPr>
          <w:p>
            <w:pPr>
              <w:spacing w:after="0"/>
              <w:rPr>
                <w:sz w:val="19"/>
                <w:szCs w:val="19"/>
                <w:color w:val="auto"/>
              </w:rPr>
            </w:pPr>
          </w:p>
        </w:tc>
        <w:tc>
          <w:tcPr>
            <w:tcW w:w="13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48.3</w:t>
            </w:r>
          </w:p>
        </w:tc>
        <w:tc>
          <w:tcPr>
            <w:tcW w:w="360" w:type="dxa"/>
            <w:vAlign w:val="bottom"/>
          </w:tcPr>
          <w:p>
            <w:pPr>
              <w:spacing w:after="0"/>
              <w:rPr>
                <w:sz w:val="19"/>
                <w:szCs w:val="19"/>
                <w:color w:val="auto"/>
              </w:rPr>
            </w:pPr>
          </w:p>
        </w:tc>
        <w:tc>
          <w:tcPr>
            <w:tcW w:w="11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48.7</w:t>
            </w:r>
          </w:p>
        </w:tc>
        <w:tc>
          <w:tcPr>
            <w:tcW w:w="360" w:type="dxa"/>
            <w:vAlign w:val="bottom"/>
          </w:tcPr>
          <w:p>
            <w:pPr>
              <w:spacing w:after="0"/>
              <w:rPr>
                <w:sz w:val="19"/>
                <w:szCs w:val="19"/>
                <w:color w:val="auto"/>
              </w:rPr>
            </w:pPr>
          </w:p>
        </w:tc>
        <w:tc>
          <w:tcPr>
            <w:tcW w:w="11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52.8</w:t>
            </w:r>
          </w:p>
        </w:tc>
      </w:tr>
      <w:tr>
        <w:trPr>
          <w:trHeight w:val="229"/>
        </w:trPr>
        <w:tc>
          <w:tcPr>
            <w:tcW w:w="3740" w:type="dxa"/>
            <w:vAlign w:val="bottom"/>
            <w:shd w:val="clear" w:color="auto" w:fill="DBDBDB"/>
          </w:tcPr>
          <w:p>
            <w:pPr>
              <w:ind w:left="680"/>
              <w:spacing w:after="0"/>
              <w:rPr>
                <w:sz w:val="20"/>
                <w:szCs w:val="20"/>
                <w:color w:val="auto"/>
              </w:rPr>
            </w:pPr>
            <w:r>
              <w:rPr>
                <w:rFonts w:ascii="Times New Roman" w:cs="Times New Roman" w:eastAsia="Times New Roman" w:hAnsi="Times New Roman"/>
                <w:sz w:val="18"/>
                <w:szCs w:val="18"/>
                <w:color w:val="auto"/>
              </w:rPr>
              <w:t>Construction</w:t>
            </w:r>
          </w:p>
        </w:tc>
        <w:tc>
          <w:tcPr>
            <w:tcW w:w="300" w:type="dxa"/>
            <w:vAlign w:val="bottom"/>
            <w:shd w:val="clear" w:color="auto" w:fill="DBDBDB"/>
          </w:tcPr>
          <w:p>
            <w:pPr>
              <w:spacing w:after="0"/>
              <w:rPr>
                <w:sz w:val="19"/>
                <w:szCs w:val="19"/>
                <w:color w:val="auto"/>
              </w:rPr>
            </w:pPr>
          </w:p>
        </w:tc>
        <w:tc>
          <w:tcPr>
            <w:tcW w:w="1180" w:type="dxa"/>
            <w:vAlign w:val="bottom"/>
            <w:shd w:val="clear" w:color="auto" w:fill="DBDBDB"/>
          </w:tcPr>
          <w:p>
            <w:pPr>
              <w:jc w:val="right"/>
              <w:ind w:right="170"/>
              <w:spacing w:after="0"/>
              <w:rPr>
                <w:sz w:val="20"/>
                <w:szCs w:val="20"/>
                <w:color w:val="auto"/>
              </w:rPr>
            </w:pPr>
            <w:r>
              <w:rPr>
                <w:rFonts w:ascii="Times New Roman" w:cs="Times New Roman" w:eastAsia="Times New Roman" w:hAnsi="Times New Roman"/>
                <w:sz w:val="18"/>
                <w:szCs w:val="18"/>
                <w:color w:val="auto"/>
              </w:rPr>
              <w:t>1.6</w:t>
            </w:r>
          </w:p>
        </w:tc>
        <w:tc>
          <w:tcPr>
            <w:tcW w:w="360" w:type="dxa"/>
            <w:vAlign w:val="bottom"/>
            <w:shd w:val="clear" w:color="auto" w:fill="DBDBDB"/>
          </w:tcPr>
          <w:p>
            <w:pPr>
              <w:spacing w:after="0"/>
              <w:rPr>
                <w:sz w:val="19"/>
                <w:szCs w:val="19"/>
                <w:color w:val="auto"/>
              </w:rPr>
            </w:pPr>
          </w:p>
        </w:tc>
        <w:tc>
          <w:tcPr>
            <w:tcW w:w="1180" w:type="dxa"/>
            <w:vAlign w:val="bottom"/>
            <w:shd w:val="clear" w:color="auto" w:fill="DBDBDB"/>
          </w:tcPr>
          <w:p>
            <w:pPr>
              <w:jc w:val="right"/>
              <w:ind w:right="190"/>
              <w:spacing w:after="0"/>
              <w:rPr>
                <w:sz w:val="20"/>
                <w:szCs w:val="20"/>
                <w:color w:val="auto"/>
              </w:rPr>
            </w:pPr>
            <w:r>
              <w:rPr>
                <w:rFonts w:ascii="Times New Roman" w:cs="Times New Roman" w:eastAsia="Times New Roman" w:hAnsi="Times New Roman"/>
                <w:sz w:val="18"/>
                <w:szCs w:val="18"/>
                <w:color w:val="auto"/>
              </w:rPr>
              <w:t>2.4</w:t>
            </w:r>
          </w:p>
        </w:tc>
        <w:tc>
          <w:tcPr>
            <w:tcW w:w="180" w:type="dxa"/>
            <w:vAlign w:val="bottom"/>
            <w:shd w:val="clear" w:color="auto" w:fill="DBDBDB"/>
          </w:tcPr>
          <w:p>
            <w:pPr>
              <w:spacing w:after="0"/>
              <w:rPr>
                <w:sz w:val="19"/>
                <w:szCs w:val="19"/>
                <w:color w:val="auto"/>
              </w:rPr>
            </w:pPr>
          </w:p>
        </w:tc>
        <w:tc>
          <w:tcPr>
            <w:tcW w:w="1320" w:type="dxa"/>
            <w:vAlign w:val="bottom"/>
            <w:shd w:val="clear" w:color="auto" w:fill="DBDBDB"/>
          </w:tcPr>
          <w:p>
            <w:pPr>
              <w:jc w:val="right"/>
              <w:ind w:right="170"/>
              <w:spacing w:after="0"/>
              <w:rPr>
                <w:sz w:val="20"/>
                <w:szCs w:val="20"/>
                <w:color w:val="auto"/>
              </w:rPr>
            </w:pPr>
            <w:r>
              <w:rPr>
                <w:rFonts w:ascii="Times New Roman" w:cs="Times New Roman" w:eastAsia="Times New Roman" w:hAnsi="Times New Roman"/>
                <w:sz w:val="18"/>
                <w:szCs w:val="18"/>
                <w:color w:val="auto"/>
              </w:rPr>
              <w:t>4.1</w:t>
            </w:r>
          </w:p>
        </w:tc>
        <w:tc>
          <w:tcPr>
            <w:tcW w:w="360" w:type="dxa"/>
            <w:vAlign w:val="bottom"/>
            <w:shd w:val="clear" w:color="auto" w:fill="DBDBDB"/>
          </w:tcPr>
          <w:p>
            <w:pPr>
              <w:spacing w:after="0"/>
              <w:rPr>
                <w:sz w:val="19"/>
                <w:szCs w:val="19"/>
                <w:color w:val="auto"/>
              </w:rPr>
            </w:pPr>
          </w:p>
        </w:tc>
        <w:tc>
          <w:tcPr>
            <w:tcW w:w="1160" w:type="dxa"/>
            <w:vAlign w:val="bottom"/>
            <w:shd w:val="clear" w:color="auto" w:fill="DBDBDB"/>
          </w:tcPr>
          <w:p>
            <w:pPr>
              <w:jc w:val="right"/>
              <w:ind w:right="190"/>
              <w:spacing w:after="0"/>
              <w:rPr>
                <w:sz w:val="20"/>
                <w:szCs w:val="20"/>
                <w:color w:val="auto"/>
              </w:rPr>
            </w:pPr>
            <w:r>
              <w:rPr>
                <w:rFonts w:ascii="Times New Roman" w:cs="Times New Roman" w:eastAsia="Times New Roman" w:hAnsi="Times New Roman"/>
                <w:sz w:val="18"/>
                <w:szCs w:val="18"/>
                <w:color w:val="auto"/>
              </w:rPr>
              <w:t>5.5</w:t>
            </w:r>
          </w:p>
        </w:tc>
        <w:tc>
          <w:tcPr>
            <w:tcW w:w="360" w:type="dxa"/>
            <w:vAlign w:val="bottom"/>
            <w:shd w:val="clear" w:color="auto" w:fill="DBDBDB"/>
          </w:tcPr>
          <w:p>
            <w:pPr>
              <w:spacing w:after="0"/>
              <w:rPr>
                <w:sz w:val="19"/>
                <w:szCs w:val="19"/>
                <w:color w:val="auto"/>
              </w:rPr>
            </w:pPr>
          </w:p>
        </w:tc>
        <w:tc>
          <w:tcPr>
            <w:tcW w:w="1100" w:type="dxa"/>
            <w:vAlign w:val="bottom"/>
            <w:shd w:val="clear" w:color="auto" w:fill="DBDBDB"/>
          </w:tcPr>
          <w:p>
            <w:pPr>
              <w:jc w:val="right"/>
              <w:ind w:right="130"/>
              <w:spacing w:after="0"/>
              <w:rPr>
                <w:sz w:val="20"/>
                <w:szCs w:val="20"/>
                <w:color w:val="auto"/>
              </w:rPr>
            </w:pPr>
            <w:r>
              <w:rPr>
                <w:rFonts w:ascii="Times New Roman" w:cs="Times New Roman" w:eastAsia="Times New Roman" w:hAnsi="Times New Roman"/>
                <w:sz w:val="18"/>
                <w:szCs w:val="18"/>
                <w:color w:val="auto"/>
              </w:rPr>
              <w:t>5.3</w:t>
            </w:r>
          </w:p>
        </w:tc>
      </w:tr>
      <w:tr>
        <w:trPr>
          <w:trHeight w:val="229"/>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PPP</w:t>
            </w:r>
          </w:p>
        </w:tc>
        <w:tc>
          <w:tcPr>
            <w:tcW w:w="300" w:type="dxa"/>
            <w:vAlign w:val="bottom"/>
          </w:tcPr>
          <w:p>
            <w:pPr>
              <w:spacing w:after="0"/>
              <w:rPr>
                <w:sz w:val="19"/>
                <w:szCs w:val="19"/>
                <w:color w:val="auto"/>
              </w:rPr>
            </w:pPr>
          </w:p>
        </w:tc>
        <w:tc>
          <w:tcPr>
            <w:tcW w:w="11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3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0.7</w:t>
            </w:r>
          </w:p>
        </w:tc>
        <w:tc>
          <w:tcPr>
            <w:tcW w:w="360" w:type="dxa"/>
            <w:vAlign w:val="bottom"/>
          </w:tcPr>
          <w:p>
            <w:pPr>
              <w:spacing w:after="0"/>
              <w:rPr>
                <w:sz w:val="19"/>
                <w:szCs w:val="19"/>
                <w:color w:val="auto"/>
              </w:rPr>
            </w:pPr>
          </w:p>
        </w:tc>
        <w:tc>
          <w:tcPr>
            <w:tcW w:w="11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12.3</w:t>
            </w:r>
          </w:p>
        </w:tc>
        <w:tc>
          <w:tcPr>
            <w:tcW w:w="360" w:type="dxa"/>
            <w:vAlign w:val="bottom"/>
          </w:tcPr>
          <w:p>
            <w:pPr>
              <w:spacing w:after="0"/>
              <w:rPr>
                <w:sz w:val="19"/>
                <w:szCs w:val="19"/>
                <w:color w:val="auto"/>
              </w:rPr>
            </w:pPr>
          </w:p>
        </w:tc>
        <w:tc>
          <w:tcPr>
            <w:tcW w:w="11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3740" w:type="dxa"/>
            <w:vAlign w:val="bottom"/>
            <w:tcBorders>
              <w:bottom w:val="single" w:sz="8" w:color="auto"/>
            </w:tcBorders>
            <w:shd w:val="clear" w:color="auto" w:fill="DBDBDB"/>
          </w:tcPr>
          <w:p>
            <w:pPr>
              <w:ind w:left="26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Borders>
              <w:bottom w:val="single" w:sz="8" w:color="auto"/>
            </w:tcBorders>
            <w:shd w:val="clear" w:color="auto" w:fill="DBDBDB"/>
          </w:tcPr>
          <w:p>
            <w:pPr>
              <w:spacing w:after="0"/>
              <w:rPr>
                <w:sz w:val="19"/>
                <w:szCs w:val="19"/>
                <w:color w:val="auto"/>
              </w:rPr>
            </w:pPr>
          </w:p>
        </w:tc>
        <w:tc>
          <w:tcPr>
            <w:tcW w:w="1180" w:type="dxa"/>
            <w:vAlign w:val="bottom"/>
            <w:tcBorders>
              <w:bottom w:val="single" w:sz="8" w:color="auto"/>
            </w:tcBorders>
            <w:shd w:val="clear" w:color="auto" w:fill="DBDBDB"/>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shd w:val="clear" w:color="auto" w:fill="DBDBDB"/>
          </w:tcPr>
          <w:p>
            <w:pPr>
              <w:spacing w:after="0"/>
              <w:rPr>
                <w:sz w:val="19"/>
                <w:szCs w:val="19"/>
                <w:color w:val="auto"/>
              </w:rPr>
            </w:pPr>
          </w:p>
        </w:tc>
        <w:tc>
          <w:tcPr>
            <w:tcW w:w="1180" w:type="dxa"/>
            <w:vAlign w:val="bottom"/>
            <w:tcBorders>
              <w:bottom w:val="single" w:sz="8" w:color="auto"/>
            </w:tcBorders>
            <w:shd w:val="clear" w:color="auto" w:fill="DBDBDB"/>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shd w:val="clear" w:color="auto" w:fill="DBDBDB"/>
          </w:tcPr>
          <w:p>
            <w:pPr>
              <w:spacing w:after="0"/>
              <w:rPr>
                <w:sz w:val="19"/>
                <w:szCs w:val="19"/>
                <w:color w:val="auto"/>
              </w:rPr>
            </w:pPr>
          </w:p>
        </w:tc>
        <w:tc>
          <w:tcPr>
            <w:tcW w:w="1320" w:type="dxa"/>
            <w:vAlign w:val="bottom"/>
            <w:tcBorders>
              <w:bottom w:val="single" w:sz="8" w:color="auto"/>
            </w:tcBorders>
            <w:shd w:val="clear" w:color="auto" w:fill="DBDBDB"/>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shd w:val="clear" w:color="auto" w:fill="DBDBDB"/>
          </w:tcPr>
          <w:p>
            <w:pPr>
              <w:spacing w:after="0"/>
              <w:rPr>
                <w:sz w:val="19"/>
                <w:szCs w:val="19"/>
                <w:color w:val="auto"/>
              </w:rPr>
            </w:pPr>
          </w:p>
        </w:tc>
        <w:tc>
          <w:tcPr>
            <w:tcW w:w="1160" w:type="dxa"/>
            <w:vAlign w:val="bottom"/>
            <w:tcBorders>
              <w:bottom w:val="single" w:sz="8" w:color="auto"/>
            </w:tcBorders>
            <w:shd w:val="clear" w:color="auto" w:fill="DBDBDB"/>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shd w:val="clear" w:color="auto" w:fill="DBDBDB"/>
          </w:tcPr>
          <w:p>
            <w:pPr>
              <w:spacing w:after="0"/>
              <w:rPr>
                <w:sz w:val="19"/>
                <w:szCs w:val="19"/>
                <w:color w:val="auto"/>
              </w:rPr>
            </w:pPr>
          </w:p>
        </w:tc>
        <w:tc>
          <w:tcPr>
            <w:tcW w:w="1100" w:type="dxa"/>
            <w:vAlign w:val="bottom"/>
            <w:tcBorders>
              <w:bottom w:val="single" w:sz="8" w:color="auto"/>
            </w:tcBorders>
            <w:shd w:val="clear" w:color="auto" w:fill="DBDBDB"/>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3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r>
    </w:tbl>
    <w:p>
      <w:pPr>
        <w:spacing w:after="0" w:line="198" w:lineRule="exact"/>
        <w:rPr>
          <w:sz w:val="20"/>
          <w:szCs w:val="20"/>
          <w:color w:val="auto"/>
        </w:rPr>
      </w:pPr>
    </w:p>
    <w:p>
      <w:pPr>
        <w:ind w:left="640" w:hanging="632"/>
        <w:spacing w:after="0"/>
        <w:tabs>
          <w:tab w:leader="none" w:pos="64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Although specific allocations exist, the entire allowance is available to absorb losses in any particular loan category.</w:t>
      </w:r>
    </w:p>
    <w:p>
      <w:pPr>
        <w:sectPr>
          <w:pgSz w:w="11900" w:h="16838" w:orient="portrait"/>
          <w:cols w:equalWidth="0" w:num="1">
            <w:col w:w="11240"/>
          </w:cols>
          <w:pgMar w:left="320" w:top="333" w:right="339" w:bottom="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color w:val="auto"/>
        </w:rPr>
        <w:t>Nonperforming Assets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Nonperforming loans are defined as loans on non-accrual status and loans 90 days or more past due but still accruing. Nonperforming assets include nonperforming loans plus foreclosed real estate. Loans with modifications to borrowers experiencing financial difficulty are not included in nonperforming loans unless they are on non-accrual status or past due 90 days or more.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It is the policy of the Company to continually monitor its loan portfolio and to discontinue the accrual of interest on any loan for which collection is not probable. Subsequent payments received on such loans are applied to principal if collection of principal is not probable; otherwise, these receipts are recorded as interest income. There was no interest income recognized on nonaccrual loans for the years ended 2023 and 2022.</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were no nonaccrual loans at December 31, 2023 and one nonaccrual loan of $1.2 million at December 31, 2022. There were no foreclosed assets at December 31, 2023 or December 31, 2022. The single nonperforming loan at December 31, 2022 paid off in full during January 2023.</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does not have any foreign loans. The Company's loan portfolio includes $157,000 of single family real estate mortgages, as the Company does not market its services to retail customers. Also, the Company had no sub-prime mortgage loans or residential development loans in its portfolio in any of the years presented.</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does not have any other interest-earning assets which would have been included in nonaccrual, past due or restructured loans if such assets were loans.</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Summary of Nonperforming Assets</w:t>
            </w: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499"/>
        </w:trPr>
        <w:tc>
          <w:tcPr>
            <w:tcW w:w="37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4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r>
      <w:tr>
        <w:trPr>
          <w:trHeight w:val="237"/>
        </w:trPr>
        <w:tc>
          <w:tcPr>
            <w:tcW w:w="3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2023</w:t>
            </w:r>
          </w:p>
        </w:tc>
        <w:tc>
          <w:tcPr>
            <w:tcW w:w="4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8"/>
                <w:szCs w:val="18"/>
                <w:b w:val="1"/>
                <w:bCs w:val="1"/>
                <w:color w:val="auto"/>
              </w:rPr>
              <w:t>2021</w:t>
            </w:r>
          </w:p>
        </w:tc>
        <w:tc>
          <w:tcPr>
            <w:tcW w:w="4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2020</w:t>
            </w:r>
          </w:p>
        </w:tc>
        <w:tc>
          <w:tcPr>
            <w:tcW w:w="4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2019</w:t>
            </w:r>
          </w:p>
        </w:tc>
      </w:tr>
      <w:tr>
        <w:trPr>
          <w:trHeight w:val="223"/>
        </w:trPr>
        <w:tc>
          <w:tcPr>
            <w:tcW w:w="370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320" w:type="dxa"/>
            <w:vAlign w:val="bottom"/>
            <w:shd w:val="clear" w:color="auto" w:fill="DBDBDB"/>
          </w:tcPr>
          <w:p>
            <w:pPr>
              <w:spacing w:after="0"/>
              <w:rPr>
                <w:sz w:val="19"/>
                <w:szCs w:val="19"/>
                <w:color w:val="auto"/>
              </w:rPr>
            </w:pPr>
          </w:p>
        </w:tc>
        <w:tc>
          <w:tcPr>
            <w:tcW w:w="1120" w:type="dxa"/>
            <w:vAlign w:val="bottom"/>
            <w:shd w:val="clear" w:color="auto" w:fill="DBDBDB"/>
          </w:tcPr>
          <w:p>
            <w:pPr>
              <w:spacing w:after="0"/>
              <w:rPr>
                <w:sz w:val="19"/>
                <w:szCs w:val="19"/>
                <w:color w:val="auto"/>
              </w:rPr>
            </w:pPr>
          </w:p>
        </w:tc>
        <w:tc>
          <w:tcPr>
            <w:tcW w:w="400" w:type="dxa"/>
            <w:vAlign w:val="bottom"/>
            <w:shd w:val="clear" w:color="auto" w:fill="DBDBDB"/>
          </w:tcPr>
          <w:p>
            <w:pPr>
              <w:spacing w:after="0"/>
              <w:rPr>
                <w:sz w:val="19"/>
                <w:szCs w:val="19"/>
                <w:color w:val="auto"/>
              </w:rPr>
            </w:pPr>
          </w:p>
        </w:tc>
        <w:tc>
          <w:tcPr>
            <w:tcW w:w="1140" w:type="dxa"/>
            <w:vAlign w:val="bottom"/>
            <w:shd w:val="clear" w:color="auto" w:fill="DBDBDB"/>
          </w:tcPr>
          <w:p>
            <w:pPr>
              <w:spacing w:after="0"/>
              <w:rPr>
                <w:sz w:val="19"/>
                <w:szCs w:val="19"/>
                <w:color w:val="auto"/>
              </w:rPr>
            </w:pPr>
          </w:p>
        </w:tc>
        <w:tc>
          <w:tcPr>
            <w:tcW w:w="220" w:type="dxa"/>
            <w:vAlign w:val="bottom"/>
            <w:shd w:val="clear" w:color="auto" w:fill="DBDBDB"/>
          </w:tcPr>
          <w:p>
            <w:pPr>
              <w:spacing w:after="0"/>
              <w:rPr>
                <w:sz w:val="19"/>
                <w:szCs w:val="19"/>
                <w:color w:val="auto"/>
              </w:rPr>
            </w:pPr>
          </w:p>
        </w:tc>
        <w:tc>
          <w:tcPr>
            <w:tcW w:w="1300" w:type="dxa"/>
            <w:vAlign w:val="bottom"/>
            <w:shd w:val="clear" w:color="auto" w:fill="DBDBDB"/>
          </w:tcPr>
          <w:p>
            <w:pPr>
              <w:spacing w:after="0"/>
              <w:rPr>
                <w:sz w:val="19"/>
                <w:szCs w:val="19"/>
                <w:color w:val="auto"/>
              </w:rPr>
            </w:pPr>
          </w:p>
        </w:tc>
        <w:tc>
          <w:tcPr>
            <w:tcW w:w="400" w:type="dxa"/>
            <w:vAlign w:val="bottom"/>
            <w:shd w:val="clear" w:color="auto" w:fill="DBDBDB"/>
          </w:tcPr>
          <w:p>
            <w:pPr>
              <w:spacing w:after="0"/>
              <w:rPr>
                <w:sz w:val="19"/>
                <w:szCs w:val="19"/>
                <w:color w:val="auto"/>
              </w:rPr>
            </w:pPr>
          </w:p>
        </w:tc>
        <w:tc>
          <w:tcPr>
            <w:tcW w:w="1140" w:type="dxa"/>
            <w:vAlign w:val="bottom"/>
            <w:shd w:val="clear" w:color="auto" w:fill="DBDBDB"/>
          </w:tcPr>
          <w:p>
            <w:pPr>
              <w:spacing w:after="0"/>
              <w:rPr>
                <w:sz w:val="19"/>
                <w:szCs w:val="19"/>
                <w:color w:val="auto"/>
              </w:rPr>
            </w:pPr>
          </w:p>
        </w:tc>
        <w:tc>
          <w:tcPr>
            <w:tcW w:w="400" w:type="dxa"/>
            <w:vAlign w:val="bottom"/>
            <w:shd w:val="clear" w:color="auto" w:fill="DBDBDB"/>
          </w:tcPr>
          <w:p>
            <w:pPr>
              <w:spacing w:after="0"/>
              <w:rPr>
                <w:sz w:val="19"/>
                <w:szCs w:val="19"/>
                <w:color w:val="auto"/>
              </w:rPr>
            </w:pPr>
          </w:p>
        </w:tc>
        <w:tc>
          <w:tcPr>
            <w:tcW w:w="1100" w:type="dxa"/>
            <w:vAlign w:val="bottom"/>
            <w:shd w:val="clear" w:color="auto" w:fill="DBDBDB"/>
          </w:tcPr>
          <w:p>
            <w:pPr>
              <w:spacing w:after="0"/>
              <w:rPr>
                <w:sz w:val="19"/>
                <w:szCs w:val="19"/>
                <w:color w:val="auto"/>
              </w:rPr>
            </w:pPr>
          </w:p>
        </w:tc>
      </w:tr>
      <w:tr>
        <w:trPr>
          <w:trHeight w:val="230"/>
        </w:trPr>
        <w:tc>
          <w:tcPr>
            <w:tcW w:w="3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Nonaccrual</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w:t>
            </w:r>
          </w:p>
        </w:tc>
      </w:tr>
      <w:tr>
        <w:trPr>
          <w:trHeight w:val="175"/>
        </w:trPr>
        <w:tc>
          <w:tcPr>
            <w:tcW w:w="3700" w:type="dxa"/>
            <w:vAlign w:val="bottom"/>
            <w:shd w:val="clear" w:color="auto" w:fill="DBDBDB"/>
          </w:tcPr>
          <w:p>
            <w:pPr>
              <w:ind w:left="240"/>
              <w:spacing w:after="0" w:line="176" w:lineRule="exact"/>
              <w:rPr>
                <w:sz w:val="20"/>
                <w:szCs w:val="20"/>
                <w:color w:val="auto"/>
              </w:rPr>
            </w:pPr>
            <w:r>
              <w:rPr>
                <w:rFonts w:ascii="Times New Roman" w:cs="Times New Roman" w:eastAsia="Times New Roman" w:hAnsi="Times New Roman"/>
                <w:sz w:val="18"/>
                <w:szCs w:val="18"/>
                <w:color w:val="auto"/>
              </w:rPr>
              <w:t>Contractually past due 90 days or more and</w:t>
            </w:r>
          </w:p>
        </w:tc>
        <w:tc>
          <w:tcPr>
            <w:tcW w:w="320" w:type="dxa"/>
            <w:vAlign w:val="bottom"/>
            <w:shd w:val="clear" w:color="auto" w:fill="DBDBDB"/>
          </w:tcPr>
          <w:p>
            <w:pPr>
              <w:spacing w:after="0"/>
              <w:rPr>
                <w:sz w:val="15"/>
                <w:szCs w:val="15"/>
                <w:color w:val="auto"/>
              </w:rPr>
            </w:pPr>
          </w:p>
        </w:tc>
        <w:tc>
          <w:tcPr>
            <w:tcW w:w="1120" w:type="dxa"/>
            <w:vAlign w:val="bottom"/>
            <w:shd w:val="clear" w:color="auto" w:fill="DBDBDB"/>
          </w:tcPr>
          <w:p>
            <w:pPr>
              <w:spacing w:after="0"/>
              <w:rPr>
                <w:sz w:val="15"/>
                <w:szCs w:val="15"/>
                <w:color w:val="auto"/>
              </w:rPr>
            </w:pPr>
          </w:p>
        </w:tc>
        <w:tc>
          <w:tcPr>
            <w:tcW w:w="400" w:type="dxa"/>
            <w:vAlign w:val="bottom"/>
            <w:shd w:val="clear" w:color="auto" w:fill="DBDBDB"/>
          </w:tcPr>
          <w:p>
            <w:pPr>
              <w:spacing w:after="0"/>
              <w:rPr>
                <w:sz w:val="15"/>
                <w:szCs w:val="15"/>
                <w:color w:val="auto"/>
              </w:rPr>
            </w:pPr>
          </w:p>
        </w:tc>
        <w:tc>
          <w:tcPr>
            <w:tcW w:w="1140" w:type="dxa"/>
            <w:vAlign w:val="bottom"/>
            <w:shd w:val="clear" w:color="auto" w:fill="DBDBDB"/>
          </w:tcPr>
          <w:p>
            <w:pPr>
              <w:spacing w:after="0"/>
              <w:rPr>
                <w:sz w:val="15"/>
                <w:szCs w:val="15"/>
                <w:color w:val="auto"/>
              </w:rPr>
            </w:pPr>
          </w:p>
        </w:tc>
        <w:tc>
          <w:tcPr>
            <w:tcW w:w="220" w:type="dxa"/>
            <w:vAlign w:val="bottom"/>
            <w:shd w:val="clear" w:color="auto" w:fill="DBDBDB"/>
          </w:tcPr>
          <w:p>
            <w:pPr>
              <w:spacing w:after="0"/>
              <w:rPr>
                <w:sz w:val="15"/>
                <w:szCs w:val="15"/>
                <w:color w:val="auto"/>
              </w:rPr>
            </w:pPr>
          </w:p>
        </w:tc>
        <w:tc>
          <w:tcPr>
            <w:tcW w:w="1300" w:type="dxa"/>
            <w:vAlign w:val="bottom"/>
            <w:shd w:val="clear" w:color="auto" w:fill="DBDBDB"/>
          </w:tcPr>
          <w:p>
            <w:pPr>
              <w:spacing w:after="0"/>
              <w:rPr>
                <w:sz w:val="15"/>
                <w:szCs w:val="15"/>
                <w:color w:val="auto"/>
              </w:rPr>
            </w:pPr>
          </w:p>
        </w:tc>
        <w:tc>
          <w:tcPr>
            <w:tcW w:w="400" w:type="dxa"/>
            <w:vAlign w:val="bottom"/>
            <w:shd w:val="clear" w:color="auto" w:fill="DBDBDB"/>
          </w:tcPr>
          <w:p>
            <w:pPr>
              <w:spacing w:after="0"/>
              <w:rPr>
                <w:sz w:val="15"/>
                <w:szCs w:val="15"/>
                <w:color w:val="auto"/>
              </w:rPr>
            </w:pPr>
          </w:p>
        </w:tc>
        <w:tc>
          <w:tcPr>
            <w:tcW w:w="1140" w:type="dxa"/>
            <w:vAlign w:val="bottom"/>
            <w:shd w:val="clear" w:color="auto" w:fill="DBDBDB"/>
          </w:tcPr>
          <w:p>
            <w:pPr>
              <w:spacing w:after="0"/>
              <w:rPr>
                <w:sz w:val="15"/>
                <w:szCs w:val="15"/>
                <w:color w:val="auto"/>
              </w:rPr>
            </w:pPr>
          </w:p>
        </w:tc>
        <w:tc>
          <w:tcPr>
            <w:tcW w:w="400" w:type="dxa"/>
            <w:vAlign w:val="bottom"/>
            <w:shd w:val="clear" w:color="auto" w:fill="DBDBDB"/>
          </w:tcPr>
          <w:p>
            <w:pPr>
              <w:spacing w:after="0"/>
              <w:rPr>
                <w:sz w:val="15"/>
                <w:szCs w:val="15"/>
                <w:color w:val="auto"/>
              </w:rPr>
            </w:pPr>
          </w:p>
        </w:tc>
        <w:tc>
          <w:tcPr>
            <w:tcW w:w="1100" w:type="dxa"/>
            <w:vAlign w:val="bottom"/>
            <w:shd w:val="clear" w:color="auto" w:fill="DBDBDB"/>
          </w:tcPr>
          <w:p>
            <w:pPr>
              <w:spacing w:after="0"/>
              <w:rPr>
                <w:sz w:val="15"/>
                <w:szCs w:val="15"/>
                <w:color w:val="auto"/>
              </w:rPr>
            </w:pPr>
          </w:p>
        </w:tc>
      </w:tr>
      <w:tr>
        <w:trPr>
          <w:trHeight w:val="243"/>
        </w:trPr>
        <w:tc>
          <w:tcPr>
            <w:tcW w:w="3700" w:type="dxa"/>
            <w:vAlign w:val="bottom"/>
            <w:shd w:val="clear" w:color="auto" w:fill="DBDBDB"/>
          </w:tcPr>
          <w:p>
            <w:pPr>
              <w:ind w:left="240"/>
              <w:spacing w:after="0"/>
              <w:rPr>
                <w:sz w:val="20"/>
                <w:szCs w:val="20"/>
                <w:color w:val="auto"/>
              </w:rPr>
            </w:pPr>
            <w:r>
              <w:rPr>
                <w:rFonts w:ascii="Times New Roman" w:cs="Times New Roman" w:eastAsia="Times New Roman" w:hAnsi="Times New Roman"/>
                <w:sz w:val="18"/>
                <w:szCs w:val="18"/>
                <w:color w:val="auto"/>
              </w:rPr>
              <w:t>still accruing</w:t>
            </w:r>
          </w:p>
        </w:tc>
        <w:tc>
          <w:tcPr>
            <w:tcW w:w="320" w:type="dxa"/>
            <w:vAlign w:val="bottom"/>
            <w:shd w:val="clear" w:color="auto" w:fill="DBDBDB"/>
          </w:tcPr>
          <w:p>
            <w:pPr>
              <w:spacing w:after="0"/>
              <w:rPr>
                <w:sz w:val="21"/>
                <w:szCs w:val="21"/>
                <w:color w:val="auto"/>
              </w:rPr>
            </w:pPr>
          </w:p>
        </w:tc>
        <w:tc>
          <w:tcPr>
            <w:tcW w:w="1120" w:type="dxa"/>
            <w:vAlign w:val="bottom"/>
            <w:shd w:val="clear" w:color="auto" w:fill="DBDBDB"/>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DBDBDB"/>
          </w:tcPr>
          <w:p>
            <w:pPr>
              <w:spacing w:after="0"/>
              <w:rPr>
                <w:sz w:val="21"/>
                <w:szCs w:val="21"/>
                <w:color w:val="auto"/>
              </w:rPr>
            </w:pPr>
          </w:p>
        </w:tc>
        <w:tc>
          <w:tcPr>
            <w:tcW w:w="11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DBDBDB"/>
          </w:tcPr>
          <w:p>
            <w:pPr>
              <w:spacing w:after="0"/>
              <w:rPr>
                <w:sz w:val="21"/>
                <w:szCs w:val="21"/>
                <w:color w:val="auto"/>
              </w:rPr>
            </w:pPr>
          </w:p>
        </w:tc>
        <w:tc>
          <w:tcPr>
            <w:tcW w:w="1300" w:type="dxa"/>
            <w:vAlign w:val="bottom"/>
            <w:shd w:val="clear" w:color="auto" w:fill="DBDBDB"/>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DBDBDB"/>
          </w:tcPr>
          <w:p>
            <w:pPr>
              <w:spacing w:after="0"/>
              <w:rPr>
                <w:sz w:val="21"/>
                <w:szCs w:val="21"/>
                <w:color w:val="auto"/>
              </w:rPr>
            </w:pPr>
          </w:p>
        </w:tc>
        <w:tc>
          <w:tcPr>
            <w:tcW w:w="1140" w:type="dxa"/>
            <w:vAlign w:val="bottom"/>
            <w:shd w:val="clear" w:color="auto" w:fill="DBDBDB"/>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DBDBDB"/>
          </w:tcPr>
          <w:p>
            <w:pPr>
              <w:spacing w:after="0"/>
              <w:rPr>
                <w:sz w:val="21"/>
                <w:szCs w:val="21"/>
                <w:color w:val="auto"/>
              </w:rPr>
            </w:pPr>
          </w:p>
        </w:tc>
        <w:tc>
          <w:tcPr>
            <w:tcW w:w="1100" w:type="dxa"/>
            <w:vAlign w:val="bottom"/>
            <w:shd w:val="clear" w:color="auto" w:fill="DBDBDB"/>
          </w:tcPr>
          <w:p>
            <w:pPr>
              <w:ind w:left="84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Real estate – mortgage:</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3700" w:type="dxa"/>
            <w:vAlign w:val="bottom"/>
            <w:shd w:val="clear" w:color="auto" w:fill="DBDBDB"/>
          </w:tcPr>
          <w:p>
            <w:pPr>
              <w:ind w:left="240"/>
              <w:spacing w:after="0"/>
              <w:rPr>
                <w:sz w:val="20"/>
                <w:szCs w:val="20"/>
                <w:color w:val="auto"/>
              </w:rPr>
            </w:pPr>
            <w:r>
              <w:rPr>
                <w:rFonts w:ascii="Times New Roman" w:cs="Times New Roman" w:eastAsia="Times New Roman" w:hAnsi="Times New Roman"/>
                <w:sz w:val="18"/>
                <w:szCs w:val="18"/>
                <w:color w:val="auto"/>
              </w:rPr>
              <w:t>Nonaccrual</w:t>
            </w:r>
          </w:p>
        </w:tc>
        <w:tc>
          <w:tcPr>
            <w:tcW w:w="320" w:type="dxa"/>
            <w:vAlign w:val="bottom"/>
            <w:shd w:val="clear" w:color="auto" w:fill="DBDBDB"/>
          </w:tcPr>
          <w:p>
            <w:pPr>
              <w:spacing w:after="0"/>
              <w:rPr>
                <w:sz w:val="19"/>
                <w:szCs w:val="19"/>
                <w:color w:val="auto"/>
              </w:rPr>
            </w:pPr>
          </w:p>
        </w:tc>
        <w:tc>
          <w:tcPr>
            <w:tcW w:w="1120" w:type="dxa"/>
            <w:vAlign w:val="bottom"/>
            <w:shd w:val="clear" w:color="auto" w:fill="DBDBDB"/>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DBDBDB"/>
          </w:tcPr>
          <w:p>
            <w:pPr>
              <w:spacing w:after="0"/>
              <w:rPr>
                <w:sz w:val="19"/>
                <w:szCs w:val="19"/>
                <w:color w:val="auto"/>
              </w:rPr>
            </w:pPr>
          </w:p>
        </w:tc>
        <w:tc>
          <w:tcPr>
            <w:tcW w:w="11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DBDBDB"/>
          </w:tcPr>
          <w:p>
            <w:pPr>
              <w:spacing w:after="0"/>
              <w:rPr>
                <w:sz w:val="19"/>
                <w:szCs w:val="19"/>
                <w:color w:val="auto"/>
              </w:rPr>
            </w:pPr>
          </w:p>
        </w:tc>
        <w:tc>
          <w:tcPr>
            <w:tcW w:w="1300" w:type="dxa"/>
            <w:vAlign w:val="bottom"/>
            <w:shd w:val="clear" w:color="auto" w:fill="DBDBDB"/>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DBDBDB"/>
          </w:tcPr>
          <w:p>
            <w:pPr>
              <w:spacing w:after="0"/>
              <w:rPr>
                <w:sz w:val="19"/>
                <w:szCs w:val="19"/>
                <w:color w:val="auto"/>
              </w:rPr>
            </w:pPr>
          </w:p>
        </w:tc>
        <w:tc>
          <w:tcPr>
            <w:tcW w:w="1140" w:type="dxa"/>
            <w:vAlign w:val="bottom"/>
            <w:shd w:val="clear" w:color="auto" w:fill="DBDBDB"/>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DBDBDB"/>
          </w:tcPr>
          <w:p>
            <w:pPr>
              <w:spacing w:after="0"/>
              <w:rPr>
                <w:sz w:val="19"/>
                <w:szCs w:val="19"/>
                <w:color w:val="auto"/>
              </w:rPr>
            </w:pPr>
          </w:p>
        </w:tc>
        <w:tc>
          <w:tcPr>
            <w:tcW w:w="1100" w:type="dxa"/>
            <w:vAlign w:val="bottom"/>
            <w:shd w:val="clear" w:color="auto" w:fill="DBDBDB"/>
          </w:tcPr>
          <w:p>
            <w:pPr>
              <w:ind w:left="840"/>
              <w:spacing w:after="0"/>
              <w:rPr>
                <w:sz w:val="20"/>
                <w:szCs w:val="20"/>
                <w:color w:val="auto"/>
              </w:rPr>
            </w:pPr>
            <w:r>
              <w:rPr>
                <w:rFonts w:ascii="Times New Roman" w:cs="Times New Roman" w:eastAsia="Times New Roman" w:hAnsi="Times New Roman"/>
                <w:sz w:val="18"/>
                <w:szCs w:val="18"/>
                <w:color w:val="auto"/>
              </w:rPr>
              <w:t>—</w:t>
            </w:r>
          </w:p>
        </w:tc>
      </w:tr>
      <w:tr>
        <w:trPr>
          <w:trHeight w:val="175"/>
        </w:trPr>
        <w:tc>
          <w:tcPr>
            <w:tcW w:w="3700" w:type="dxa"/>
            <w:vAlign w:val="bottom"/>
          </w:tcPr>
          <w:p>
            <w:pPr>
              <w:ind w:left="240"/>
              <w:spacing w:after="0" w:line="176" w:lineRule="exact"/>
              <w:rPr>
                <w:sz w:val="20"/>
                <w:szCs w:val="20"/>
                <w:color w:val="auto"/>
              </w:rPr>
            </w:pPr>
            <w:r>
              <w:rPr>
                <w:rFonts w:ascii="Times New Roman" w:cs="Times New Roman" w:eastAsia="Times New Roman" w:hAnsi="Times New Roman"/>
                <w:sz w:val="18"/>
                <w:szCs w:val="18"/>
                <w:color w:val="auto"/>
              </w:rPr>
              <w:t>Contractually past due 90 days or more and</w:t>
            </w: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43"/>
        </w:trPr>
        <w:tc>
          <w:tcPr>
            <w:tcW w:w="370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still accruing</w:t>
            </w:r>
          </w:p>
        </w:tc>
        <w:tc>
          <w:tcPr>
            <w:tcW w:w="3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370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Total nonperforming loans</w:t>
            </w:r>
          </w:p>
        </w:tc>
        <w:tc>
          <w:tcPr>
            <w:tcW w:w="320" w:type="dxa"/>
            <w:vAlign w:val="bottom"/>
            <w:shd w:val="clear" w:color="auto" w:fill="DBDBDB"/>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DBDBDB"/>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DBDBDB"/>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2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DBDBDB"/>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DBDBDB"/>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DBDBDB"/>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DBDBDB"/>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DBDBDB"/>
          </w:tcPr>
          <w:p>
            <w:pPr>
              <w:ind w:left="84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foreclosed assets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3700" w:type="dxa"/>
            <w:vAlign w:val="bottom"/>
            <w:tcBorders>
              <w:bottom w:val="single" w:sz="8" w:color="auto"/>
            </w:tcBorders>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Total nonperforming assets</w:t>
            </w:r>
          </w:p>
        </w:tc>
        <w:tc>
          <w:tcPr>
            <w:tcW w:w="320" w:type="dxa"/>
            <w:vAlign w:val="bottom"/>
            <w:tcBorders>
              <w:bottom w:val="single" w:sz="8" w:color="auto"/>
            </w:tcBorders>
            <w:shd w:val="clear" w:color="auto" w:fill="DBDBDB"/>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DBDBDB"/>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shd w:val="clear" w:color="auto" w:fill="DBDBDB"/>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22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DBDBDB"/>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shd w:val="clear" w:color="auto" w:fill="DBDBDB"/>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DBDBDB"/>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shd w:val="clear" w:color="auto" w:fill="DBDBDB"/>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DBDBDB"/>
          </w:tcPr>
          <w:p>
            <w:pPr>
              <w:ind w:left="840"/>
              <w:spacing w:after="0"/>
              <w:rPr>
                <w:sz w:val="20"/>
                <w:szCs w:val="20"/>
                <w:color w:val="auto"/>
              </w:rPr>
            </w:pPr>
            <w:r>
              <w:rPr>
                <w:rFonts w:ascii="Times New Roman" w:cs="Times New Roman" w:eastAsia="Times New Roman" w:hAnsi="Times New Roman"/>
                <w:sz w:val="18"/>
                <w:szCs w:val="18"/>
                <w:color w:val="auto"/>
              </w:rPr>
              <w:t>—</w:t>
            </w:r>
          </w:p>
        </w:tc>
      </w:tr>
    </w:tbl>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expenses in 2023 compared to 2022 and 2021 include the following significant pre-tax components: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3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4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r>
      <w:tr>
        <w:trPr>
          <w:trHeight w:val="236"/>
        </w:trPr>
        <w:tc>
          <w:tcPr>
            <w:tcW w:w="33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400" w:type="dxa"/>
            <w:vAlign w:val="bottom"/>
          </w:tcPr>
          <w:p>
            <w:pPr>
              <w:spacing w:after="0"/>
              <w:rPr>
                <w:sz w:val="20"/>
                <w:szCs w:val="20"/>
                <w:color w:val="auto"/>
              </w:rPr>
            </w:pPr>
          </w:p>
        </w:tc>
        <w:tc>
          <w:tcPr>
            <w:tcW w:w="1360" w:type="dxa"/>
            <w:vAlign w:val="bottom"/>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80" w:type="dxa"/>
            <w:vAlign w:val="bottom"/>
          </w:tcPr>
          <w:p>
            <w:pPr>
              <w:spacing w:after="0"/>
              <w:rPr>
                <w:sz w:val="20"/>
                <w:szCs w:val="20"/>
                <w:color w:val="auto"/>
              </w:rPr>
            </w:pPr>
          </w:p>
        </w:tc>
        <w:tc>
          <w:tcPr>
            <w:tcW w:w="1560" w:type="dxa"/>
            <w:vAlign w:val="bottom"/>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440" w:type="dxa"/>
            <w:vAlign w:val="bottom"/>
          </w:tcPr>
          <w:p>
            <w:pPr>
              <w:spacing w:after="0"/>
              <w:rPr>
                <w:sz w:val="20"/>
                <w:szCs w:val="20"/>
                <w:color w:val="auto"/>
              </w:rPr>
            </w:pPr>
          </w:p>
        </w:tc>
        <w:tc>
          <w:tcPr>
            <w:tcW w:w="134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30"/>
        </w:trPr>
        <w:tc>
          <w:tcPr>
            <w:tcW w:w="330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Salaries and commissions</w:t>
            </w:r>
          </w:p>
        </w:tc>
        <w:tc>
          <w:tcPr>
            <w:tcW w:w="400" w:type="dxa"/>
            <w:vAlign w:val="bottom"/>
            <w:shd w:val="clear" w:color="auto" w:fill="DBDBDB"/>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DBDBDB"/>
          </w:tcPr>
          <w:p>
            <w:pPr>
              <w:jc w:val="right"/>
              <w:ind w:right="10"/>
              <w:spacing w:after="0"/>
              <w:rPr>
                <w:sz w:val="20"/>
                <w:szCs w:val="20"/>
                <w:color w:val="auto"/>
              </w:rPr>
            </w:pPr>
            <w:r>
              <w:rPr>
                <w:rFonts w:ascii="Times New Roman" w:cs="Times New Roman" w:eastAsia="Times New Roman" w:hAnsi="Times New Roman"/>
                <w:sz w:val="18"/>
                <w:szCs w:val="18"/>
                <w:color w:val="auto"/>
              </w:rPr>
              <w:t>93,474</w:t>
            </w:r>
          </w:p>
        </w:tc>
        <w:tc>
          <w:tcPr>
            <w:tcW w:w="280" w:type="dxa"/>
            <w:vAlign w:val="bottom"/>
            <w:shd w:val="clear" w:color="auto" w:fill="DBDBDB"/>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DBDBDB"/>
          </w:tcPr>
          <w:p>
            <w:pPr>
              <w:jc w:val="right"/>
              <w:ind w:right="30"/>
              <w:spacing w:after="0"/>
              <w:rPr>
                <w:sz w:val="20"/>
                <w:szCs w:val="20"/>
                <w:color w:val="auto"/>
              </w:rPr>
            </w:pPr>
            <w:r>
              <w:rPr>
                <w:rFonts w:ascii="Times New Roman" w:cs="Times New Roman" w:eastAsia="Times New Roman" w:hAnsi="Times New Roman"/>
                <w:sz w:val="18"/>
                <w:szCs w:val="18"/>
                <w:color w:val="auto"/>
              </w:rPr>
              <w:t>85,489</w:t>
            </w:r>
          </w:p>
        </w:tc>
        <w:tc>
          <w:tcPr>
            <w:tcW w:w="440" w:type="dxa"/>
            <w:vAlign w:val="bottom"/>
            <w:shd w:val="clear" w:color="auto" w:fill="DBDBDB"/>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75,641</w:t>
            </w:r>
          </w:p>
        </w:tc>
      </w:tr>
      <w:tr>
        <w:trPr>
          <w:trHeight w:val="229"/>
        </w:trPr>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Share-based compensation</w:t>
            </w:r>
          </w:p>
        </w:tc>
        <w:tc>
          <w:tcPr>
            <w:tcW w:w="400" w:type="dxa"/>
            <w:vAlign w:val="bottom"/>
          </w:tcPr>
          <w:p>
            <w:pPr>
              <w:spacing w:after="0"/>
              <w:rPr>
                <w:sz w:val="19"/>
                <w:szCs w:val="19"/>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4,139</w:t>
            </w:r>
          </w:p>
        </w:tc>
        <w:tc>
          <w:tcPr>
            <w:tcW w:w="280" w:type="dxa"/>
            <w:vAlign w:val="bottom"/>
          </w:tcPr>
          <w:p>
            <w:pPr>
              <w:spacing w:after="0"/>
              <w:rPr>
                <w:sz w:val="19"/>
                <w:szCs w:val="19"/>
                <w:color w:val="auto"/>
              </w:rPr>
            </w:pPr>
          </w:p>
        </w:tc>
        <w:tc>
          <w:tcPr>
            <w:tcW w:w="1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6,732</w:t>
            </w:r>
          </w:p>
        </w:tc>
        <w:tc>
          <w:tcPr>
            <w:tcW w:w="4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2,859</w:t>
            </w:r>
          </w:p>
        </w:tc>
      </w:tr>
      <w:tr>
        <w:trPr>
          <w:trHeight w:val="230"/>
        </w:trPr>
        <w:tc>
          <w:tcPr>
            <w:tcW w:w="330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Net periodic pension cost (benefit)</w:t>
            </w:r>
          </w:p>
        </w:tc>
        <w:tc>
          <w:tcPr>
            <w:tcW w:w="400" w:type="dxa"/>
            <w:vAlign w:val="bottom"/>
            <w:shd w:val="clear" w:color="auto" w:fill="DBDBDB"/>
          </w:tcPr>
          <w:p>
            <w:pPr>
              <w:spacing w:after="0"/>
              <w:rPr>
                <w:sz w:val="19"/>
                <w:szCs w:val="19"/>
                <w:color w:val="auto"/>
              </w:rPr>
            </w:pPr>
          </w:p>
        </w:tc>
        <w:tc>
          <w:tcPr>
            <w:tcW w:w="1360" w:type="dxa"/>
            <w:vAlign w:val="bottom"/>
            <w:shd w:val="clear" w:color="auto" w:fill="DBDBDB"/>
          </w:tcPr>
          <w:p>
            <w:pPr>
              <w:jc w:val="right"/>
              <w:ind w:right="10"/>
              <w:spacing w:after="0"/>
              <w:rPr>
                <w:sz w:val="20"/>
                <w:szCs w:val="20"/>
                <w:color w:val="auto"/>
              </w:rPr>
            </w:pPr>
            <w:r>
              <w:rPr>
                <w:rFonts w:ascii="Times New Roman" w:cs="Times New Roman" w:eastAsia="Times New Roman" w:hAnsi="Times New Roman"/>
                <w:sz w:val="18"/>
                <w:szCs w:val="18"/>
                <w:color w:val="auto"/>
              </w:rPr>
              <w:t>733</w:t>
            </w:r>
          </w:p>
        </w:tc>
        <w:tc>
          <w:tcPr>
            <w:tcW w:w="280" w:type="dxa"/>
            <w:vAlign w:val="bottom"/>
            <w:shd w:val="clear" w:color="auto" w:fill="DBDBDB"/>
          </w:tcPr>
          <w:p>
            <w:pPr>
              <w:spacing w:after="0"/>
              <w:rPr>
                <w:sz w:val="19"/>
                <w:szCs w:val="19"/>
                <w:color w:val="auto"/>
              </w:rPr>
            </w:pPr>
          </w:p>
        </w:tc>
        <w:tc>
          <w:tcPr>
            <w:tcW w:w="15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(2,564)</w:t>
            </w:r>
          </w:p>
        </w:tc>
        <w:tc>
          <w:tcPr>
            <w:tcW w:w="440" w:type="dxa"/>
            <w:vAlign w:val="bottom"/>
            <w:shd w:val="clear" w:color="auto" w:fill="DBDBDB"/>
          </w:tcPr>
          <w:p>
            <w:pPr>
              <w:spacing w:after="0"/>
              <w:rPr>
                <w:sz w:val="19"/>
                <w:szCs w:val="19"/>
                <w:color w:val="auto"/>
              </w:rPr>
            </w:pPr>
          </w:p>
        </w:tc>
        <w:tc>
          <w:tcPr>
            <w:tcW w:w="13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(1,839)</w:t>
            </w:r>
          </w:p>
        </w:tc>
      </w:tr>
      <w:tr>
        <w:trPr>
          <w:trHeight w:val="230"/>
        </w:trPr>
        <w:tc>
          <w:tcPr>
            <w:tcW w:w="3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 benefits</w:t>
            </w: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20,348</w:t>
            </w:r>
          </w:p>
        </w:tc>
        <w:tc>
          <w:tcPr>
            <w:tcW w:w="2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16,817</w:t>
            </w:r>
          </w:p>
        </w:tc>
        <w:tc>
          <w:tcPr>
            <w:tcW w:w="4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15,494</w:t>
            </w:r>
          </w:p>
        </w:tc>
      </w:tr>
      <w:tr>
        <w:trPr>
          <w:trHeight w:val="223"/>
        </w:trPr>
        <w:tc>
          <w:tcPr>
            <w:tcW w:w="330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Total personnel expense</w:t>
            </w:r>
          </w:p>
        </w:tc>
        <w:tc>
          <w:tcPr>
            <w:tcW w:w="400" w:type="dxa"/>
            <w:vAlign w:val="bottom"/>
            <w:shd w:val="clear" w:color="auto" w:fill="DBDBDB"/>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DBDBDB"/>
          </w:tcPr>
          <w:p>
            <w:pPr>
              <w:jc w:val="right"/>
              <w:ind w:right="10"/>
              <w:spacing w:after="0"/>
              <w:rPr>
                <w:sz w:val="20"/>
                <w:szCs w:val="20"/>
                <w:color w:val="auto"/>
              </w:rPr>
            </w:pPr>
            <w:r>
              <w:rPr>
                <w:rFonts w:ascii="Times New Roman" w:cs="Times New Roman" w:eastAsia="Times New Roman" w:hAnsi="Times New Roman"/>
                <w:sz w:val="18"/>
                <w:szCs w:val="18"/>
                <w:color w:val="auto"/>
              </w:rPr>
              <w:t>118,694</w:t>
            </w:r>
          </w:p>
        </w:tc>
        <w:tc>
          <w:tcPr>
            <w:tcW w:w="280" w:type="dxa"/>
            <w:vAlign w:val="bottom"/>
            <w:shd w:val="clear" w:color="auto" w:fill="DBDBDB"/>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DBDBDB"/>
          </w:tcPr>
          <w:p>
            <w:pPr>
              <w:jc w:val="right"/>
              <w:ind w:right="30"/>
              <w:spacing w:after="0"/>
              <w:rPr>
                <w:sz w:val="20"/>
                <w:szCs w:val="20"/>
                <w:color w:val="auto"/>
              </w:rPr>
            </w:pPr>
            <w:r>
              <w:rPr>
                <w:rFonts w:ascii="Times New Roman" w:cs="Times New Roman" w:eastAsia="Times New Roman" w:hAnsi="Times New Roman"/>
                <w:sz w:val="18"/>
                <w:szCs w:val="18"/>
                <w:color w:val="auto"/>
              </w:rPr>
              <w:t>106,474</w:t>
            </w:r>
          </w:p>
        </w:tc>
        <w:tc>
          <w:tcPr>
            <w:tcW w:w="440" w:type="dxa"/>
            <w:vAlign w:val="bottom"/>
            <w:shd w:val="clear" w:color="auto" w:fill="DBDBDB"/>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92,155</w:t>
            </w:r>
          </w:p>
        </w:tc>
      </w:tr>
      <w:tr>
        <w:trPr>
          <w:trHeight w:val="230"/>
        </w:trPr>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Occupancy</w:t>
            </w:r>
          </w:p>
        </w:tc>
        <w:tc>
          <w:tcPr>
            <w:tcW w:w="400" w:type="dxa"/>
            <w:vAlign w:val="bottom"/>
          </w:tcPr>
          <w:p>
            <w:pPr>
              <w:spacing w:after="0"/>
              <w:rPr>
                <w:sz w:val="19"/>
                <w:szCs w:val="19"/>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3,560</w:t>
            </w:r>
          </w:p>
        </w:tc>
        <w:tc>
          <w:tcPr>
            <w:tcW w:w="280" w:type="dxa"/>
            <w:vAlign w:val="bottom"/>
          </w:tcPr>
          <w:p>
            <w:pPr>
              <w:spacing w:after="0"/>
              <w:rPr>
                <w:sz w:val="19"/>
                <w:szCs w:val="19"/>
                <w:color w:val="auto"/>
              </w:rPr>
            </w:pPr>
          </w:p>
        </w:tc>
        <w:tc>
          <w:tcPr>
            <w:tcW w:w="1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3,676</w:t>
            </w:r>
          </w:p>
        </w:tc>
        <w:tc>
          <w:tcPr>
            <w:tcW w:w="4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3,824</w:t>
            </w:r>
          </w:p>
        </w:tc>
      </w:tr>
      <w:tr>
        <w:trPr>
          <w:trHeight w:val="229"/>
        </w:trPr>
        <w:tc>
          <w:tcPr>
            <w:tcW w:w="330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Equipment</w:t>
            </w:r>
          </w:p>
        </w:tc>
        <w:tc>
          <w:tcPr>
            <w:tcW w:w="400" w:type="dxa"/>
            <w:vAlign w:val="bottom"/>
            <w:shd w:val="clear" w:color="auto" w:fill="DBDBDB"/>
          </w:tcPr>
          <w:p>
            <w:pPr>
              <w:spacing w:after="0"/>
              <w:rPr>
                <w:sz w:val="19"/>
                <w:szCs w:val="19"/>
                <w:color w:val="auto"/>
              </w:rPr>
            </w:pPr>
          </w:p>
        </w:tc>
        <w:tc>
          <w:tcPr>
            <w:tcW w:w="1360" w:type="dxa"/>
            <w:vAlign w:val="bottom"/>
            <w:shd w:val="clear" w:color="auto" w:fill="DBDBDB"/>
          </w:tcPr>
          <w:p>
            <w:pPr>
              <w:jc w:val="right"/>
              <w:ind w:right="10"/>
              <w:spacing w:after="0"/>
              <w:rPr>
                <w:sz w:val="20"/>
                <w:szCs w:val="20"/>
                <w:color w:val="auto"/>
              </w:rPr>
            </w:pPr>
            <w:r>
              <w:rPr>
                <w:rFonts w:ascii="Times New Roman" w:cs="Times New Roman" w:eastAsia="Times New Roman" w:hAnsi="Times New Roman"/>
                <w:sz w:val="18"/>
                <w:szCs w:val="18"/>
                <w:color w:val="auto"/>
              </w:rPr>
              <w:t>7,138</w:t>
            </w:r>
          </w:p>
        </w:tc>
        <w:tc>
          <w:tcPr>
            <w:tcW w:w="280" w:type="dxa"/>
            <w:vAlign w:val="bottom"/>
            <w:shd w:val="clear" w:color="auto" w:fill="DBDBDB"/>
          </w:tcPr>
          <w:p>
            <w:pPr>
              <w:spacing w:after="0"/>
              <w:rPr>
                <w:sz w:val="19"/>
                <w:szCs w:val="19"/>
                <w:color w:val="auto"/>
              </w:rPr>
            </w:pPr>
          </w:p>
        </w:tc>
        <w:tc>
          <w:tcPr>
            <w:tcW w:w="1560" w:type="dxa"/>
            <w:vAlign w:val="bottom"/>
            <w:shd w:val="clear" w:color="auto" w:fill="DBDBDB"/>
          </w:tcPr>
          <w:p>
            <w:pPr>
              <w:jc w:val="right"/>
              <w:ind w:right="30"/>
              <w:spacing w:after="0"/>
              <w:rPr>
                <w:sz w:val="20"/>
                <w:szCs w:val="20"/>
                <w:color w:val="auto"/>
              </w:rPr>
            </w:pPr>
            <w:r>
              <w:rPr>
                <w:rFonts w:ascii="Times New Roman" w:cs="Times New Roman" w:eastAsia="Times New Roman" w:hAnsi="Times New Roman"/>
                <w:sz w:val="18"/>
                <w:szCs w:val="18"/>
                <w:color w:val="auto"/>
              </w:rPr>
              <w:t>6,668</w:t>
            </w:r>
          </w:p>
        </w:tc>
        <w:tc>
          <w:tcPr>
            <w:tcW w:w="440" w:type="dxa"/>
            <w:vAlign w:val="bottom"/>
            <w:shd w:val="clear" w:color="auto" w:fill="DBDBDB"/>
          </w:tcPr>
          <w:p>
            <w:pPr>
              <w:spacing w:after="0"/>
              <w:rPr>
                <w:sz w:val="19"/>
                <w:szCs w:val="19"/>
                <w:color w:val="auto"/>
              </w:rPr>
            </w:pPr>
          </w:p>
        </w:tc>
        <w:tc>
          <w:tcPr>
            <w:tcW w:w="13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6,745</w:t>
            </w:r>
          </w:p>
        </w:tc>
      </w:tr>
      <w:tr>
        <w:trPr>
          <w:trHeight w:val="230"/>
        </w:trPr>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400" w:type="dxa"/>
            <w:vAlign w:val="bottom"/>
          </w:tcPr>
          <w:p>
            <w:pPr>
              <w:spacing w:after="0"/>
              <w:rPr>
                <w:sz w:val="19"/>
                <w:szCs w:val="19"/>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780</w:t>
            </w:r>
          </w:p>
        </w:tc>
        <w:tc>
          <w:tcPr>
            <w:tcW w:w="280" w:type="dxa"/>
            <w:vAlign w:val="bottom"/>
          </w:tcPr>
          <w:p>
            <w:pPr>
              <w:spacing w:after="0"/>
              <w:rPr>
                <w:sz w:val="19"/>
                <w:szCs w:val="19"/>
                <w:color w:val="auto"/>
              </w:rPr>
            </w:pPr>
          </w:p>
        </w:tc>
        <w:tc>
          <w:tcPr>
            <w:tcW w:w="1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680</w:t>
            </w:r>
          </w:p>
        </w:tc>
        <w:tc>
          <w:tcPr>
            <w:tcW w:w="4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859</w:t>
            </w:r>
          </w:p>
        </w:tc>
      </w:tr>
      <w:tr>
        <w:trPr>
          <w:trHeight w:val="230"/>
        </w:trPr>
        <w:tc>
          <w:tcPr>
            <w:tcW w:w="3300" w:type="dxa"/>
            <w:vAlign w:val="bottom"/>
            <w:tcBorders>
              <w:bottom w:val="single" w:sz="8" w:color="auto"/>
            </w:tcBorders>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Other operating</w:t>
            </w:r>
          </w:p>
        </w:tc>
        <w:tc>
          <w:tcPr>
            <w:tcW w:w="400" w:type="dxa"/>
            <w:vAlign w:val="bottom"/>
            <w:tcBorders>
              <w:bottom w:val="single" w:sz="8" w:color="auto"/>
            </w:tcBorders>
            <w:shd w:val="clear" w:color="auto" w:fill="DBDBDB"/>
          </w:tcPr>
          <w:p>
            <w:pPr>
              <w:spacing w:after="0"/>
              <w:rPr>
                <w:sz w:val="19"/>
                <w:szCs w:val="19"/>
                <w:color w:val="auto"/>
              </w:rPr>
            </w:pPr>
          </w:p>
        </w:tc>
        <w:tc>
          <w:tcPr>
            <w:tcW w:w="1360" w:type="dxa"/>
            <w:vAlign w:val="bottom"/>
            <w:tcBorders>
              <w:bottom w:val="single" w:sz="8" w:color="auto"/>
            </w:tcBorders>
            <w:shd w:val="clear" w:color="auto" w:fill="DBDBDB"/>
          </w:tcPr>
          <w:p>
            <w:pPr>
              <w:jc w:val="right"/>
              <w:ind w:right="10"/>
              <w:spacing w:after="0"/>
              <w:rPr>
                <w:sz w:val="20"/>
                <w:szCs w:val="20"/>
                <w:color w:val="auto"/>
              </w:rPr>
            </w:pPr>
            <w:r>
              <w:rPr>
                <w:rFonts w:ascii="Times New Roman" w:cs="Times New Roman" w:eastAsia="Times New Roman" w:hAnsi="Times New Roman"/>
                <w:sz w:val="18"/>
                <w:szCs w:val="18"/>
                <w:color w:val="auto"/>
              </w:rPr>
              <w:t>29,983</w:t>
            </w:r>
          </w:p>
        </w:tc>
        <w:tc>
          <w:tcPr>
            <w:tcW w:w="280" w:type="dxa"/>
            <w:vAlign w:val="bottom"/>
            <w:tcBorders>
              <w:bottom w:val="single" w:sz="8" w:color="auto"/>
            </w:tcBorders>
            <w:shd w:val="clear" w:color="auto" w:fill="DBDBDB"/>
          </w:tcPr>
          <w:p>
            <w:pPr>
              <w:spacing w:after="0"/>
              <w:rPr>
                <w:sz w:val="19"/>
                <w:szCs w:val="19"/>
                <w:color w:val="auto"/>
              </w:rPr>
            </w:pPr>
          </w:p>
        </w:tc>
        <w:tc>
          <w:tcPr>
            <w:tcW w:w="1560" w:type="dxa"/>
            <w:vAlign w:val="bottom"/>
            <w:tcBorders>
              <w:bottom w:val="single" w:sz="8" w:color="auto"/>
            </w:tcBorders>
            <w:shd w:val="clear" w:color="auto" w:fill="DBDBDB"/>
          </w:tcPr>
          <w:p>
            <w:pPr>
              <w:jc w:val="right"/>
              <w:ind w:right="30"/>
              <w:spacing w:after="0"/>
              <w:rPr>
                <w:sz w:val="20"/>
                <w:szCs w:val="20"/>
                <w:color w:val="auto"/>
              </w:rPr>
            </w:pPr>
            <w:r>
              <w:rPr>
                <w:rFonts w:ascii="Times New Roman" w:cs="Times New Roman" w:eastAsia="Times New Roman" w:hAnsi="Times New Roman"/>
                <w:sz w:val="18"/>
                <w:szCs w:val="18"/>
                <w:color w:val="auto"/>
              </w:rPr>
              <w:t>22,078</w:t>
            </w:r>
          </w:p>
        </w:tc>
        <w:tc>
          <w:tcPr>
            <w:tcW w:w="440" w:type="dxa"/>
            <w:vAlign w:val="bottom"/>
            <w:tcBorders>
              <w:bottom w:val="single" w:sz="8" w:color="auto"/>
            </w:tcBorders>
            <w:shd w:val="clear" w:color="auto" w:fill="DBDBDB"/>
          </w:tcPr>
          <w:p>
            <w:pPr>
              <w:spacing w:after="0"/>
              <w:rPr>
                <w:sz w:val="19"/>
                <w:szCs w:val="19"/>
                <w:color w:val="auto"/>
              </w:rPr>
            </w:pPr>
          </w:p>
        </w:tc>
        <w:tc>
          <w:tcPr>
            <w:tcW w:w="134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16,743</w:t>
            </w:r>
          </w:p>
        </w:tc>
      </w:tr>
      <w:tr>
        <w:trPr>
          <w:trHeight w:val="223"/>
        </w:trPr>
        <w:tc>
          <w:tcPr>
            <w:tcW w:w="3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operating expense</w:t>
            </w: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160,155</w:t>
            </w:r>
          </w:p>
        </w:tc>
        <w:tc>
          <w:tcPr>
            <w:tcW w:w="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139,576</w:t>
            </w:r>
          </w:p>
        </w:tc>
        <w:tc>
          <w:tcPr>
            <w:tcW w:w="4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120,326</w:t>
            </w:r>
          </w:p>
        </w:tc>
      </w:tr>
    </w:tbl>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operating expenses increased 14.7% in 2023 compared to 2022.</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Salaries and commissions increased $8.0 million, or 9.3%, as a result of merit increases and an increase in average full-time equivalent employees ("FTEs") of 10.8% due to strategic investments in various technology initiatives.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Share-based compensation decreased $2.6 million, reflecting the Company's financial performance and the impact on performance-based restricted stock between the periods.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Pension expense increased $3.3 million. Despite the Company's defined benefit pension plan being frozen in the first quarter of 2021 resulting in no service cost in subsequent periods, expense increased as a result of the accounting impact of the decline in plan assets during 2022 and corresponding decline in expected return on plan assets for 2023.</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benefits, such as 401(k) match, health insurance and payroll taxes, increased $3.5 million, or 21.0%, primarily due to the 10.8% increase in average FTEs as well as a significant increase in employer health insurance costs over prior year levels.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operating expense increased $7.9 million, or 35.8%, to $30.0 million. Certain expense categories such as outside service fees and data processing have increased as the Company invests in, and transitions to, improved technology.</w:t>
      </w:r>
    </w:p>
    <w:p>
      <w:pPr>
        <w:sectPr>
          <w:pgSz w:w="11900" w:h="16838" w:orient="portrait"/>
          <w:cols w:equalWidth="0" w:num="1">
            <w:col w:w="11240"/>
          </w:cols>
          <w:pgMar w:left="320" w:top="333" w:right="339" w:bottom="1440" w:gutter="0" w:footer="0" w:header="0"/>
        </w:sect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type w:val="continuous"/>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 Expense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Income tax expense in 2023 totaled $7.3 million, compared to $8.0 million in 2022. When measured as a percent of pre-tax income, the Company’s effective tax rate was 19.5% and 18.6% in 2023 and 2022, respectively. The increase in the effective tax rate in 2023 compared to 2022 was primarily due to a lower level of tax-free interest income on municipal securities in the current year.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Portfolio</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Investment securities decreased $127.4 million, or 16.9%, during 2023 to $627.1 million at December 31, 2023. U.S. Treasury securities decreased $46.6 million to $108.7 million at December 31, 2023 compared to $155.3 million at December 31, 2022. State and political securities decreased $76.1 million, or 25.8%, to $219.0 million at December 31, 2023 as a result of maturities and sales. The investment portfolio provides the Company with a significant source of earnings, secondary source of liquidity, and mechanisms to manage the effects of changes in loan demand and interest rates. Therefore, the size, asset allocation and maturity distribution of the investment portfolio will vary over time depending on management’s assessment of current and future interest rates, changes in loan demand, changes in the Company’s sources of funds and the economic outlook. During 2023, the Company purchased investment securities totaling $15.3 million.</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was no single issuer of securities in the investment portfolio at December 31, 2023 for which the aggregate amortized cost exceeded 10% of total shareholders' equity.</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Investments by Type</w:t>
            </w: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57"/>
        </w:trPr>
        <w:tc>
          <w:tcPr>
            <w:tcW w:w="664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spacing w:after="0"/>
              <w:rPr>
                <w:sz w:val="22"/>
                <w:szCs w:val="22"/>
                <w:color w:val="auto"/>
              </w:rPr>
            </w:pPr>
          </w:p>
        </w:tc>
      </w:tr>
      <w:tr>
        <w:trPr>
          <w:trHeight w:val="236"/>
        </w:trPr>
        <w:tc>
          <w:tcPr>
            <w:tcW w:w="6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DBDBDB"/>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Borders>
              <w:bottom w:val="single" w:sz="8" w:color="DBDBDB"/>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664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State and political subdivisions</w:t>
            </w:r>
          </w:p>
        </w:tc>
        <w:tc>
          <w:tcPr>
            <w:tcW w:w="320" w:type="dxa"/>
            <w:vAlign w:val="bottom"/>
            <w:shd w:val="clear" w:color="auto" w:fill="DBDBDB"/>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219,035</w:t>
            </w:r>
          </w:p>
        </w:tc>
        <w:tc>
          <w:tcPr>
            <w:tcW w:w="100" w:type="dxa"/>
            <w:vAlign w:val="bottom"/>
            <w:shd w:val="clear" w:color="auto" w:fill="DBDBDB"/>
          </w:tcPr>
          <w:p>
            <w:pPr>
              <w:spacing w:after="0"/>
              <w:rPr>
                <w:sz w:val="19"/>
                <w:szCs w:val="19"/>
                <w:color w:val="auto"/>
              </w:rPr>
            </w:pPr>
          </w:p>
        </w:tc>
        <w:tc>
          <w:tcPr>
            <w:tcW w:w="1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295,126</w:t>
            </w:r>
          </w:p>
        </w:tc>
        <w:tc>
          <w:tcPr>
            <w:tcW w:w="80" w:type="dxa"/>
            <w:vAlign w:val="bottom"/>
            <w:shd w:val="clear" w:color="auto" w:fill="DBDBDB"/>
          </w:tcPr>
          <w:p>
            <w:pPr>
              <w:spacing w:after="0"/>
              <w:rPr>
                <w:sz w:val="19"/>
                <w:szCs w:val="19"/>
                <w:color w:val="auto"/>
              </w:rPr>
            </w:pPr>
          </w:p>
        </w:tc>
        <w:tc>
          <w:tcPr>
            <w:tcW w:w="340" w:type="dxa"/>
            <w:vAlign w:val="bottom"/>
            <w:shd w:val="clear" w:color="auto" w:fill="DBDBDB"/>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371,128</w:t>
            </w:r>
          </w:p>
        </w:tc>
      </w:tr>
      <w:tr>
        <w:trPr>
          <w:trHeight w:val="175"/>
        </w:trPr>
        <w:tc>
          <w:tcPr>
            <w:tcW w:w="66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Mortgage-backed securities issued or guaranteed by U.S. Government agencies or</w:t>
            </w: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243"/>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sponsored enterprises</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157,799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173,939</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168,646</w:t>
            </w:r>
          </w:p>
        </w:tc>
      </w:tr>
      <w:tr>
        <w:trPr>
          <w:trHeight w:val="230"/>
        </w:trPr>
        <w:tc>
          <w:tcPr>
            <w:tcW w:w="664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Corporate bonds</w:t>
            </w:r>
          </w:p>
        </w:tc>
        <w:tc>
          <w:tcPr>
            <w:tcW w:w="320" w:type="dxa"/>
            <w:vAlign w:val="bottom"/>
            <w:shd w:val="clear" w:color="auto" w:fill="DBDBDB"/>
          </w:tcPr>
          <w:p>
            <w:pPr>
              <w:spacing w:after="0"/>
              <w:rPr>
                <w:sz w:val="19"/>
                <w:szCs w:val="19"/>
                <w:color w:val="auto"/>
              </w:rPr>
            </w:pPr>
          </w:p>
        </w:tc>
        <w:tc>
          <w:tcPr>
            <w:tcW w:w="11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102,340</w:t>
            </w:r>
          </w:p>
        </w:tc>
        <w:tc>
          <w:tcPr>
            <w:tcW w:w="10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13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85,097</w:t>
            </w:r>
          </w:p>
        </w:tc>
        <w:tc>
          <w:tcPr>
            <w:tcW w:w="80" w:type="dxa"/>
            <w:vAlign w:val="bottom"/>
            <w:shd w:val="clear" w:color="auto" w:fill="DBDBDB"/>
          </w:tcPr>
          <w:p>
            <w:pPr>
              <w:spacing w:after="0"/>
              <w:rPr>
                <w:sz w:val="19"/>
                <w:szCs w:val="19"/>
                <w:color w:val="auto"/>
              </w:rPr>
            </w:pPr>
          </w:p>
        </w:tc>
        <w:tc>
          <w:tcPr>
            <w:tcW w:w="340" w:type="dxa"/>
            <w:vAlign w:val="bottom"/>
            <w:shd w:val="clear" w:color="auto" w:fill="DBDBDB"/>
          </w:tcPr>
          <w:p>
            <w:pPr>
              <w:spacing w:after="0"/>
              <w:rPr>
                <w:sz w:val="19"/>
                <w:szCs w:val="19"/>
                <w:color w:val="auto"/>
              </w:rPr>
            </w:pPr>
          </w:p>
        </w:tc>
        <w:tc>
          <w:tcPr>
            <w:tcW w:w="11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84,338</w:t>
            </w:r>
          </w:p>
        </w:tc>
      </w:tr>
      <w:tr>
        <w:trPr>
          <w:trHeight w:val="175"/>
        </w:trPr>
        <w:tc>
          <w:tcPr>
            <w:tcW w:w="66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Asset-backed securities issued or guaranteed by U.S. Government agencies or sponsored</w:t>
            </w: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243"/>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enterprises</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39,222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45,023</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49,341</w:t>
            </w:r>
          </w:p>
        </w:tc>
      </w:tr>
      <w:tr>
        <w:trPr>
          <w:trHeight w:val="230"/>
        </w:trPr>
        <w:tc>
          <w:tcPr>
            <w:tcW w:w="6640" w:type="dxa"/>
            <w:vAlign w:val="bottom"/>
            <w:tcBorders>
              <w:bottom w:val="single" w:sz="8" w:color="auto"/>
            </w:tcBorders>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Treasury securities</w:t>
            </w:r>
          </w:p>
        </w:tc>
        <w:tc>
          <w:tcPr>
            <w:tcW w:w="320" w:type="dxa"/>
            <w:vAlign w:val="bottom"/>
            <w:tcBorders>
              <w:bottom w:val="single" w:sz="8" w:color="auto"/>
            </w:tcBorders>
            <w:shd w:val="clear" w:color="auto" w:fill="DBDBDB"/>
          </w:tcPr>
          <w:p>
            <w:pPr>
              <w:spacing w:after="0"/>
              <w:rPr>
                <w:sz w:val="19"/>
                <w:szCs w:val="19"/>
                <w:color w:val="auto"/>
              </w:rPr>
            </w:pPr>
          </w:p>
        </w:tc>
        <w:tc>
          <w:tcPr>
            <w:tcW w:w="114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108,721</w:t>
            </w:r>
          </w:p>
        </w:tc>
        <w:tc>
          <w:tcPr>
            <w:tcW w:w="100" w:type="dxa"/>
            <w:vAlign w:val="bottom"/>
            <w:tcBorders>
              <w:bottom w:val="single" w:sz="8" w:color="auto"/>
            </w:tcBorders>
            <w:shd w:val="clear" w:color="auto" w:fill="DBDBDB"/>
          </w:tcPr>
          <w:p>
            <w:pPr>
              <w:spacing w:after="0"/>
              <w:rPr>
                <w:sz w:val="19"/>
                <w:szCs w:val="19"/>
                <w:color w:val="auto"/>
              </w:rPr>
            </w:pPr>
          </w:p>
        </w:tc>
        <w:tc>
          <w:tcPr>
            <w:tcW w:w="160" w:type="dxa"/>
            <w:vAlign w:val="bottom"/>
            <w:tcBorders>
              <w:bottom w:val="single" w:sz="8" w:color="auto"/>
            </w:tcBorders>
            <w:shd w:val="clear" w:color="auto" w:fill="DBDBDB"/>
          </w:tcPr>
          <w:p>
            <w:pPr>
              <w:spacing w:after="0"/>
              <w:rPr>
                <w:sz w:val="19"/>
                <w:szCs w:val="19"/>
                <w:color w:val="auto"/>
              </w:rPr>
            </w:pPr>
          </w:p>
        </w:tc>
        <w:tc>
          <w:tcPr>
            <w:tcW w:w="132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155,283</w:t>
            </w:r>
          </w:p>
        </w:tc>
        <w:tc>
          <w:tcPr>
            <w:tcW w:w="80" w:type="dxa"/>
            <w:vAlign w:val="bottom"/>
            <w:tcBorders>
              <w:bottom w:val="single" w:sz="8" w:color="auto"/>
            </w:tcBorders>
            <w:shd w:val="clear" w:color="auto" w:fill="DBDBDB"/>
          </w:tcPr>
          <w:p>
            <w:pPr>
              <w:spacing w:after="0"/>
              <w:rPr>
                <w:sz w:val="19"/>
                <w:szCs w:val="19"/>
                <w:color w:val="auto"/>
              </w:rPr>
            </w:pPr>
          </w:p>
        </w:tc>
        <w:tc>
          <w:tcPr>
            <w:tcW w:w="340" w:type="dxa"/>
            <w:vAlign w:val="bottom"/>
            <w:tcBorders>
              <w:bottom w:val="single" w:sz="8" w:color="auto"/>
            </w:tcBorders>
            <w:shd w:val="clear" w:color="auto" w:fill="DBDBDB"/>
          </w:tcPr>
          <w:p>
            <w:pPr>
              <w:spacing w:after="0"/>
              <w:rPr>
                <w:sz w:val="19"/>
                <w:szCs w:val="19"/>
                <w:color w:val="auto"/>
              </w:rPr>
            </w:pPr>
          </w:p>
        </w:tc>
        <w:tc>
          <w:tcPr>
            <w:tcW w:w="114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64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Total investments</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627,117</w:t>
            </w: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754,468</w:t>
            </w:r>
          </w:p>
        </w:tc>
        <w:tc>
          <w:tcPr>
            <w:tcW w:w="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673,453</w:t>
            </w:r>
          </w:p>
        </w:tc>
      </w:tr>
    </w:tbl>
    <w:p>
      <w:pPr>
        <w:spacing w:after="0" w:line="3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Investment Securities by Maturity</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(At December 31, 2023)</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34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20" w:type="dxa"/>
            <w:vAlign w:val="bottom"/>
          </w:tcPr>
          <w:p>
            <w:pPr>
              <w:spacing w:after="0"/>
              <w:rPr>
                <w:sz w:val="18"/>
                <w:szCs w:val="18"/>
                <w:color w:val="auto"/>
              </w:rPr>
            </w:pPr>
          </w:p>
        </w:tc>
        <w:tc>
          <w:tcPr>
            <w:tcW w:w="122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Within 1</w:t>
            </w:r>
          </w:p>
        </w:tc>
        <w:tc>
          <w:tcPr>
            <w:tcW w:w="260" w:type="dxa"/>
            <w:vAlign w:val="bottom"/>
          </w:tcPr>
          <w:p>
            <w:pPr>
              <w:spacing w:after="0"/>
              <w:rPr>
                <w:sz w:val="18"/>
                <w:szCs w:val="18"/>
                <w:color w:val="auto"/>
              </w:rPr>
            </w:pPr>
          </w:p>
        </w:tc>
        <w:tc>
          <w:tcPr>
            <w:tcW w:w="128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Over 1 to 5</w:t>
            </w:r>
          </w:p>
        </w:tc>
        <w:tc>
          <w:tcPr>
            <w:tcW w:w="280" w:type="dxa"/>
            <w:vAlign w:val="bottom"/>
          </w:tcPr>
          <w:p>
            <w:pPr>
              <w:spacing w:after="0"/>
              <w:rPr>
                <w:sz w:val="18"/>
                <w:szCs w:val="18"/>
                <w:color w:val="auto"/>
              </w:rPr>
            </w:pPr>
          </w:p>
        </w:tc>
        <w:tc>
          <w:tcPr>
            <w:tcW w:w="124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Over 5 to</w:t>
            </w:r>
          </w:p>
        </w:tc>
        <w:tc>
          <w:tcPr>
            <w:tcW w:w="300" w:type="dxa"/>
            <w:vAlign w:val="bottom"/>
          </w:tcPr>
          <w:p>
            <w:pPr>
              <w:spacing w:after="0"/>
              <w:rPr>
                <w:sz w:val="18"/>
                <w:szCs w:val="18"/>
                <w:color w:val="auto"/>
              </w:rPr>
            </w:pPr>
          </w:p>
        </w:tc>
        <w:tc>
          <w:tcPr>
            <w:tcW w:w="1460" w:type="dxa"/>
            <w:vAlign w:val="bottom"/>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Over</w:t>
            </w:r>
          </w:p>
        </w:tc>
        <w:tc>
          <w:tcPr>
            <w:tcW w:w="1540" w:type="dxa"/>
            <w:vAlign w:val="bottom"/>
            <w:gridSpan w:val="2"/>
            <w:vMerge w:val="restart"/>
          </w:tcPr>
          <w:p>
            <w:pPr>
              <w:jc w:val="right"/>
              <w:ind w:right="782"/>
              <w:spacing w:after="0"/>
              <w:rPr>
                <w:sz w:val="20"/>
                <w:szCs w:val="20"/>
                <w:color w:val="auto"/>
              </w:rPr>
            </w:pPr>
            <w:r>
              <w:rPr>
                <w:rFonts w:ascii="Times New Roman" w:cs="Times New Roman" w:eastAsia="Times New Roman" w:hAnsi="Times New Roman"/>
                <w:sz w:val="18"/>
                <w:szCs w:val="18"/>
                <w:b w:val="1"/>
                <w:bCs w:val="1"/>
                <w:color w:val="auto"/>
              </w:rPr>
              <w:t>Yield</w:t>
            </w:r>
          </w:p>
        </w:tc>
        <w:tc>
          <w:tcPr>
            <w:tcW w:w="0" w:type="dxa"/>
            <w:vAlign w:val="bottom"/>
          </w:tcPr>
          <w:p>
            <w:pPr>
              <w:spacing w:after="0"/>
              <w:rPr>
                <w:sz w:val="1"/>
                <w:szCs w:val="1"/>
                <w:color w:val="auto"/>
              </w:rPr>
            </w:pPr>
          </w:p>
        </w:tc>
      </w:tr>
      <w:tr>
        <w:trPr>
          <w:trHeight w:val="243"/>
        </w:trPr>
        <w:tc>
          <w:tcPr>
            <w:tcW w:w="3340" w:type="dxa"/>
            <w:vAlign w:val="bottom"/>
            <w:vMerge w:val="continue"/>
          </w:tcPr>
          <w:p>
            <w:pPr>
              <w:spacing w:after="0"/>
              <w:rPr>
                <w:sz w:val="21"/>
                <w:szCs w:val="21"/>
                <w:color w:val="auto"/>
              </w:rPr>
            </w:pPr>
          </w:p>
        </w:tc>
        <w:tc>
          <w:tcPr>
            <w:tcW w:w="320" w:type="dxa"/>
            <w:vAlign w:val="bottom"/>
          </w:tcPr>
          <w:p>
            <w:pPr>
              <w:spacing w:after="0"/>
              <w:rPr>
                <w:sz w:val="21"/>
                <w:szCs w:val="21"/>
                <w:color w:val="auto"/>
              </w:rPr>
            </w:pPr>
          </w:p>
        </w:tc>
        <w:tc>
          <w:tcPr>
            <w:tcW w:w="122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Year</w:t>
            </w:r>
          </w:p>
        </w:tc>
        <w:tc>
          <w:tcPr>
            <w:tcW w:w="260" w:type="dxa"/>
            <w:vAlign w:val="bottom"/>
          </w:tcPr>
          <w:p>
            <w:pPr>
              <w:spacing w:after="0"/>
              <w:rPr>
                <w:sz w:val="21"/>
                <w:szCs w:val="21"/>
                <w:color w:val="auto"/>
              </w:rPr>
            </w:pPr>
          </w:p>
        </w:tc>
        <w:tc>
          <w:tcPr>
            <w:tcW w:w="128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Years</w:t>
            </w:r>
          </w:p>
        </w:tc>
        <w:tc>
          <w:tcPr>
            <w:tcW w:w="280" w:type="dxa"/>
            <w:vAlign w:val="bottom"/>
          </w:tcPr>
          <w:p>
            <w:pPr>
              <w:spacing w:after="0"/>
              <w:rPr>
                <w:sz w:val="21"/>
                <w:szCs w:val="21"/>
                <w:color w:val="auto"/>
              </w:rPr>
            </w:pPr>
          </w:p>
        </w:tc>
        <w:tc>
          <w:tcPr>
            <w:tcW w:w="124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10 Years</w:t>
            </w:r>
          </w:p>
        </w:tc>
        <w:tc>
          <w:tcPr>
            <w:tcW w:w="300" w:type="dxa"/>
            <w:vAlign w:val="bottom"/>
          </w:tcPr>
          <w:p>
            <w:pPr>
              <w:spacing w:after="0"/>
              <w:rPr>
                <w:sz w:val="21"/>
                <w:szCs w:val="21"/>
                <w:color w:val="auto"/>
              </w:rPr>
            </w:pPr>
          </w:p>
        </w:tc>
        <w:tc>
          <w:tcPr>
            <w:tcW w:w="146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10 Years</w:t>
            </w:r>
          </w:p>
        </w:tc>
        <w:tc>
          <w:tcPr>
            <w:tcW w:w="154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340" w:type="dxa"/>
            <w:vAlign w:val="bottom"/>
            <w:tcBorders>
              <w:top w:val="single" w:sz="8" w:color="auto"/>
            </w:tcBorders>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State and political subdivisions</w:t>
            </w:r>
          </w:p>
        </w:tc>
        <w:tc>
          <w:tcPr>
            <w:tcW w:w="320" w:type="dxa"/>
            <w:vAlign w:val="bottom"/>
            <w:tcBorders>
              <w:top w:val="single" w:sz="8" w:color="auto"/>
            </w:tcBorders>
            <w:shd w:val="clear" w:color="auto" w:fill="DBDBDB"/>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DBDBDB"/>
          </w:tcPr>
          <w:p>
            <w:pPr>
              <w:jc w:val="right"/>
              <w:ind w:right="170"/>
              <w:spacing w:after="0"/>
              <w:rPr>
                <w:sz w:val="20"/>
                <w:szCs w:val="20"/>
                <w:color w:val="auto"/>
              </w:rPr>
            </w:pPr>
            <w:r>
              <w:rPr>
                <w:rFonts w:ascii="Times New Roman" w:cs="Times New Roman" w:eastAsia="Times New Roman" w:hAnsi="Times New Roman"/>
                <w:sz w:val="18"/>
                <w:szCs w:val="18"/>
                <w:color w:val="auto"/>
              </w:rPr>
              <w:t>20,492</w:t>
            </w:r>
          </w:p>
        </w:tc>
        <w:tc>
          <w:tcPr>
            <w:tcW w:w="260" w:type="dxa"/>
            <w:vAlign w:val="bottom"/>
            <w:tcBorders>
              <w:top w:val="single" w:sz="8" w:color="auto"/>
            </w:tcBorders>
            <w:shd w:val="clear" w:color="auto" w:fill="DBDBDB"/>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shd w:val="clear" w:color="auto" w:fill="DBDBDB"/>
          </w:tcPr>
          <w:p>
            <w:pPr>
              <w:jc w:val="right"/>
              <w:ind w:right="190"/>
              <w:spacing w:after="0"/>
              <w:rPr>
                <w:sz w:val="20"/>
                <w:szCs w:val="20"/>
                <w:color w:val="auto"/>
              </w:rPr>
            </w:pPr>
            <w:r>
              <w:rPr>
                <w:rFonts w:ascii="Times New Roman" w:cs="Times New Roman" w:eastAsia="Times New Roman" w:hAnsi="Times New Roman"/>
                <w:sz w:val="18"/>
                <w:szCs w:val="18"/>
                <w:color w:val="auto"/>
              </w:rPr>
              <w:t>78,179</w:t>
            </w:r>
          </w:p>
        </w:tc>
        <w:tc>
          <w:tcPr>
            <w:tcW w:w="280" w:type="dxa"/>
            <w:vAlign w:val="bottom"/>
            <w:tcBorders>
              <w:top w:val="single" w:sz="8" w:color="auto"/>
            </w:tcBorders>
            <w:shd w:val="clear" w:color="auto" w:fill="DBDBDB"/>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DBDBDB"/>
          </w:tcPr>
          <w:p>
            <w:pPr>
              <w:jc w:val="right"/>
              <w:ind w:right="170"/>
              <w:spacing w:after="0"/>
              <w:rPr>
                <w:sz w:val="20"/>
                <w:szCs w:val="20"/>
                <w:color w:val="auto"/>
              </w:rPr>
            </w:pPr>
            <w:r>
              <w:rPr>
                <w:rFonts w:ascii="Times New Roman" w:cs="Times New Roman" w:eastAsia="Times New Roman" w:hAnsi="Times New Roman"/>
                <w:sz w:val="18"/>
                <w:szCs w:val="18"/>
                <w:color w:val="auto"/>
              </w:rPr>
              <w:t>91,789</w:t>
            </w:r>
          </w:p>
        </w:tc>
        <w:tc>
          <w:tcPr>
            <w:tcW w:w="300" w:type="dxa"/>
            <w:vAlign w:val="bottom"/>
            <w:tcBorders>
              <w:top w:val="single" w:sz="8" w:color="auto"/>
            </w:tcBorders>
            <w:shd w:val="clear" w:color="auto" w:fill="DBDBDB"/>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tcBorders>
            <w:shd w:val="clear" w:color="auto" w:fill="DBDBDB"/>
          </w:tcPr>
          <w:p>
            <w:pPr>
              <w:jc w:val="right"/>
              <w:ind w:right="410"/>
              <w:spacing w:after="0"/>
              <w:rPr>
                <w:sz w:val="20"/>
                <w:szCs w:val="20"/>
                <w:color w:val="auto"/>
              </w:rPr>
            </w:pPr>
            <w:r>
              <w:rPr>
                <w:rFonts w:ascii="Times New Roman" w:cs="Times New Roman" w:eastAsia="Times New Roman" w:hAnsi="Times New Roman"/>
                <w:sz w:val="18"/>
                <w:szCs w:val="18"/>
                <w:color w:val="auto"/>
              </w:rPr>
              <w:t>28,575</w:t>
            </w:r>
          </w:p>
        </w:tc>
        <w:tc>
          <w:tcPr>
            <w:tcW w:w="1200" w:type="dxa"/>
            <w:vAlign w:val="bottom"/>
            <w:tcBorders>
              <w:top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2.49 %</w:t>
            </w:r>
          </w:p>
        </w:tc>
        <w:tc>
          <w:tcPr>
            <w:tcW w:w="340" w:type="dxa"/>
            <w:vAlign w:val="bottom"/>
            <w:tcBorders>
              <w:top w:val="single" w:sz="8" w:color="DBDBDB"/>
            </w:tcBorders>
            <w:shd w:val="clear" w:color="auto" w:fill="DBDBDB"/>
          </w:tcPr>
          <w:p>
            <w:pPr>
              <w:jc w:val="right"/>
              <w:ind w:right="122"/>
              <w:spacing w:after="0" w:line="136" w:lineRule="exact"/>
              <w:rPr>
                <w:sz w:val="20"/>
                <w:szCs w:val="20"/>
                <w:color w:val="auto"/>
              </w:rPr>
            </w:pPr>
            <w:r>
              <w:rPr>
                <w:rFonts w:ascii="Times New Roman" w:cs="Times New Roman" w:eastAsia="Times New Roman" w:hAnsi="Times New Roman"/>
                <w:sz w:val="12"/>
                <w:szCs w:val="12"/>
                <w:b w:val="1"/>
                <w:bCs w:val="1"/>
                <w:color w:val="auto"/>
                <w:w w:val="99"/>
              </w:rPr>
              <w:t>(1)</w:t>
            </w:r>
          </w:p>
        </w:tc>
        <w:tc>
          <w:tcPr>
            <w:tcW w:w="0" w:type="dxa"/>
            <w:vAlign w:val="bottom"/>
          </w:tcPr>
          <w:p>
            <w:pPr>
              <w:spacing w:after="0"/>
              <w:rPr>
                <w:sz w:val="1"/>
                <w:szCs w:val="1"/>
                <w:color w:val="auto"/>
              </w:rPr>
            </w:pPr>
          </w:p>
        </w:tc>
      </w:tr>
      <w:tr>
        <w:trPr>
          <w:trHeight w:val="175"/>
        </w:trPr>
        <w:tc>
          <w:tcPr>
            <w:tcW w:w="33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Mortgage-backed securities issued or</w:t>
            </w:r>
          </w:p>
        </w:tc>
        <w:tc>
          <w:tcPr>
            <w:tcW w:w="3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3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guaranteed by U.S. Government agencies or</w:t>
            </w:r>
          </w:p>
        </w:tc>
        <w:tc>
          <w:tcPr>
            <w:tcW w:w="3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sponsored enterprises</w:t>
            </w:r>
          </w:p>
        </w:tc>
        <w:tc>
          <w:tcPr>
            <w:tcW w:w="320" w:type="dxa"/>
            <w:vAlign w:val="bottom"/>
          </w:tcPr>
          <w:p>
            <w:pPr>
              <w:spacing w:after="0"/>
              <w:rPr>
                <w:sz w:val="21"/>
                <w:szCs w:val="21"/>
                <w:color w:val="auto"/>
              </w:rPr>
            </w:pPr>
          </w:p>
        </w:tc>
        <w:tc>
          <w:tcPr>
            <w:tcW w:w="12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2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713</w:t>
            </w:r>
          </w:p>
        </w:tc>
        <w:tc>
          <w:tcPr>
            <w:tcW w:w="280" w:type="dxa"/>
            <w:vAlign w:val="bottom"/>
          </w:tcPr>
          <w:p>
            <w:pPr>
              <w:spacing w:after="0"/>
              <w:rPr>
                <w:sz w:val="21"/>
                <w:szCs w:val="21"/>
                <w:color w:val="auto"/>
              </w:rPr>
            </w:pPr>
          </w:p>
        </w:tc>
        <w:tc>
          <w:tcPr>
            <w:tcW w:w="12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40,396</w:t>
            </w:r>
          </w:p>
        </w:tc>
        <w:tc>
          <w:tcPr>
            <w:tcW w:w="300" w:type="dxa"/>
            <w:vAlign w:val="bottom"/>
          </w:tcPr>
          <w:p>
            <w:pPr>
              <w:spacing w:after="0"/>
              <w:rPr>
                <w:sz w:val="21"/>
                <w:szCs w:val="21"/>
                <w:color w:val="auto"/>
              </w:rPr>
            </w:pPr>
          </w:p>
        </w:tc>
        <w:tc>
          <w:tcPr>
            <w:tcW w:w="146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116,690</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1.69 %</w:t>
            </w:r>
          </w:p>
        </w:tc>
        <w:tc>
          <w:tcPr>
            <w:tcW w:w="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34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Corporate bonds</w:t>
            </w:r>
          </w:p>
        </w:tc>
        <w:tc>
          <w:tcPr>
            <w:tcW w:w="320" w:type="dxa"/>
            <w:vAlign w:val="bottom"/>
            <w:shd w:val="clear" w:color="auto" w:fill="DBDBDB"/>
          </w:tcPr>
          <w:p>
            <w:pPr>
              <w:spacing w:after="0"/>
              <w:rPr>
                <w:sz w:val="19"/>
                <w:szCs w:val="19"/>
                <w:color w:val="auto"/>
              </w:rPr>
            </w:pPr>
          </w:p>
        </w:tc>
        <w:tc>
          <w:tcPr>
            <w:tcW w:w="1220" w:type="dxa"/>
            <w:vAlign w:val="bottom"/>
            <w:shd w:val="clear" w:color="auto" w:fill="DBDBDB"/>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DBDBDB"/>
          </w:tcPr>
          <w:p>
            <w:pPr>
              <w:spacing w:after="0"/>
              <w:rPr>
                <w:sz w:val="19"/>
                <w:szCs w:val="19"/>
                <w:color w:val="auto"/>
              </w:rPr>
            </w:pPr>
          </w:p>
        </w:tc>
        <w:tc>
          <w:tcPr>
            <w:tcW w:w="1280" w:type="dxa"/>
            <w:vAlign w:val="bottom"/>
            <w:shd w:val="clear" w:color="auto" w:fill="DBDBDB"/>
          </w:tcPr>
          <w:p>
            <w:pPr>
              <w:jc w:val="right"/>
              <w:ind w:right="190"/>
              <w:spacing w:after="0"/>
              <w:rPr>
                <w:sz w:val="20"/>
                <w:szCs w:val="20"/>
                <w:color w:val="auto"/>
              </w:rPr>
            </w:pPr>
            <w:r>
              <w:rPr>
                <w:rFonts w:ascii="Times New Roman" w:cs="Times New Roman" w:eastAsia="Times New Roman" w:hAnsi="Times New Roman"/>
                <w:sz w:val="18"/>
                <w:szCs w:val="18"/>
                <w:color w:val="auto"/>
              </w:rPr>
              <w:t>55,771</w:t>
            </w:r>
          </w:p>
        </w:tc>
        <w:tc>
          <w:tcPr>
            <w:tcW w:w="280" w:type="dxa"/>
            <w:vAlign w:val="bottom"/>
            <w:shd w:val="clear" w:color="auto" w:fill="DBDBDB"/>
          </w:tcPr>
          <w:p>
            <w:pPr>
              <w:spacing w:after="0"/>
              <w:rPr>
                <w:sz w:val="19"/>
                <w:szCs w:val="19"/>
                <w:color w:val="auto"/>
              </w:rPr>
            </w:pPr>
          </w:p>
        </w:tc>
        <w:tc>
          <w:tcPr>
            <w:tcW w:w="1240" w:type="dxa"/>
            <w:vAlign w:val="bottom"/>
            <w:shd w:val="clear" w:color="auto" w:fill="DBDBDB"/>
          </w:tcPr>
          <w:p>
            <w:pPr>
              <w:jc w:val="right"/>
              <w:ind w:right="170"/>
              <w:spacing w:after="0"/>
              <w:rPr>
                <w:sz w:val="20"/>
                <w:szCs w:val="20"/>
                <w:color w:val="auto"/>
              </w:rPr>
            </w:pPr>
            <w:r>
              <w:rPr>
                <w:rFonts w:ascii="Times New Roman" w:cs="Times New Roman" w:eastAsia="Times New Roman" w:hAnsi="Times New Roman"/>
                <w:sz w:val="18"/>
                <w:szCs w:val="18"/>
                <w:color w:val="auto"/>
              </w:rPr>
              <w:t>46,569</w:t>
            </w:r>
          </w:p>
        </w:tc>
        <w:tc>
          <w:tcPr>
            <w:tcW w:w="300" w:type="dxa"/>
            <w:vAlign w:val="bottom"/>
            <w:shd w:val="clear" w:color="auto" w:fill="DBDBDB"/>
          </w:tcPr>
          <w:p>
            <w:pPr>
              <w:spacing w:after="0"/>
              <w:rPr>
                <w:sz w:val="19"/>
                <w:szCs w:val="19"/>
                <w:color w:val="auto"/>
              </w:rPr>
            </w:pPr>
          </w:p>
        </w:tc>
        <w:tc>
          <w:tcPr>
            <w:tcW w:w="1460" w:type="dxa"/>
            <w:vAlign w:val="bottom"/>
            <w:shd w:val="clear" w:color="auto" w:fill="DBDBDB"/>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3.69 %</w:t>
            </w:r>
          </w:p>
        </w:tc>
        <w:tc>
          <w:tcPr>
            <w:tcW w:w="34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3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Asset-backed securities issued or guaranteed</w:t>
            </w:r>
          </w:p>
        </w:tc>
        <w:tc>
          <w:tcPr>
            <w:tcW w:w="3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3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by U.S. Government agencies or sponsored</w:t>
            </w:r>
          </w:p>
        </w:tc>
        <w:tc>
          <w:tcPr>
            <w:tcW w:w="3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enterprises</w:t>
            </w:r>
          </w:p>
        </w:tc>
        <w:tc>
          <w:tcPr>
            <w:tcW w:w="320" w:type="dxa"/>
            <w:vAlign w:val="bottom"/>
          </w:tcPr>
          <w:p>
            <w:pPr>
              <w:spacing w:after="0"/>
              <w:rPr>
                <w:sz w:val="21"/>
                <w:szCs w:val="21"/>
                <w:color w:val="auto"/>
              </w:rPr>
            </w:pPr>
          </w:p>
        </w:tc>
        <w:tc>
          <w:tcPr>
            <w:tcW w:w="12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2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2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46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39,222</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5.44 %</w:t>
            </w:r>
          </w:p>
        </w:tc>
        <w:tc>
          <w:tcPr>
            <w:tcW w:w="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340" w:type="dxa"/>
            <w:vAlign w:val="bottom"/>
            <w:tcBorders>
              <w:bottom w:val="single" w:sz="8" w:color="auto"/>
            </w:tcBorders>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Treasury securities</w:t>
            </w:r>
          </w:p>
        </w:tc>
        <w:tc>
          <w:tcPr>
            <w:tcW w:w="320" w:type="dxa"/>
            <w:vAlign w:val="bottom"/>
            <w:tcBorders>
              <w:bottom w:val="single" w:sz="8" w:color="auto"/>
            </w:tcBorders>
            <w:shd w:val="clear" w:color="auto" w:fill="DBDBDB"/>
          </w:tcPr>
          <w:p>
            <w:pPr>
              <w:spacing w:after="0"/>
              <w:rPr>
                <w:sz w:val="19"/>
                <w:szCs w:val="19"/>
                <w:color w:val="auto"/>
              </w:rPr>
            </w:pPr>
          </w:p>
        </w:tc>
        <w:tc>
          <w:tcPr>
            <w:tcW w:w="1220" w:type="dxa"/>
            <w:vAlign w:val="bottom"/>
            <w:tcBorders>
              <w:bottom w:val="single" w:sz="8" w:color="auto"/>
            </w:tcBorders>
            <w:shd w:val="clear" w:color="auto" w:fill="DBDBDB"/>
          </w:tcPr>
          <w:p>
            <w:pPr>
              <w:jc w:val="right"/>
              <w:ind w:right="170"/>
              <w:spacing w:after="0"/>
              <w:rPr>
                <w:sz w:val="20"/>
                <w:szCs w:val="20"/>
                <w:color w:val="auto"/>
              </w:rPr>
            </w:pPr>
            <w:r>
              <w:rPr>
                <w:rFonts w:ascii="Times New Roman" w:cs="Times New Roman" w:eastAsia="Times New Roman" w:hAnsi="Times New Roman"/>
                <w:sz w:val="18"/>
                <w:szCs w:val="18"/>
                <w:color w:val="auto"/>
              </w:rPr>
              <w:t>108,721</w:t>
            </w:r>
          </w:p>
        </w:tc>
        <w:tc>
          <w:tcPr>
            <w:tcW w:w="260" w:type="dxa"/>
            <w:vAlign w:val="bottom"/>
            <w:tcBorders>
              <w:bottom w:val="single" w:sz="8" w:color="auto"/>
            </w:tcBorders>
            <w:shd w:val="clear" w:color="auto" w:fill="DBDBDB"/>
          </w:tcPr>
          <w:p>
            <w:pPr>
              <w:spacing w:after="0"/>
              <w:rPr>
                <w:sz w:val="19"/>
                <w:szCs w:val="19"/>
                <w:color w:val="auto"/>
              </w:rPr>
            </w:pPr>
          </w:p>
        </w:tc>
        <w:tc>
          <w:tcPr>
            <w:tcW w:w="1280" w:type="dxa"/>
            <w:vAlign w:val="bottom"/>
            <w:tcBorders>
              <w:bottom w:val="single" w:sz="8" w:color="auto"/>
            </w:tcBorders>
            <w:shd w:val="clear" w:color="auto" w:fill="DBDBDB"/>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shd w:val="clear" w:color="auto" w:fill="DBDBDB"/>
          </w:tcPr>
          <w:p>
            <w:pPr>
              <w:spacing w:after="0"/>
              <w:rPr>
                <w:sz w:val="19"/>
                <w:szCs w:val="19"/>
                <w:color w:val="auto"/>
              </w:rPr>
            </w:pPr>
          </w:p>
        </w:tc>
        <w:tc>
          <w:tcPr>
            <w:tcW w:w="1240" w:type="dxa"/>
            <w:vAlign w:val="bottom"/>
            <w:tcBorders>
              <w:bottom w:val="single" w:sz="8" w:color="auto"/>
            </w:tcBorders>
            <w:shd w:val="clear" w:color="auto" w:fill="DBDBDB"/>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shd w:val="clear" w:color="auto" w:fill="DBDBDB"/>
          </w:tcPr>
          <w:p>
            <w:pPr>
              <w:spacing w:after="0"/>
              <w:rPr>
                <w:sz w:val="19"/>
                <w:szCs w:val="19"/>
                <w:color w:val="auto"/>
              </w:rPr>
            </w:pPr>
          </w:p>
        </w:tc>
        <w:tc>
          <w:tcPr>
            <w:tcW w:w="1460" w:type="dxa"/>
            <w:vAlign w:val="bottom"/>
            <w:tcBorders>
              <w:bottom w:val="single" w:sz="8" w:color="auto"/>
            </w:tcBorders>
            <w:shd w:val="clear" w:color="auto" w:fill="DBDBDB"/>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2.47 %</w:t>
            </w:r>
          </w:p>
        </w:tc>
        <w:tc>
          <w:tcPr>
            <w:tcW w:w="34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34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Total investments</w:t>
            </w:r>
          </w:p>
        </w:tc>
        <w:tc>
          <w:tcPr>
            <w:tcW w:w="3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129,213</w:t>
            </w:r>
          </w:p>
        </w:tc>
        <w:tc>
          <w:tcPr>
            <w:tcW w:w="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134,663</w:t>
            </w:r>
          </w:p>
        </w:tc>
        <w:tc>
          <w:tcPr>
            <w:tcW w:w="2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178,754</w:t>
            </w:r>
          </w:p>
        </w:tc>
        <w:tc>
          <w:tcPr>
            <w:tcW w:w="3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184,487</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2.64 %</w:t>
            </w:r>
          </w:p>
        </w:tc>
        <w:tc>
          <w:tcPr>
            <w:tcW w:w="340" w:type="dxa"/>
            <w:vAlign w:val="bottom"/>
            <w:tcBorders>
              <w:bottom w:val="single" w:sz="8" w:color="DBDBDB"/>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340" w:type="dxa"/>
            <w:vAlign w:val="bottom"/>
            <w:tcBorders>
              <w:bottom w:val="single" w:sz="8" w:color="auto"/>
            </w:tcBorders>
            <w:shd w:val="clear" w:color="auto" w:fill="DBDBDB"/>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Weighted average yield </w:t>
            </w:r>
            <w:r>
              <w:rPr>
                <w:rFonts w:ascii="Times New Roman" w:cs="Times New Roman" w:eastAsia="Times New Roman" w:hAnsi="Times New Roman"/>
                <w:sz w:val="23"/>
                <w:szCs w:val="23"/>
                <w:b w:val="1"/>
                <w:bCs w:val="1"/>
                <w:color w:val="auto"/>
                <w:vertAlign w:val="superscript"/>
              </w:rPr>
              <w:t>(1)</w:t>
            </w:r>
          </w:p>
        </w:tc>
        <w:tc>
          <w:tcPr>
            <w:tcW w:w="320" w:type="dxa"/>
            <w:vAlign w:val="bottom"/>
            <w:tcBorders>
              <w:bottom w:val="single" w:sz="8" w:color="auto"/>
            </w:tcBorders>
            <w:shd w:val="clear" w:color="auto" w:fill="DBDBDB"/>
          </w:tcPr>
          <w:p>
            <w:pPr>
              <w:spacing w:after="0"/>
              <w:rPr>
                <w:sz w:val="19"/>
                <w:szCs w:val="19"/>
                <w:color w:val="auto"/>
              </w:rPr>
            </w:pPr>
          </w:p>
        </w:tc>
        <w:tc>
          <w:tcPr>
            <w:tcW w:w="122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2.55 %</w:t>
            </w:r>
          </w:p>
        </w:tc>
        <w:tc>
          <w:tcPr>
            <w:tcW w:w="260" w:type="dxa"/>
            <w:vAlign w:val="bottom"/>
            <w:tcBorders>
              <w:bottom w:val="single" w:sz="8" w:color="auto"/>
            </w:tcBorders>
            <w:shd w:val="clear" w:color="auto" w:fill="DBDBDB"/>
          </w:tcPr>
          <w:p>
            <w:pPr>
              <w:spacing w:after="0"/>
              <w:rPr>
                <w:sz w:val="19"/>
                <w:szCs w:val="19"/>
                <w:color w:val="auto"/>
              </w:rPr>
            </w:pPr>
          </w:p>
        </w:tc>
        <w:tc>
          <w:tcPr>
            <w:tcW w:w="128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4.08 %</w:t>
            </w:r>
          </w:p>
        </w:tc>
        <w:tc>
          <w:tcPr>
            <w:tcW w:w="280" w:type="dxa"/>
            <w:vAlign w:val="bottom"/>
            <w:tcBorders>
              <w:bottom w:val="single" w:sz="8" w:color="auto"/>
            </w:tcBorders>
            <w:shd w:val="clear" w:color="auto" w:fill="DBDBDB"/>
          </w:tcPr>
          <w:p>
            <w:pPr>
              <w:spacing w:after="0"/>
              <w:rPr>
                <w:sz w:val="19"/>
                <w:szCs w:val="19"/>
                <w:color w:val="auto"/>
              </w:rPr>
            </w:pPr>
          </w:p>
        </w:tc>
        <w:tc>
          <w:tcPr>
            <w:tcW w:w="124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1.98 %</w:t>
            </w:r>
          </w:p>
        </w:tc>
        <w:tc>
          <w:tcPr>
            <w:tcW w:w="300" w:type="dxa"/>
            <w:vAlign w:val="bottom"/>
            <w:tcBorders>
              <w:bottom w:val="single" w:sz="8" w:color="auto"/>
            </w:tcBorders>
            <w:shd w:val="clear" w:color="auto" w:fill="DBDBDB"/>
          </w:tcPr>
          <w:p>
            <w:pPr>
              <w:spacing w:after="0"/>
              <w:rPr>
                <w:sz w:val="19"/>
                <w:szCs w:val="19"/>
                <w:color w:val="auto"/>
              </w:rPr>
            </w:pPr>
          </w:p>
        </w:tc>
        <w:tc>
          <w:tcPr>
            <w:tcW w:w="1460" w:type="dxa"/>
            <w:vAlign w:val="bottom"/>
            <w:tcBorders>
              <w:bottom w:val="single" w:sz="8" w:color="auto"/>
            </w:tcBorders>
            <w:shd w:val="clear" w:color="auto" w:fill="DBDBDB"/>
          </w:tcPr>
          <w:p>
            <w:pPr>
              <w:jc w:val="right"/>
              <w:ind w:right="210"/>
              <w:spacing w:after="0"/>
              <w:rPr>
                <w:sz w:val="20"/>
                <w:szCs w:val="20"/>
                <w:color w:val="auto"/>
              </w:rPr>
            </w:pPr>
            <w:r>
              <w:rPr>
                <w:rFonts w:ascii="Times New Roman" w:cs="Times New Roman" w:eastAsia="Times New Roman" w:hAnsi="Times New Roman"/>
                <w:sz w:val="18"/>
                <w:szCs w:val="18"/>
                <w:color w:val="auto"/>
              </w:rPr>
              <w:t>2.48 %</w:t>
            </w:r>
          </w:p>
        </w:tc>
        <w:tc>
          <w:tcPr>
            <w:tcW w:w="120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2.64 %</w:t>
            </w:r>
          </w:p>
        </w:tc>
        <w:tc>
          <w:tcPr>
            <w:tcW w:w="34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ind w:left="5540" w:right="5260" w:hanging="5532"/>
        <w:spacing w:after="0" w:line="501" w:lineRule="auto"/>
        <w:tabs>
          <w:tab w:leader="none" w:pos="650" w:val="left"/>
        </w:tabs>
        <w:numPr>
          <w:ilvl w:val="0"/>
          <w:numId w:val="12"/>
        </w:numPr>
        <w:rPr>
          <w:rFonts w:ascii="Times New Roman" w:cs="Times New Roman" w:eastAsia="Times New Roman" w:hAnsi="Times New Roman"/>
          <w:sz w:val="22"/>
          <w:szCs w:val="22"/>
          <w:b w:val="1"/>
          <w:bCs w:val="1"/>
          <w:color w:val="auto"/>
          <w:vertAlign w:val="superscript"/>
        </w:rPr>
      </w:pPr>
      <w:r>
        <w:rPr>
          <w:rFonts w:ascii="Times New Roman" w:cs="Times New Roman" w:eastAsia="Times New Roman" w:hAnsi="Times New Roman"/>
          <w:sz w:val="17"/>
          <w:szCs w:val="17"/>
          <w:color w:val="auto"/>
        </w:rPr>
        <w:t>Yields are presented on a tax-equivalent basis assuming a tax rate of 21%.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383540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Deposits and Accounts and Drafts Payable</w:t>
            </w: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499"/>
        </w:trPr>
        <w:tc>
          <w:tcPr>
            <w:tcW w:w="664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r>
        <w:trPr>
          <w:trHeight w:val="237"/>
        </w:trPr>
        <w:tc>
          <w:tcPr>
            <w:tcW w:w="6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DBDBDB"/>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Borders>
              <w:bottom w:val="single" w:sz="8" w:color="DBDBDB"/>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664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Noninterest-bearing demand deposits</w:t>
            </w:r>
          </w:p>
        </w:tc>
        <w:tc>
          <w:tcPr>
            <w:tcW w:w="320" w:type="dxa"/>
            <w:vAlign w:val="bottom"/>
            <w:shd w:val="clear" w:color="auto" w:fill="DBDBDB"/>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524,359</w:t>
            </w:r>
          </w:p>
        </w:tc>
        <w:tc>
          <w:tcPr>
            <w:tcW w:w="100" w:type="dxa"/>
            <w:vAlign w:val="bottom"/>
            <w:shd w:val="clear" w:color="auto" w:fill="DBDBDB"/>
          </w:tcPr>
          <w:p>
            <w:pPr>
              <w:spacing w:after="0"/>
              <w:rPr>
                <w:sz w:val="19"/>
                <w:szCs w:val="19"/>
                <w:color w:val="auto"/>
              </w:rPr>
            </w:pPr>
          </w:p>
        </w:tc>
        <w:tc>
          <w:tcPr>
            <w:tcW w:w="1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642,757</w:t>
            </w:r>
          </w:p>
        </w:tc>
        <w:tc>
          <w:tcPr>
            <w:tcW w:w="80" w:type="dxa"/>
            <w:vAlign w:val="bottom"/>
            <w:shd w:val="clear" w:color="auto" w:fill="DBDBDB"/>
          </w:tcPr>
          <w:p>
            <w:pPr>
              <w:spacing w:after="0"/>
              <w:rPr>
                <w:sz w:val="19"/>
                <w:szCs w:val="19"/>
                <w:color w:val="auto"/>
              </w:rPr>
            </w:pPr>
          </w:p>
        </w:tc>
        <w:tc>
          <w:tcPr>
            <w:tcW w:w="340" w:type="dxa"/>
            <w:vAlign w:val="bottom"/>
            <w:shd w:val="clear" w:color="auto" w:fill="DBDBDB"/>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582,642</w:t>
            </w:r>
          </w:p>
        </w:tc>
      </w:tr>
      <w:tr>
        <w:trPr>
          <w:trHeight w:val="230"/>
        </w:trPr>
        <w:tc>
          <w:tcPr>
            <w:tcW w:w="6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Interest-bearing demand deposits</w:t>
            </w: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616,455</w:t>
            </w: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614,460</w:t>
            </w:r>
          </w:p>
        </w:tc>
        <w:tc>
          <w:tcPr>
            <w:tcW w:w="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638,861</w:t>
            </w:r>
          </w:p>
        </w:tc>
      </w:tr>
      <w:tr>
        <w:trPr>
          <w:trHeight w:val="223"/>
        </w:trPr>
        <w:tc>
          <w:tcPr>
            <w:tcW w:w="6640" w:type="dxa"/>
            <w:vAlign w:val="bottom"/>
            <w:shd w:val="clear" w:color="auto" w:fill="DBDBDB"/>
          </w:tcPr>
          <w:p>
            <w:pPr>
              <w:ind w:left="240"/>
              <w:spacing w:after="0"/>
              <w:rPr>
                <w:sz w:val="20"/>
                <w:szCs w:val="20"/>
                <w:color w:val="auto"/>
              </w:rPr>
            </w:pPr>
            <w:r>
              <w:rPr>
                <w:rFonts w:ascii="Times New Roman" w:cs="Times New Roman" w:eastAsia="Times New Roman" w:hAnsi="Times New Roman"/>
                <w:sz w:val="18"/>
                <w:szCs w:val="18"/>
                <w:color w:val="auto"/>
              </w:rPr>
              <w:t>Total deposits</w:t>
            </w:r>
          </w:p>
        </w:tc>
        <w:tc>
          <w:tcPr>
            <w:tcW w:w="320" w:type="dxa"/>
            <w:vAlign w:val="bottom"/>
            <w:shd w:val="clear" w:color="auto" w:fill="DBDBDB"/>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1,140,814</w:t>
            </w:r>
          </w:p>
        </w:tc>
        <w:tc>
          <w:tcPr>
            <w:tcW w:w="100" w:type="dxa"/>
            <w:vAlign w:val="bottom"/>
            <w:shd w:val="clear" w:color="auto" w:fill="DBDBDB"/>
          </w:tcPr>
          <w:p>
            <w:pPr>
              <w:spacing w:after="0"/>
              <w:rPr>
                <w:sz w:val="19"/>
                <w:szCs w:val="19"/>
                <w:color w:val="auto"/>
              </w:rPr>
            </w:pPr>
          </w:p>
        </w:tc>
        <w:tc>
          <w:tcPr>
            <w:tcW w:w="1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1,257,217</w:t>
            </w:r>
          </w:p>
        </w:tc>
        <w:tc>
          <w:tcPr>
            <w:tcW w:w="80" w:type="dxa"/>
            <w:vAlign w:val="bottom"/>
            <w:shd w:val="clear" w:color="auto" w:fill="DBDBDB"/>
          </w:tcPr>
          <w:p>
            <w:pPr>
              <w:spacing w:after="0"/>
              <w:rPr>
                <w:sz w:val="19"/>
                <w:szCs w:val="19"/>
                <w:color w:val="auto"/>
              </w:rPr>
            </w:pPr>
          </w:p>
        </w:tc>
        <w:tc>
          <w:tcPr>
            <w:tcW w:w="340" w:type="dxa"/>
            <w:vAlign w:val="bottom"/>
            <w:shd w:val="clear" w:color="auto" w:fill="DBDBDB"/>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1,221,503</w:t>
            </w:r>
          </w:p>
        </w:tc>
      </w:tr>
      <w:tr>
        <w:trPr>
          <w:trHeight w:val="270"/>
        </w:trPr>
        <w:tc>
          <w:tcPr>
            <w:tcW w:w="66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30"/>
        </w:trPr>
        <w:tc>
          <w:tcPr>
            <w:tcW w:w="6640" w:type="dxa"/>
            <w:vAlign w:val="bottom"/>
            <w:tcBorders>
              <w:bottom w:val="single" w:sz="8" w:color="auto"/>
            </w:tcBorders>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Accounts and drafts payable</w:t>
            </w:r>
          </w:p>
        </w:tc>
        <w:tc>
          <w:tcPr>
            <w:tcW w:w="320" w:type="dxa"/>
            <w:vAlign w:val="bottom"/>
            <w:tcBorders>
              <w:bottom w:val="single" w:sz="8" w:color="auto"/>
            </w:tcBorders>
            <w:shd w:val="clear" w:color="auto" w:fill="DBDBDB"/>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1,071,369</w:t>
            </w:r>
          </w:p>
        </w:tc>
        <w:tc>
          <w:tcPr>
            <w:tcW w:w="100" w:type="dxa"/>
            <w:vAlign w:val="bottom"/>
            <w:tcBorders>
              <w:bottom w:val="single" w:sz="8" w:color="auto"/>
            </w:tcBorders>
            <w:shd w:val="clear" w:color="auto" w:fill="DBDBDB"/>
          </w:tcPr>
          <w:p>
            <w:pPr>
              <w:spacing w:after="0"/>
              <w:rPr>
                <w:sz w:val="19"/>
                <w:szCs w:val="19"/>
                <w:color w:val="auto"/>
              </w:rPr>
            </w:pPr>
          </w:p>
        </w:tc>
        <w:tc>
          <w:tcPr>
            <w:tcW w:w="16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1,067,600</w:t>
            </w:r>
          </w:p>
        </w:tc>
        <w:tc>
          <w:tcPr>
            <w:tcW w:w="80" w:type="dxa"/>
            <w:vAlign w:val="bottom"/>
            <w:tcBorders>
              <w:bottom w:val="single" w:sz="8" w:color="auto"/>
            </w:tcBorders>
            <w:shd w:val="clear" w:color="auto" w:fill="DBDBDB"/>
          </w:tcPr>
          <w:p>
            <w:pPr>
              <w:spacing w:after="0"/>
              <w:rPr>
                <w:sz w:val="19"/>
                <w:szCs w:val="19"/>
                <w:color w:val="auto"/>
              </w:rPr>
            </w:pPr>
          </w:p>
        </w:tc>
        <w:tc>
          <w:tcPr>
            <w:tcW w:w="340" w:type="dxa"/>
            <w:vAlign w:val="bottom"/>
            <w:tcBorders>
              <w:bottom w:val="single" w:sz="8" w:color="auto"/>
            </w:tcBorders>
            <w:shd w:val="clear" w:color="auto" w:fill="DBDBDB"/>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1,050,396</w:t>
            </w:r>
          </w:p>
        </w:tc>
      </w:tr>
    </w:tbl>
    <w:p>
      <w:pPr>
        <w:spacing w:after="0" w:line="2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Total deposits decreased $116.4 million, or 9.3% during 2023. Noninterest-bearing demand deposits decreased $118.4 million, or 18.4%, to $524.4 million at December 31, 2023 and interest-bearing deposits increased $2.0 million, or 0.3%, to $616.5 million at December 31, 2023. The Company experienced deposit attrition during the first six months of 2023 as larger commercial depository clients moved their funds to higher interest rate alternatives outside of the banking system. The Company also incurred a shift from non-interest bearing to interest-bearing deposits from current customers.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Accounts and drafts payable generated by the Company in its payment processing operations increased $3.8 million, or 0.4%, to $1.07 billion, at December 31, 2023. Due to the Company’s payment processing cycle, average balances are much more indicative of the underlying activity than period-end balances since point-in-time comparisons can be misleading if the comparison dates fall on different days of the week. Average accounts and drafts payable decreased $60.1 million, or 5.3%, to $1.08 billion during 2023. The decrease in average accounts and drafts payable was primarily driven by the decrease in transportation dollar volumes due to the ongoing freight recession.</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composition of average deposits and the average rates paid on those deposits is represented in the table entitled “Distribution of Assets, Liabilities and Shareholders' Equity; Interest Rate and Interest Differential” which is included earlier in this discussion. The Company does not have any significant deposits from foreign depositors.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Maturities of Certificates of Deposit as of December 31, 2023</w:t>
            </w: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504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80" w:type="dxa"/>
            <w:vAlign w:val="bottom"/>
          </w:tcPr>
          <w:p>
            <w:pPr>
              <w:spacing w:after="0"/>
              <w:rPr>
                <w:sz w:val="24"/>
                <w:szCs w:val="24"/>
                <w:color w:val="auto"/>
              </w:rPr>
            </w:pPr>
          </w:p>
        </w:tc>
        <w:tc>
          <w:tcPr>
            <w:tcW w:w="138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$100 or Less</w:t>
            </w:r>
          </w:p>
        </w:tc>
        <w:tc>
          <w:tcPr>
            <w:tcW w:w="200" w:type="dxa"/>
            <w:vAlign w:val="bottom"/>
          </w:tcPr>
          <w:p>
            <w:pPr>
              <w:spacing w:after="0"/>
              <w:rPr>
                <w:sz w:val="24"/>
                <w:szCs w:val="24"/>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$100 to Less</w:t>
            </w:r>
          </w:p>
        </w:tc>
        <w:tc>
          <w:tcPr>
            <w:tcW w:w="280" w:type="dxa"/>
            <w:vAlign w:val="bottom"/>
          </w:tcPr>
          <w:p>
            <w:pPr>
              <w:spacing w:after="0"/>
              <w:rPr>
                <w:sz w:val="24"/>
                <w:szCs w:val="24"/>
                <w:color w:val="auto"/>
              </w:rPr>
            </w:pPr>
          </w:p>
        </w:tc>
        <w:tc>
          <w:tcPr>
            <w:tcW w:w="130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7"/>
              </w:rPr>
              <w:t>$250 or</w:t>
            </w:r>
          </w:p>
        </w:tc>
        <w:tc>
          <w:tcPr>
            <w:tcW w:w="320" w:type="dxa"/>
            <w:vAlign w:val="bottom"/>
          </w:tcPr>
          <w:p>
            <w:pPr>
              <w:spacing w:after="0"/>
              <w:rPr>
                <w:sz w:val="24"/>
                <w:szCs w:val="24"/>
                <w:color w:val="auto"/>
              </w:rPr>
            </w:pPr>
          </w:p>
        </w:tc>
        <w:tc>
          <w:tcPr>
            <w:tcW w:w="1160" w:type="dxa"/>
            <w:vAlign w:val="bottom"/>
            <w:vMerge w:val="restart"/>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3"/>
        </w:trPr>
        <w:tc>
          <w:tcPr>
            <w:tcW w:w="5040" w:type="dxa"/>
            <w:vAlign w:val="bottom"/>
            <w:vMerge w:val="continue"/>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gridSpan w:val="2"/>
            <w:vMerge w:val="continue"/>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Than $250</w:t>
            </w:r>
          </w:p>
        </w:tc>
        <w:tc>
          <w:tcPr>
            <w:tcW w:w="280" w:type="dxa"/>
            <w:vAlign w:val="bottom"/>
          </w:tcPr>
          <w:p>
            <w:pPr>
              <w:spacing w:after="0"/>
              <w:rPr>
                <w:sz w:val="21"/>
                <w:szCs w:val="21"/>
                <w:color w:val="auto"/>
              </w:rPr>
            </w:pPr>
          </w:p>
        </w:tc>
        <w:tc>
          <w:tcPr>
            <w:tcW w:w="130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More</w:t>
            </w:r>
          </w:p>
        </w:tc>
        <w:tc>
          <w:tcPr>
            <w:tcW w:w="320" w:type="dxa"/>
            <w:vAlign w:val="bottom"/>
          </w:tcPr>
          <w:p>
            <w:pPr>
              <w:spacing w:after="0"/>
              <w:rPr>
                <w:sz w:val="21"/>
                <w:szCs w:val="21"/>
                <w:color w:val="auto"/>
              </w:rPr>
            </w:pPr>
          </w:p>
        </w:tc>
        <w:tc>
          <w:tcPr>
            <w:tcW w:w="11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040" w:type="dxa"/>
            <w:vAlign w:val="bottom"/>
            <w:tcBorders>
              <w:top w:val="single" w:sz="8" w:color="DBDBDB"/>
            </w:tcBorders>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Three months or less</w:t>
            </w:r>
          </w:p>
        </w:tc>
        <w:tc>
          <w:tcPr>
            <w:tcW w:w="180" w:type="dxa"/>
            <w:vAlign w:val="bottom"/>
            <w:tcBorders>
              <w:top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3,466</w:t>
            </w:r>
          </w:p>
        </w:tc>
        <w:tc>
          <w:tcPr>
            <w:tcW w:w="80" w:type="dxa"/>
            <w:vAlign w:val="bottom"/>
            <w:tcBorders>
              <w:top w:val="single" w:sz="8" w:color="DBDBDB"/>
            </w:tcBorders>
            <w:shd w:val="clear" w:color="auto" w:fill="DBDBDB"/>
          </w:tcPr>
          <w:p>
            <w:pPr>
              <w:spacing w:after="0"/>
              <w:rPr>
                <w:sz w:val="19"/>
                <w:szCs w:val="19"/>
                <w:color w:val="auto"/>
              </w:rPr>
            </w:pPr>
          </w:p>
        </w:tc>
        <w:tc>
          <w:tcPr>
            <w:tcW w:w="200" w:type="dxa"/>
            <w:vAlign w:val="bottom"/>
            <w:tcBorders>
              <w:top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34,607</w:t>
            </w:r>
          </w:p>
        </w:tc>
        <w:tc>
          <w:tcPr>
            <w:tcW w:w="100" w:type="dxa"/>
            <w:vAlign w:val="bottom"/>
            <w:tcBorders>
              <w:top w:val="single" w:sz="8" w:color="DBDBDB"/>
            </w:tcBorders>
            <w:shd w:val="clear" w:color="auto" w:fill="DBDBDB"/>
          </w:tcPr>
          <w:p>
            <w:pPr>
              <w:spacing w:after="0"/>
              <w:rPr>
                <w:sz w:val="19"/>
                <w:szCs w:val="19"/>
                <w:color w:val="auto"/>
              </w:rPr>
            </w:pPr>
          </w:p>
        </w:tc>
        <w:tc>
          <w:tcPr>
            <w:tcW w:w="280" w:type="dxa"/>
            <w:vAlign w:val="bottom"/>
            <w:tcBorders>
              <w:top w:val="single" w:sz="8" w:color="auto"/>
            </w:tcBorders>
            <w:shd w:val="clear" w:color="auto" w:fill="DBDBDB"/>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7,576</w:t>
            </w:r>
          </w:p>
        </w:tc>
        <w:tc>
          <w:tcPr>
            <w:tcW w:w="100" w:type="dxa"/>
            <w:vAlign w:val="bottom"/>
            <w:tcBorders>
              <w:top w:val="single" w:sz="8" w:color="DBDBDB"/>
            </w:tcBorders>
            <w:shd w:val="clear" w:color="auto" w:fill="DBDBDB"/>
          </w:tcPr>
          <w:p>
            <w:pPr>
              <w:spacing w:after="0"/>
              <w:rPr>
                <w:sz w:val="19"/>
                <w:szCs w:val="19"/>
                <w:color w:val="auto"/>
              </w:rPr>
            </w:pPr>
          </w:p>
        </w:tc>
        <w:tc>
          <w:tcPr>
            <w:tcW w:w="320" w:type="dxa"/>
            <w:vAlign w:val="bottom"/>
            <w:tcBorders>
              <w:top w:val="single" w:sz="8" w:color="auto"/>
            </w:tcBorders>
            <w:shd w:val="clear" w:color="auto" w:fill="DBDBDB"/>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45,649</w:t>
            </w:r>
          </w:p>
        </w:tc>
        <w:tc>
          <w:tcPr>
            <w:tcW w:w="0" w:type="dxa"/>
            <w:vAlign w:val="bottom"/>
          </w:tcPr>
          <w:p>
            <w:pPr>
              <w:spacing w:after="0"/>
              <w:rPr>
                <w:sz w:val="1"/>
                <w:szCs w:val="1"/>
                <w:color w:val="auto"/>
              </w:rPr>
            </w:pPr>
          </w:p>
        </w:tc>
      </w:tr>
      <w:tr>
        <w:trPr>
          <w:trHeight w:val="230"/>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Three to six months</w:t>
            </w: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6,858</w:t>
            </w:r>
          </w:p>
        </w:tc>
        <w:tc>
          <w:tcPr>
            <w:tcW w:w="0" w:type="dxa"/>
            <w:vAlign w:val="bottom"/>
          </w:tcPr>
          <w:p>
            <w:pPr>
              <w:spacing w:after="0"/>
              <w:rPr>
                <w:sz w:val="1"/>
                <w:szCs w:val="1"/>
                <w:color w:val="auto"/>
              </w:rPr>
            </w:pPr>
          </w:p>
        </w:tc>
      </w:tr>
      <w:tr>
        <w:trPr>
          <w:trHeight w:val="230"/>
        </w:trPr>
        <w:tc>
          <w:tcPr>
            <w:tcW w:w="504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Six to twelve months</w:t>
            </w:r>
          </w:p>
        </w:tc>
        <w:tc>
          <w:tcPr>
            <w:tcW w:w="180" w:type="dxa"/>
            <w:vAlign w:val="bottom"/>
            <w:shd w:val="clear" w:color="auto" w:fill="DBDBDB"/>
          </w:tcPr>
          <w:p>
            <w:pPr>
              <w:spacing w:after="0"/>
              <w:rPr>
                <w:sz w:val="19"/>
                <w:szCs w:val="19"/>
                <w:color w:val="auto"/>
              </w:rPr>
            </w:pPr>
          </w:p>
        </w:tc>
        <w:tc>
          <w:tcPr>
            <w:tcW w:w="13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923</w:t>
            </w:r>
          </w:p>
        </w:tc>
        <w:tc>
          <w:tcPr>
            <w:tcW w:w="8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12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9,175</w:t>
            </w:r>
          </w:p>
        </w:tc>
        <w:tc>
          <w:tcPr>
            <w:tcW w:w="10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10,011</w:t>
            </w:r>
          </w:p>
        </w:tc>
        <w:tc>
          <w:tcPr>
            <w:tcW w:w="100" w:type="dxa"/>
            <w:vAlign w:val="bottom"/>
            <w:shd w:val="clear" w:color="auto" w:fill="DBDBDB"/>
          </w:tcPr>
          <w:p>
            <w:pPr>
              <w:spacing w:after="0"/>
              <w:rPr>
                <w:sz w:val="19"/>
                <w:szCs w:val="19"/>
                <w:color w:val="auto"/>
              </w:rPr>
            </w:pPr>
          </w:p>
        </w:tc>
        <w:tc>
          <w:tcPr>
            <w:tcW w:w="320" w:type="dxa"/>
            <w:vAlign w:val="bottom"/>
            <w:shd w:val="clear" w:color="auto" w:fill="DBDBDB"/>
          </w:tcPr>
          <w:p>
            <w:pPr>
              <w:spacing w:after="0"/>
              <w:rPr>
                <w:sz w:val="19"/>
                <w:szCs w:val="19"/>
                <w:color w:val="auto"/>
              </w:rPr>
            </w:pPr>
          </w:p>
        </w:tc>
        <w:tc>
          <w:tcPr>
            <w:tcW w:w="11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20,109</w:t>
            </w:r>
          </w:p>
        </w:tc>
        <w:tc>
          <w:tcPr>
            <w:tcW w:w="0" w:type="dxa"/>
            <w:vAlign w:val="bottom"/>
          </w:tcPr>
          <w:p>
            <w:pPr>
              <w:spacing w:after="0"/>
              <w:rPr>
                <w:sz w:val="1"/>
                <w:szCs w:val="1"/>
                <w:color w:val="auto"/>
              </w:rPr>
            </w:pPr>
          </w:p>
        </w:tc>
      </w:tr>
      <w:tr>
        <w:trPr>
          <w:trHeight w:val="230"/>
        </w:trPr>
        <w:tc>
          <w:tcPr>
            <w:tcW w:w="5040" w:type="dxa"/>
            <w:vAlign w:val="bottom"/>
            <w:tcBorders>
              <w:bottom w:val="single" w:sz="8" w:color="DBDBDB"/>
            </w:tcBorders>
          </w:tcPr>
          <w:p>
            <w:pPr>
              <w:ind w:left="20"/>
              <w:spacing w:after="0"/>
              <w:rPr>
                <w:sz w:val="20"/>
                <w:szCs w:val="20"/>
                <w:color w:val="auto"/>
              </w:rPr>
            </w:pPr>
            <w:r>
              <w:rPr>
                <w:rFonts w:ascii="Times New Roman" w:cs="Times New Roman" w:eastAsia="Times New Roman" w:hAnsi="Times New Roman"/>
                <w:sz w:val="18"/>
                <w:szCs w:val="18"/>
                <w:color w:val="auto"/>
              </w:rPr>
              <w:t>Over twelve months</w:t>
            </w: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528</w:t>
            </w:r>
          </w:p>
        </w:tc>
        <w:tc>
          <w:tcPr>
            <w:tcW w:w="80" w:type="dxa"/>
            <w:vAlign w:val="bottom"/>
            <w:tcBorders>
              <w:bottom w:val="single" w:sz="8" w:color="DBDBDB"/>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2,525</w:t>
            </w:r>
          </w:p>
        </w:tc>
        <w:tc>
          <w:tcPr>
            <w:tcW w:w="100" w:type="dxa"/>
            <w:vAlign w:val="bottom"/>
            <w:tcBorders>
              <w:bottom w:val="single" w:sz="8" w:color="DBDBDB"/>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1,053</w:t>
            </w:r>
          </w:p>
        </w:tc>
        <w:tc>
          <w:tcPr>
            <w:tcW w:w="100" w:type="dxa"/>
            <w:vAlign w:val="bottom"/>
            <w:tcBorders>
              <w:bottom w:val="single" w:sz="8" w:color="DBDBDB"/>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4,106</w:t>
            </w:r>
          </w:p>
        </w:tc>
        <w:tc>
          <w:tcPr>
            <w:tcW w:w="0" w:type="dxa"/>
            <w:vAlign w:val="bottom"/>
          </w:tcPr>
          <w:p>
            <w:pPr>
              <w:spacing w:after="0"/>
              <w:rPr>
                <w:sz w:val="1"/>
                <w:szCs w:val="1"/>
                <w:color w:val="auto"/>
              </w:rPr>
            </w:pPr>
          </w:p>
        </w:tc>
      </w:tr>
      <w:tr>
        <w:trPr>
          <w:trHeight w:val="248"/>
        </w:trPr>
        <w:tc>
          <w:tcPr>
            <w:tcW w:w="5040" w:type="dxa"/>
            <w:vAlign w:val="bottom"/>
            <w:tcBorders>
              <w:bottom w:val="single" w:sz="8" w:color="DBDBDB"/>
            </w:tcBorders>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5,266</w:t>
            </w:r>
          </w:p>
        </w:tc>
        <w:tc>
          <w:tcPr>
            <w:tcW w:w="80" w:type="dxa"/>
            <w:vAlign w:val="bottom"/>
            <w:tcBorders>
              <w:bottom w:val="single" w:sz="8" w:color="DBDBDB"/>
            </w:tcBorders>
            <w:shd w:val="clear" w:color="auto" w:fill="DBDBDB"/>
          </w:tcPr>
          <w:p>
            <w:pPr>
              <w:spacing w:after="0"/>
              <w:rPr>
                <w:sz w:val="21"/>
                <w:szCs w:val="21"/>
                <w:color w:val="auto"/>
              </w:rPr>
            </w:pPr>
          </w:p>
        </w:tc>
        <w:tc>
          <w:tcPr>
            <w:tcW w:w="20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48,540</w:t>
            </w:r>
          </w:p>
        </w:tc>
        <w:tc>
          <w:tcPr>
            <w:tcW w:w="100" w:type="dxa"/>
            <w:vAlign w:val="bottom"/>
            <w:tcBorders>
              <w:bottom w:val="single" w:sz="8" w:color="DBDBDB"/>
            </w:tcBorders>
            <w:shd w:val="clear" w:color="auto" w:fill="DBDBDB"/>
          </w:tcPr>
          <w:p>
            <w:pPr>
              <w:spacing w:after="0"/>
              <w:rPr>
                <w:sz w:val="21"/>
                <w:szCs w:val="21"/>
                <w:color w:val="auto"/>
              </w:rPr>
            </w:pPr>
          </w:p>
        </w:tc>
        <w:tc>
          <w:tcPr>
            <w:tcW w:w="280" w:type="dxa"/>
            <w:vAlign w:val="bottom"/>
            <w:tcBorders>
              <w:bottom w:val="single" w:sz="8" w:color="auto"/>
            </w:tcBorders>
            <w:shd w:val="clear" w:color="auto" w:fill="DBDBDB"/>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22,916</w:t>
            </w:r>
          </w:p>
        </w:tc>
        <w:tc>
          <w:tcPr>
            <w:tcW w:w="100" w:type="dxa"/>
            <w:vAlign w:val="bottom"/>
            <w:tcBorders>
              <w:bottom w:val="single" w:sz="8" w:color="DBDBDB"/>
            </w:tcBorders>
            <w:shd w:val="clear" w:color="auto" w:fill="DBDBDB"/>
          </w:tcPr>
          <w:p>
            <w:pPr>
              <w:spacing w:after="0"/>
              <w:rPr>
                <w:sz w:val="21"/>
                <w:szCs w:val="21"/>
                <w:color w:val="auto"/>
              </w:rPr>
            </w:pPr>
          </w:p>
        </w:tc>
        <w:tc>
          <w:tcPr>
            <w:tcW w:w="320" w:type="dxa"/>
            <w:vAlign w:val="bottom"/>
            <w:tcBorders>
              <w:bottom w:val="single" w:sz="8" w:color="auto"/>
            </w:tcBorders>
            <w:shd w:val="clear" w:color="auto" w:fill="DBDBDB"/>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76,722</w:t>
            </w:r>
          </w:p>
        </w:tc>
        <w:tc>
          <w:tcPr>
            <w:tcW w:w="0" w:type="dxa"/>
            <w:vAlign w:val="bottom"/>
          </w:tcPr>
          <w:p>
            <w:pPr>
              <w:spacing w:after="0"/>
              <w:rPr>
                <w:sz w:val="1"/>
                <w:szCs w:val="1"/>
                <w:color w:val="auto"/>
              </w:rPr>
            </w:pPr>
          </w:p>
        </w:tc>
      </w:tr>
      <w:tr>
        <w:trPr>
          <w:trHeight w:val="20"/>
        </w:trPr>
        <w:tc>
          <w:tcPr>
            <w:tcW w:w="504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DBDBDB"/>
              <w:bottom w:val="single" w:sz="8" w:color="auto"/>
            </w:tcBorders>
          </w:tcPr>
          <w:p>
            <w:pPr>
              <w:spacing w:after="0" w:line="20" w:lineRule="exact"/>
              <w:rPr>
                <w:sz w:val="1"/>
                <w:szCs w:val="1"/>
                <w:color w:val="auto"/>
              </w:rPr>
            </w:pPr>
          </w:p>
        </w:tc>
        <w:tc>
          <w:tcPr>
            <w:tcW w:w="130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200" w:type="dxa"/>
            <w:vAlign w:val="bottom"/>
            <w:tcBorders>
              <w:top w:val="single" w:sz="8" w:color="DBDBDB"/>
              <w:bottom w:val="single" w:sz="8" w:color="auto"/>
            </w:tcBorders>
          </w:tcPr>
          <w:p>
            <w:pPr>
              <w:spacing w:after="0" w:line="20" w:lineRule="exact"/>
              <w:rPr>
                <w:sz w:val="1"/>
                <w:szCs w:val="1"/>
                <w:color w:val="auto"/>
              </w:rPr>
            </w:pPr>
          </w:p>
        </w:tc>
        <w:tc>
          <w:tcPr>
            <w:tcW w:w="128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80" w:type="dxa"/>
            <w:vAlign w:val="bottom"/>
            <w:tcBorders>
              <w:top w:val="single" w:sz="8" w:color="DBDBDB"/>
              <w:bottom w:val="single" w:sz="8" w:color="auto"/>
            </w:tcBorders>
          </w:tcPr>
          <w:p>
            <w:pPr>
              <w:spacing w:after="0" w:line="20" w:lineRule="exact"/>
              <w:rPr>
                <w:sz w:val="1"/>
                <w:szCs w:val="1"/>
                <w:color w:val="auto"/>
              </w:rPr>
            </w:pPr>
          </w:p>
        </w:tc>
        <w:tc>
          <w:tcPr>
            <w:tcW w:w="120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20" w:type="dxa"/>
            <w:vAlign w:val="bottom"/>
            <w:tcBorders>
              <w:top w:val="single" w:sz="8" w:color="DBDBDB"/>
              <w:bottom w:val="single" w:sz="8" w:color="auto"/>
            </w:tcBorders>
          </w:tcPr>
          <w:p>
            <w:pPr>
              <w:spacing w:after="0" w:line="20" w:lineRule="exact"/>
              <w:rPr>
                <w:sz w:val="1"/>
                <w:szCs w:val="1"/>
                <w:color w:val="auto"/>
              </w:rPr>
            </w:pPr>
          </w:p>
        </w:tc>
        <w:tc>
          <w:tcPr>
            <w:tcW w:w="116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discipline of liquidity management as practiced by the Company seeks to ensure that funds are available to fulfill all payment obligations relating to invoices processed as they become due and meet depositor withdrawal requests and borrower credit demands while at the same time maximizing profitability. This is accomplished by balancing changes in demand for funds with changes in supply of funds. Primary liquidity to meet demand is provided by short-term liquid assets that can be converted to cash, maturing securities and the ability to obtain funds from external sources. The Company's Asset/Liability Committee (“ALCO”) has direct oversight responsibility for the Company's liquidity position and profile. Management considers both on-balance sheet and off-balance sheet items in its evaluation of liquidity.</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balances of liquid assets consist of cash and cash equivalents, which include cash and due from banks, interest-bearing deposits in other financial institutions, federal funds sold, and money market funds, totaled $372.5 million at December 31, 2023, an increase of $171.5 million, or 85.4%, from December 31, 2022. The increase during 2023 is primarily attributed to decreases in investment securities, loans and payments in advance of funding, partially offset by a decrease in deposits. At December 31, 2023, cash and cash equivalents represented 15.0% of total assets and are the Company’s and its subsidiaries’ primary source of liquidity to meet future expected and unexpected loan demand, depositor withdrawals or reductions in accounts and drafts payable.</w:t>
      </w:r>
    </w:p>
    <w:p>
      <w:pPr>
        <w:sectPr>
          <w:pgSz w:w="11900" w:h="16838" w:orient="portrait"/>
          <w:cols w:equalWidth="0" w:num="1">
            <w:col w:w="11240"/>
          </w:cols>
          <w:pgMar w:left="320" w:top="333" w:right="339" w:bottom="1440" w:gutter="0" w:footer="0" w:header="0"/>
        </w:sect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type w:val="continuous"/>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Secondary sources of liquidity include the investment portfolio and borrowing lines. Total investment securities available-for-sale at fair value were $627.1 million at December 31, 2023, a decrease of $127.4 million, or 16.9%, from December 31, 2022. Investment securities represented 25.3% of total assets at December 31, 2023. Of the total portfolio, 20.6% mature in one year or less, 21.5% mature after one year through five years and 57.9% mature after five years.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December 31, 2023, the Bank had unsecured lines of credit at six correspondent banks to purchase federal funds up to a maximum of $83.0 million in aggregate. As of December 31, 2023, the Bank had secured lines of credit with the Federal Home Loan Bank of $228.3 million collateralized by commercial mortgage loans. At December 31, 2023, the Company had lines of credit from three banks up to a maximum of $250.0 million in aggregate collateralized by state and political subdivision securities. There were not any amounts outstanding at December 31, 2023 and 2022 under any of the lines of credit.</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deposits of the Company's banking subsidiary have historically been stable, consisting of a sizable volume of core deposits related to customers that utilize many other commercial products of the Bank. The accounts and drafts payable generated by the Company have also historically been a stable source of funds.</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Net cash flows provided by operating activities for the years 2023, 2022 and 2021 were $36.9 million, $51.6 million, and $34.5 million, respectively. Net income plus depreciation and amortization accounts for most of the operating cash provided. Net cash flows from investing and financing activities fluctuate greatly as the Company actively manages its investment and loan portfolios and customer activity influences changes in deposit and accounts and drafts payable balances. Further analysis of the changes in these account balances is discussed earlier in this report. Due to the daily fluctuations in these account balances, management believes that the analysis of changes in average balances, also discussed earlier in this report, can be more indicative of underlying activity than the period-end balances used in the statements of cash flows. Management anticipates that cash and cash equivalents, maturing investments, cash from operations, and borrowing lines will continue to be sufficient to fund the Company’s operations and capital expenditures in 2024. The Company anticipates the annual capital expenditures for 2024 should range from $10 million to $12 million. Capital expenditures in 2024 are expected to primarily consist of purchases of equipment and software related to the payment and information processing services business.</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Net income plus amortization of intangible assets, net amortization of premium/discount on investment securities and depreciation of premises and equipment was $39.5 million and $45.9 million for the years ended December 31, 2023 and December 31, 2022, respectively, a decrease of $6.4 million year over year. The decrease was due to the decrease in net income of $4.8 million and lower net amortization of premium/discount on investment securities of $1.8 million. The net amortization of premium/discount on investment securities is dependent on the type of securities purchased and changes in the prevailing market interest rate environment.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factors impacting the $14.7 million decrease in net cash provided by operating activities include:</w:t>
      </w:r>
    </w:p>
    <w:p>
      <w:pPr>
        <w:spacing w:after="0" w:line="27"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other operating activities, net of $4.6 million, primarily due to changes in various accounts receivable and payable;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stock-based compensation expense of $2.6 million due to lower Company earnings and the impact on performance based stock;</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current income tax liability of $2.2 million;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in the (release of) provision for credit losses of $1.9 million primarily due to changes in loans outstanding during the respective periods.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factors were partially offset by an increase in the pension liability of $3.3 million.</w:t>
      </w:r>
    </w:p>
    <w:p>
      <w:pPr>
        <w:spacing w:after="0" w:line="2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an overall basis, the Company's $14.7 million decrease in net cash provided by operating activities was due to higher operating expenses driven by strategic investments in technology initiatives. Higher expense levels were partially offset by improved revenue driven by higher levels of net interest income, processing fees and financial fees. The increase in net interest income in 2023 compared to 2022 is primarily due to the Federal Reserve’s actions to increase the Federal Funds rate throughout 2022 and into 2023, positively affecting the net interest rate margin which increased to 3.25% as compared to 2.74% in the prior year.</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are several trends and uncertainties that may impact the Company’s ability to generate revenues and income at the levels that it has in the past. In addition, these trends and uncertainties may impact available liquidity. Those that could significantly impact the Company include the general levels of interest rates, business activity, inflation, and energy costs as well as new business opportunities available to the Company.</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a financial institution, a significant source of the Company’s earnings is generated from net interest income. Therefore, the prevailing interest rate environment is important to the Company’s performance. A major portion of the Company’s funding sources are the noninterest-bearing accounts and drafts payable generated from its payment and information processing services. Accordingly, higher levels of interest rates will generally allow the Company to earn more net interest income. Conversely, a lower interest rate environment will generally tend to depress net interest income. The Company actively manages its balance sheet in an effort to maximize net interest income as the interest rate environment changes. This balance sheet management impacts the mix of earning assets maintained by the Company at any point in time. For example, in a low interest rate environment, short-term relatively lower rate liquid investments may be reduced in favor of longer term relatively higher yielding investments and loans. If the primary source of liquidity is reduced in a low interest rate environment, a greater reliance would be placed on secondary sources of liquidity including borrowing lines, the ability of the Bank to generate deposits, and the investment portfolio to ensure overall liquidity remains at acceptable levels.</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overall level of economic activity can have a significant impact on the Company’s ability to generate revenues and income, as the volume and size of customer invoices processed may increase or decrease. Lower levels of economic activity decrease both fee income (as fewer invoices are processed) and balances of accounts and drafts payable generated (as fewer or lower average dollar invoices are processed) from the Company’s transportation customers.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relative level of energy costs can impact the Company’s earnings and available liquidity. Lower levels of energy costs will tend to decrease transportation and energy invoice amounts resulting in a corresponding decrease in accounts and drafts payable. Decreases in accounts and drafts payable generate lower interest income and reduce liquidity.</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New business opportunities are an important component of the Company’s strategy to grow earnings and improve performance. Generating new customers allows the Company to leverage existing systems and facilities and grow revenues faster than expenses. During 2023, new business was added in both the transportation and facility expense management operations, driven by both successful marketing efforts and the solid market leadership position held by Cass.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Resources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One of management’s primary objectives is to maintain a strong capital base to warrant the confidence of customers, shareholders, and bank regulatory agencies. A strong capital base is needed to take advantage of profitable growth opportunities that arise and to provide assurance to depositors and creditors. The Company and its banking subsidiary continue to exceed all regulatory capital requirements, as evidenced by the capital ratios at December 31, 2023 as shown in Item 8, Note 2 of this report.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dividends paid were $16.0 million and $15.4 million in 2023 and 2022, respectively.</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Shareholders’ equity was $229.8 million, or 9.3% of total assets, at December 31, 2023, an increase of $23.5 million as compared to December 31, 2022. The increase was primarily a result of net income of $30.1 million and the decrease in accumulated other comprehensive loss of $11.9 million due to the change in market values on investment securities, partially offset by the payment of cash dividends of $16.0 million, and the repurchase of treasury shares of $5.8 million.</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Dividends from the Bank are a source of funds for payment of dividends by the Company to its shareholders. The only restrictions on dividends are those dictated by regulatory capital requirements, state corporate laws and prudent and sound banking principles. During 2023, the Bank paid dividends of $7.5 million to the Company. As of December 31, 2023, unappropriated retained earnings of $30.8 million were available at the Bank for the declaration of dividends to the Company without prior approval from regulatory authorities.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maintains a treasury stock buyback program approved by the Board of Directors in October 2023 pursuant to which the Board of Directors has authorized the repurchase of up to 500,000 shares of the Company’s common stock and has no expiration date. A total of 486,036 shares remain under the buyback program at December 31, 2023.</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repurchased a total of 150,541 shares at an aggregate cost of $5.8 million during the year ended December 31, 2023 and 130,374 shares at an aggregate cost of $5.3 million during the year ended December 31, 2022. A portion of the repurchased shares may be used for the Company’s employee benefit plans and the balance will be available for other general corporate purposes. The pace of future repurchase activity will depend on factors such as levels of regulatory capital, cash generation from operations, cash requirements for investments, repayment of debt, current stock price, business and market conditions, and other factors. The Company may repurchase shares from time to time on the</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open market or in private transactions, including structured transactions. The stock repurchase program may be modified or discontinued at any time.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of Inflation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Inflation could have the impact of increasing our operating expenses, such as compensation expense. Inflationary pressures may also have an impact on total assets, earnings and capital, which could impact the Company's ability to grow. An increase in total assets could have the impact of decreasing regulatory capital ratios if earnings and total regulatory capital do not increase at the same rate.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a result of rising inflation, the Federal Reserve increased the Federal Funds rate throughout 2022 and 2023. The increase in the Federal Funds rate has contributed to the increase in the Company's net interest margin to 3.25% in 2023 from 2.74% in 2022, therefore positively impacting net interest income. Partially as a result of declining inflation, the market is forecasting a decline in the Federal Funds rate beginning in 2024. A decrease in the Federal Funds rate could negatively impact the Company's net interest margin and income.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Commitments, Contractual Obligations and Off-Balance Sheet Arrangements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the normal course of business, the Company is party to activities that involve credit, market and operational risk that are not reflected in whole or in part in the Company’s consolidated financial statements. Such activities include traditional off-balance sheet credit-related financial instruments. These financial instruments include commitments to extend credit, commercial letters of credit and standby letters of credit. The Company’s maximum potential exposure to credit loss in the event of nonperformance by the other party to the financial instrument for commitments to extend credit, commercial letters of credit and standby letters of credit is represented by the contractual amounts of those instruments. At December 31, 2023, an allowance for unfunded commitments of $132,000 had been recorded. See Item 7, “Management’s Discussion and Analysis of Financial Condition and Results of Operations— Provision and Allowance for Credit Losses and Unfunded Commitments.”</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Commitments to extend credit are agreements to lend to a customer as long as there is no violation of any condition established in the contract. Commercial and standby letters of credit are commitments issued by the Company or its subsidiaries to guarantee the performance of a customer to a third party. These off-balance sheet financial instruments generally have fixed expiration dates or other termination clauses and may require payment of a fee. At December 31, 2023, the balance of loan commitments, standby and commercial letters of credit were $196.1 million, $13.6 million and $353,000, respectively. Since some of the financial instruments may expire without being drawn upon, the total amounts do not necessarily represent future cash requirements. Commitments to extend credit and letters of credit are subject to the same underwriting standards as those financial instruments included on the consolidated balance sheets. The Company evaluates each customer’s credit worthiness on a case-by-case basis. The amount of collateral obtained, if deemed necessary upon extension of the credit, is based on management’s credit evaluation of the borrower. Collateral held varies, but is generally accounts receivable, inventory, residential or income-producing commercial property or equipment. In the event of nonperformance, the Company or its subsidiaries may obtain and liquidate the collateral to recover amounts paid under its guarantees on these financial instruments. See Note 14 "Disclosures about Fair Value of Financial Instruments" for more information.</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2023, the Company did not make a contribution to its noncontributory defined benefit pension plan. In determining pension expense, the Company makes several assumptions, including the discount rate and long-term rate of return on assets. These assumptions are determined at the beginning of the plan year based on interest rate levels and financial market performance.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For 2023, these assumptions were as follows:</w:t>
            </w:r>
          </w:p>
        </w:tc>
        <w:tc>
          <w:tcPr>
            <w:tcW w:w="4480" w:type="dxa"/>
            <w:vAlign w:val="bottom"/>
          </w:tcPr>
          <w:p>
            <w:pPr>
              <w:spacing w:after="0"/>
              <w:rPr>
                <w:sz w:val="20"/>
                <w:szCs w:val="20"/>
                <w:color w:val="auto"/>
              </w:rPr>
            </w:pPr>
          </w:p>
        </w:tc>
      </w:tr>
      <w:tr>
        <w:trPr>
          <w:trHeight w:val="473"/>
        </w:trPr>
        <w:tc>
          <w:tcPr>
            <w:tcW w:w="6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Assumption</w:t>
            </w:r>
          </w:p>
        </w:tc>
        <w:tc>
          <w:tcPr>
            <w:tcW w:w="448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Rate</w:t>
            </w:r>
          </w:p>
        </w:tc>
      </w:tr>
      <w:tr>
        <w:trPr>
          <w:trHeight w:val="223"/>
        </w:trPr>
        <w:tc>
          <w:tcPr>
            <w:tcW w:w="676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44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5.25 %</w:t>
            </w:r>
          </w:p>
        </w:tc>
      </w:tr>
      <w:tr>
        <w:trPr>
          <w:trHeight w:val="230"/>
        </w:trPr>
        <w:tc>
          <w:tcPr>
            <w:tcW w:w="6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Expected long-term rate of return on assets</w:t>
            </w:r>
          </w:p>
        </w:tc>
        <w:tc>
          <w:tcPr>
            <w:tcW w:w="4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7A. </w:t>
      </w:r>
      <w:r>
        <w:rPr>
          <w:rFonts w:ascii="Times New Roman" w:cs="Times New Roman" w:eastAsia="Times New Roman" w:hAnsi="Times New Roman"/>
          <w:sz w:val="18"/>
          <w:szCs w:val="18"/>
          <w:b w:val="1"/>
          <w:bCs w:val="1"/>
          <w:u w:val="single" w:color="auto"/>
          <w:color w:val="auto"/>
        </w:rPr>
        <w:t>QUANTITATIVE AND QUALITATIVE DISCLOSURES ABOUT MARKET RISK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Sensitivity</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faces market risk to the extent that its net interest income is affected by changes in market interest rates. The asset/liability management discipline as applied by the Company seeks to limit the volatility, to the extent possible, that can result from changes in market interest rates. This is accomplished by limiting the concentration of maturities of fixed rate investments, loans, and deposits; matching fixed rate assets and liabilities to the extent possible; and optimizing the mix of fees and net interest income. However, the Company's asset/liability position often differs from other financial holding companies with positive cumulative "gaps." This asset sensitive position is caused primarily by the operations of the Company, which generate large balances of accounts and drafts payable. These balances, which are noninterest bearing, can cause the Company to become susceptible to changes in interest rates, with a decreasing net interest margin in periods of declining interest rates and an increasing net interest margin in periods of rising interest rates, like the Company experienced in 2023.</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ALCO measures the Company's interest rate risk sensitivity on a quarterly basis to monitor and manage the variability of earnings in various interest rate environments. The ALCO evaluates the Company's risk position to determine whether the level of exposure is significant enough to hedge a potential decline in earnings or whether the Company can safely increase risk to enhance returns. The ALCO uses gap reports, 12-month net interest income simulations, and fair market value of equity analyses as its main analytical tools to provide management with insight into the Company's exposure to changing interest rates.</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Management uses a gap report to review any significant mismatch between the re-pricing points of the Company’s rate sensitive assets and liabilities in certain time horizons. A negative gap indicates that more liabilities re-price in that particular time frame and, if rates rise, these liabilities will re-price faster than the assets. A positive gap would indicate the opposite. Gap reports can be misleading in that they capture only the re-pricing timing within the balance sheet and fail to capture other significant risks such as basis risk and embedded options risk. Basis risk involves the potential for the spread relationship between rates to change under different rate environments and embedded options risk relates to the potential for the alteration of the level and/or timing of cash flows given changes in rates.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Another measurement tool used by management is net interest income simulation, which forecasts net interest income during the coming 12 months under different interest rate scenarios. Management has set policy limits specifying acceptable levels of interest rate risk given multiple simulated rate movements. These simulations are more informative than gap reports because they are able to capture more of the dynamics within the balance sheet, such as basis risk and embedded options risk. A table containing simulation results as of December 31, 2023, from an immediate and sustained parallel change in interest rates in three varying scenarios is shown below.</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While net interest income simulations do an adequate job of capturing interest rate risk to short term earnings, they do not capture risk within the current balance sheet beyond 12 months. The Company uses fair market value of equity analyses to help identify longer-term risk that may reside on the current balance sheet. The fair market value of equity is represented by the present value of all future income streams generated by the current balance sheet. The Company measures the fair market value of equity as the net present value of all asset and liability cash flows discounted at forward rates suggested by the current U.S. Treasury curve plus appropriate credit spreads. This representation of the change in the fair market value of equity under different rate scenarios gives insight into the magnitude of risk to future earnings due to rate changes. Management has set policy limits relating to declines in the market value of equity.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illustrates the projected impact of interest rate shocks on net interest income as of December 31, 2023:</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860" w:type="dxa"/>
            <w:vAlign w:val="bottom"/>
          </w:tcPr>
          <w:p>
            <w:pPr>
              <w:spacing w:after="0"/>
              <w:rPr>
                <w:sz w:val="20"/>
                <w:szCs w:val="20"/>
                <w:color w:val="auto"/>
              </w:rPr>
            </w:pPr>
          </w:p>
        </w:tc>
        <w:tc>
          <w:tcPr>
            <w:tcW w:w="3240" w:type="dxa"/>
            <w:vAlign w:val="bottom"/>
          </w:tcPr>
          <w:p>
            <w:pPr>
              <w:jc w:val="center"/>
              <w:ind w:left="370"/>
              <w:spacing w:after="0"/>
              <w:rPr>
                <w:sz w:val="20"/>
                <w:szCs w:val="20"/>
                <w:color w:val="auto"/>
              </w:rPr>
            </w:pPr>
            <w:r>
              <w:rPr>
                <w:rFonts w:ascii="Times New Roman" w:cs="Times New Roman" w:eastAsia="Times New Roman" w:hAnsi="Times New Roman"/>
                <w:sz w:val="18"/>
                <w:szCs w:val="18"/>
                <w:b w:val="1"/>
                <w:bCs w:val="1"/>
                <w:color w:val="auto"/>
                <w:w w:val="99"/>
              </w:rPr>
              <w:t>Change in Interest Rates</w:t>
            </w:r>
          </w:p>
        </w:tc>
        <w:tc>
          <w:tcPr>
            <w:tcW w:w="6140" w:type="dxa"/>
            <w:vAlign w:val="bottom"/>
            <w:gridSpan w:val="2"/>
          </w:tcPr>
          <w:p>
            <w:pPr>
              <w:ind w:left="1140"/>
              <w:spacing w:after="0"/>
              <w:rPr>
                <w:sz w:val="20"/>
                <w:szCs w:val="20"/>
                <w:color w:val="auto"/>
              </w:rPr>
            </w:pPr>
            <w:r>
              <w:rPr>
                <w:rFonts w:ascii="Times New Roman" w:cs="Times New Roman" w:eastAsia="Times New Roman" w:hAnsi="Times New Roman"/>
                <w:sz w:val="18"/>
                <w:szCs w:val="18"/>
                <w:b w:val="1"/>
                <w:bCs w:val="1"/>
                <w:color w:val="auto"/>
              </w:rPr>
              <w:t>% Change in Net Interest Income</w:t>
            </w:r>
          </w:p>
        </w:tc>
      </w:tr>
      <w:tr>
        <w:trPr>
          <w:trHeight w:val="223"/>
        </w:trPr>
        <w:tc>
          <w:tcPr>
            <w:tcW w:w="1860" w:type="dxa"/>
            <w:vAlign w:val="bottom"/>
          </w:tcPr>
          <w:p>
            <w:pPr>
              <w:spacing w:after="0"/>
              <w:rPr>
                <w:sz w:val="19"/>
                <w:szCs w:val="19"/>
                <w:color w:val="auto"/>
              </w:rPr>
            </w:pPr>
          </w:p>
        </w:tc>
        <w:tc>
          <w:tcPr>
            <w:tcW w:w="3240" w:type="dxa"/>
            <w:vAlign w:val="bottom"/>
            <w:tcBorders>
              <w:top w:val="single" w:sz="8" w:color="auto"/>
            </w:tcBorders>
            <w:shd w:val="clear" w:color="auto" w:fill="DBDBDB"/>
          </w:tcPr>
          <w:p>
            <w:pPr>
              <w:jc w:val="center"/>
              <w:ind w:left="370"/>
              <w:spacing w:after="0"/>
              <w:rPr>
                <w:sz w:val="20"/>
                <w:szCs w:val="20"/>
                <w:color w:val="auto"/>
              </w:rPr>
            </w:pPr>
            <w:r>
              <w:rPr>
                <w:rFonts w:ascii="Times New Roman" w:cs="Times New Roman" w:eastAsia="Times New Roman" w:hAnsi="Times New Roman"/>
                <w:sz w:val="18"/>
                <w:szCs w:val="18"/>
                <w:color w:val="auto"/>
                <w:w w:val="99"/>
              </w:rPr>
              <w:t>+200 basis points</w:t>
            </w:r>
          </w:p>
        </w:tc>
        <w:tc>
          <w:tcPr>
            <w:tcW w:w="4300" w:type="dxa"/>
            <w:vAlign w:val="bottom"/>
            <w:tcBorders>
              <w:top w:val="single" w:sz="8" w:color="auto"/>
            </w:tcBorders>
            <w:shd w:val="clear" w:color="auto" w:fill="DBDBDB"/>
          </w:tcPr>
          <w:p>
            <w:pPr>
              <w:jc w:val="center"/>
              <w:ind w:left="470"/>
              <w:spacing w:after="0"/>
              <w:rPr>
                <w:sz w:val="20"/>
                <w:szCs w:val="20"/>
                <w:color w:val="auto"/>
              </w:rPr>
            </w:pPr>
            <w:r>
              <w:rPr>
                <w:rFonts w:ascii="Times New Roman" w:cs="Times New Roman" w:eastAsia="Times New Roman" w:hAnsi="Times New Roman"/>
                <w:sz w:val="18"/>
                <w:szCs w:val="18"/>
                <w:color w:val="auto"/>
                <w:w w:val="98"/>
              </w:rPr>
              <w:t>14.7%</w:t>
            </w:r>
          </w:p>
        </w:tc>
        <w:tc>
          <w:tcPr>
            <w:tcW w:w="1840" w:type="dxa"/>
            <w:vAlign w:val="bottom"/>
          </w:tcPr>
          <w:p>
            <w:pPr>
              <w:spacing w:after="0"/>
              <w:rPr>
                <w:sz w:val="19"/>
                <w:szCs w:val="19"/>
                <w:color w:val="auto"/>
              </w:rPr>
            </w:pPr>
          </w:p>
        </w:tc>
      </w:tr>
      <w:tr>
        <w:trPr>
          <w:trHeight w:val="230"/>
        </w:trPr>
        <w:tc>
          <w:tcPr>
            <w:tcW w:w="1860" w:type="dxa"/>
            <w:vAlign w:val="bottom"/>
          </w:tcPr>
          <w:p>
            <w:pPr>
              <w:spacing w:after="0"/>
              <w:rPr>
                <w:sz w:val="19"/>
                <w:szCs w:val="19"/>
                <w:color w:val="auto"/>
              </w:rPr>
            </w:pPr>
          </w:p>
        </w:tc>
        <w:tc>
          <w:tcPr>
            <w:tcW w:w="3240" w:type="dxa"/>
            <w:vAlign w:val="bottom"/>
          </w:tcPr>
          <w:p>
            <w:pPr>
              <w:jc w:val="center"/>
              <w:ind w:left="370"/>
              <w:spacing w:after="0"/>
              <w:rPr>
                <w:sz w:val="20"/>
                <w:szCs w:val="20"/>
                <w:color w:val="auto"/>
              </w:rPr>
            </w:pPr>
            <w:r>
              <w:rPr>
                <w:rFonts w:ascii="Times New Roman" w:cs="Times New Roman" w:eastAsia="Times New Roman" w:hAnsi="Times New Roman"/>
                <w:sz w:val="18"/>
                <w:szCs w:val="18"/>
                <w:color w:val="auto"/>
                <w:w w:val="99"/>
              </w:rPr>
              <w:t>+100 basis points</w:t>
            </w:r>
          </w:p>
        </w:tc>
        <w:tc>
          <w:tcPr>
            <w:tcW w:w="4300" w:type="dxa"/>
            <w:vAlign w:val="bottom"/>
          </w:tcPr>
          <w:p>
            <w:pPr>
              <w:jc w:val="center"/>
              <w:ind w:left="470"/>
              <w:spacing w:after="0"/>
              <w:rPr>
                <w:sz w:val="20"/>
                <w:szCs w:val="20"/>
                <w:color w:val="auto"/>
              </w:rPr>
            </w:pPr>
            <w:r>
              <w:rPr>
                <w:rFonts w:ascii="Times New Roman" w:cs="Times New Roman" w:eastAsia="Times New Roman" w:hAnsi="Times New Roman"/>
                <w:sz w:val="18"/>
                <w:szCs w:val="18"/>
                <w:color w:val="auto"/>
                <w:w w:val="97"/>
              </w:rPr>
              <w:t>6.5</w:t>
            </w:r>
          </w:p>
        </w:tc>
        <w:tc>
          <w:tcPr>
            <w:tcW w:w="1840" w:type="dxa"/>
            <w:vAlign w:val="bottom"/>
          </w:tcPr>
          <w:p>
            <w:pPr>
              <w:spacing w:after="0"/>
              <w:rPr>
                <w:sz w:val="19"/>
                <w:szCs w:val="19"/>
                <w:color w:val="auto"/>
              </w:rPr>
            </w:pPr>
          </w:p>
        </w:tc>
      </w:tr>
      <w:tr>
        <w:trPr>
          <w:trHeight w:val="230"/>
        </w:trPr>
        <w:tc>
          <w:tcPr>
            <w:tcW w:w="1860" w:type="dxa"/>
            <w:vAlign w:val="bottom"/>
          </w:tcPr>
          <w:p>
            <w:pPr>
              <w:spacing w:after="0"/>
              <w:rPr>
                <w:sz w:val="19"/>
                <w:szCs w:val="19"/>
                <w:color w:val="auto"/>
              </w:rPr>
            </w:pPr>
          </w:p>
        </w:tc>
        <w:tc>
          <w:tcPr>
            <w:tcW w:w="3240" w:type="dxa"/>
            <w:vAlign w:val="bottom"/>
            <w:shd w:val="clear" w:color="auto" w:fill="DBDBDB"/>
          </w:tcPr>
          <w:p>
            <w:pPr>
              <w:jc w:val="center"/>
              <w:ind w:left="370"/>
              <w:spacing w:after="0"/>
              <w:rPr>
                <w:sz w:val="20"/>
                <w:szCs w:val="20"/>
                <w:color w:val="auto"/>
              </w:rPr>
            </w:pPr>
            <w:r>
              <w:rPr>
                <w:rFonts w:ascii="Times New Roman" w:cs="Times New Roman" w:eastAsia="Times New Roman" w:hAnsi="Times New Roman"/>
                <w:sz w:val="18"/>
                <w:szCs w:val="18"/>
                <w:color w:val="auto"/>
                <w:w w:val="99"/>
              </w:rPr>
              <w:t>Flat rates</w:t>
            </w:r>
          </w:p>
        </w:tc>
        <w:tc>
          <w:tcPr>
            <w:tcW w:w="4300" w:type="dxa"/>
            <w:vAlign w:val="bottom"/>
            <w:shd w:val="clear" w:color="auto" w:fill="DBDBDB"/>
          </w:tcPr>
          <w:p>
            <w:pPr>
              <w:jc w:val="center"/>
              <w:ind w:left="470"/>
              <w:spacing w:after="0"/>
              <w:rPr>
                <w:sz w:val="20"/>
                <w:szCs w:val="20"/>
                <w:color w:val="auto"/>
              </w:rPr>
            </w:pPr>
            <w:r>
              <w:rPr>
                <w:rFonts w:ascii="Times New Roman" w:cs="Times New Roman" w:eastAsia="Times New Roman" w:hAnsi="Times New Roman"/>
                <w:sz w:val="18"/>
                <w:szCs w:val="18"/>
                <w:color w:val="auto"/>
                <w:w w:val="99"/>
              </w:rPr>
              <w:t>—</w:t>
            </w:r>
          </w:p>
        </w:tc>
        <w:tc>
          <w:tcPr>
            <w:tcW w:w="1840" w:type="dxa"/>
            <w:vAlign w:val="bottom"/>
          </w:tcPr>
          <w:p>
            <w:pPr>
              <w:spacing w:after="0"/>
              <w:rPr>
                <w:sz w:val="19"/>
                <w:szCs w:val="19"/>
                <w:color w:val="auto"/>
              </w:rPr>
            </w:pPr>
          </w:p>
        </w:tc>
      </w:tr>
      <w:tr>
        <w:trPr>
          <w:trHeight w:val="229"/>
        </w:trPr>
        <w:tc>
          <w:tcPr>
            <w:tcW w:w="1860" w:type="dxa"/>
            <w:vAlign w:val="bottom"/>
          </w:tcPr>
          <w:p>
            <w:pPr>
              <w:spacing w:after="0"/>
              <w:rPr>
                <w:sz w:val="19"/>
                <w:szCs w:val="19"/>
                <w:color w:val="auto"/>
              </w:rPr>
            </w:pPr>
          </w:p>
        </w:tc>
        <w:tc>
          <w:tcPr>
            <w:tcW w:w="3240" w:type="dxa"/>
            <w:vAlign w:val="bottom"/>
          </w:tcPr>
          <w:p>
            <w:pPr>
              <w:jc w:val="center"/>
              <w:ind w:left="370"/>
              <w:spacing w:after="0"/>
              <w:rPr>
                <w:sz w:val="20"/>
                <w:szCs w:val="20"/>
                <w:color w:val="auto"/>
              </w:rPr>
            </w:pPr>
            <w:r>
              <w:rPr>
                <w:rFonts w:ascii="Times New Roman" w:cs="Times New Roman" w:eastAsia="Times New Roman" w:hAnsi="Times New Roman"/>
                <w:sz w:val="18"/>
                <w:szCs w:val="18"/>
                <w:color w:val="auto"/>
                <w:w w:val="99"/>
              </w:rPr>
              <w:t>-100 basis points</w:t>
            </w:r>
          </w:p>
        </w:tc>
        <w:tc>
          <w:tcPr>
            <w:tcW w:w="4300" w:type="dxa"/>
            <w:vAlign w:val="bottom"/>
          </w:tcPr>
          <w:p>
            <w:pPr>
              <w:jc w:val="center"/>
              <w:ind w:left="470"/>
              <w:spacing w:after="0"/>
              <w:rPr>
                <w:sz w:val="20"/>
                <w:szCs w:val="20"/>
                <w:color w:val="auto"/>
              </w:rPr>
            </w:pPr>
            <w:r>
              <w:rPr>
                <w:rFonts w:ascii="Times New Roman" w:cs="Times New Roman" w:eastAsia="Times New Roman" w:hAnsi="Times New Roman"/>
                <w:sz w:val="18"/>
                <w:szCs w:val="18"/>
                <w:color w:val="auto"/>
                <w:w w:val="98"/>
              </w:rPr>
              <w:t>(3.2)</w:t>
            </w:r>
          </w:p>
        </w:tc>
        <w:tc>
          <w:tcPr>
            <w:tcW w:w="1840" w:type="dxa"/>
            <w:vAlign w:val="bottom"/>
          </w:tcPr>
          <w:p>
            <w:pPr>
              <w:spacing w:after="0"/>
              <w:rPr>
                <w:sz w:val="19"/>
                <w:szCs w:val="19"/>
                <w:color w:val="auto"/>
              </w:rPr>
            </w:pPr>
          </w:p>
        </w:tc>
      </w:tr>
      <w:tr>
        <w:trPr>
          <w:trHeight w:val="230"/>
        </w:trPr>
        <w:tc>
          <w:tcPr>
            <w:tcW w:w="1860" w:type="dxa"/>
            <w:vAlign w:val="bottom"/>
          </w:tcPr>
          <w:p>
            <w:pPr>
              <w:spacing w:after="0"/>
              <w:rPr>
                <w:sz w:val="19"/>
                <w:szCs w:val="19"/>
                <w:color w:val="auto"/>
              </w:rPr>
            </w:pPr>
          </w:p>
        </w:tc>
        <w:tc>
          <w:tcPr>
            <w:tcW w:w="3240" w:type="dxa"/>
            <w:vAlign w:val="bottom"/>
            <w:tcBorders>
              <w:bottom w:val="single" w:sz="8" w:color="auto"/>
            </w:tcBorders>
            <w:shd w:val="clear" w:color="auto" w:fill="DBDBDB"/>
          </w:tcPr>
          <w:p>
            <w:pPr>
              <w:jc w:val="center"/>
              <w:ind w:left="370"/>
              <w:spacing w:after="0"/>
              <w:rPr>
                <w:sz w:val="20"/>
                <w:szCs w:val="20"/>
                <w:color w:val="auto"/>
              </w:rPr>
            </w:pPr>
            <w:r>
              <w:rPr>
                <w:rFonts w:ascii="Times New Roman" w:cs="Times New Roman" w:eastAsia="Times New Roman" w:hAnsi="Times New Roman"/>
                <w:sz w:val="18"/>
                <w:szCs w:val="18"/>
                <w:color w:val="auto"/>
                <w:w w:val="99"/>
              </w:rPr>
              <w:t>-200 basis points</w:t>
            </w:r>
          </w:p>
        </w:tc>
        <w:tc>
          <w:tcPr>
            <w:tcW w:w="4300" w:type="dxa"/>
            <w:vAlign w:val="bottom"/>
            <w:tcBorders>
              <w:bottom w:val="single" w:sz="8" w:color="auto"/>
            </w:tcBorders>
            <w:shd w:val="clear" w:color="auto" w:fill="DBDBDB"/>
          </w:tcPr>
          <w:p>
            <w:pPr>
              <w:jc w:val="center"/>
              <w:ind w:left="470"/>
              <w:spacing w:after="0"/>
              <w:rPr>
                <w:sz w:val="20"/>
                <w:szCs w:val="20"/>
                <w:color w:val="auto"/>
              </w:rPr>
            </w:pPr>
            <w:r>
              <w:rPr>
                <w:rFonts w:ascii="Times New Roman" w:cs="Times New Roman" w:eastAsia="Times New Roman" w:hAnsi="Times New Roman"/>
                <w:sz w:val="18"/>
                <w:szCs w:val="18"/>
                <w:color w:val="auto"/>
              </w:rPr>
              <w:t>(6.0)%</w:t>
            </w:r>
          </w:p>
        </w:tc>
        <w:tc>
          <w:tcPr>
            <w:tcW w:w="1840" w:type="dxa"/>
            <w:vAlign w:val="bottom"/>
          </w:tcPr>
          <w:p>
            <w:pPr>
              <w:spacing w:after="0"/>
              <w:rPr>
                <w:sz w:val="19"/>
                <w:szCs w:val="19"/>
                <w:color w:val="auto"/>
              </w:rPr>
            </w:pPr>
          </w:p>
        </w:tc>
      </w:tr>
      <w:tr>
        <w:trPr>
          <w:trHeight w:val="898"/>
        </w:trPr>
        <w:tc>
          <w:tcPr>
            <w:tcW w:w="186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4300" w:type="dxa"/>
            <w:vAlign w:val="bottom"/>
          </w:tcPr>
          <w:p>
            <w:pPr>
              <w:jc w:val="right"/>
              <w:ind w:right="3590"/>
              <w:spacing w:after="0"/>
              <w:rPr>
                <w:sz w:val="20"/>
                <w:szCs w:val="20"/>
                <w:color w:val="auto"/>
              </w:rPr>
            </w:pPr>
            <w:r>
              <w:rPr>
                <w:rFonts w:ascii="Times New Roman" w:cs="Times New Roman" w:eastAsia="Times New Roman" w:hAnsi="Times New Roman"/>
                <w:sz w:val="18"/>
                <w:szCs w:val="18"/>
                <w:color w:val="auto"/>
              </w:rPr>
              <w:t>38</w:t>
            </w:r>
          </w:p>
        </w:tc>
        <w:tc>
          <w:tcPr>
            <w:tcW w:w="1840" w:type="dxa"/>
            <w:vAlign w:val="bottom"/>
          </w:tcPr>
          <w:p>
            <w:pPr>
              <w:spacing w:after="0"/>
              <w:rPr>
                <w:sz w:val="24"/>
                <w:szCs w:val="24"/>
                <w:color w:val="auto"/>
              </w:rPr>
            </w:pPr>
          </w:p>
        </w:tc>
      </w:tr>
      <w:tr>
        <w:trPr>
          <w:trHeight w:val="115"/>
        </w:trPr>
        <w:tc>
          <w:tcPr>
            <w:tcW w:w="1860" w:type="dxa"/>
            <w:vAlign w:val="bottom"/>
            <w:tcBorders>
              <w:bottom w:val="single" w:sz="8" w:color="9A9A9A"/>
            </w:tcBorders>
          </w:tcPr>
          <w:p>
            <w:pPr>
              <w:spacing w:after="0"/>
              <w:rPr>
                <w:sz w:val="10"/>
                <w:szCs w:val="10"/>
                <w:color w:val="auto"/>
              </w:rPr>
            </w:pPr>
          </w:p>
        </w:tc>
        <w:tc>
          <w:tcPr>
            <w:tcW w:w="3240" w:type="dxa"/>
            <w:vAlign w:val="bottom"/>
            <w:tcBorders>
              <w:bottom w:val="single" w:sz="8" w:color="9A9A9A"/>
            </w:tcBorders>
          </w:tcPr>
          <w:p>
            <w:pPr>
              <w:spacing w:after="0"/>
              <w:rPr>
                <w:sz w:val="10"/>
                <w:szCs w:val="10"/>
                <w:color w:val="auto"/>
              </w:rPr>
            </w:pPr>
          </w:p>
        </w:tc>
        <w:tc>
          <w:tcPr>
            <w:tcW w:w="4300" w:type="dxa"/>
            <w:vAlign w:val="bottom"/>
            <w:tcBorders>
              <w:bottom w:val="single" w:sz="8" w:color="9A9A9A"/>
            </w:tcBorders>
          </w:tcPr>
          <w:p>
            <w:pPr>
              <w:spacing w:after="0"/>
              <w:rPr>
                <w:sz w:val="10"/>
                <w:szCs w:val="10"/>
                <w:color w:val="auto"/>
              </w:rPr>
            </w:pPr>
          </w:p>
        </w:tc>
        <w:tc>
          <w:tcPr>
            <w:tcW w:w="18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is generally asset sensitive as average interest-earning assets of $2.08 billion for 2023 greatly exceeded average interest-bearing liabilities of $573.3 million. The table above on the projected impact of interest rate shocks results from a static balance sheet at December 31, 2023. On an average balance basis, the percent change in net interest income generally is higher to the positive for a rising interest rate environment and more negative for a declining interest rate environment. Since the Company held more short-term investments ($351.6 million) on its ending balance sheet at December 31, 2023 than its average balance for full year 2023 of $287.2 million, the percent changes in net interest income are not necessarily representative of what would occur in a changing interest rate environment as these short-term investments are floating rate assets. The Company's cash position can vary significantly on a day to day basis.</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1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
        </w:trPr>
        <w:tc>
          <w:tcPr>
            <w:tcW w:w="720" w:type="dxa"/>
            <w:vAlign w:val="bottom"/>
          </w:tcPr>
          <w:p>
            <w:pPr>
              <w:spacing w:after="0" w:line="20" w:lineRule="exact"/>
              <w:rPr>
                <w:sz w:val="1"/>
                <w:szCs w:val="1"/>
                <w:color w:val="auto"/>
              </w:rPr>
            </w:pPr>
          </w:p>
        </w:tc>
        <w:tc>
          <w:tcPr>
            <w:tcW w:w="4860" w:type="dxa"/>
            <w:vAlign w:val="bottom"/>
            <w:shd w:val="clear" w:color="auto" w:fill="000000"/>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430"/>
        </w:trPr>
        <w:tc>
          <w:tcPr>
            <w:tcW w:w="720" w:type="dxa"/>
            <w:vAlign w:val="bottom"/>
          </w:tcPr>
          <w:p>
            <w:pPr>
              <w:spacing w:after="0"/>
              <w:rPr>
                <w:sz w:val="24"/>
                <w:szCs w:val="24"/>
                <w:color w:val="auto"/>
              </w:rPr>
            </w:pPr>
          </w:p>
        </w:tc>
        <w:tc>
          <w:tcPr>
            <w:tcW w:w="7460" w:type="dxa"/>
            <w:vAlign w:val="bottom"/>
            <w:gridSpan w:val="2"/>
          </w:tcPr>
          <w:p>
            <w:pPr>
              <w:ind w:left="2440"/>
              <w:spacing w:after="0"/>
              <w:rPr>
                <w:sz w:val="20"/>
                <w:szCs w:val="20"/>
                <w:color w:val="auto"/>
              </w:rPr>
            </w:pPr>
            <w:r>
              <w:rPr>
                <w:rFonts w:ascii="Times New Roman" w:cs="Times New Roman" w:eastAsia="Times New Roman" w:hAnsi="Times New Roman"/>
                <w:sz w:val="18"/>
                <w:szCs w:val="18"/>
                <w:b w:val="1"/>
                <w:bCs w:val="1"/>
                <w:color w:val="auto"/>
              </w:rPr>
              <w:t>CASS INFORMATION SYSTEMS, INC. AND SUBSIDIARIES</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38"/>
        </w:trPr>
        <w:tc>
          <w:tcPr>
            <w:tcW w:w="720" w:type="dxa"/>
            <w:vAlign w:val="bottom"/>
          </w:tcPr>
          <w:p>
            <w:pPr>
              <w:spacing w:after="0"/>
              <w:rPr>
                <w:sz w:val="20"/>
                <w:szCs w:val="20"/>
                <w:color w:val="auto"/>
              </w:rPr>
            </w:pPr>
          </w:p>
        </w:tc>
        <w:tc>
          <w:tcPr>
            <w:tcW w:w="7460" w:type="dxa"/>
            <w:vAlign w:val="bottom"/>
            <w:gridSpan w:val="2"/>
          </w:tcPr>
          <w:p>
            <w:pPr>
              <w:ind w:left="334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472"/>
        </w:trPr>
        <w:tc>
          <w:tcPr>
            <w:tcW w:w="72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60" w:type="dxa"/>
            <w:vAlign w:val="bottom"/>
            <w:tcBorders>
              <w:bottom w:val="single" w:sz="8" w:color="auto"/>
            </w:tcBorders>
          </w:tcPr>
          <w:p>
            <w:pPr>
              <w:spacing w:after="0"/>
              <w:rPr>
                <w:sz w:val="24"/>
                <w:szCs w:val="24"/>
                <w:color w:val="auto"/>
              </w:rPr>
            </w:pPr>
          </w:p>
        </w:tc>
      </w:tr>
      <w:tr>
        <w:trPr>
          <w:trHeight w:val="223"/>
        </w:trPr>
        <w:tc>
          <w:tcPr>
            <w:tcW w:w="818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 except share and per share data)</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3"/>
        </w:trPr>
        <w:tc>
          <w:tcPr>
            <w:tcW w:w="8180" w:type="dxa"/>
            <w:vAlign w:val="bottom"/>
            <w:gridSpan w:val="3"/>
            <w:shd w:val="clear" w:color="auto" w:fill="DBDBDB"/>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40" w:type="dxa"/>
            <w:vAlign w:val="bottom"/>
            <w:shd w:val="clear" w:color="auto" w:fill="DBDBDB"/>
          </w:tcPr>
          <w:p>
            <w:pPr>
              <w:spacing w:after="0"/>
              <w:rPr>
                <w:sz w:val="19"/>
                <w:szCs w:val="19"/>
                <w:color w:val="auto"/>
              </w:rPr>
            </w:pPr>
          </w:p>
        </w:tc>
        <w:tc>
          <w:tcPr>
            <w:tcW w:w="11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520" w:type="dxa"/>
            <w:vAlign w:val="bottom"/>
            <w:shd w:val="clear" w:color="auto" w:fill="DBDBDB"/>
          </w:tcPr>
          <w:p>
            <w:pPr>
              <w:spacing w:after="0"/>
              <w:rPr>
                <w:sz w:val="19"/>
                <w:szCs w:val="19"/>
                <w:color w:val="auto"/>
              </w:rPr>
            </w:pPr>
          </w:p>
        </w:tc>
        <w:tc>
          <w:tcPr>
            <w:tcW w:w="960" w:type="dxa"/>
            <w:vAlign w:val="bottom"/>
            <w:shd w:val="clear" w:color="auto" w:fill="DBDBDB"/>
          </w:tcPr>
          <w:p>
            <w:pPr>
              <w:spacing w:after="0"/>
              <w:rPr>
                <w:sz w:val="19"/>
                <w:szCs w:val="19"/>
                <w:color w:val="auto"/>
              </w:rPr>
            </w:pPr>
          </w:p>
        </w:tc>
      </w:tr>
      <w:tr>
        <w:trPr>
          <w:trHeight w:val="229"/>
        </w:trPr>
        <w:tc>
          <w:tcPr>
            <w:tcW w:w="81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Cash and due from banks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20,908</w:t>
            </w:r>
          </w:p>
        </w:tc>
        <w:tc>
          <w:tcPr>
            <w:tcW w:w="100" w:type="dxa"/>
            <w:vAlign w:val="bottom"/>
          </w:tcPr>
          <w:p>
            <w:pPr>
              <w:spacing w:after="0"/>
              <w:rPr>
                <w:sz w:val="19"/>
                <w:szCs w:val="19"/>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20,995</w:t>
            </w:r>
          </w:p>
        </w:tc>
      </w:tr>
      <w:tr>
        <w:trPr>
          <w:trHeight w:val="229"/>
        </w:trPr>
        <w:tc>
          <w:tcPr>
            <w:tcW w:w="8180" w:type="dxa"/>
            <w:vAlign w:val="bottom"/>
            <w:gridSpan w:val="3"/>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Short-term investments</w:t>
            </w:r>
          </w:p>
        </w:tc>
        <w:tc>
          <w:tcPr>
            <w:tcW w:w="340" w:type="dxa"/>
            <w:vAlign w:val="bottom"/>
            <w:tcBorders>
              <w:bottom w:val="single" w:sz="8" w:color="auto"/>
            </w:tcBorders>
            <w:shd w:val="clear" w:color="auto" w:fill="DBDBDB"/>
          </w:tcPr>
          <w:p>
            <w:pPr>
              <w:spacing w:after="0"/>
              <w:rPr>
                <w:sz w:val="19"/>
                <w:szCs w:val="19"/>
                <w:color w:val="auto"/>
              </w:rPr>
            </w:pPr>
          </w:p>
        </w:tc>
        <w:tc>
          <w:tcPr>
            <w:tcW w:w="114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351,560</w:t>
            </w:r>
          </w:p>
        </w:tc>
        <w:tc>
          <w:tcPr>
            <w:tcW w:w="100" w:type="dxa"/>
            <w:vAlign w:val="bottom"/>
            <w:shd w:val="clear" w:color="auto" w:fill="DBDBDB"/>
          </w:tcPr>
          <w:p>
            <w:pPr>
              <w:spacing w:after="0"/>
              <w:rPr>
                <w:sz w:val="19"/>
                <w:szCs w:val="19"/>
                <w:color w:val="auto"/>
              </w:rPr>
            </w:pPr>
          </w:p>
        </w:tc>
        <w:tc>
          <w:tcPr>
            <w:tcW w:w="520" w:type="dxa"/>
            <w:vAlign w:val="bottom"/>
            <w:tcBorders>
              <w:bottom w:val="single" w:sz="8" w:color="auto"/>
            </w:tcBorders>
            <w:shd w:val="clear" w:color="auto" w:fill="DBDBDB"/>
          </w:tcPr>
          <w:p>
            <w:pPr>
              <w:spacing w:after="0"/>
              <w:rPr>
                <w:sz w:val="19"/>
                <w:szCs w:val="19"/>
                <w:color w:val="auto"/>
              </w:rPr>
            </w:pPr>
          </w:p>
        </w:tc>
        <w:tc>
          <w:tcPr>
            <w:tcW w:w="96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179,947</w:t>
            </w:r>
          </w:p>
        </w:tc>
      </w:tr>
      <w:tr>
        <w:trPr>
          <w:trHeight w:val="223"/>
        </w:trPr>
        <w:tc>
          <w:tcPr>
            <w:tcW w:w="8180" w:type="dxa"/>
            <w:vAlign w:val="bottom"/>
            <w:tcBorders>
              <w:bottom w:val="single" w:sz="8" w:color="DBDBDB"/>
            </w:tcBorders>
            <w:gridSpan w:val="3"/>
          </w:tcPr>
          <w:p>
            <w:pPr>
              <w:ind w:left="4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372,468</w:t>
            </w:r>
          </w:p>
        </w:tc>
        <w:tc>
          <w:tcPr>
            <w:tcW w:w="100" w:type="dxa"/>
            <w:vAlign w:val="bottom"/>
            <w:tcBorders>
              <w:bottom w:val="single" w:sz="8" w:color="DBDBDB"/>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200,942</w:t>
            </w:r>
          </w:p>
        </w:tc>
      </w:tr>
      <w:tr>
        <w:trPr>
          <w:trHeight w:val="223"/>
        </w:trPr>
        <w:tc>
          <w:tcPr>
            <w:tcW w:w="8180" w:type="dxa"/>
            <w:vAlign w:val="bottom"/>
            <w:gridSpan w:val="3"/>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Securities available-for-sale, at fair value</w:t>
            </w:r>
          </w:p>
        </w:tc>
        <w:tc>
          <w:tcPr>
            <w:tcW w:w="340" w:type="dxa"/>
            <w:vAlign w:val="bottom"/>
            <w:shd w:val="clear" w:color="auto" w:fill="DBDBDB"/>
          </w:tcPr>
          <w:p>
            <w:pPr>
              <w:spacing w:after="0"/>
              <w:rPr>
                <w:sz w:val="19"/>
                <w:szCs w:val="19"/>
                <w:color w:val="auto"/>
              </w:rPr>
            </w:pPr>
          </w:p>
        </w:tc>
        <w:tc>
          <w:tcPr>
            <w:tcW w:w="11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627,117</w:t>
            </w:r>
          </w:p>
        </w:tc>
        <w:tc>
          <w:tcPr>
            <w:tcW w:w="100" w:type="dxa"/>
            <w:vAlign w:val="bottom"/>
            <w:shd w:val="clear" w:color="auto" w:fill="DBDBDB"/>
          </w:tcPr>
          <w:p>
            <w:pPr>
              <w:spacing w:after="0"/>
              <w:rPr>
                <w:sz w:val="19"/>
                <w:szCs w:val="19"/>
                <w:color w:val="auto"/>
              </w:rPr>
            </w:pPr>
          </w:p>
        </w:tc>
        <w:tc>
          <w:tcPr>
            <w:tcW w:w="520" w:type="dxa"/>
            <w:vAlign w:val="bottom"/>
            <w:shd w:val="clear" w:color="auto" w:fill="DBDBDB"/>
          </w:tcPr>
          <w:p>
            <w:pPr>
              <w:spacing w:after="0"/>
              <w:rPr>
                <w:sz w:val="19"/>
                <w:szCs w:val="19"/>
                <w:color w:val="auto"/>
              </w:rPr>
            </w:pPr>
          </w:p>
        </w:tc>
        <w:tc>
          <w:tcPr>
            <w:tcW w:w="9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754,468</w:t>
            </w:r>
          </w:p>
        </w:tc>
      </w:tr>
      <w:tr>
        <w:trPr>
          <w:trHeight w:val="257"/>
        </w:trPr>
        <w:tc>
          <w:tcPr>
            <w:tcW w:w="8180" w:type="dxa"/>
            <w:vAlign w:val="bottom"/>
            <w:gridSpan w:val="3"/>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30"/>
        </w:trPr>
        <w:tc>
          <w:tcPr>
            <w:tcW w:w="8180" w:type="dxa"/>
            <w:vAlign w:val="bottom"/>
            <w:gridSpan w:val="3"/>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Loans</w:t>
            </w:r>
          </w:p>
        </w:tc>
        <w:tc>
          <w:tcPr>
            <w:tcW w:w="340" w:type="dxa"/>
            <w:vAlign w:val="bottom"/>
            <w:shd w:val="clear" w:color="auto" w:fill="DBDBDB"/>
          </w:tcPr>
          <w:p>
            <w:pPr>
              <w:spacing w:after="0"/>
              <w:rPr>
                <w:sz w:val="19"/>
                <w:szCs w:val="19"/>
                <w:color w:val="auto"/>
              </w:rPr>
            </w:pPr>
          </w:p>
        </w:tc>
        <w:tc>
          <w:tcPr>
            <w:tcW w:w="11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1,014,318</w:t>
            </w:r>
          </w:p>
        </w:tc>
        <w:tc>
          <w:tcPr>
            <w:tcW w:w="100" w:type="dxa"/>
            <w:vAlign w:val="bottom"/>
            <w:shd w:val="clear" w:color="auto" w:fill="DBDBDB"/>
          </w:tcPr>
          <w:p>
            <w:pPr>
              <w:spacing w:after="0"/>
              <w:rPr>
                <w:sz w:val="19"/>
                <w:szCs w:val="19"/>
                <w:color w:val="auto"/>
              </w:rPr>
            </w:pPr>
          </w:p>
        </w:tc>
        <w:tc>
          <w:tcPr>
            <w:tcW w:w="520" w:type="dxa"/>
            <w:vAlign w:val="bottom"/>
            <w:shd w:val="clear" w:color="auto" w:fill="DBDBDB"/>
          </w:tcPr>
          <w:p>
            <w:pPr>
              <w:spacing w:after="0"/>
              <w:rPr>
                <w:sz w:val="19"/>
                <w:szCs w:val="19"/>
                <w:color w:val="auto"/>
              </w:rPr>
            </w:pPr>
          </w:p>
        </w:tc>
        <w:tc>
          <w:tcPr>
            <w:tcW w:w="9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1,082,906</w:t>
            </w:r>
          </w:p>
        </w:tc>
      </w:tr>
      <w:tr>
        <w:trPr>
          <w:trHeight w:val="229"/>
        </w:trPr>
        <w:tc>
          <w:tcPr>
            <w:tcW w:w="8180" w:type="dxa"/>
            <w:vAlign w:val="bottom"/>
            <w:tcBorders>
              <w:bottom w:val="single" w:sz="8" w:color="DBDBDB"/>
            </w:tcBorders>
            <w:gridSpan w:val="3"/>
          </w:tcPr>
          <w:p>
            <w:pPr>
              <w:ind w:left="460"/>
              <w:spacing w:after="0"/>
              <w:rPr>
                <w:sz w:val="20"/>
                <w:szCs w:val="20"/>
                <w:color w:val="auto"/>
              </w:rPr>
            </w:pPr>
            <w:r>
              <w:rPr>
                <w:rFonts w:ascii="Times New Roman" w:cs="Times New Roman" w:eastAsia="Times New Roman" w:hAnsi="Times New Roman"/>
                <w:sz w:val="18"/>
                <w:szCs w:val="18"/>
                <w:color w:val="auto"/>
              </w:rPr>
              <w:t>Less allowance for credit losses</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13,089</w:t>
            </w:r>
          </w:p>
        </w:tc>
        <w:tc>
          <w:tcPr>
            <w:tcW w:w="100" w:type="dxa"/>
            <w:vAlign w:val="bottom"/>
            <w:tcBorders>
              <w:bottom w:val="single" w:sz="8" w:color="DBDBDB"/>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13,539</w:t>
            </w:r>
          </w:p>
        </w:tc>
      </w:tr>
      <w:tr>
        <w:trPr>
          <w:trHeight w:val="223"/>
        </w:trPr>
        <w:tc>
          <w:tcPr>
            <w:tcW w:w="720" w:type="dxa"/>
            <w:vAlign w:val="bottom"/>
            <w:shd w:val="clear" w:color="auto" w:fill="DBDBDB"/>
          </w:tcPr>
          <w:p>
            <w:pPr>
              <w:spacing w:after="0"/>
              <w:rPr>
                <w:sz w:val="19"/>
                <w:szCs w:val="19"/>
                <w:color w:val="auto"/>
              </w:rPr>
            </w:pPr>
          </w:p>
        </w:tc>
        <w:tc>
          <w:tcPr>
            <w:tcW w:w="7460" w:type="dxa"/>
            <w:vAlign w:val="bottom"/>
            <w:gridSpan w:val="2"/>
            <w:shd w:val="clear" w:color="auto" w:fill="DBDBDB"/>
          </w:tcPr>
          <w:p>
            <w:pPr>
              <w:ind w:left="60"/>
              <w:spacing w:after="0"/>
              <w:rPr>
                <w:sz w:val="20"/>
                <w:szCs w:val="20"/>
                <w:color w:val="auto"/>
              </w:rPr>
            </w:pPr>
            <w:r>
              <w:rPr>
                <w:rFonts w:ascii="Times New Roman" w:cs="Times New Roman" w:eastAsia="Times New Roman" w:hAnsi="Times New Roman"/>
                <w:sz w:val="18"/>
                <w:szCs w:val="18"/>
                <w:color w:val="auto"/>
              </w:rPr>
              <w:t>Loans, net</w:t>
            </w:r>
          </w:p>
        </w:tc>
        <w:tc>
          <w:tcPr>
            <w:tcW w:w="340" w:type="dxa"/>
            <w:vAlign w:val="bottom"/>
            <w:tcBorders>
              <w:bottom w:val="single" w:sz="8" w:color="auto"/>
            </w:tcBorders>
            <w:shd w:val="clear" w:color="auto" w:fill="DBDBDB"/>
          </w:tcPr>
          <w:p>
            <w:pPr>
              <w:spacing w:after="0"/>
              <w:rPr>
                <w:sz w:val="19"/>
                <w:szCs w:val="19"/>
                <w:color w:val="auto"/>
              </w:rPr>
            </w:pPr>
          </w:p>
        </w:tc>
        <w:tc>
          <w:tcPr>
            <w:tcW w:w="114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1,001,229</w:t>
            </w:r>
          </w:p>
        </w:tc>
        <w:tc>
          <w:tcPr>
            <w:tcW w:w="100" w:type="dxa"/>
            <w:vAlign w:val="bottom"/>
            <w:shd w:val="clear" w:color="auto" w:fill="DBDBDB"/>
          </w:tcPr>
          <w:p>
            <w:pPr>
              <w:spacing w:after="0"/>
              <w:rPr>
                <w:sz w:val="19"/>
                <w:szCs w:val="19"/>
                <w:color w:val="auto"/>
              </w:rPr>
            </w:pPr>
          </w:p>
        </w:tc>
        <w:tc>
          <w:tcPr>
            <w:tcW w:w="520" w:type="dxa"/>
            <w:vAlign w:val="bottom"/>
            <w:tcBorders>
              <w:bottom w:val="single" w:sz="8" w:color="auto"/>
            </w:tcBorders>
            <w:shd w:val="clear" w:color="auto" w:fill="DBDBDB"/>
          </w:tcPr>
          <w:p>
            <w:pPr>
              <w:spacing w:after="0"/>
              <w:rPr>
                <w:sz w:val="19"/>
                <w:szCs w:val="19"/>
                <w:color w:val="auto"/>
              </w:rPr>
            </w:pPr>
          </w:p>
        </w:tc>
        <w:tc>
          <w:tcPr>
            <w:tcW w:w="96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1,069,367</w:t>
            </w:r>
          </w:p>
        </w:tc>
      </w:tr>
      <w:tr>
        <w:trPr>
          <w:trHeight w:val="223"/>
        </w:trPr>
        <w:tc>
          <w:tcPr>
            <w:tcW w:w="81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Payments in advance of funding</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198,861</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293,775</w:t>
            </w:r>
          </w:p>
        </w:tc>
      </w:tr>
      <w:tr>
        <w:trPr>
          <w:trHeight w:val="230"/>
        </w:trPr>
        <w:tc>
          <w:tcPr>
            <w:tcW w:w="8180" w:type="dxa"/>
            <w:vAlign w:val="bottom"/>
            <w:gridSpan w:val="3"/>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Premises and equipment, net</w:t>
            </w:r>
          </w:p>
        </w:tc>
        <w:tc>
          <w:tcPr>
            <w:tcW w:w="340" w:type="dxa"/>
            <w:vAlign w:val="bottom"/>
            <w:shd w:val="clear" w:color="auto" w:fill="DBDBDB"/>
          </w:tcPr>
          <w:p>
            <w:pPr>
              <w:spacing w:after="0"/>
              <w:rPr>
                <w:sz w:val="19"/>
                <w:szCs w:val="19"/>
                <w:color w:val="auto"/>
              </w:rPr>
            </w:pPr>
          </w:p>
        </w:tc>
        <w:tc>
          <w:tcPr>
            <w:tcW w:w="11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30,093</w:t>
            </w:r>
          </w:p>
        </w:tc>
        <w:tc>
          <w:tcPr>
            <w:tcW w:w="100" w:type="dxa"/>
            <w:vAlign w:val="bottom"/>
            <w:shd w:val="clear" w:color="auto" w:fill="DBDBDB"/>
          </w:tcPr>
          <w:p>
            <w:pPr>
              <w:spacing w:after="0"/>
              <w:rPr>
                <w:sz w:val="19"/>
                <w:szCs w:val="19"/>
                <w:color w:val="auto"/>
              </w:rPr>
            </w:pPr>
          </w:p>
        </w:tc>
        <w:tc>
          <w:tcPr>
            <w:tcW w:w="520" w:type="dxa"/>
            <w:vAlign w:val="bottom"/>
            <w:shd w:val="clear" w:color="auto" w:fill="DBDBDB"/>
          </w:tcPr>
          <w:p>
            <w:pPr>
              <w:spacing w:after="0"/>
              <w:rPr>
                <w:sz w:val="19"/>
                <w:szCs w:val="19"/>
                <w:color w:val="auto"/>
              </w:rPr>
            </w:pPr>
          </w:p>
        </w:tc>
        <w:tc>
          <w:tcPr>
            <w:tcW w:w="9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19,958</w:t>
            </w:r>
          </w:p>
        </w:tc>
      </w:tr>
      <w:tr>
        <w:trPr>
          <w:trHeight w:val="229"/>
        </w:trPr>
        <w:tc>
          <w:tcPr>
            <w:tcW w:w="81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Investments in bank-owned life insurance</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49,159</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47,998</w:t>
            </w:r>
          </w:p>
        </w:tc>
      </w:tr>
      <w:tr>
        <w:trPr>
          <w:trHeight w:val="229"/>
        </w:trPr>
        <w:tc>
          <w:tcPr>
            <w:tcW w:w="8180" w:type="dxa"/>
            <w:vAlign w:val="bottom"/>
            <w:gridSpan w:val="3"/>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340" w:type="dxa"/>
            <w:vAlign w:val="bottom"/>
            <w:shd w:val="clear" w:color="auto" w:fill="DBDBDB"/>
          </w:tcPr>
          <w:p>
            <w:pPr>
              <w:spacing w:after="0"/>
              <w:rPr>
                <w:sz w:val="19"/>
                <w:szCs w:val="19"/>
                <w:color w:val="auto"/>
              </w:rPr>
            </w:pPr>
          </w:p>
        </w:tc>
        <w:tc>
          <w:tcPr>
            <w:tcW w:w="11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17,309</w:t>
            </w:r>
          </w:p>
        </w:tc>
        <w:tc>
          <w:tcPr>
            <w:tcW w:w="100" w:type="dxa"/>
            <w:vAlign w:val="bottom"/>
            <w:shd w:val="clear" w:color="auto" w:fill="DBDBDB"/>
          </w:tcPr>
          <w:p>
            <w:pPr>
              <w:spacing w:after="0"/>
              <w:rPr>
                <w:sz w:val="19"/>
                <w:szCs w:val="19"/>
                <w:color w:val="auto"/>
              </w:rPr>
            </w:pPr>
          </w:p>
        </w:tc>
        <w:tc>
          <w:tcPr>
            <w:tcW w:w="520" w:type="dxa"/>
            <w:vAlign w:val="bottom"/>
            <w:shd w:val="clear" w:color="auto" w:fill="DBDBDB"/>
          </w:tcPr>
          <w:p>
            <w:pPr>
              <w:spacing w:after="0"/>
              <w:rPr>
                <w:sz w:val="19"/>
                <w:szCs w:val="19"/>
                <w:color w:val="auto"/>
              </w:rPr>
            </w:pPr>
          </w:p>
        </w:tc>
        <w:tc>
          <w:tcPr>
            <w:tcW w:w="9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17,309</w:t>
            </w:r>
          </w:p>
        </w:tc>
      </w:tr>
      <w:tr>
        <w:trPr>
          <w:trHeight w:val="230"/>
        </w:trPr>
        <w:tc>
          <w:tcPr>
            <w:tcW w:w="81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3,345</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4,126</w:t>
            </w:r>
          </w:p>
        </w:tc>
      </w:tr>
      <w:tr>
        <w:trPr>
          <w:trHeight w:val="229"/>
        </w:trPr>
        <w:tc>
          <w:tcPr>
            <w:tcW w:w="8180" w:type="dxa"/>
            <w:vAlign w:val="bottom"/>
            <w:gridSpan w:val="3"/>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Accounts and drafts receivable from customers</w:t>
            </w:r>
          </w:p>
        </w:tc>
        <w:tc>
          <w:tcPr>
            <w:tcW w:w="340" w:type="dxa"/>
            <w:vAlign w:val="bottom"/>
            <w:shd w:val="clear" w:color="auto" w:fill="DBDBDB"/>
          </w:tcPr>
          <w:p>
            <w:pPr>
              <w:spacing w:after="0"/>
              <w:rPr>
                <w:sz w:val="19"/>
                <w:szCs w:val="19"/>
                <w:color w:val="auto"/>
              </w:rPr>
            </w:pPr>
          </w:p>
        </w:tc>
        <w:tc>
          <w:tcPr>
            <w:tcW w:w="11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110,651</w:t>
            </w:r>
          </w:p>
        </w:tc>
        <w:tc>
          <w:tcPr>
            <w:tcW w:w="100" w:type="dxa"/>
            <w:vAlign w:val="bottom"/>
            <w:shd w:val="clear" w:color="auto" w:fill="DBDBDB"/>
          </w:tcPr>
          <w:p>
            <w:pPr>
              <w:spacing w:after="0"/>
              <w:rPr>
                <w:sz w:val="19"/>
                <w:szCs w:val="19"/>
                <w:color w:val="auto"/>
              </w:rPr>
            </w:pPr>
          </w:p>
        </w:tc>
        <w:tc>
          <w:tcPr>
            <w:tcW w:w="520" w:type="dxa"/>
            <w:vAlign w:val="bottom"/>
            <w:shd w:val="clear" w:color="auto" w:fill="DBDBDB"/>
          </w:tcPr>
          <w:p>
            <w:pPr>
              <w:spacing w:after="0"/>
              <w:rPr>
                <w:sz w:val="19"/>
                <w:szCs w:val="19"/>
                <w:color w:val="auto"/>
              </w:rPr>
            </w:pPr>
          </w:p>
        </w:tc>
        <w:tc>
          <w:tcPr>
            <w:tcW w:w="9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95,779</w:t>
            </w:r>
          </w:p>
        </w:tc>
      </w:tr>
      <w:tr>
        <w:trPr>
          <w:trHeight w:val="230"/>
        </w:trPr>
        <w:tc>
          <w:tcPr>
            <w:tcW w:w="8180" w:type="dxa"/>
            <w:vAlign w:val="bottom"/>
            <w:tcBorders>
              <w:bottom w:val="single" w:sz="8" w:color="DBDBDB"/>
            </w:tcBorders>
            <w:gridSpan w:val="3"/>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68,390</w:t>
            </w:r>
          </w:p>
        </w:tc>
        <w:tc>
          <w:tcPr>
            <w:tcW w:w="100" w:type="dxa"/>
            <w:vAlign w:val="bottom"/>
            <w:tcBorders>
              <w:bottom w:val="single" w:sz="8" w:color="DBDBDB"/>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69,301</w:t>
            </w:r>
          </w:p>
        </w:tc>
      </w:tr>
      <w:tr>
        <w:trPr>
          <w:trHeight w:val="248"/>
        </w:trPr>
        <w:tc>
          <w:tcPr>
            <w:tcW w:w="720" w:type="dxa"/>
            <w:vAlign w:val="bottom"/>
            <w:tcBorders>
              <w:bottom w:val="single" w:sz="8" w:color="DBDBDB"/>
            </w:tcBorders>
            <w:shd w:val="clear" w:color="auto" w:fill="DBDBDB"/>
          </w:tcPr>
          <w:p>
            <w:pPr>
              <w:spacing w:after="0"/>
              <w:rPr>
                <w:sz w:val="21"/>
                <w:szCs w:val="21"/>
                <w:color w:val="auto"/>
              </w:rPr>
            </w:pPr>
          </w:p>
        </w:tc>
        <w:tc>
          <w:tcPr>
            <w:tcW w:w="7460" w:type="dxa"/>
            <w:vAlign w:val="bottom"/>
            <w:tcBorders>
              <w:bottom w:val="single" w:sz="8" w:color="DBDBDB"/>
            </w:tcBorders>
            <w:gridSpan w:val="2"/>
            <w:shd w:val="clear" w:color="auto" w:fill="DBDBDB"/>
          </w:tcPr>
          <w:p>
            <w:pPr>
              <w:ind w:left="60"/>
              <w:spacing w:after="0"/>
              <w:rPr>
                <w:sz w:val="20"/>
                <w:szCs w:val="20"/>
                <w:color w:val="auto"/>
              </w:rPr>
            </w:pPr>
            <w:r>
              <w:rPr>
                <w:rFonts w:ascii="Times New Roman" w:cs="Times New Roman" w:eastAsia="Times New Roman" w:hAnsi="Times New Roman"/>
                <w:sz w:val="18"/>
                <w:szCs w:val="18"/>
                <w:color w:val="auto"/>
              </w:rPr>
              <w:t>Total assets</w:t>
            </w:r>
          </w:p>
        </w:tc>
        <w:tc>
          <w:tcPr>
            <w:tcW w:w="340" w:type="dxa"/>
            <w:vAlign w:val="bottom"/>
            <w:tcBorders>
              <w:bottom w:val="single" w:sz="8" w:color="auto"/>
            </w:tcBorders>
            <w:shd w:val="clear" w:color="auto" w:fill="DBDBDB"/>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2,478,622</w:t>
            </w:r>
          </w:p>
        </w:tc>
        <w:tc>
          <w:tcPr>
            <w:tcW w:w="100" w:type="dxa"/>
            <w:vAlign w:val="bottom"/>
            <w:tcBorders>
              <w:bottom w:val="single" w:sz="8" w:color="DBDBDB"/>
            </w:tcBorders>
            <w:shd w:val="clear" w:color="auto" w:fill="DBDBDB"/>
          </w:tcPr>
          <w:p>
            <w:pPr>
              <w:spacing w:after="0"/>
              <w:rPr>
                <w:sz w:val="21"/>
                <w:szCs w:val="21"/>
                <w:color w:val="auto"/>
              </w:rPr>
            </w:pPr>
          </w:p>
        </w:tc>
        <w:tc>
          <w:tcPr>
            <w:tcW w:w="520" w:type="dxa"/>
            <w:vAlign w:val="bottom"/>
            <w:tcBorders>
              <w:bottom w:val="single" w:sz="8" w:color="auto"/>
            </w:tcBorders>
            <w:shd w:val="clear" w:color="auto" w:fill="DBDBDB"/>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2,573,023</w:t>
            </w:r>
          </w:p>
        </w:tc>
      </w:tr>
      <w:tr>
        <w:trPr>
          <w:trHeight w:val="20"/>
        </w:trPr>
        <w:tc>
          <w:tcPr>
            <w:tcW w:w="8180" w:type="dxa"/>
            <w:vAlign w:val="bottom"/>
            <w:tcBorders>
              <w:top w:val="single" w:sz="8" w:color="DBDBDB"/>
            </w:tcBorders>
            <w:gridSpan w:val="3"/>
          </w:tcPr>
          <w:p>
            <w:pPr>
              <w:spacing w:after="0" w:line="20" w:lineRule="exact"/>
              <w:rPr>
                <w:sz w:val="1"/>
                <w:szCs w:val="1"/>
                <w:color w:val="auto"/>
              </w:rPr>
            </w:pPr>
          </w:p>
        </w:tc>
        <w:tc>
          <w:tcPr>
            <w:tcW w:w="340" w:type="dxa"/>
            <w:vAlign w:val="bottom"/>
            <w:tcBorders>
              <w:top w:val="single" w:sz="8" w:color="DBDBDB"/>
              <w:bottom w:val="single" w:sz="8" w:color="auto"/>
            </w:tcBorders>
          </w:tcPr>
          <w:p>
            <w:pPr>
              <w:spacing w:after="0" w:line="20" w:lineRule="exact"/>
              <w:rPr>
                <w:sz w:val="1"/>
                <w:szCs w:val="1"/>
                <w:color w:val="auto"/>
              </w:rPr>
            </w:pPr>
          </w:p>
        </w:tc>
        <w:tc>
          <w:tcPr>
            <w:tcW w:w="114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520" w:type="dxa"/>
            <w:vAlign w:val="bottom"/>
            <w:tcBorders>
              <w:top w:val="single" w:sz="8" w:color="DBDBDB"/>
              <w:bottom w:val="single" w:sz="8" w:color="auto"/>
            </w:tcBorders>
          </w:tcPr>
          <w:p>
            <w:pPr>
              <w:spacing w:after="0" w:line="20" w:lineRule="exact"/>
              <w:rPr>
                <w:sz w:val="1"/>
                <w:szCs w:val="1"/>
                <w:color w:val="auto"/>
              </w:rPr>
            </w:pPr>
          </w:p>
        </w:tc>
        <w:tc>
          <w:tcPr>
            <w:tcW w:w="960" w:type="dxa"/>
            <w:vAlign w:val="bottom"/>
            <w:tcBorders>
              <w:top w:val="single" w:sz="8" w:color="DBDBDB"/>
              <w:bottom w:val="single" w:sz="8" w:color="auto"/>
            </w:tcBorders>
          </w:tcPr>
          <w:p>
            <w:pPr>
              <w:spacing w:after="0" w:line="20" w:lineRule="exact"/>
              <w:rPr>
                <w:sz w:val="1"/>
                <w:szCs w:val="1"/>
                <w:color w:val="auto"/>
              </w:rPr>
            </w:pPr>
          </w:p>
        </w:tc>
      </w:tr>
      <w:tr>
        <w:trPr>
          <w:trHeight w:val="203"/>
        </w:trPr>
        <w:tc>
          <w:tcPr>
            <w:tcW w:w="720" w:type="dxa"/>
            <w:vAlign w:val="bottom"/>
          </w:tcPr>
          <w:p>
            <w:pPr>
              <w:spacing w:after="0"/>
              <w:rPr>
                <w:sz w:val="17"/>
                <w:szCs w:val="17"/>
                <w:color w:val="auto"/>
              </w:rPr>
            </w:pPr>
          </w:p>
        </w:tc>
        <w:tc>
          <w:tcPr>
            <w:tcW w:w="486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30"/>
        </w:trPr>
        <w:tc>
          <w:tcPr>
            <w:tcW w:w="8180" w:type="dxa"/>
            <w:vAlign w:val="bottom"/>
            <w:gridSpan w:val="3"/>
            <w:shd w:val="clear" w:color="auto" w:fill="DBDBDB"/>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340" w:type="dxa"/>
            <w:vAlign w:val="bottom"/>
            <w:shd w:val="clear" w:color="auto" w:fill="DBDBDB"/>
          </w:tcPr>
          <w:p>
            <w:pPr>
              <w:spacing w:after="0"/>
              <w:rPr>
                <w:sz w:val="19"/>
                <w:szCs w:val="19"/>
                <w:color w:val="auto"/>
              </w:rPr>
            </w:pPr>
          </w:p>
        </w:tc>
        <w:tc>
          <w:tcPr>
            <w:tcW w:w="11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520" w:type="dxa"/>
            <w:vAlign w:val="bottom"/>
            <w:shd w:val="clear" w:color="auto" w:fill="DBDBDB"/>
          </w:tcPr>
          <w:p>
            <w:pPr>
              <w:spacing w:after="0"/>
              <w:rPr>
                <w:sz w:val="19"/>
                <w:szCs w:val="19"/>
                <w:color w:val="auto"/>
              </w:rPr>
            </w:pPr>
          </w:p>
        </w:tc>
        <w:tc>
          <w:tcPr>
            <w:tcW w:w="960" w:type="dxa"/>
            <w:vAlign w:val="bottom"/>
            <w:shd w:val="clear" w:color="auto" w:fill="DBDBDB"/>
          </w:tcPr>
          <w:p>
            <w:pPr>
              <w:spacing w:after="0"/>
              <w:rPr>
                <w:sz w:val="19"/>
                <w:szCs w:val="19"/>
                <w:color w:val="auto"/>
              </w:rPr>
            </w:pPr>
          </w:p>
        </w:tc>
      </w:tr>
      <w:tr>
        <w:trPr>
          <w:trHeight w:val="230"/>
        </w:trPr>
        <w:tc>
          <w:tcPr>
            <w:tcW w:w="81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8180" w:type="dxa"/>
            <w:vAlign w:val="bottom"/>
            <w:gridSpan w:val="3"/>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Deposits</w:t>
            </w:r>
          </w:p>
        </w:tc>
        <w:tc>
          <w:tcPr>
            <w:tcW w:w="340" w:type="dxa"/>
            <w:vAlign w:val="bottom"/>
            <w:shd w:val="clear" w:color="auto" w:fill="DBDBDB"/>
          </w:tcPr>
          <w:p>
            <w:pPr>
              <w:spacing w:after="0"/>
              <w:rPr>
                <w:sz w:val="19"/>
                <w:szCs w:val="19"/>
                <w:color w:val="auto"/>
              </w:rPr>
            </w:pPr>
          </w:p>
        </w:tc>
        <w:tc>
          <w:tcPr>
            <w:tcW w:w="11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520" w:type="dxa"/>
            <w:vAlign w:val="bottom"/>
            <w:shd w:val="clear" w:color="auto" w:fill="DBDBDB"/>
          </w:tcPr>
          <w:p>
            <w:pPr>
              <w:spacing w:after="0"/>
              <w:rPr>
                <w:sz w:val="19"/>
                <w:szCs w:val="19"/>
                <w:color w:val="auto"/>
              </w:rPr>
            </w:pPr>
          </w:p>
        </w:tc>
        <w:tc>
          <w:tcPr>
            <w:tcW w:w="960" w:type="dxa"/>
            <w:vAlign w:val="bottom"/>
            <w:shd w:val="clear" w:color="auto" w:fill="DBDBDB"/>
          </w:tcPr>
          <w:p>
            <w:pPr>
              <w:spacing w:after="0"/>
              <w:rPr>
                <w:sz w:val="19"/>
                <w:szCs w:val="19"/>
                <w:color w:val="auto"/>
              </w:rPr>
            </w:pPr>
          </w:p>
        </w:tc>
      </w:tr>
      <w:tr>
        <w:trPr>
          <w:trHeight w:val="229"/>
        </w:trPr>
        <w:tc>
          <w:tcPr>
            <w:tcW w:w="818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Noninterest-bearing</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524,359</w:t>
            </w:r>
          </w:p>
        </w:tc>
        <w:tc>
          <w:tcPr>
            <w:tcW w:w="100" w:type="dxa"/>
            <w:vAlign w:val="bottom"/>
          </w:tcPr>
          <w:p>
            <w:pPr>
              <w:spacing w:after="0"/>
              <w:rPr>
                <w:sz w:val="19"/>
                <w:szCs w:val="19"/>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642,757</w:t>
            </w:r>
          </w:p>
        </w:tc>
      </w:tr>
      <w:tr>
        <w:trPr>
          <w:trHeight w:val="230"/>
        </w:trPr>
        <w:tc>
          <w:tcPr>
            <w:tcW w:w="8180" w:type="dxa"/>
            <w:vAlign w:val="bottom"/>
            <w:gridSpan w:val="3"/>
            <w:shd w:val="clear" w:color="auto" w:fill="DBDBDB"/>
          </w:tcPr>
          <w:p>
            <w:pPr>
              <w:ind w:left="460"/>
              <w:spacing w:after="0"/>
              <w:rPr>
                <w:sz w:val="20"/>
                <w:szCs w:val="20"/>
                <w:color w:val="auto"/>
              </w:rPr>
            </w:pPr>
            <w:r>
              <w:rPr>
                <w:rFonts w:ascii="Times New Roman" w:cs="Times New Roman" w:eastAsia="Times New Roman" w:hAnsi="Times New Roman"/>
                <w:sz w:val="18"/>
                <w:szCs w:val="18"/>
                <w:color w:val="auto"/>
              </w:rPr>
              <w:t>Interest-bearing</w:t>
            </w:r>
          </w:p>
        </w:tc>
        <w:tc>
          <w:tcPr>
            <w:tcW w:w="340" w:type="dxa"/>
            <w:vAlign w:val="bottom"/>
            <w:tcBorders>
              <w:bottom w:val="single" w:sz="8" w:color="auto"/>
            </w:tcBorders>
            <w:shd w:val="clear" w:color="auto" w:fill="DBDBDB"/>
          </w:tcPr>
          <w:p>
            <w:pPr>
              <w:spacing w:after="0"/>
              <w:rPr>
                <w:sz w:val="19"/>
                <w:szCs w:val="19"/>
                <w:color w:val="auto"/>
              </w:rPr>
            </w:pPr>
          </w:p>
        </w:tc>
        <w:tc>
          <w:tcPr>
            <w:tcW w:w="114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616,455</w:t>
            </w:r>
          </w:p>
        </w:tc>
        <w:tc>
          <w:tcPr>
            <w:tcW w:w="100" w:type="dxa"/>
            <w:vAlign w:val="bottom"/>
            <w:shd w:val="clear" w:color="auto" w:fill="DBDBDB"/>
          </w:tcPr>
          <w:p>
            <w:pPr>
              <w:spacing w:after="0"/>
              <w:rPr>
                <w:sz w:val="19"/>
                <w:szCs w:val="19"/>
                <w:color w:val="auto"/>
              </w:rPr>
            </w:pPr>
          </w:p>
        </w:tc>
        <w:tc>
          <w:tcPr>
            <w:tcW w:w="520" w:type="dxa"/>
            <w:vAlign w:val="bottom"/>
            <w:tcBorders>
              <w:bottom w:val="single" w:sz="8" w:color="auto"/>
            </w:tcBorders>
            <w:shd w:val="clear" w:color="auto" w:fill="DBDBDB"/>
          </w:tcPr>
          <w:p>
            <w:pPr>
              <w:spacing w:after="0"/>
              <w:rPr>
                <w:sz w:val="19"/>
                <w:szCs w:val="19"/>
                <w:color w:val="auto"/>
              </w:rPr>
            </w:pPr>
          </w:p>
        </w:tc>
        <w:tc>
          <w:tcPr>
            <w:tcW w:w="96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614,460</w:t>
            </w:r>
          </w:p>
        </w:tc>
      </w:tr>
      <w:tr>
        <w:trPr>
          <w:trHeight w:val="223"/>
        </w:trPr>
        <w:tc>
          <w:tcPr>
            <w:tcW w:w="720" w:type="dxa"/>
            <w:vAlign w:val="bottom"/>
            <w:tcBorders>
              <w:bottom w:val="single" w:sz="8" w:color="DBDBDB"/>
            </w:tcBorders>
          </w:tcPr>
          <w:p>
            <w:pPr>
              <w:spacing w:after="0"/>
              <w:rPr>
                <w:sz w:val="19"/>
                <w:szCs w:val="19"/>
                <w:color w:val="auto"/>
              </w:rPr>
            </w:pPr>
          </w:p>
        </w:tc>
        <w:tc>
          <w:tcPr>
            <w:tcW w:w="7460" w:type="dxa"/>
            <w:vAlign w:val="bottom"/>
            <w:tcBorders>
              <w:bottom w:val="single" w:sz="8" w:color="DBDBDB"/>
            </w:tcBorders>
            <w:gridSpan w:val="2"/>
          </w:tcPr>
          <w:p>
            <w:pPr>
              <w:ind w:left="60"/>
              <w:spacing w:after="0"/>
              <w:rPr>
                <w:sz w:val="20"/>
                <w:szCs w:val="20"/>
                <w:color w:val="auto"/>
              </w:rPr>
            </w:pPr>
            <w:r>
              <w:rPr>
                <w:rFonts w:ascii="Times New Roman" w:cs="Times New Roman" w:eastAsia="Times New Roman" w:hAnsi="Times New Roman"/>
                <w:sz w:val="18"/>
                <w:szCs w:val="18"/>
                <w:color w:val="auto"/>
              </w:rPr>
              <w:t>Total deposits</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1,140,814</w:t>
            </w:r>
          </w:p>
        </w:tc>
        <w:tc>
          <w:tcPr>
            <w:tcW w:w="100" w:type="dxa"/>
            <w:vAlign w:val="bottom"/>
            <w:tcBorders>
              <w:bottom w:val="single" w:sz="8" w:color="DBDBDB"/>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1,257,217</w:t>
            </w:r>
          </w:p>
        </w:tc>
      </w:tr>
      <w:tr>
        <w:trPr>
          <w:trHeight w:val="223"/>
        </w:trPr>
        <w:tc>
          <w:tcPr>
            <w:tcW w:w="8180" w:type="dxa"/>
            <w:vAlign w:val="bottom"/>
            <w:gridSpan w:val="3"/>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Accounts and drafts payable</w:t>
            </w:r>
          </w:p>
        </w:tc>
        <w:tc>
          <w:tcPr>
            <w:tcW w:w="340" w:type="dxa"/>
            <w:vAlign w:val="bottom"/>
            <w:shd w:val="clear" w:color="auto" w:fill="DBDBDB"/>
          </w:tcPr>
          <w:p>
            <w:pPr>
              <w:spacing w:after="0"/>
              <w:rPr>
                <w:sz w:val="19"/>
                <w:szCs w:val="19"/>
                <w:color w:val="auto"/>
              </w:rPr>
            </w:pPr>
          </w:p>
        </w:tc>
        <w:tc>
          <w:tcPr>
            <w:tcW w:w="11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1,071,369</w:t>
            </w:r>
          </w:p>
        </w:tc>
        <w:tc>
          <w:tcPr>
            <w:tcW w:w="100" w:type="dxa"/>
            <w:vAlign w:val="bottom"/>
            <w:shd w:val="clear" w:color="auto" w:fill="DBDBDB"/>
          </w:tcPr>
          <w:p>
            <w:pPr>
              <w:spacing w:after="0"/>
              <w:rPr>
                <w:sz w:val="19"/>
                <w:szCs w:val="19"/>
                <w:color w:val="auto"/>
              </w:rPr>
            </w:pPr>
          </w:p>
        </w:tc>
        <w:tc>
          <w:tcPr>
            <w:tcW w:w="520" w:type="dxa"/>
            <w:vAlign w:val="bottom"/>
            <w:shd w:val="clear" w:color="auto" w:fill="DBDBDB"/>
          </w:tcPr>
          <w:p>
            <w:pPr>
              <w:spacing w:after="0"/>
              <w:rPr>
                <w:sz w:val="19"/>
                <w:szCs w:val="19"/>
                <w:color w:val="auto"/>
              </w:rPr>
            </w:pPr>
          </w:p>
        </w:tc>
        <w:tc>
          <w:tcPr>
            <w:tcW w:w="9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1,067,600</w:t>
            </w:r>
          </w:p>
        </w:tc>
      </w:tr>
      <w:tr>
        <w:trPr>
          <w:trHeight w:val="229"/>
        </w:trPr>
        <w:tc>
          <w:tcPr>
            <w:tcW w:w="8180" w:type="dxa"/>
            <w:vAlign w:val="bottom"/>
            <w:tcBorders>
              <w:bottom w:val="single" w:sz="8" w:color="DBDBDB"/>
            </w:tcBorders>
            <w:gridSpan w:val="3"/>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36,630</w:t>
            </w:r>
          </w:p>
        </w:tc>
        <w:tc>
          <w:tcPr>
            <w:tcW w:w="100" w:type="dxa"/>
            <w:vAlign w:val="bottom"/>
            <w:tcBorders>
              <w:bottom w:val="single" w:sz="8" w:color="DBDBDB"/>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41,881</w:t>
            </w:r>
          </w:p>
        </w:tc>
      </w:tr>
      <w:tr>
        <w:trPr>
          <w:trHeight w:val="223"/>
        </w:trPr>
        <w:tc>
          <w:tcPr>
            <w:tcW w:w="720" w:type="dxa"/>
            <w:vAlign w:val="bottom"/>
            <w:shd w:val="clear" w:color="auto" w:fill="DBDBDB"/>
          </w:tcPr>
          <w:p>
            <w:pPr>
              <w:spacing w:after="0"/>
              <w:rPr>
                <w:sz w:val="19"/>
                <w:szCs w:val="19"/>
                <w:color w:val="auto"/>
              </w:rPr>
            </w:pPr>
          </w:p>
        </w:tc>
        <w:tc>
          <w:tcPr>
            <w:tcW w:w="7460" w:type="dxa"/>
            <w:vAlign w:val="bottom"/>
            <w:gridSpan w:val="2"/>
            <w:shd w:val="clear" w:color="auto" w:fill="DBDBDB"/>
          </w:tcPr>
          <w:p>
            <w:pPr>
              <w:ind w:left="60"/>
              <w:spacing w:after="0"/>
              <w:rPr>
                <w:sz w:val="20"/>
                <w:szCs w:val="20"/>
                <w:color w:val="auto"/>
              </w:rPr>
            </w:pPr>
            <w:r>
              <w:rPr>
                <w:rFonts w:ascii="Times New Roman" w:cs="Times New Roman" w:eastAsia="Times New Roman" w:hAnsi="Times New Roman"/>
                <w:sz w:val="18"/>
                <w:szCs w:val="18"/>
                <w:color w:val="auto"/>
              </w:rPr>
              <w:t>Total liabilities</w:t>
            </w:r>
          </w:p>
        </w:tc>
        <w:tc>
          <w:tcPr>
            <w:tcW w:w="340" w:type="dxa"/>
            <w:vAlign w:val="bottom"/>
            <w:tcBorders>
              <w:bottom w:val="single" w:sz="8" w:color="auto"/>
            </w:tcBorders>
            <w:shd w:val="clear" w:color="auto" w:fill="DBDBDB"/>
          </w:tcPr>
          <w:p>
            <w:pPr>
              <w:spacing w:after="0"/>
              <w:rPr>
                <w:sz w:val="19"/>
                <w:szCs w:val="19"/>
                <w:color w:val="auto"/>
              </w:rPr>
            </w:pPr>
          </w:p>
        </w:tc>
        <w:tc>
          <w:tcPr>
            <w:tcW w:w="114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2,248,813</w:t>
            </w:r>
          </w:p>
        </w:tc>
        <w:tc>
          <w:tcPr>
            <w:tcW w:w="100" w:type="dxa"/>
            <w:vAlign w:val="bottom"/>
            <w:shd w:val="clear" w:color="auto" w:fill="DBDBDB"/>
          </w:tcPr>
          <w:p>
            <w:pPr>
              <w:spacing w:after="0"/>
              <w:rPr>
                <w:sz w:val="19"/>
                <w:szCs w:val="19"/>
                <w:color w:val="auto"/>
              </w:rPr>
            </w:pPr>
          </w:p>
        </w:tc>
        <w:tc>
          <w:tcPr>
            <w:tcW w:w="520" w:type="dxa"/>
            <w:vAlign w:val="bottom"/>
            <w:tcBorders>
              <w:bottom w:val="single" w:sz="8" w:color="auto"/>
            </w:tcBorders>
            <w:shd w:val="clear" w:color="auto" w:fill="DBDBDB"/>
          </w:tcPr>
          <w:p>
            <w:pPr>
              <w:spacing w:after="0"/>
              <w:rPr>
                <w:sz w:val="19"/>
                <w:szCs w:val="19"/>
                <w:color w:val="auto"/>
              </w:rPr>
            </w:pPr>
          </w:p>
        </w:tc>
        <w:tc>
          <w:tcPr>
            <w:tcW w:w="96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2,366,698</w:t>
            </w:r>
          </w:p>
        </w:tc>
      </w:tr>
      <w:tr>
        <w:trPr>
          <w:trHeight w:val="237"/>
        </w:trPr>
        <w:tc>
          <w:tcPr>
            <w:tcW w:w="720" w:type="dxa"/>
            <w:vAlign w:val="bottom"/>
          </w:tcPr>
          <w:p>
            <w:pPr>
              <w:spacing w:after="0"/>
              <w:rPr>
                <w:sz w:val="20"/>
                <w:szCs w:val="20"/>
                <w:color w:val="auto"/>
              </w:rPr>
            </w:pPr>
          </w:p>
        </w:tc>
        <w:tc>
          <w:tcPr>
            <w:tcW w:w="486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30"/>
        </w:trPr>
        <w:tc>
          <w:tcPr>
            <w:tcW w:w="8180" w:type="dxa"/>
            <w:vAlign w:val="bottom"/>
            <w:gridSpan w:val="3"/>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Shareholders’ Equity:</w:t>
            </w:r>
          </w:p>
        </w:tc>
        <w:tc>
          <w:tcPr>
            <w:tcW w:w="340" w:type="dxa"/>
            <w:vAlign w:val="bottom"/>
            <w:shd w:val="clear" w:color="auto" w:fill="DBDBDB"/>
          </w:tcPr>
          <w:p>
            <w:pPr>
              <w:spacing w:after="0"/>
              <w:rPr>
                <w:sz w:val="19"/>
                <w:szCs w:val="19"/>
                <w:color w:val="auto"/>
              </w:rPr>
            </w:pPr>
          </w:p>
        </w:tc>
        <w:tc>
          <w:tcPr>
            <w:tcW w:w="11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520" w:type="dxa"/>
            <w:vAlign w:val="bottom"/>
            <w:shd w:val="clear" w:color="auto" w:fill="DBDBDB"/>
          </w:tcPr>
          <w:p>
            <w:pPr>
              <w:spacing w:after="0"/>
              <w:rPr>
                <w:sz w:val="19"/>
                <w:szCs w:val="19"/>
                <w:color w:val="auto"/>
              </w:rPr>
            </w:pPr>
          </w:p>
        </w:tc>
        <w:tc>
          <w:tcPr>
            <w:tcW w:w="960" w:type="dxa"/>
            <w:vAlign w:val="bottom"/>
            <w:shd w:val="clear" w:color="auto" w:fill="DBDBDB"/>
          </w:tcPr>
          <w:p>
            <w:pPr>
              <w:spacing w:after="0"/>
              <w:rPr>
                <w:sz w:val="19"/>
                <w:szCs w:val="19"/>
                <w:color w:val="auto"/>
              </w:rPr>
            </w:pPr>
          </w:p>
        </w:tc>
      </w:tr>
      <w:tr>
        <w:trPr>
          <w:trHeight w:val="230"/>
        </w:trPr>
        <w:tc>
          <w:tcPr>
            <w:tcW w:w="81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Preferred stock, par value $0.50 per share; 2,000,000 shares authorized and no shares issued</w:t>
            </w:r>
          </w:p>
        </w:tc>
        <w:tc>
          <w:tcPr>
            <w:tcW w:w="3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5"/>
        </w:trPr>
        <w:tc>
          <w:tcPr>
            <w:tcW w:w="8180" w:type="dxa"/>
            <w:vAlign w:val="bottom"/>
            <w:gridSpan w:val="3"/>
            <w:shd w:val="clear" w:color="auto" w:fill="DBDBDB"/>
          </w:tcPr>
          <w:p>
            <w:pPr>
              <w:ind w:left="20"/>
              <w:spacing w:after="0" w:line="176" w:lineRule="exact"/>
              <w:rPr>
                <w:sz w:val="20"/>
                <w:szCs w:val="20"/>
                <w:color w:val="auto"/>
              </w:rPr>
            </w:pPr>
            <w:r>
              <w:rPr>
                <w:rFonts w:ascii="Times New Roman" w:cs="Times New Roman" w:eastAsia="Times New Roman" w:hAnsi="Times New Roman"/>
                <w:sz w:val="18"/>
                <w:szCs w:val="18"/>
                <w:color w:val="auto"/>
              </w:rPr>
              <w:t>Common stock, par value $0.50 per share; 40,000,000 shares authorized; 15,505,772 shares issued at</w:t>
            </w:r>
          </w:p>
        </w:tc>
        <w:tc>
          <w:tcPr>
            <w:tcW w:w="340" w:type="dxa"/>
            <w:vAlign w:val="bottom"/>
            <w:shd w:val="clear" w:color="auto" w:fill="DBDBDB"/>
          </w:tcPr>
          <w:p>
            <w:pPr>
              <w:spacing w:after="0"/>
              <w:rPr>
                <w:sz w:val="15"/>
                <w:szCs w:val="15"/>
                <w:color w:val="auto"/>
              </w:rPr>
            </w:pPr>
          </w:p>
        </w:tc>
        <w:tc>
          <w:tcPr>
            <w:tcW w:w="114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520" w:type="dxa"/>
            <w:vAlign w:val="bottom"/>
            <w:shd w:val="clear" w:color="auto" w:fill="DBDBDB"/>
          </w:tcPr>
          <w:p>
            <w:pPr>
              <w:spacing w:after="0"/>
              <w:rPr>
                <w:sz w:val="15"/>
                <w:szCs w:val="15"/>
                <w:color w:val="auto"/>
              </w:rPr>
            </w:pPr>
          </w:p>
        </w:tc>
        <w:tc>
          <w:tcPr>
            <w:tcW w:w="960" w:type="dxa"/>
            <w:vAlign w:val="bottom"/>
            <w:shd w:val="clear" w:color="auto" w:fill="DBDBDB"/>
          </w:tcPr>
          <w:p>
            <w:pPr>
              <w:spacing w:after="0"/>
              <w:rPr>
                <w:sz w:val="15"/>
                <w:szCs w:val="15"/>
                <w:color w:val="auto"/>
              </w:rPr>
            </w:pPr>
          </w:p>
        </w:tc>
      </w:tr>
      <w:tr>
        <w:trPr>
          <w:trHeight w:val="184"/>
        </w:trPr>
        <w:tc>
          <w:tcPr>
            <w:tcW w:w="8180" w:type="dxa"/>
            <w:vAlign w:val="bottom"/>
            <w:gridSpan w:val="3"/>
            <w:shd w:val="clear" w:color="auto" w:fill="DBDBDB"/>
          </w:tcPr>
          <w:p>
            <w:pPr>
              <w:ind w:left="180"/>
              <w:spacing w:after="0" w:line="184" w:lineRule="exact"/>
              <w:rPr>
                <w:sz w:val="20"/>
                <w:szCs w:val="20"/>
                <w:color w:val="auto"/>
              </w:rPr>
            </w:pPr>
            <w:r>
              <w:rPr>
                <w:rFonts w:ascii="Times New Roman" w:cs="Times New Roman" w:eastAsia="Times New Roman" w:hAnsi="Times New Roman"/>
                <w:sz w:val="18"/>
                <w:szCs w:val="18"/>
                <w:color w:val="auto"/>
              </w:rPr>
              <w:t>December 31, 2023 and 2022; 13,582,375 and 13,669,656 shares outstanding at December 31, 2023 and 2022,</w:t>
            </w:r>
          </w:p>
        </w:tc>
        <w:tc>
          <w:tcPr>
            <w:tcW w:w="340" w:type="dxa"/>
            <w:vAlign w:val="bottom"/>
            <w:shd w:val="clear" w:color="auto" w:fill="DBDBDB"/>
          </w:tcPr>
          <w:p>
            <w:pPr>
              <w:spacing w:after="0"/>
              <w:rPr>
                <w:sz w:val="16"/>
                <w:szCs w:val="16"/>
                <w:color w:val="auto"/>
              </w:rPr>
            </w:pPr>
          </w:p>
        </w:tc>
        <w:tc>
          <w:tcPr>
            <w:tcW w:w="114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520" w:type="dxa"/>
            <w:vAlign w:val="bottom"/>
            <w:shd w:val="clear" w:color="auto" w:fill="DBDBDB"/>
          </w:tcPr>
          <w:p>
            <w:pPr>
              <w:spacing w:after="0"/>
              <w:rPr>
                <w:sz w:val="16"/>
                <w:szCs w:val="16"/>
                <w:color w:val="auto"/>
              </w:rPr>
            </w:pPr>
          </w:p>
        </w:tc>
        <w:tc>
          <w:tcPr>
            <w:tcW w:w="960" w:type="dxa"/>
            <w:vAlign w:val="bottom"/>
            <w:shd w:val="clear" w:color="auto" w:fill="DBDBDB"/>
          </w:tcPr>
          <w:p>
            <w:pPr>
              <w:spacing w:after="0"/>
              <w:rPr>
                <w:sz w:val="16"/>
                <w:szCs w:val="16"/>
                <w:color w:val="auto"/>
              </w:rPr>
            </w:pPr>
          </w:p>
        </w:tc>
      </w:tr>
      <w:tr>
        <w:trPr>
          <w:trHeight w:val="234"/>
        </w:trPr>
        <w:tc>
          <w:tcPr>
            <w:tcW w:w="8180" w:type="dxa"/>
            <w:vAlign w:val="bottom"/>
            <w:gridSpan w:val="3"/>
            <w:shd w:val="clear" w:color="auto" w:fill="DBDBDB"/>
          </w:tcPr>
          <w:p>
            <w:pPr>
              <w:ind w:left="180"/>
              <w:spacing w:after="0"/>
              <w:rPr>
                <w:sz w:val="20"/>
                <w:szCs w:val="20"/>
                <w:color w:val="auto"/>
              </w:rPr>
            </w:pPr>
            <w:r>
              <w:rPr>
                <w:rFonts w:ascii="Times New Roman" w:cs="Times New Roman" w:eastAsia="Times New Roman" w:hAnsi="Times New Roman"/>
                <w:sz w:val="18"/>
                <w:szCs w:val="18"/>
                <w:color w:val="auto"/>
              </w:rPr>
              <w:t>respectively.</w:t>
            </w:r>
          </w:p>
        </w:tc>
        <w:tc>
          <w:tcPr>
            <w:tcW w:w="340" w:type="dxa"/>
            <w:vAlign w:val="bottom"/>
            <w:shd w:val="clear" w:color="auto" w:fill="DBDBDB"/>
          </w:tcPr>
          <w:p>
            <w:pPr>
              <w:spacing w:after="0"/>
              <w:rPr>
                <w:sz w:val="20"/>
                <w:szCs w:val="20"/>
                <w:color w:val="auto"/>
              </w:rPr>
            </w:pPr>
          </w:p>
        </w:tc>
        <w:tc>
          <w:tcPr>
            <w:tcW w:w="11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7,753</w:t>
            </w:r>
          </w:p>
        </w:tc>
        <w:tc>
          <w:tcPr>
            <w:tcW w:w="100" w:type="dxa"/>
            <w:vAlign w:val="bottom"/>
            <w:shd w:val="clear" w:color="auto" w:fill="DBDBDB"/>
          </w:tcPr>
          <w:p>
            <w:pPr>
              <w:spacing w:after="0"/>
              <w:rPr>
                <w:sz w:val="20"/>
                <w:szCs w:val="20"/>
                <w:color w:val="auto"/>
              </w:rPr>
            </w:pPr>
          </w:p>
        </w:tc>
        <w:tc>
          <w:tcPr>
            <w:tcW w:w="520" w:type="dxa"/>
            <w:vAlign w:val="bottom"/>
            <w:shd w:val="clear" w:color="auto" w:fill="DBDBDB"/>
          </w:tcPr>
          <w:p>
            <w:pPr>
              <w:spacing w:after="0"/>
              <w:rPr>
                <w:sz w:val="20"/>
                <w:szCs w:val="20"/>
                <w:color w:val="auto"/>
              </w:rPr>
            </w:pPr>
          </w:p>
        </w:tc>
        <w:tc>
          <w:tcPr>
            <w:tcW w:w="9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7,753</w:t>
            </w:r>
          </w:p>
        </w:tc>
      </w:tr>
      <w:tr>
        <w:trPr>
          <w:trHeight w:val="230"/>
        </w:trPr>
        <w:tc>
          <w:tcPr>
            <w:tcW w:w="81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208,007</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207,422</w:t>
            </w:r>
          </w:p>
        </w:tc>
      </w:tr>
      <w:tr>
        <w:trPr>
          <w:trHeight w:val="230"/>
        </w:trPr>
        <w:tc>
          <w:tcPr>
            <w:tcW w:w="8180" w:type="dxa"/>
            <w:vAlign w:val="bottom"/>
            <w:gridSpan w:val="3"/>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Retained earnings</w:t>
            </w:r>
          </w:p>
        </w:tc>
        <w:tc>
          <w:tcPr>
            <w:tcW w:w="340" w:type="dxa"/>
            <w:vAlign w:val="bottom"/>
            <w:shd w:val="clear" w:color="auto" w:fill="DBDBDB"/>
          </w:tcPr>
          <w:p>
            <w:pPr>
              <w:spacing w:after="0"/>
              <w:rPr>
                <w:sz w:val="19"/>
                <w:szCs w:val="19"/>
                <w:color w:val="auto"/>
              </w:rPr>
            </w:pPr>
          </w:p>
        </w:tc>
        <w:tc>
          <w:tcPr>
            <w:tcW w:w="11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145,782</w:t>
            </w:r>
          </w:p>
        </w:tc>
        <w:tc>
          <w:tcPr>
            <w:tcW w:w="100" w:type="dxa"/>
            <w:vAlign w:val="bottom"/>
            <w:shd w:val="clear" w:color="auto" w:fill="DBDBDB"/>
          </w:tcPr>
          <w:p>
            <w:pPr>
              <w:spacing w:after="0"/>
              <w:rPr>
                <w:sz w:val="19"/>
                <w:szCs w:val="19"/>
                <w:color w:val="auto"/>
              </w:rPr>
            </w:pPr>
          </w:p>
        </w:tc>
        <w:tc>
          <w:tcPr>
            <w:tcW w:w="520" w:type="dxa"/>
            <w:vAlign w:val="bottom"/>
            <w:shd w:val="clear" w:color="auto" w:fill="DBDBDB"/>
          </w:tcPr>
          <w:p>
            <w:pPr>
              <w:spacing w:after="0"/>
              <w:rPr>
                <w:sz w:val="19"/>
                <w:szCs w:val="19"/>
                <w:color w:val="auto"/>
              </w:rPr>
            </w:pPr>
          </w:p>
        </w:tc>
        <w:tc>
          <w:tcPr>
            <w:tcW w:w="9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131,682</w:t>
            </w:r>
          </w:p>
        </w:tc>
      </w:tr>
      <w:tr>
        <w:trPr>
          <w:trHeight w:val="175"/>
        </w:trPr>
        <w:tc>
          <w:tcPr>
            <w:tcW w:w="8180" w:type="dxa"/>
            <w:vAlign w:val="bottom"/>
            <w:gridSpan w:val="3"/>
          </w:tcPr>
          <w:p>
            <w:pPr>
              <w:ind w:left="20"/>
              <w:spacing w:after="0" w:line="176" w:lineRule="exact"/>
              <w:rPr>
                <w:sz w:val="20"/>
                <w:szCs w:val="20"/>
                <w:color w:val="auto"/>
              </w:rPr>
            </w:pPr>
            <w:r>
              <w:rPr>
                <w:rFonts w:ascii="Times New Roman" w:cs="Times New Roman" w:eastAsia="Times New Roman" w:hAnsi="Times New Roman"/>
                <w:sz w:val="18"/>
                <w:szCs w:val="18"/>
                <w:color w:val="auto"/>
              </w:rPr>
              <w:t>Common shares in treasury, at cost (1,923,397 shares at December 31, 2023 and 1,836,116 shares at</w:t>
            </w: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43"/>
        </w:trPr>
        <w:tc>
          <w:tcPr>
            <w:tcW w:w="81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December 31, 2022, respectively)</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(84,264)</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(81,211)</w:t>
            </w:r>
          </w:p>
        </w:tc>
      </w:tr>
      <w:tr>
        <w:trPr>
          <w:trHeight w:val="229"/>
        </w:trPr>
        <w:tc>
          <w:tcPr>
            <w:tcW w:w="8180" w:type="dxa"/>
            <w:vAlign w:val="bottom"/>
            <w:gridSpan w:val="3"/>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340" w:type="dxa"/>
            <w:vAlign w:val="bottom"/>
            <w:tcBorders>
              <w:bottom w:val="single" w:sz="8" w:color="auto"/>
            </w:tcBorders>
            <w:shd w:val="clear" w:color="auto" w:fill="DBDBDB"/>
          </w:tcPr>
          <w:p>
            <w:pPr>
              <w:spacing w:after="0"/>
              <w:rPr>
                <w:sz w:val="19"/>
                <w:szCs w:val="19"/>
                <w:color w:val="auto"/>
              </w:rPr>
            </w:pPr>
          </w:p>
        </w:tc>
        <w:tc>
          <w:tcPr>
            <w:tcW w:w="114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(47,469)</w:t>
            </w:r>
          </w:p>
        </w:tc>
        <w:tc>
          <w:tcPr>
            <w:tcW w:w="100" w:type="dxa"/>
            <w:vAlign w:val="bottom"/>
            <w:shd w:val="clear" w:color="auto" w:fill="DBDBDB"/>
          </w:tcPr>
          <w:p>
            <w:pPr>
              <w:spacing w:after="0"/>
              <w:rPr>
                <w:sz w:val="19"/>
                <w:szCs w:val="19"/>
                <w:color w:val="auto"/>
              </w:rPr>
            </w:pPr>
          </w:p>
        </w:tc>
        <w:tc>
          <w:tcPr>
            <w:tcW w:w="520" w:type="dxa"/>
            <w:vAlign w:val="bottom"/>
            <w:tcBorders>
              <w:bottom w:val="single" w:sz="8" w:color="auto"/>
            </w:tcBorders>
            <w:shd w:val="clear" w:color="auto" w:fill="DBDBDB"/>
          </w:tcPr>
          <w:p>
            <w:pPr>
              <w:spacing w:after="0"/>
              <w:rPr>
                <w:sz w:val="19"/>
                <w:szCs w:val="19"/>
                <w:color w:val="auto"/>
              </w:rPr>
            </w:pPr>
          </w:p>
        </w:tc>
        <w:tc>
          <w:tcPr>
            <w:tcW w:w="96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(59,321)</w:t>
            </w:r>
          </w:p>
        </w:tc>
      </w:tr>
      <w:tr>
        <w:trPr>
          <w:trHeight w:val="223"/>
        </w:trPr>
        <w:tc>
          <w:tcPr>
            <w:tcW w:w="720" w:type="dxa"/>
            <w:vAlign w:val="bottom"/>
            <w:tcBorders>
              <w:bottom w:val="single" w:sz="8" w:color="DBDBDB"/>
            </w:tcBorders>
          </w:tcPr>
          <w:p>
            <w:pPr>
              <w:spacing w:after="0"/>
              <w:rPr>
                <w:sz w:val="19"/>
                <w:szCs w:val="19"/>
                <w:color w:val="auto"/>
              </w:rPr>
            </w:pPr>
          </w:p>
        </w:tc>
        <w:tc>
          <w:tcPr>
            <w:tcW w:w="7460" w:type="dxa"/>
            <w:vAlign w:val="bottom"/>
            <w:tcBorders>
              <w:bottom w:val="single" w:sz="8" w:color="DBDBDB"/>
            </w:tcBorders>
            <w:gridSpan w:val="2"/>
          </w:tcPr>
          <w:p>
            <w:pPr>
              <w:ind w:left="6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229,809</w:t>
            </w:r>
          </w:p>
        </w:tc>
        <w:tc>
          <w:tcPr>
            <w:tcW w:w="100" w:type="dxa"/>
            <w:vAlign w:val="bottom"/>
            <w:tcBorders>
              <w:bottom w:val="single" w:sz="8" w:color="DBDBDB"/>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206,325</w:t>
            </w:r>
          </w:p>
        </w:tc>
      </w:tr>
      <w:tr>
        <w:trPr>
          <w:trHeight w:val="248"/>
        </w:trPr>
        <w:tc>
          <w:tcPr>
            <w:tcW w:w="720" w:type="dxa"/>
            <w:vAlign w:val="bottom"/>
            <w:tcBorders>
              <w:bottom w:val="single" w:sz="8" w:color="DBDBDB"/>
            </w:tcBorders>
            <w:shd w:val="clear" w:color="auto" w:fill="DBDBDB"/>
          </w:tcPr>
          <w:p>
            <w:pPr>
              <w:spacing w:after="0"/>
              <w:rPr>
                <w:sz w:val="21"/>
                <w:szCs w:val="21"/>
                <w:color w:val="auto"/>
              </w:rPr>
            </w:pPr>
          </w:p>
        </w:tc>
        <w:tc>
          <w:tcPr>
            <w:tcW w:w="7460" w:type="dxa"/>
            <w:vAlign w:val="bottom"/>
            <w:tcBorders>
              <w:bottom w:val="single" w:sz="8" w:color="DBDBDB"/>
            </w:tcBorders>
            <w:gridSpan w:val="2"/>
            <w:shd w:val="clear" w:color="auto" w:fill="DBDBDB"/>
          </w:tcPr>
          <w:p>
            <w:pPr>
              <w:ind w:left="6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340" w:type="dxa"/>
            <w:vAlign w:val="bottom"/>
            <w:tcBorders>
              <w:bottom w:val="single" w:sz="8" w:color="auto"/>
            </w:tcBorders>
            <w:shd w:val="clear" w:color="auto" w:fill="DBDBDB"/>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2,478,622</w:t>
            </w:r>
          </w:p>
        </w:tc>
        <w:tc>
          <w:tcPr>
            <w:tcW w:w="100" w:type="dxa"/>
            <w:vAlign w:val="bottom"/>
            <w:tcBorders>
              <w:bottom w:val="single" w:sz="8" w:color="DBDBDB"/>
            </w:tcBorders>
            <w:shd w:val="clear" w:color="auto" w:fill="DBDBDB"/>
          </w:tcPr>
          <w:p>
            <w:pPr>
              <w:spacing w:after="0"/>
              <w:rPr>
                <w:sz w:val="21"/>
                <w:szCs w:val="21"/>
                <w:color w:val="auto"/>
              </w:rPr>
            </w:pPr>
          </w:p>
        </w:tc>
        <w:tc>
          <w:tcPr>
            <w:tcW w:w="520" w:type="dxa"/>
            <w:vAlign w:val="bottom"/>
            <w:tcBorders>
              <w:bottom w:val="single" w:sz="8" w:color="auto"/>
            </w:tcBorders>
            <w:shd w:val="clear" w:color="auto" w:fill="DBDBDB"/>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2,573,023</w:t>
            </w:r>
          </w:p>
        </w:tc>
      </w:tr>
      <w:tr>
        <w:trPr>
          <w:trHeight w:val="20"/>
        </w:trPr>
        <w:tc>
          <w:tcPr>
            <w:tcW w:w="720" w:type="dxa"/>
            <w:vAlign w:val="bottom"/>
            <w:tcBorders>
              <w:top w:val="single" w:sz="8" w:color="DBDBDB"/>
            </w:tcBorders>
          </w:tcPr>
          <w:p>
            <w:pPr>
              <w:spacing w:after="0" w:line="20" w:lineRule="exact"/>
              <w:rPr>
                <w:sz w:val="1"/>
                <w:szCs w:val="1"/>
                <w:color w:val="auto"/>
              </w:rPr>
            </w:pPr>
          </w:p>
        </w:tc>
        <w:tc>
          <w:tcPr>
            <w:tcW w:w="4860" w:type="dxa"/>
            <w:vAlign w:val="bottom"/>
            <w:tcBorders>
              <w:top w:val="single" w:sz="8" w:color="DBDBDB"/>
            </w:tcBorders>
          </w:tcPr>
          <w:p>
            <w:pPr>
              <w:spacing w:after="0" w:line="20" w:lineRule="exact"/>
              <w:rPr>
                <w:sz w:val="1"/>
                <w:szCs w:val="1"/>
                <w:color w:val="auto"/>
              </w:rPr>
            </w:pPr>
          </w:p>
        </w:tc>
        <w:tc>
          <w:tcPr>
            <w:tcW w:w="2600" w:type="dxa"/>
            <w:vAlign w:val="bottom"/>
            <w:tcBorders>
              <w:top w:val="single" w:sz="8" w:color="DBDBDB"/>
            </w:tcBorders>
          </w:tcPr>
          <w:p>
            <w:pPr>
              <w:spacing w:after="0" w:line="20" w:lineRule="exact"/>
              <w:rPr>
                <w:sz w:val="1"/>
                <w:szCs w:val="1"/>
                <w:color w:val="auto"/>
              </w:rPr>
            </w:pPr>
          </w:p>
        </w:tc>
        <w:tc>
          <w:tcPr>
            <w:tcW w:w="340" w:type="dxa"/>
            <w:vAlign w:val="bottom"/>
            <w:tcBorders>
              <w:top w:val="single" w:sz="8" w:color="DBDBDB"/>
              <w:bottom w:val="single" w:sz="8" w:color="auto"/>
            </w:tcBorders>
          </w:tcPr>
          <w:p>
            <w:pPr>
              <w:spacing w:after="0" w:line="20" w:lineRule="exact"/>
              <w:rPr>
                <w:sz w:val="1"/>
                <w:szCs w:val="1"/>
                <w:color w:val="auto"/>
              </w:rPr>
            </w:pPr>
          </w:p>
        </w:tc>
        <w:tc>
          <w:tcPr>
            <w:tcW w:w="114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520" w:type="dxa"/>
            <w:vAlign w:val="bottom"/>
            <w:tcBorders>
              <w:top w:val="single" w:sz="8" w:color="DBDBDB"/>
              <w:bottom w:val="single" w:sz="8" w:color="auto"/>
            </w:tcBorders>
          </w:tcPr>
          <w:p>
            <w:pPr>
              <w:spacing w:after="0" w:line="20" w:lineRule="exact"/>
              <w:rPr>
                <w:sz w:val="1"/>
                <w:szCs w:val="1"/>
                <w:color w:val="auto"/>
              </w:rPr>
            </w:pPr>
          </w:p>
        </w:tc>
        <w:tc>
          <w:tcPr>
            <w:tcW w:w="960" w:type="dxa"/>
            <w:vAlign w:val="bottom"/>
            <w:tcBorders>
              <w:top w:val="single" w:sz="8" w:color="DBDBDB"/>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ectPr>
          <w:pgSz w:w="11900" w:h="16838" w:orient="portrait"/>
          <w:cols w:equalWidth="0" w:num="1">
            <w:col w:w="11240"/>
          </w:cols>
          <w:pgMar w:left="320" w:top="33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type w:val="continuous"/>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CASS INFORMATION SYSTEMS,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INCOME</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34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c>
          <w:tcPr>
            <w:tcW w:w="960" w:type="dxa"/>
            <w:vAlign w:val="bottom"/>
            <w:tcBorders>
              <w:bottom w:val="single" w:sz="8" w:color="auto"/>
            </w:tcBorders>
          </w:tcPr>
          <w:p>
            <w:pPr>
              <w:spacing w:after="0"/>
              <w:rPr>
                <w:sz w:val="20"/>
                <w:szCs w:val="20"/>
                <w:color w:val="auto"/>
              </w:rPr>
            </w:pPr>
          </w:p>
        </w:tc>
      </w:tr>
      <w:tr>
        <w:trPr>
          <w:trHeight w:val="223"/>
        </w:trPr>
        <w:tc>
          <w:tcPr>
            <w:tcW w:w="6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 except per share data)</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660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8"/>
                <w:szCs w:val="18"/>
                <w:b w:val="1"/>
                <w:bCs w:val="1"/>
                <w:color w:val="auto"/>
              </w:rPr>
              <w:t>Fee Revenue and Other Income:</w:t>
            </w:r>
          </w:p>
        </w:tc>
        <w:tc>
          <w:tcPr>
            <w:tcW w:w="340" w:type="dxa"/>
            <w:vAlign w:val="bottom"/>
            <w:shd w:val="clear" w:color="auto" w:fill="DBDBDB"/>
          </w:tcPr>
          <w:p>
            <w:pPr>
              <w:spacing w:after="0"/>
              <w:rPr>
                <w:sz w:val="19"/>
                <w:szCs w:val="19"/>
                <w:color w:val="auto"/>
              </w:rPr>
            </w:pPr>
          </w:p>
        </w:tc>
        <w:tc>
          <w:tcPr>
            <w:tcW w:w="11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340" w:type="dxa"/>
            <w:vAlign w:val="bottom"/>
            <w:shd w:val="clear" w:color="auto" w:fill="DBDBDB"/>
          </w:tcPr>
          <w:p>
            <w:pPr>
              <w:spacing w:after="0"/>
              <w:rPr>
                <w:sz w:val="19"/>
                <w:szCs w:val="19"/>
                <w:color w:val="auto"/>
              </w:rPr>
            </w:pPr>
          </w:p>
        </w:tc>
        <w:tc>
          <w:tcPr>
            <w:tcW w:w="11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520" w:type="dxa"/>
            <w:vAlign w:val="bottom"/>
            <w:shd w:val="clear" w:color="auto" w:fill="DBDBDB"/>
          </w:tcPr>
          <w:p>
            <w:pPr>
              <w:spacing w:after="0"/>
              <w:rPr>
                <w:sz w:val="19"/>
                <w:szCs w:val="19"/>
                <w:color w:val="auto"/>
              </w:rPr>
            </w:pPr>
          </w:p>
        </w:tc>
        <w:tc>
          <w:tcPr>
            <w:tcW w:w="960" w:type="dxa"/>
            <w:vAlign w:val="bottom"/>
            <w:shd w:val="clear" w:color="auto" w:fill="DBDBDB"/>
          </w:tcPr>
          <w:p>
            <w:pPr>
              <w:spacing w:after="0"/>
              <w:rPr>
                <w:sz w:val="19"/>
                <w:szCs w:val="19"/>
                <w:color w:val="auto"/>
              </w:rPr>
            </w:pPr>
          </w:p>
        </w:tc>
      </w:tr>
      <w:tr>
        <w:trPr>
          <w:trHeight w:val="23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Processing fees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79,566</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76,470</w:t>
            </w:r>
          </w:p>
        </w:tc>
        <w:tc>
          <w:tcPr>
            <w:tcW w:w="100" w:type="dxa"/>
            <w:vAlign w:val="bottom"/>
          </w:tcPr>
          <w:p>
            <w:pPr>
              <w:spacing w:after="0"/>
              <w:rPr>
                <w:sz w:val="19"/>
                <w:szCs w:val="19"/>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74,589</w:t>
            </w:r>
          </w:p>
        </w:tc>
      </w:tr>
      <w:tr>
        <w:trPr>
          <w:trHeight w:val="229"/>
        </w:trPr>
        <w:tc>
          <w:tcPr>
            <w:tcW w:w="660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Financial fees</w:t>
            </w:r>
          </w:p>
        </w:tc>
        <w:tc>
          <w:tcPr>
            <w:tcW w:w="340" w:type="dxa"/>
            <w:vAlign w:val="bottom"/>
            <w:shd w:val="clear" w:color="auto" w:fill="DBDBDB"/>
          </w:tcPr>
          <w:p>
            <w:pPr>
              <w:spacing w:after="0"/>
              <w:rPr>
                <w:sz w:val="19"/>
                <w:szCs w:val="19"/>
                <w:color w:val="auto"/>
              </w:rPr>
            </w:pPr>
          </w:p>
        </w:tc>
        <w:tc>
          <w:tcPr>
            <w:tcW w:w="11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45,985</w:t>
            </w:r>
          </w:p>
        </w:tc>
        <w:tc>
          <w:tcPr>
            <w:tcW w:w="100" w:type="dxa"/>
            <w:vAlign w:val="bottom"/>
            <w:shd w:val="clear" w:color="auto" w:fill="DBDBDB"/>
          </w:tcPr>
          <w:p>
            <w:pPr>
              <w:spacing w:after="0"/>
              <w:rPr>
                <w:sz w:val="19"/>
                <w:szCs w:val="19"/>
                <w:color w:val="auto"/>
              </w:rPr>
            </w:pPr>
          </w:p>
        </w:tc>
        <w:tc>
          <w:tcPr>
            <w:tcW w:w="340" w:type="dxa"/>
            <w:vAlign w:val="bottom"/>
            <w:shd w:val="clear" w:color="auto" w:fill="DBDBDB"/>
          </w:tcPr>
          <w:p>
            <w:pPr>
              <w:spacing w:after="0"/>
              <w:rPr>
                <w:sz w:val="19"/>
                <w:szCs w:val="19"/>
                <w:color w:val="auto"/>
              </w:rPr>
            </w:pPr>
          </w:p>
        </w:tc>
        <w:tc>
          <w:tcPr>
            <w:tcW w:w="11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43,757</w:t>
            </w:r>
          </w:p>
        </w:tc>
        <w:tc>
          <w:tcPr>
            <w:tcW w:w="100" w:type="dxa"/>
            <w:vAlign w:val="bottom"/>
            <w:shd w:val="clear" w:color="auto" w:fill="DBDBDB"/>
          </w:tcPr>
          <w:p>
            <w:pPr>
              <w:spacing w:after="0"/>
              <w:rPr>
                <w:sz w:val="19"/>
                <w:szCs w:val="19"/>
                <w:color w:val="auto"/>
              </w:rPr>
            </w:pPr>
          </w:p>
        </w:tc>
        <w:tc>
          <w:tcPr>
            <w:tcW w:w="520" w:type="dxa"/>
            <w:vAlign w:val="bottom"/>
            <w:shd w:val="clear" w:color="auto" w:fill="DBDBDB"/>
          </w:tcPr>
          <w:p>
            <w:pPr>
              <w:spacing w:after="0"/>
              <w:rPr>
                <w:sz w:val="19"/>
                <w:szCs w:val="19"/>
                <w:color w:val="auto"/>
              </w:rPr>
            </w:pPr>
          </w:p>
        </w:tc>
        <w:tc>
          <w:tcPr>
            <w:tcW w:w="9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32,733</w:t>
            </w:r>
          </w:p>
        </w:tc>
      </w:tr>
      <w:tr>
        <w:trPr>
          <w:trHeight w:val="229"/>
        </w:trPr>
        <w:tc>
          <w:tcPr>
            <w:tcW w:w="6600" w:type="dxa"/>
            <w:vAlign w:val="bottom"/>
            <w:tcBorders>
              <w:bottom w:val="single" w:sz="8" w:color="DBDBDB"/>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4,916</w:t>
            </w:r>
          </w:p>
        </w:tc>
        <w:tc>
          <w:tcPr>
            <w:tcW w:w="100" w:type="dxa"/>
            <w:vAlign w:val="bottom"/>
            <w:tcBorders>
              <w:bottom w:val="single" w:sz="8" w:color="DBDBDB"/>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4,755</w:t>
            </w:r>
          </w:p>
        </w:tc>
        <w:tc>
          <w:tcPr>
            <w:tcW w:w="100" w:type="dxa"/>
            <w:vAlign w:val="bottom"/>
            <w:tcBorders>
              <w:bottom w:val="single" w:sz="8" w:color="DBDBDB"/>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2,369</w:t>
            </w:r>
          </w:p>
        </w:tc>
      </w:tr>
      <w:tr>
        <w:trPr>
          <w:trHeight w:val="223"/>
        </w:trPr>
        <w:tc>
          <w:tcPr>
            <w:tcW w:w="6600" w:type="dxa"/>
            <w:vAlign w:val="bottom"/>
            <w:shd w:val="clear" w:color="auto" w:fill="DBDBDB"/>
          </w:tcPr>
          <w:p>
            <w:pPr>
              <w:ind w:left="560"/>
              <w:spacing w:after="0"/>
              <w:rPr>
                <w:sz w:val="20"/>
                <w:szCs w:val="20"/>
                <w:color w:val="auto"/>
              </w:rPr>
            </w:pPr>
            <w:r>
              <w:rPr>
                <w:rFonts w:ascii="Times New Roman" w:cs="Times New Roman" w:eastAsia="Times New Roman" w:hAnsi="Times New Roman"/>
                <w:sz w:val="18"/>
                <w:szCs w:val="18"/>
                <w:color w:val="auto"/>
              </w:rPr>
              <w:t>Total fee revenue and other income</w:t>
            </w:r>
          </w:p>
        </w:tc>
        <w:tc>
          <w:tcPr>
            <w:tcW w:w="340" w:type="dxa"/>
            <w:vAlign w:val="bottom"/>
            <w:tcBorders>
              <w:bottom w:val="single" w:sz="8" w:color="auto"/>
            </w:tcBorders>
            <w:shd w:val="clear" w:color="auto" w:fill="DBDBDB"/>
          </w:tcPr>
          <w:p>
            <w:pPr>
              <w:spacing w:after="0"/>
              <w:rPr>
                <w:sz w:val="19"/>
                <w:szCs w:val="19"/>
                <w:color w:val="auto"/>
              </w:rPr>
            </w:pPr>
          </w:p>
        </w:tc>
        <w:tc>
          <w:tcPr>
            <w:tcW w:w="114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130,467</w:t>
            </w:r>
          </w:p>
        </w:tc>
        <w:tc>
          <w:tcPr>
            <w:tcW w:w="100" w:type="dxa"/>
            <w:vAlign w:val="bottom"/>
            <w:shd w:val="clear" w:color="auto" w:fill="DBDBDB"/>
          </w:tcPr>
          <w:p>
            <w:pPr>
              <w:spacing w:after="0"/>
              <w:rPr>
                <w:sz w:val="19"/>
                <w:szCs w:val="19"/>
                <w:color w:val="auto"/>
              </w:rPr>
            </w:pPr>
          </w:p>
        </w:tc>
        <w:tc>
          <w:tcPr>
            <w:tcW w:w="340" w:type="dxa"/>
            <w:vAlign w:val="bottom"/>
            <w:tcBorders>
              <w:bottom w:val="single" w:sz="8" w:color="auto"/>
            </w:tcBorders>
            <w:shd w:val="clear" w:color="auto" w:fill="DBDBDB"/>
          </w:tcPr>
          <w:p>
            <w:pPr>
              <w:spacing w:after="0"/>
              <w:rPr>
                <w:sz w:val="19"/>
                <w:szCs w:val="19"/>
                <w:color w:val="auto"/>
              </w:rPr>
            </w:pPr>
          </w:p>
        </w:tc>
        <w:tc>
          <w:tcPr>
            <w:tcW w:w="114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124,982</w:t>
            </w:r>
          </w:p>
        </w:tc>
        <w:tc>
          <w:tcPr>
            <w:tcW w:w="100" w:type="dxa"/>
            <w:vAlign w:val="bottom"/>
            <w:shd w:val="clear" w:color="auto" w:fill="DBDBDB"/>
          </w:tcPr>
          <w:p>
            <w:pPr>
              <w:spacing w:after="0"/>
              <w:rPr>
                <w:sz w:val="19"/>
                <w:szCs w:val="19"/>
                <w:color w:val="auto"/>
              </w:rPr>
            </w:pPr>
          </w:p>
        </w:tc>
        <w:tc>
          <w:tcPr>
            <w:tcW w:w="520" w:type="dxa"/>
            <w:vAlign w:val="bottom"/>
            <w:tcBorders>
              <w:bottom w:val="single" w:sz="8" w:color="auto"/>
            </w:tcBorders>
            <w:shd w:val="clear" w:color="auto" w:fill="DBDBDB"/>
          </w:tcPr>
          <w:p>
            <w:pPr>
              <w:spacing w:after="0"/>
              <w:rPr>
                <w:sz w:val="19"/>
                <w:szCs w:val="19"/>
                <w:color w:val="auto"/>
              </w:rPr>
            </w:pPr>
          </w:p>
        </w:tc>
        <w:tc>
          <w:tcPr>
            <w:tcW w:w="96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109,691</w:t>
            </w:r>
          </w:p>
        </w:tc>
      </w:tr>
      <w:tr>
        <w:trPr>
          <w:trHeight w:val="250"/>
        </w:trPr>
        <w:tc>
          <w:tcPr>
            <w:tcW w:w="66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29"/>
        </w:trPr>
        <w:tc>
          <w:tcPr>
            <w:tcW w:w="660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8"/>
                <w:szCs w:val="18"/>
                <w:b w:val="1"/>
                <w:bCs w:val="1"/>
                <w:color w:val="auto"/>
              </w:rPr>
              <w:t>Interest Income:</w:t>
            </w:r>
          </w:p>
        </w:tc>
        <w:tc>
          <w:tcPr>
            <w:tcW w:w="340" w:type="dxa"/>
            <w:vAlign w:val="bottom"/>
            <w:shd w:val="clear" w:color="auto" w:fill="DBDBDB"/>
          </w:tcPr>
          <w:p>
            <w:pPr>
              <w:spacing w:after="0"/>
              <w:rPr>
                <w:sz w:val="19"/>
                <w:szCs w:val="19"/>
                <w:color w:val="auto"/>
              </w:rPr>
            </w:pPr>
          </w:p>
        </w:tc>
        <w:tc>
          <w:tcPr>
            <w:tcW w:w="11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340" w:type="dxa"/>
            <w:vAlign w:val="bottom"/>
            <w:shd w:val="clear" w:color="auto" w:fill="DBDBDB"/>
          </w:tcPr>
          <w:p>
            <w:pPr>
              <w:spacing w:after="0"/>
              <w:rPr>
                <w:sz w:val="19"/>
                <w:szCs w:val="19"/>
                <w:color w:val="auto"/>
              </w:rPr>
            </w:pPr>
          </w:p>
        </w:tc>
        <w:tc>
          <w:tcPr>
            <w:tcW w:w="11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520" w:type="dxa"/>
            <w:vAlign w:val="bottom"/>
            <w:shd w:val="clear" w:color="auto" w:fill="DBDBDB"/>
          </w:tcPr>
          <w:p>
            <w:pPr>
              <w:spacing w:after="0"/>
              <w:rPr>
                <w:sz w:val="19"/>
                <w:szCs w:val="19"/>
                <w:color w:val="auto"/>
              </w:rPr>
            </w:pPr>
          </w:p>
        </w:tc>
        <w:tc>
          <w:tcPr>
            <w:tcW w:w="960" w:type="dxa"/>
            <w:vAlign w:val="bottom"/>
            <w:shd w:val="clear" w:color="auto" w:fill="DBDBDB"/>
          </w:tcPr>
          <w:p>
            <w:pPr>
              <w:spacing w:after="0"/>
              <w:rPr>
                <w:sz w:val="19"/>
                <w:szCs w:val="19"/>
                <w:color w:val="auto"/>
              </w:rPr>
            </w:pPr>
          </w:p>
        </w:tc>
      </w:tr>
      <w:tr>
        <w:trPr>
          <w:trHeight w:val="23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and fees on loans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50,825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39,460</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35,178</w:t>
            </w:r>
          </w:p>
        </w:tc>
      </w:tr>
      <w:tr>
        <w:trPr>
          <w:trHeight w:val="229"/>
        </w:trPr>
        <w:tc>
          <w:tcPr>
            <w:tcW w:w="660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Interest and dividends on securities:</w:t>
            </w:r>
          </w:p>
        </w:tc>
        <w:tc>
          <w:tcPr>
            <w:tcW w:w="340" w:type="dxa"/>
            <w:vAlign w:val="bottom"/>
            <w:shd w:val="clear" w:color="auto" w:fill="DBDBDB"/>
          </w:tcPr>
          <w:p>
            <w:pPr>
              <w:spacing w:after="0"/>
              <w:rPr>
                <w:sz w:val="19"/>
                <w:szCs w:val="19"/>
                <w:color w:val="auto"/>
              </w:rPr>
            </w:pPr>
          </w:p>
        </w:tc>
        <w:tc>
          <w:tcPr>
            <w:tcW w:w="11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340" w:type="dxa"/>
            <w:vAlign w:val="bottom"/>
            <w:shd w:val="clear" w:color="auto" w:fill="DBDBDB"/>
          </w:tcPr>
          <w:p>
            <w:pPr>
              <w:spacing w:after="0"/>
              <w:rPr>
                <w:sz w:val="19"/>
                <w:szCs w:val="19"/>
                <w:color w:val="auto"/>
              </w:rPr>
            </w:pPr>
          </w:p>
        </w:tc>
        <w:tc>
          <w:tcPr>
            <w:tcW w:w="11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520" w:type="dxa"/>
            <w:vAlign w:val="bottom"/>
            <w:shd w:val="clear" w:color="auto" w:fill="DBDBDB"/>
          </w:tcPr>
          <w:p>
            <w:pPr>
              <w:spacing w:after="0"/>
              <w:rPr>
                <w:sz w:val="19"/>
                <w:szCs w:val="19"/>
                <w:color w:val="auto"/>
              </w:rPr>
            </w:pPr>
          </w:p>
        </w:tc>
        <w:tc>
          <w:tcPr>
            <w:tcW w:w="960" w:type="dxa"/>
            <w:vAlign w:val="bottom"/>
            <w:shd w:val="clear" w:color="auto" w:fill="DBDBDB"/>
          </w:tcPr>
          <w:p>
            <w:pPr>
              <w:spacing w:after="0"/>
              <w:rPr>
                <w:sz w:val="19"/>
                <w:szCs w:val="19"/>
                <w:color w:val="auto"/>
              </w:rPr>
            </w:pPr>
          </w:p>
        </w:tc>
      </w:tr>
      <w:tr>
        <w:trPr>
          <w:trHeight w:val="229"/>
        </w:trPr>
        <w:tc>
          <w:tcPr>
            <w:tcW w:w="66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Taxable</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14,118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10,083</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2,547</w:t>
            </w:r>
          </w:p>
        </w:tc>
      </w:tr>
      <w:tr>
        <w:trPr>
          <w:trHeight w:val="230"/>
        </w:trPr>
        <w:tc>
          <w:tcPr>
            <w:tcW w:w="6600" w:type="dxa"/>
            <w:vAlign w:val="bottom"/>
            <w:shd w:val="clear" w:color="auto" w:fill="DBDBDB"/>
          </w:tcPr>
          <w:p>
            <w:pPr>
              <w:ind w:left="560"/>
              <w:spacing w:after="0"/>
              <w:rPr>
                <w:sz w:val="20"/>
                <w:szCs w:val="20"/>
                <w:color w:val="auto"/>
              </w:rPr>
            </w:pPr>
            <w:r>
              <w:rPr>
                <w:rFonts w:ascii="Times New Roman" w:cs="Times New Roman" w:eastAsia="Times New Roman" w:hAnsi="Times New Roman"/>
                <w:sz w:val="18"/>
                <w:szCs w:val="18"/>
                <w:color w:val="auto"/>
              </w:rPr>
              <w:t>Exempt from federal income taxes</w:t>
            </w:r>
          </w:p>
        </w:tc>
        <w:tc>
          <w:tcPr>
            <w:tcW w:w="340" w:type="dxa"/>
            <w:vAlign w:val="bottom"/>
            <w:shd w:val="clear" w:color="auto" w:fill="DBDBDB"/>
          </w:tcPr>
          <w:p>
            <w:pPr>
              <w:spacing w:after="0"/>
              <w:rPr>
                <w:sz w:val="19"/>
                <w:szCs w:val="19"/>
                <w:color w:val="auto"/>
              </w:rPr>
            </w:pPr>
          </w:p>
        </w:tc>
        <w:tc>
          <w:tcPr>
            <w:tcW w:w="11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4,097</w:t>
            </w:r>
          </w:p>
        </w:tc>
        <w:tc>
          <w:tcPr>
            <w:tcW w:w="100" w:type="dxa"/>
            <w:vAlign w:val="bottom"/>
            <w:shd w:val="clear" w:color="auto" w:fill="DBDBDB"/>
          </w:tcPr>
          <w:p>
            <w:pPr>
              <w:spacing w:after="0"/>
              <w:rPr>
                <w:sz w:val="19"/>
                <w:szCs w:val="19"/>
                <w:color w:val="auto"/>
              </w:rPr>
            </w:pPr>
          </w:p>
        </w:tc>
        <w:tc>
          <w:tcPr>
            <w:tcW w:w="340" w:type="dxa"/>
            <w:vAlign w:val="bottom"/>
            <w:shd w:val="clear" w:color="auto" w:fill="DBDBDB"/>
          </w:tcPr>
          <w:p>
            <w:pPr>
              <w:spacing w:after="0"/>
              <w:rPr>
                <w:sz w:val="19"/>
                <w:szCs w:val="19"/>
                <w:color w:val="auto"/>
              </w:rPr>
            </w:pPr>
          </w:p>
        </w:tc>
        <w:tc>
          <w:tcPr>
            <w:tcW w:w="11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6,354</w:t>
            </w:r>
          </w:p>
        </w:tc>
        <w:tc>
          <w:tcPr>
            <w:tcW w:w="100" w:type="dxa"/>
            <w:vAlign w:val="bottom"/>
            <w:shd w:val="clear" w:color="auto" w:fill="DBDBDB"/>
          </w:tcPr>
          <w:p>
            <w:pPr>
              <w:spacing w:after="0"/>
              <w:rPr>
                <w:sz w:val="19"/>
                <w:szCs w:val="19"/>
                <w:color w:val="auto"/>
              </w:rPr>
            </w:pPr>
          </w:p>
        </w:tc>
        <w:tc>
          <w:tcPr>
            <w:tcW w:w="520" w:type="dxa"/>
            <w:vAlign w:val="bottom"/>
            <w:shd w:val="clear" w:color="auto" w:fill="DBDBDB"/>
          </w:tcPr>
          <w:p>
            <w:pPr>
              <w:spacing w:after="0"/>
              <w:rPr>
                <w:sz w:val="19"/>
                <w:szCs w:val="19"/>
                <w:color w:val="auto"/>
              </w:rPr>
            </w:pPr>
          </w:p>
        </w:tc>
        <w:tc>
          <w:tcPr>
            <w:tcW w:w="9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7,046</w:t>
            </w:r>
          </w:p>
        </w:tc>
      </w:tr>
      <w:tr>
        <w:trPr>
          <w:trHeight w:val="229"/>
        </w:trPr>
        <w:tc>
          <w:tcPr>
            <w:tcW w:w="6600" w:type="dxa"/>
            <w:vAlign w:val="bottom"/>
            <w:tcBorders>
              <w:bottom w:val="single" w:sz="8" w:color="DBDBDB"/>
            </w:tcBorders>
          </w:tcPr>
          <w:p>
            <w:pPr>
              <w:ind w:left="20"/>
              <w:spacing w:after="0"/>
              <w:rPr>
                <w:sz w:val="20"/>
                <w:szCs w:val="20"/>
                <w:color w:val="auto"/>
              </w:rPr>
            </w:pPr>
            <w:r>
              <w:rPr>
                <w:rFonts w:ascii="Times New Roman" w:cs="Times New Roman" w:eastAsia="Times New Roman" w:hAnsi="Times New Roman"/>
                <w:sz w:val="18"/>
                <w:szCs w:val="18"/>
                <w:color w:val="auto"/>
              </w:rPr>
              <w:t>Interest on federal funds sold and other short-term investments</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13,720</w:t>
            </w:r>
          </w:p>
        </w:tc>
        <w:tc>
          <w:tcPr>
            <w:tcW w:w="100" w:type="dxa"/>
            <w:vAlign w:val="bottom"/>
            <w:tcBorders>
              <w:bottom w:val="single" w:sz="8" w:color="DBDBDB"/>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6,429</w:t>
            </w:r>
          </w:p>
        </w:tc>
        <w:tc>
          <w:tcPr>
            <w:tcW w:w="100" w:type="dxa"/>
            <w:vAlign w:val="bottom"/>
            <w:tcBorders>
              <w:bottom w:val="single" w:sz="8" w:color="DBDBDB"/>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726</w:t>
            </w:r>
          </w:p>
        </w:tc>
      </w:tr>
      <w:tr>
        <w:trPr>
          <w:trHeight w:val="223"/>
        </w:trPr>
        <w:tc>
          <w:tcPr>
            <w:tcW w:w="6600" w:type="dxa"/>
            <w:vAlign w:val="bottom"/>
            <w:shd w:val="clear" w:color="auto" w:fill="DBDBDB"/>
          </w:tcPr>
          <w:p>
            <w:pPr>
              <w:ind w:left="560"/>
              <w:spacing w:after="0"/>
              <w:rPr>
                <w:sz w:val="20"/>
                <w:szCs w:val="20"/>
                <w:color w:val="auto"/>
              </w:rPr>
            </w:pPr>
            <w:r>
              <w:rPr>
                <w:rFonts w:ascii="Times New Roman" w:cs="Times New Roman" w:eastAsia="Times New Roman" w:hAnsi="Times New Roman"/>
                <w:sz w:val="18"/>
                <w:szCs w:val="18"/>
                <w:color w:val="auto"/>
              </w:rPr>
              <w:t>Total interest income</w:t>
            </w:r>
          </w:p>
        </w:tc>
        <w:tc>
          <w:tcPr>
            <w:tcW w:w="340" w:type="dxa"/>
            <w:vAlign w:val="bottom"/>
            <w:tcBorders>
              <w:bottom w:val="single" w:sz="8" w:color="auto"/>
            </w:tcBorders>
            <w:shd w:val="clear" w:color="auto" w:fill="DBDBDB"/>
          </w:tcPr>
          <w:p>
            <w:pPr>
              <w:spacing w:after="0"/>
              <w:rPr>
                <w:sz w:val="19"/>
                <w:szCs w:val="19"/>
                <w:color w:val="auto"/>
              </w:rPr>
            </w:pPr>
          </w:p>
        </w:tc>
        <w:tc>
          <w:tcPr>
            <w:tcW w:w="114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82,760</w:t>
            </w:r>
          </w:p>
        </w:tc>
        <w:tc>
          <w:tcPr>
            <w:tcW w:w="100" w:type="dxa"/>
            <w:vAlign w:val="bottom"/>
            <w:shd w:val="clear" w:color="auto" w:fill="DBDBDB"/>
          </w:tcPr>
          <w:p>
            <w:pPr>
              <w:spacing w:after="0"/>
              <w:rPr>
                <w:sz w:val="19"/>
                <w:szCs w:val="19"/>
                <w:color w:val="auto"/>
              </w:rPr>
            </w:pPr>
          </w:p>
        </w:tc>
        <w:tc>
          <w:tcPr>
            <w:tcW w:w="340" w:type="dxa"/>
            <w:vAlign w:val="bottom"/>
            <w:tcBorders>
              <w:bottom w:val="single" w:sz="8" w:color="auto"/>
            </w:tcBorders>
            <w:shd w:val="clear" w:color="auto" w:fill="DBDBDB"/>
          </w:tcPr>
          <w:p>
            <w:pPr>
              <w:spacing w:after="0"/>
              <w:rPr>
                <w:sz w:val="19"/>
                <w:szCs w:val="19"/>
                <w:color w:val="auto"/>
              </w:rPr>
            </w:pPr>
          </w:p>
        </w:tc>
        <w:tc>
          <w:tcPr>
            <w:tcW w:w="114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62,326</w:t>
            </w:r>
          </w:p>
        </w:tc>
        <w:tc>
          <w:tcPr>
            <w:tcW w:w="100" w:type="dxa"/>
            <w:vAlign w:val="bottom"/>
            <w:shd w:val="clear" w:color="auto" w:fill="DBDBDB"/>
          </w:tcPr>
          <w:p>
            <w:pPr>
              <w:spacing w:after="0"/>
              <w:rPr>
                <w:sz w:val="19"/>
                <w:szCs w:val="19"/>
                <w:color w:val="auto"/>
              </w:rPr>
            </w:pPr>
          </w:p>
        </w:tc>
        <w:tc>
          <w:tcPr>
            <w:tcW w:w="520" w:type="dxa"/>
            <w:vAlign w:val="bottom"/>
            <w:tcBorders>
              <w:bottom w:val="single" w:sz="8" w:color="auto"/>
            </w:tcBorders>
            <w:shd w:val="clear" w:color="auto" w:fill="DBDBDB"/>
          </w:tcPr>
          <w:p>
            <w:pPr>
              <w:spacing w:after="0"/>
              <w:rPr>
                <w:sz w:val="19"/>
                <w:szCs w:val="19"/>
                <w:color w:val="auto"/>
              </w:rPr>
            </w:pPr>
          </w:p>
        </w:tc>
        <w:tc>
          <w:tcPr>
            <w:tcW w:w="96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45,497</w:t>
            </w:r>
          </w:p>
        </w:tc>
      </w:tr>
      <w:tr>
        <w:trPr>
          <w:trHeight w:val="250"/>
        </w:trPr>
        <w:tc>
          <w:tcPr>
            <w:tcW w:w="66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29"/>
        </w:trPr>
        <w:tc>
          <w:tcPr>
            <w:tcW w:w="660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8"/>
                <w:szCs w:val="18"/>
                <w:b w:val="1"/>
                <w:bCs w:val="1"/>
                <w:color w:val="auto"/>
              </w:rPr>
              <w:t>Interest Expense:</w:t>
            </w:r>
          </w:p>
        </w:tc>
        <w:tc>
          <w:tcPr>
            <w:tcW w:w="340" w:type="dxa"/>
            <w:vAlign w:val="bottom"/>
            <w:shd w:val="clear" w:color="auto" w:fill="DBDBDB"/>
          </w:tcPr>
          <w:p>
            <w:pPr>
              <w:spacing w:after="0"/>
              <w:rPr>
                <w:sz w:val="19"/>
                <w:szCs w:val="19"/>
                <w:color w:val="auto"/>
              </w:rPr>
            </w:pPr>
          </w:p>
        </w:tc>
        <w:tc>
          <w:tcPr>
            <w:tcW w:w="11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340" w:type="dxa"/>
            <w:vAlign w:val="bottom"/>
            <w:shd w:val="clear" w:color="auto" w:fill="DBDBDB"/>
          </w:tcPr>
          <w:p>
            <w:pPr>
              <w:spacing w:after="0"/>
              <w:rPr>
                <w:sz w:val="19"/>
                <w:szCs w:val="19"/>
                <w:color w:val="auto"/>
              </w:rPr>
            </w:pPr>
          </w:p>
        </w:tc>
        <w:tc>
          <w:tcPr>
            <w:tcW w:w="11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520" w:type="dxa"/>
            <w:vAlign w:val="bottom"/>
            <w:shd w:val="clear" w:color="auto" w:fill="DBDBDB"/>
          </w:tcPr>
          <w:p>
            <w:pPr>
              <w:spacing w:after="0"/>
              <w:rPr>
                <w:sz w:val="19"/>
                <w:szCs w:val="19"/>
                <w:color w:val="auto"/>
              </w:rPr>
            </w:pPr>
          </w:p>
        </w:tc>
        <w:tc>
          <w:tcPr>
            <w:tcW w:w="960" w:type="dxa"/>
            <w:vAlign w:val="bottom"/>
            <w:shd w:val="clear" w:color="auto" w:fill="DBDBDB"/>
          </w:tcPr>
          <w:p>
            <w:pPr>
              <w:spacing w:after="0"/>
              <w:rPr>
                <w:sz w:val="19"/>
                <w:szCs w:val="19"/>
                <w:color w:val="auto"/>
              </w:rPr>
            </w:pPr>
          </w:p>
        </w:tc>
      </w:tr>
      <w:tr>
        <w:trPr>
          <w:trHeight w:val="23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on deposits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16,150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3,482</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1,171</w:t>
            </w:r>
          </w:p>
        </w:tc>
      </w:tr>
      <w:tr>
        <w:trPr>
          <w:trHeight w:val="229"/>
        </w:trPr>
        <w:tc>
          <w:tcPr>
            <w:tcW w:w="660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Interest on short-term borrowings</w:t>
            </w:r>
          </w:p>
        </w:tc>
        <w:tc>
          <w:tcPr>
            <w:tcW w:w="340" w:type="dxa"/>
            <w:vAlign w:val="bottom"/>
            <w:shd w:val="clear" w:color="auto" w:fill="DBDBDB"/>
          </w:tcPr>
          <w:p>
            <w:pPr>
              <w:spacing w:after="0"/>
              <w:rPr>
                <w:sz w:val="19"/>
                <w:szCs w:val="19"/>
                <w:color w:val="auto"/>
              </w:rPr>
            </w:pPr>
          </w:p>
        </w:tc>
        <w:tc>
          <w:tcPr>
            <w:tcW w:w="11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shd w:val="clear" w:color="auto" w:fill="DBDBDB"/>
          </w:tcPr>
          <w:p>
            <w:pPr>
              <w:spacing w:after="0"/>
              <w:rPr>
                <w:sz w:val="19"/>
                <w:szCs w:val="19"/>
                <w:color w:val="auto"/>
              </w:rPr>
            </w:pPr>
          </w:p>
        </w:tc>
        <w:tc>
          <w:tcPr>
            <w:tcW w:w="340" w:type="dxa"/>
            <w:vAlign w:val="bottom"/>
            <w:shd w:val="clear" w:color="auto" w:fill="DBDBDB"/>
          </w:tcPr>
          <w:p>
            <w:pPr>
              <w:spacing w:after="0"/>
              <w:rPr>
                <w:sz w:val="19"/>
                <w:szCs w:val="19"/>
                <w:color w:val="auto"/>
              </w:rPr>
            </w:pPr>
          </w:p>
        </w:tc>
        <w:tc>
          <w:tcPr>
            <w:tcW w:w="1240" w:type="dxa"/>
            <w:vAlign w:val="bottom"/>
            <w:gridSpan w:val="2"/>
            <w:shd w:val="clear" w:color="auto" w:fill="DBDBDB"/>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DBDBDB"/>
          </w:tcPr>
          <w:p>
            <w:pPr>
              <w:spacing w:after="0"/>
              <w:rPr>
                <w:sz w:val="19"/>
                <w:szCs w:val="19"/>
                <w:color w:val="auto"/>
              </w:rPr>
            </w:pPr>
          </w:p>
        </w:tc>
        <w:tc>
          <w:tcPr>
            <w:tcW w:w="9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600" w:type="dxa"/>
            <w:vAlign w:val="bottom"/>
            <w:tcBorders>
              <w:bottom w:val="single" w:sz="8" w:color="DBDBDB"/>
            </w:tcBorders>
          </w:tcPr>
          <w:p>
            <w:pPr>
              <w:ind w:left="560"/>
              <w:spacing w:after="0"/>
              <w:rPr>
                <w:sz w:val="20"/>
                <w:szCs w:val="20"/>
                <w:color w:val="auto"/>
              </w:rPr>
            </w:pPr>
            <w:r>
              <w:rPr>
                <w:rFonts w:ascii="Times New Roman" w:cs="Times New Roman" w:eastAsia="Times New Roman" w:hAnsi="Times New Roman"/>
                <w:sz w:val="18"/>
                <w:szCs w:val="18"/>
                <w:color w:val="auto"/>
              </w:rPr>
              <w:t>Total interest expense</w:t>
            </w:r>
          </w:p>
        </w:tc>
        <w:tc>
          <w:tcPr>
            <w:tcW w:w="3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16,266</w:t>
            </w:r>
          </w:p>
        </w:tc>
        <w:tc>
          <w:tcPr>
            <w:tcW w:w="100" w:type="dxa"/>
            <w:vAlign w:val="bottom"/>
            <w:tcBorders>
              <w:bottom w:val="single" w:sz="8" w:color="DBDBDB"/>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3,482</w:t>
            </w:r>
          </w:p>
        </w:tc>
        <w:tc>
          <w:tcPr>
            <w:tcW w:w="100" w:type="dxa"/>
            <w:vAlign w:val="bottom"/>
            <w:tcBorders>
              <w:bottom w:val="single" w:sz="8" w:color="DBDBDB"/>
            </w:tcBorders>
          </w:tcPr>
          <w:p>
            <w:pPr>
              <w:spacing w:after="0"/>
              <w:rPr>
                <w:sz w:val="19"/>
                <w:szCs w:val="19"/>
                <w:color w:val="auto"/>
              </w:rPr>
            </w:pPr>
          </w:p>
        </w:tc>
        <w:tc>
          <w:tcPr>
            <w:tcW w:w="52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1,171</w:t>
            </w:r>
          </w:p>
        </w:tc>
      </w:tr>
      <w:tr>
        <w:trPr>
          <w:trHeight w:val="223"/>
        </w:trPr>
        <w:tc>
          <w:tcPr>
            <w:tcW w:w="6600" w:type="dxa"/>
            <w:vAlign w:val="bottom"/>
            <w:shd w:val="clear" w:color="auto" w:fill="DBDBDB"/>
          </w:tcPr>
          <w:p>
            <w:pPr>
              <w:ind w:left="900"/>
              <w:spacing w:after="0"/>
              <w:rPr>
                <w:sz w:val="20"/>
                <w:szCs w:val="20"/>
                <w:color w:val="auto"/>
              </w:rPr>
            </w:pPr>
            <w:r>
              <w:rPr>
                <w:rFonts w:ascii="Times New Roman" w:cs="Times New Roman" w:eastAsia="Times New Roman" w:hAnsi="Times New Roman"/>
                <w:sz w:val="18"/>
                <w:szCs w:val="18"/>
                <w:color w:val="auto"/>
              </w:rPr>
              <w:t>Net interest income</w:t>
            </w:r>
          </w:p>
        </w:tc>
        <w:tc>
          <w:tcPr>
            <w:tcW w:w="340" w:type="dxa"/>
            <w:vAlign w:val="bottom"/>
            <w:shd w:val="clear" w:color="auto" w:fill="DBDBDB"/>
          </w:tcPr>
          <w:p>
            <w:pPr>
              <w:spacing w:after="0"/>
              <w:rPr>
                <w:sz w:val="19"/>
                <w:szCs w:val="19"/>
                <w:color w:val="auto"/>
              </w:rPr>
            </w:pPr>
          </w:p>
        </w:tc>
        <w:tc>
          <w:tcPr>
            <w:tcW w:w="11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66,494</w:t>
            </w:r>
          </w:p>
        </w:tc>
        <w:tc>
          <w:tcPr>
            <w:tcW w:w="100" w:type="dxa"/>
            <w:vAlign w:val="bottom"/>
            <w:shd w:val="clear" w:color="auto" w:fill="DBDBDB"/>
          </w:tcPr>
          <w:p>
            <w:pPr>
              <w:spacing w:after="0"/>
              <w:rPr>
                <w:sz w:val="19"/>
                <w:szCs w:val="19"/>
                <w:color w:val="auto"/>
              </w:rPr>
            </w:pPr>
          </w:p>
        </w:tc>
        <w:tc>
          <w:tcPr>
            <w:tcW w:w="340" w:type="dxa"/>
            <w:vAlign w:val="bottom"/>
            <w:shd w:val="clear" w:color="auto" w:fill="DBDBDB"/>
          </w:tcPr>
          <w:p>
            <w:pPr>
              <w:spacing w:after="0"/>
              <w:rPr>
                <w:sz w:val="19"/>
                <w:szCs w:val="19"/>
                <w:color w:val="auto"/>
              </w:rPr>
            </w:pPr>
          </w:p>
        </w:tc>
        <w:tc>
          <w:tcPr>
            <w:tcW w:w="11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58,844</w:t>
            </w:r>
          </w:p>
        </w:tc>
        <w:tc>
          <w:tcPr>
            <w:tcW w:w="100" w:type="dxa"/>
            <w:vAlign w:val="bottom"/>
            <w:shd w:val="clear" w:color="auto" w:fill="DBDBDB"/>
          </w:tcPr>
          <w:p>
            <w:pPr>
              <w:spacing w:after="0"/>
              <w:rPr>
                <w:sz w:val="19"/>
                <w:szCs w:val="19"/>
                <w:color w:val="auto"/>
              </w:rPr>
            </w:pPr>
          </w:p>
        </w:tc>
        <w:tc>
          <w:tcPr>
            <w:tcW w:w="520" w:type="dxa"/>
            <w:vAlign w:val="bottom"/>
            <w:shd w:val="clear" w:color="auto" w:fill="DBDBDB"/>
          </w:tcPr>
          <w:p>
            <w:pPr>
              <w:spacing w:after="0"/>
              <w:rPr>
                <w:sz w:val="19"/>
                <w:szCs w:val="19"/>
                <w:color w:val="auto"/>
              </w:rPr>
            </w:pPr>
          </w:p>
        </w:tc>
        <w:tc>
          <w:tcPr>
            <w:tcW w:w="9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44,326</w:t>
            </w:r>
          </w:p>
        </w:tc>
      </w:tr>
      <w:tr>
        <w:trPr>
          <w:trHeight w:val="230"/>
        </w:trPr>
        <w:tc>
          <w:tcPr>
            <w:tcW w:w="6600" w:type="dxa"/>
            <w:vAlign w:val="bottom"/>
            <w:tcBorders>
              <w:bottom w:val="single" w:sz="8" w:color="DBDBDB"/>
            </w:tcBorders>
          </w:tcPr>
          <w:p>
            <w:pPr>
              <w:ind w:left="80"/>
              <w:spacing w:after="0"/>
              <w:rPr>
                <w:sz w:val="20"/>
                <w:szCs w:val="20"/>
                <w:color w:val="auto"/>
              </w:rPr>
            </w:pPr>
            <w:r>
              <w:rPr>
                <w:rFonts w:ascii="Times New Roman" w:cs="Times New Roman" w:eastAsia="Times New Roman" w:hAnsi="Times New Roman"/>
                <w:sz w:val="18"/>
                <w:szCs w:val="18"/>
                <w:color w:val="auto"/>
              </w:rPr>
              <w:t>(Release of) provision for credit losses</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100" w:type="dxa"/>
            <w:vAlign w:val="bottom"/>
            <w:tcBorders>
              <w:bottom w:val="single" w:sz="8" w:color="DBDBDB"/>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1,350</w:t>
            </w:r>
          </w:p>
        </w:tc>
        <w:tc>
          <w:tcPr>
            <w:tcW w:w="100" w:type="dxa"/>
            <w:vAlign w:val="bottom"/>
            <w:tcBorders>
              <w:bottom w:val="single" w:sz="8" w:color="DBDBDB"/>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w:t>
            </w:r>
          </w:p>
        </w:tc>
      </w:tr>
      <w:tr>
        <w:trPr>
          <w:trHeight w:val="223"/>
        </w:trPr>
        <w:tc>
          <w:tcPr>
            <w:tcW w:w="6600" w:type="dxa"/>
            <w:vAlign w:val="bottom"/>
            <w:shd w:val="clear" w:color="auto" w:fill="DBDBDB"/>
          </w:tcPr>
          <w:p>
            <w:pPr>
              <w:ind w:left="900"/>
              <w:spacing w:after="0"/>
              <w:rPr>
                <w:sz w:val="20"/>
                <w:szCs w:val="20"/>
                <w:color w:val="auto"/>
              </w:rPr>
            </w:pPr>
            <w:r>
              <w:rPr>
                <w:rFonts w:ascii="Times New Roman" w:cs="Times New Roman" w:eastAsia="Times New Roman" w:hAnsi="Times New Roman"/>
                <w:sz w:val="18"/>
                <w:szCs w:val="18"/>
                <w:color w:val="auto"/>
              </w:rPr>
              <w:t>Net interest income after (release of) provision for credit losses</w:t>
            </w:r>
          </w:p>
        </w:tc>
        <w:tc>
          <w:tcPr>
            <w:tcW w:w="340" w:type="dxa"/>
            <w:vAlign w:val="bottom"/>
            <w:tcBorders>
              <w:bottom w:val="single" w:sz="8" w:color="auto"/>
            </w:tcBorders>
            <w:shd w:val="clear" w:color="auto" w:fill="DBDBDB"/>
          </w:tcPr>
          <w:p>
            <w:pPr>
              <w:spacing w:after="0"/>
              <w:rPr>
                <w:sz w:val="19"/>
                <w:szCs w:val="19"/>
                <w:color w:val="auto"/>
              </w:rPr>
            </w:pPr>
          </w:p>
        </w:tc>
        <w:tc>
          <w:tcPr>
            <w:tcW w:w="114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67,044</w:t>
            </w:r>
          </w:p>
        </w:tc>
        <w:tc>
          <w:tcPr>
            <w:tcW w:w="100" w:type="dxa"/>
            <w:vAlign w:val="bottom"/>
            <w:shd w:val="clear" w:color="auto" w:fill="DBDBDB"/>
          </w:tcPr>
          <w:p>
            <w:pPr>
              <w:spacing w:after="0"/>
              <w:rPr>
                <w:sz w:val="19"/>
                <w:szCs w:val="19"/>
                <w:color w:val="auto"/>
              </w:rPr>
            </w:pPr>
          </w:p>
        </w:tc>
        <w:tc>
          <w:tcPr>
            <w:tcW w:w="340" w:type="dxa"/>
            <w:vAlign w:val="bottom"/>
            <w:tcBorders>
              <w:bottom w:val="single" w:sz="8" w:color="auto"/>
            </w:tcBorders>
            <w:shd w:val="clear" w:color="auto" w:fill="DBDBDB"/>
          </w:tcPr>
          <w:p>
            <w:pPr>
              <w:spacing w:after="0"/>
              <w:rPr>
                <w:sz w:val="19"/>
                <w:szCs w:val="19"/>
                <w:color w:val="auto"/>
              </w:rPr>
            </w:pPr>
          </w:p>
        </w:tc>
        <w:tc>
          <w:tcPr>
            <w:tcW w:w="114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57,494</w:t>
            </w:r>
          </w:p>
        </w:tc>
        <w:tc>
          <w:tcPr>
            <w:tcW w:w="100" w:type="dxa"/>
            <w:vAlign w:val="bottom"/>
            <w:shd w:val="clear" w:color="auto" w:fill="DBDBDB"/>
          </w:tcPr>
          <w:p>
            <w:pPr>
              <w:spacing w:after="0"/>
              <w:rPr>
                <w:sz w:val="19"/>
                <w:szCs w:val="19"/>
                <w:color w:val="auto"/>
              </w:rPr>
            </w:pPr>
          </w:p>
        </w:tc>
        <w:tc>
          <w:tcPr>
            <w:tcW w:w="520" w:type="dxa"/>
            <w:vAlign w:val="bottom"/>
            <w:tcBorders>
              <w:bottom w:val="single" w:sz="8" w:color="auto"/>
            </w:tcBorders>
            <w:shd w:val="clear" w:color="auto" w:fill="DBDBDB"/>
          </w:tcPr>
          <w:p>
            <w:pPr>
              <w:spacing w:after="0"/>
              <w:rPr>
                <w:sz w:val="19"/>
                <w:szCs w:val="19"/>
                <w:color w:val="auto"/>
              </w:rPr>
            </w:pPr>
          </w:p>
        </w:tc>
        <w:tc>
          <w:tcPr>
            <w:tcW w:w="96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44,456</w:t>
            </w:r>
          </w:p>
        </w:tc>
      </w:tr>
      <w:tr>
        <w:trPr>
          <w:trHeight w:val="223"/>
        </w:trPr>
        <w:tc>
          <w:tcPr>
            <w:tcW w:w="6600" w:type="dxa"/>
            <w:vAlign w:val="bottom"/>
            <w:tcBorders>
              <w:bottom w:val="single" w:sz="8" w:color="DBDBDB"/>
            </w:tcBorders>
          </w:tcPr>
          <w:p>
            <w:pPr>
              <w:ind w:left="900"/>
              <w:spacing w:after="0"/>
              <w:rPr>
                <w:sz w:val="20"/>
                <w:szCs w:val="20"/>
                <w:color w:val="auto"/>
              </w:rPr>
            </w:pPr>
            <w:r>
              <w:rPr>
                <w:rFonts w:ascii="Times New Roman" w:cs="Times New Roman" w:eastAsia="Times New Roman" w:hAnsi="Times New Roman"/>
                <w:sz w:val="18"/>
                <w:szCs w:val="18"/>
                <w:color w:val="auto"/>
              </w:rPr>
              <w:t>Total net revenue</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197,511</w:t>
            </w:r>
          </w:p>
        </w:tc>
        <w:tc>
          <w:tcPr>
            <w:tcW w:w="100" w:type="dxa"/>
            <w:vAlign w:val="bottom"/>
            <w:tcBorders>
              <w:bottom w:val="single" w:sz="8" w:color="DBDBDB"/>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182,476</w:t>
            </w:r>
          </w:p>
        </w:tc>
        <w:tc>
          <w:tcPr>
            <w:tcW w:w="100" w:type="dxa"/>
            <w:vAlign w:val="bottom"/>
            <w:tcBorders>
              <w:bottom w:val="single" w:sz="8" w:color="DBDBDB"/>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154,147</w:t>
            </w:r>
          </w:p>
        </w:tc>
      </w:tr>
      <w:tr>
        <w:trPr>
          <w:trHeight w:val="250"/>
        </w:trPr>
        <w:tc>
          <w:tcPr>
            <w:tcW w:w="6600" w:type="dxa"/>
            <w:vAlign w:val="bottom"/>
            <w:shd w:val="clear" w:color="auto" w:fill="DBDBDB"/>
          </w:tcPr>
          <w:p>
            <w:pPr>
              <w:spacing w:after="0"/>
              <w:rPr>
                <w:sz w:val="21"/>
                <w:szCs w:val="21"/>
                <w:color w:val="auto"/>
              </w:rPr>
            </w:pPr>
          </w:p>
        </w:tc>
        <w:tc>
          <w:tcPr>
            <w:tcW w:w="340" w:type="dxa"/>
            <w:vAlign w:val="bottom"/>
            <w:shd w:val="clear" w:color="auto" w:fill="DBDBDB"/>
          </w:tcPr>
          <w:p>
            <w:pPr>
              <w:spacing w:after="0"/>
              <w:rPr>
                <w:sz w:val="21"/>
                <w:szCs w:val="21"/>
                <w:color w:val="auto"/>
              </w:rPr>
            </w:pPr>
          </w:p>
        </w:tc>
        <w:tc>
          <w:tcPr>
            <w:tcW w:w="1140" w:type="dxa"/>
            <w:vAlign w:val="bottom"/>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340" w:type="dxa"/>
            <w:vAlign w:val="bottom"/>
            <w:shd w:val="clear" w:color="auto" w:fill="DBDBDB"/>
          </w:tcPr>
          <w:p>
            <w:pPr>
              <w:spacing w:after="0"/>
              <w:rPr>
                <w:sz w:val="21"/>
                <w:szCs w:val="21"/>
                <w:color w:val="auto"/>
              </w:rPr>
            </w:pPr>
          </w:p>
        </w:tc>
        <w:tc>
          <w:tcPr>
            <w:tcW w:w="1140" w:type="dxa"/>
            <w:vAlign w:val="bottom"/>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520" w:type="dxa"/>
            <w:vAlign w:val="bottom"/>
            <w:shd w:val="clear" w:color="auto" w:fill="DBDBDB"/>
          </w:tcPr>
          <w:p>
            <w:pPr>
              <w:spacing w:after="0"/>
              <w:rPr>
                <w:sz w:val="21"/>
                <w:szCs w:val="21"/>
                <w:color w:val="auto"/>
              </w:rPr>
            </w:pPr>
          </w:p>
        </w:tc>
        <w:tc>
          <w:tcPr>
            <w:tcW w:w="960" w:type="dxa"/>
            <w:vAlign w:val="bottom"/>
            <w:shd w:val="clear" w:color="auto" w:fill="DBDBDB"/>
          </w:tcPr>
          <w:p>
            <w:pPr>
              <w:spacing w:after="0"/>
              <w:rPr>
                <w:sz w:val="21"/>
                <w:szCs w:val="21"/>
                <w:color w:val="auto"/>
              </w:rPr>
            </w:pPr>
          </w:p>
        </w:tc>
      </w:tr>
      <w:tr>
        <w:trPr>
          <w:trHeight w:val="23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660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Personnel</w:t>
            </w:r>
          </w:p>
        </w:tc>
        <w:tc>
          <w:tcPr>
            <w:tcW w:w="340" w:type="dxa"/>
            <w:vAlign w:val="bottom"/>
            <w:shd w:val="clear" w:color="auto" w:fill="DBDBDB"/>
          </w:tcPr>
          <w:p>
            <w:pPr>
              <w:spacing w:after="0"/>
              <w:rPr>
                <w:sz w:val="19"/>
                <w:szCs w:val="19"/>
                <w:color w:val="auto"/>
              </w:rPr>
            </w:pPr>
          </w:p>
        </w:tc>
        <w:tc>
          <w:tcPr>
            <w:tcW w:w="11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118,694</w:t>
            </w:r>
          </w:p>
        </w:tc>
        <w:tc>
          <w:tcPr>
            <w:tcW w:w="100" w:type="dxa"/>
            <w:vAlign w:val="bottom"/>
            <w:shd w:val="clear" w:color="auto" w:fill="DBDBDB"/>
          </w:tcPr>
          <w:p>
            <w:pPr>
              <w:spacing w:after="0"/>
              <w:rPr>
                <w:sz w:val="19"/>
                <w:szCs w:val="19"/>
                <w:color w:val="auto"/>
              </w:rPr>
            </w:pPr>
          </w:p>
        </w:tc>
        <w:tc>
          <w:tcPr>
            <w:tcW w:w="340" w:type="dxa"/>
            <w:vAlign w:val="bottom"/>
            <w:shd w:val="clear" w:color="auto" w:fill="DBDBDB"/>
          </w:tcPr>
          <w:p>
            <w:pPr>
              <w:spacing w:after="0"/>
              <w:rPr>
                <w:sz w:val="19"/>
                <w:szCs w:val="19"/>
                <w:color w:val="auto"/>
              </w:rPr>
            </w:pPr>
          </w:p>
        </w:tc>
        <w:tc>
          <w:tcPr>
            <w:tcW w:w="11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106,474</w:t>
            </w:r>
          </w:p>
        </w:tc>
        <w:tc>
          <w:tcPr>
            <w:tcW w:w="100" w:type="dxa"/>
            <w:vAlign w:val="bottom"/>
            <w:shd w:val="clear" w:color="auto" w:fill="DBDBDB"/>
          </w:tcPr>
          <w:p>
            <w:pPr>
              <w:spacing w:after="0"/>
              <w:rPr>
                <w:sz w:val="19"/>
                <w:szCs w:val="19"/>
                <w:color w:val="auto"/>
              </w:rPr>
            </w:pPr>
          </w:p>
        </w:tc>
        <w:tc>
          <w:tcPr>
            <w:tcW w:w="520" w:type="dxa"/>
            <w:vAlign w:val="bottom"/>
            <w:shd w:val="clear" w:color="auto" w:fill="DBDBDB"/>
          </w:tcPr>
          <w:p>
            <w:pPr>
              <w:spacing w:after="0"/>
              <w:rPr>
                <w:sz w:val="19"/>
                <w:szCs w:val="19"/>
                <w:color w:val="auto"/>
              </w:rPr>
            </w:pPr>
          </w:p>
        </w:tc>
        <w:tc>
          <w:tcPr>
            <w:tcW w:w="9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92,155</w:t>
            </w:r>
          </w:p>
        </w:tc>
      </w:tr>
      <w:tr>
        <w:trPr>
          <w:trHeight w:val="229"/>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Occupancy</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3,676</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3,824</w:t>
            </w:r>
          </w:p>
        </w:tc>
      </w:tr>
      <w:tr>
        <w:trPr>
          <w:trHeight w:val="230"/>
        </w:trPr>
        <w:tc>
          <w:tcPr>
            <w:tcW w:w="660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Equipment</w:t>
            </w:r>
          </w:p>
        </w:tc>
        <w:tc>
          <w:tcPr>
            <w:tcW w:w="340" w:type="dxa"/>
            <w:vAlign w:val="bottom"/>
            <w:shd w:val="clear" w:color="auto" w:fill="DBDBDB"/>
          </w:tcPr>
          <w:p>
            <w:pPr>
              <w:spacing w:after="0"/>
              <w:rPr>
                <w:sz w:val="19"/>
                <w:szCs w:val="19"/>
                <w:color w:val="auto"/>
              </w:rPr>
            </w:pPr>
          </w:p>
        </w:tc>
        <w:tc>
          <w:tcPr>
            <w:tcW w:w="11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7,138</w:t>
            </w:r>
          </w:p>
        </w:tc>
        <w:tc>
          <w:tcPr>
            <w:tcW w:w="100" w:type="dxa"/>
            <w:vAlign w:val="bottom"/>
            <w:shd w:val="clear" w:color="auto" w:fill="DBDBDB"/>
          </w:tcPr>
          <w:p>
            <w:pPr>
              <w:spacing w:after="0"/>
              <w:rPr>
                <w:sz w:val="19"/>
                <w:szCs w:val="19"/>
                <w:color w:val="auto"/>
              </w:rPr>
            </w:pPr>
          </w:p>
        </w:tc>
        <w:tc>
          <w:tcPr>
            <w:tcW w:w="340" w:type="dxa"/>
            <w:vAlign w:val="bottom"/>
            <w:shd w:val="clear" w:color="auto" w:fill="DBDBDB"/>
          </w:tcPr>
          <w:p>
            <w:pPr>
              <w:spacing w:after="0"/>
              <w:rPr>
                <w:sz w:val="19"/>
                <w:szCs w:val="19"/>
                <w:color w:val="auto"/>
              </w:rPr>
            </w:pPr>
          </w:p>
        </w:tc>
        <w:tc>
          <w:tcPr>
            <w:tcW w:w="11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6,668</w:t>
            </w:r>
          </w:p>
        </w:tc>
        <w:tc>
          <w:tcPr>
            <w:tcW w:w="100" w:type="dxa"/>
            <w:vAlign w:val="bottom"/>
            <w:shd w:val="clear" w:color="auto" w:fill="DBDBDB"/>
          </w:tcPr>
          <w:p>
            <w:pPr>
              <w:spacing w:after="0"/>
              <w:rPr>
                <w:sz w:val="19"/>
                <w:szCs w:val="19"/>
                <w:color w:val="auto"/>
              </w:rPr>
            </w:pPr>
          </w:p>
        </w:tc>
        <w:tc>
          <w:tcPr>
            <w:tcW w:w="520" w:type="dxa"/>
            <w:vAlign w:val="bottom"/>
            <w:shd w:val="clear" w:color="auto" w:fill="DBDBDB"/>
          </w:tcPr>
          <w:p>
            <w:pPr>
              <w:spacing w:after="0"/>
              <w:rPr>
                <w:sz w:val="19"/>
                <w:szCs w:val="19"/>
                <w:color w:val="auto"/>
              </w:rPr>
            </w:pPr>
          </w:p>
        </w:tc>
        <w:tc>
          <w:tcPr>
            <w:tcW w:w="9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6,745</w:t>
            </w:r>
          </w:p>
        </w:tc>
      </w:tr>
      <w:tr>
        <w:trPr>
          <w:trHeight w:val="23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859</w:t>
            </w:r>
          </w:p>
        </w:tc>
      </w:tr>
      <w:tr>
        <w:trPr>
          <w:trHeight w:val="230"/>
        </w:trPr>
        <w:tc>
          <w:tcPr>
            <w:tcW w:w="660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Other operating</w:t>
            </w:r>
          </w:p>
        </w:tc>
        <w:tc>
          <w:tcPr>
            <w:tcW w:w="340" w:type="dxa"/>
            <w:vAlign w:val="bottom"/>
            <w:tcBorders>
              <w:bottom w:val="single" w:sz="8" w:color="auto"/>
            </w:tcBorders>
            <w:shd w:val="clear" w:color="auto" w:fill="DBDBDB"/>
          </w:tcPr>
          <w:p>
            <w:pPr>
              <w:spacing w:after="0"/>
              <w:rPr>
                <w:sz w:val="19"/>
                <w:szCs w:val="19"/>
                <w:color w:val="auto"/>
              </w:rPr>
            </w:pPr>
          </w:p>
        </w:tc>
        <w:tc>
          <w:tcPr>
            <w:tcW w:w="114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29,983</w:t>
            </w:r>
          </w:p>
        </w:tc>
        <w:tc>
          <w:tcPr>
            <w:tcW w:w="100" w:type="dxa"/>
            <w:vAlign w:val="bottom"/>
            <w:shd w:val="clear" w:color="auto" w:fill="DBDBDB"/>
          </w:tcPr>
          <w:p>
            <w:pPr>
              <w:spacing w:after="0"/>
              <w:rPr>
                <w:sz w:val="19"/>
                <w:szCs w:val="19"/>
                <w:color w:val="auto"/>
              </w:rPr>
            </w:pPr>
          </w:p>
        </w:tc>
        <w:tc>
          <w:tcPr>
            <w:tcW w:w="340" w:type="dxa"/>
            <w:vAlign w:val="bottom"/>
            <w:tcBorders>
              <w:bottom w:val="single" w:sz="8" w:color="auto"/>
            </w:tcBorders>
            <w:shd w:val="clear" w:color="auto" w:fill="DBDBDB"/>
          </w:tcPr>
          <w:p>
            <w:pPr>
              <w:spacing w:after="0"/>
              <w:rPr>
                <w:sz w:val="19"/>
                <w:szCs w:val="19"/>
                <w:color w:val="auto"/>
              </w:rPr>
            </w:pPr>
          </w:p>
        </w:tc>
        <w:tc>
          <w:tcPr>
            <w:tcW w:w="114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22,078</w:t>
            </w:r>
          </w:p>
        </w:tc>
        <w:tc>
          <w:tcPr>
            <w:tcW w:w="100" w:type="dxa"/>
            <w:vAlign w:val="bottom"/>
            <w:shd w:val="clear" w:color="auto" w:fill="DBDBDB"/>
          </w:tcPr>
          <w:p>
            <w:pPr>
              <w:spacing w:after="0"/>
              <w:rPr>
                <w:sz w:val="19"/>
                <w:szCs w:val="19"/>
                <w:color w:val="auto"/>
              </w:rPr>
            </w:pPr>
          </w:p>
        </w:tc>
        <w:tc>
          <w:tcPr>
            <w:tcW w:w="520" w:type="dxa"/>
            <w:vAlign w:val="bottom"/>
            <w:tcBorders>
              <w:bottom w:val="single" w:sz="8" w:color="auto"/>
            </w:tcBorders>
            <w:shd w:val="clear" w:color="auto" w:fill="DBDBDB"/>
          </w:tcPr>
          <w:p>
            <w:pPr>
              <w:spacing w:after="0"/>
              <w:rPr>
                <w:sz w:val="19"/>
                <w:szCs w:val="19"/>
                <w:color w:val="auto"/>
              </w:rPr>
            </w:pPr>
          </w:p>
        </w:tc>
        <w:tc>
          <w:tcPr>
            <w:tcW w:w="96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16,743</w:t>
            </w:r>
          </w:p>
        </w:tc>
      </w:tr>
      <w:tr>
        <w:trPr>
          <w:trHeight w:val="223"/>
        </w:trPr>
        <w:tc>
          <w:tcPr>
            <w:tcW w:w="6600" w:type="dxa"/>
            <w:vAlign w:val="bottom"/>
            <w:tcBorders>
              <w:bottom w:val="single" w:sz="8" w:color="DBDBDB"/>
            </w:tcBorders>
          </w:tcPr>
          <w:p>
            <w:pPr>
              <w:ind w:left="560"/>
              <w:spacing w:after="0"/>
              <w:rPr>
                <w:sz w:val="20"/>
                <w:szCs w:val="20"/>
                <w:color w:val="auto"/>
              </w:rPr>
            </w:pPr>
            <w:r>
              <w:rPr>
                <w:rFonts w:ascii="Times New Roman" w:cs="Times New Roman" w:eastAsia="Times New Roman" w:hAnsi="Times New Roman"/>
                <w:sz w:val="18"/>
                <w:szCs w:val="18"/>
                <w:color w:val="auto"/>
              </w:rPr>
              <w:t>Total operating expense</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160,155</w:t>
            </w:r>
          </w:p>
        </w:tc>
        <w:tc>
          <w:tcPr>
            <w:tcW w:w="100" w:type="dxa"/>
            <w:vAlign w:val="bottom"/>
            <w:tcBorders>
              <w:bottom w:val="single" w:sz="8" w:color="DBDBDB"/>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139,576</w:t>
            </w:r>
          </w:p>
        </w:tc>
        <w:tc>
          <w:tcPr>
            <w:tcW w:w="100" w:type="dxa"/>
            <w:vAlign w:val="bottom"/>
            <w:tcBorders>
              <w:bottom w:val="single" w:sz="8" w:color="DBDBDB"/>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120,326</w:t>
            </w:r>
          </w:p>
        </w:tc>
      </w:tr>
      <w:tr>
        <w:trPr>
          <w:trHeight w:val="223"/>
        </w:trPr>
        <w:tc>
          <w:tcPr>
            <w:tcW w:w="6600" w:type="dxa"/>
            <w:vAlign w:val="bottom"/>
            <w:shd w:val="clear" w:color="auto" w:fill="DBDBDB"/>
          </w:tcPr>
          <w:p>
            <w:pPr>
              <w:ind w:left="900"/>
              <w:spacing w:after="0"/>
              <w:rPr>
                <w:sz w:val="20"/>
                <w:szCs w:val="20"/>
                <w:color w:val="auto"/>
              </w:rPr>
            </w:pPr>
            <w:r>
              <w:rPr>
                <w:rFonts w:ascii="Times New Roman" w:cs="Times New Roman" w:eastAsia="Times New Roman" w:hAnsi="Times New Roman"/>
                <w:sz w:val="18"/>
                <w:szCs w:val="18"/>
                <w:color w:val="auto"/>
              </w:rPr>
              <w:t>Income before income tax expense</w:t>
            </w:r>
          </w:p>
        </w:tc>
        <w:tc>
          <w:tcPr>
            <w:tcW w:w="340" w:type="dxa"/>
            <w:vAlign w:val="bottom"/>
            <w:shd w:val="clear" w:color="auto" w:fill="DBDBDB"/>
          </w:tcPr>
          <w:p>
            <w:pPr>
              <w:spacing w:after="0"/>
              <w:rPr>
                <w:sz w:val="19"/>
                <w:szCs w:val="19"/>
                <w:color w:val="auto"/>
              </w:rPr>
            </w:pPr>
          </w:p>
        </w:tc>
        <w:tc>
          <w:tcPr>
            <w:tcW w:w="11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37,356</w:t>
            </w:r>
          </w:p>
        </w:tc>
        <w:tc>
          <w:tcPr>
            <w:tcW w:w="100" w:type="dxa"/>
            <w:vAlign w:val="bottom"/>
            <w:shd w:val="clear" w:color="auto" w:fill="DBDBDB"/>
          </w:tcPr>
          <w:p>
            <w:pPr>
              <w:spacing w:after="0"/>
              <w:rPr>
                <w:sz w:val="19"/>
                <w:szCs w:val="19"/>
                <w:color w:val="auto"/>
              </w:rPr>
            </w:pPr>
          </w:p>
        </w:tc>
        <w:tc>
          <w:tcPr>
            <w:tcW w:w="340" w:type="dxa"/>
            <w:vAlign w:val="bottom"/>
            <w:shd w:val="clear" w:color="auto" w:fill="DBDBDB"/>
          </w:tcPr>
          <w:p>
            <w:pPr>
              <w:spacing w:after="0"/>
              <w:rPr>
                <w:sz w:val="19"/>
                <w:szCs w:val="19"/>
                <w:color w:val="auto"/>
              </w:rPr>
            </w:pPr>
          </w:p>
        </w:tc>
        <w:tc>
          <w:tcPr>
            <w:tcW w:w="11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42,900</w:t>
            </w:r>
          </w:p>
        </w:tc>
        <w:tc>
          <w:tcPr>
            <w:tcW w:w="100" w:type="dxa"/>
            <w:vAlign w:val="bottom"/>
            <w:shd w:val="clear" w:color="auto" w:fill="DBDBDB"/>
          </w:tcPr>
          <w:p>
            <w:pPr>
              <w:spacing w:after="0"/>
              <w:rPr>
                <w:sz w:val="19"/>
                <w:szCs w:val="19"/>
                <w:color w:val="auto"/>
              </w:rPr>
            </w:pPr>
          </w:p>
        </w:tc>
        <w:tc>
          <w:tcPr>
            <w:tcW w:w="520" w:type="dxa"/>
            <w:vAlign w:val="bottom"/>
            <w:shd w:val="clear" w:color="auto" w:fill="DBDBDB"/>
          </w:tcPr>
          <w:p>
            <w:pPr>
              <w:spacing w:after="0"/>
              <w:rPr>
                <w:sz w:val="19"/>
                <w:szCs w:val="19"/>
                <w:color w:val="auto"/>
              </w:rPr>
            </w:pPr>
          </w:p>
        </w:tc>
        <w:tc>
          <w:tcPr>
            <w:tcW w:w="9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33,821</w:t>
            </w:r>
          </w:p>
        </w:tc>
      </w:tr>
      <w:tr>
        <w:trPr>
          <w:trHeight w:val="230"/>
        </w:trPr>
        <w:tc>
          <w:tcPr>
            <w:tcW w:w="6600" w:type="dxa"/>
            <w:vAlign w:val="bottom"/>
            <w:tcBorders>
              <w:bottom w:val="single" w:sz="8" w:color="DBDBDB"/>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7,297</w:t>
            </w:r>
          </w:p>
        </w:tc>
        <w:tc>
          <w:tcPr>
            <w:tcW w:w="100" w:type="dxa"/>
            <w:vAlign w:val="bottom"/>
            <w:tcBorders>
              <w:bottom w:val="single" w:sz="8" w:color="DBDBDB"/>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7,996</w:t>
            </w:r>
          </w:p>
        </w:tc>
        <w:tc>
          <w:tcPr>
            <w:tcW w:w="100" w:type="dxa"/>
            <w:vAlign w:val="bottom"/>
            <w:tcBorders>
              <w:bottom w:val="single" w:sz="8" w:color="DBDBDB"/>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5,217</w:t>
            </w:r>
          </w:p>
        </w:tc>
      </w:tr>
      <w:tr>
        <w:trPr>
          <w:trHeight w:val="248"/>
        </w:trPr>
        <w:tc>
          <w:tcPr>
            <w:tcW w:w="6600" w:type="dxa"/>
            <w:vAlign w:val="bottom"/>
            <w:tcBorders>
              <w:bottom w:val="single" w:sz="8" w:color="DBDBDB"/>
            </w:tcBorders>
            <w:shd w:val="clear" w:color="auto" w:fill="DBDBDB"/>
          </w:tcPr>
          <w:p>
            <w:pPr>
              <w:ind w:left="90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tcBorders>
              <w:bottom w:val="single" w:sz="8" w:color="auto"/>
            </w:tcBorders>
            <w:shd w:val="clear" w:color="auto" w:fill="DBDBDB"/>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30,059</w:t>
            </w:r>
          </w:p>
        </w:tc>
        <w:tc>
          <w:tcPr>
            <w:tcW w:w="100" w:type="dxa"/>
            <w:vAlign w:val="bottom"/>
            <w:tcBorders>
              <w:bottom w:val="single" w:sz="8" w:color="DBDBDB"/>
            </w:tcBorders>
            <w:shd w:val="clear" w:color="auto" w:fill="DBDBDB"/>
          </w:tcPr>
          <w:p>
            <w:pPr>
              <w:spacing w:after="0"/>
              <w:rPr>
                <w:sz w:val="21"/>
                <w:szCs w:val="21"/>
                <w:color w:val="auto"/>
              </w:rPr>
            </w:pPr>
          </w:p>
        </w:tc>
        <w:tc>
          <w:tcPr>
            <w:tcW w:w="340" w:type="dxa"/>
            <w:vAlign w:val="bottom"/>
            <w:tcBorders>
              <w:bottom w:val="single" w:sz="8" w:color="auto"/>
            </w:tcBorders>
            <w:shd w:val="clear" w:color="auto" w:fill="DBDBDB"/>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34,904</w:t>
            </w:r>
          </w:p>
        </w:tc>
        <w:tc>
          <w:tcPr>
            <w:tcW w:w="100" w:type="dxa"/>
            <w:vAlign w:val="bottom"/>
            <w:tcBorders>
              <w:bottom w:val="single" w:sz="8" w:color="DBDBDB"/>
            </w:tcBorders>
            <w:shd w:val="clear" w:color="auto" w:fill="DBDBDB"/>
          </w:tcPr>
          <w:p>
            <w:pPr>
              <w:spacing w:after="0"/>
              <w:rPr>
                <w:sz w:val="21"/>
                <w:szCs w:val="21"/>
                <w:color w:val="auto"/>
              </w:rPr>
            </w:pPr>
          </w:p>
        </w:tc>
        <w:tc>
          <w:tcPr>
            <w:tcW w:w="520" w:type="dxa"/>
            <w:vAlign w:val="bottom"/>
            <w:tcBorders>
              <w:bottom w:val="single" w:sz="8" w:color="auto"/>
            </w:tcBorders>
            <w:shd w:val="clear" w:color="auto" w:fill="DBDBDB"/>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28,604</w:t>
            </w:r>
          </w:p>
        </w:tc>
      </w:tr>
      <w:tr>
        <w:trPr>
          <w:trHeight w:val="20"/>
        </w:trPr>
        <w:tc>
          <w:tcPr>
            <w:tcW w:w="6600" w:type="dxa"/>
            <w:vAlign w:val="bottom"/>
            <w:tcBorders>
              <w:top w:val="single" w:sz="8" w:color="DBDBDB"/>
            </w:tcBorders>
          </w:tcPr>
          <w:p>
            <w:pPr>
              <w:spacing w:after="0" w:line="20" w:lineRule="exact"/>
              <w:rPr>
                <w:sz w:val="1"/>
                <w:szCs w:val="1"/>
                <w:color w:val="auto"/>
              </w:rPr>
            </w:pPr>
          </w:p>
        </w:tc>
        <w:tc>
          <w:tcPr>
            <w:tcW w:w="340" w:type="dxa"/>
            <w:vAlign w:val="bottom"/>
            <w:tcBorders>
              <w:top w:val="single" w:sz="8" w:color="DBDBDB"/>
              <w:bottom w:val="single" w:sz="8" w:color="auto"/>
            </w:tcBorders>
          </w:tcPr>
          <w:p>
            <w:pPr>
              <w:spacing w:after="0" w:line="20" w:lineRule="exact"/>
              <w:rPr>
                <w:sz w:val="1"/>
                <w:szCs w:val="1"/>
                <w:color w:val="auto"/>
              </w:rPr>
            </w:pPr>
          </w:p>
        </w:tc>
        <w:tc>
          <w:tcPr>
            <w:tcW w:w="114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40" w:type="dxa"/>
            <w:vAlign w:val="bottom"/>
            <w:tcBorders>
              <w:top w:val="single" w:sz="8" w:color="DBDBDB"/>
              <w:bottom w:val="single" w:sz="8" w:color="auto"/>
            </w:tcBorders>
          </w:tcPr>
          <w:p>
            <w:pPr>
              <w:spacing w:after="0" w:line="20" w:lineRule="exact"/>
              <w:rPr>
                <w:sz w:val="1"/>
                <w:szCs w:val="1"/>
                <w:color w:val="auto"/>
              </w:rPr>
            </w:pPr>
          </w:p>
        </w:tc>
        <w:tc>
          <w:tcPr>
            <w:tcW w:w="114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520" w:type="dxa"/>
            <w:vAlign w:val="bottom"/>
            <w:tcBorders>
              <w:top w:val="single" w:sz="8" w:color="DBDBDB"/>
              <w:bottom w:val="single" w:sz="8" w:color="auto"/>
            </w:tcBorders>
          </w:tcPr>
          <w:p>
            <w:pPr>
              <w:spacing w:after="0" w:line="20" w:lineRule="exact"/>
              <w:rPr>
                <w:sz w:val="1"/>
                <w:szCs w:val="1"/>
                <w:color w:val="auto"/>
              </w:rPr>
            </w:pPr>
          </w:p>
        </w:tc>
        <w:tc>
          <w:tcPr>
            <w:tcW w:w="960" w:type="dxa"/>
            <w:vAlign w:val="bottom"/>
            <w:tcBorders>
              <w:top w:val="single" w:sz="8" w:color="DBDBDB"/>
              <w:bottom w:val="single" w:sz="8" w:color="auto"/>
            </w:tcBorders>
          </w:tcPr>
          <w:p>
            <w:pPr>
              <w:spacing w:after="0" w:line="20" w:lineRule="exact"/>
              <w:rPr>
                <w:sz w:val="1"/>
                <w:szCs w:val="1"/>
                <w:color w:val="auto"/>
              </w:rPr>
            </w:pPr>
          </w:p>
        </w:tc>
      </w:tr>
      <w:tr>
        <w:trPr>
          <w:trHeight w:val="217"/>
        </w:trPr>
        <w:tc>
          <w:tcPr>
            <w:tcW w:w="6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29"/>
        </w:trPr>
        <w:tc>
          <w:tcPr>
            <w:tcW w:w="660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Basic Earnings Per Share</w:t>
            </w:r>
          </w:p>
        </w:tc>
        <w:tc>
          <w:tcPr>
            <w:tcW w:w="340" w:type="dxa"/>
            <w:vAlign w:val="bottom"/>
            <w:shd w:val="clear" w:color="auto" w:fill="DBDBDB"/>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00" w:type="dxa"/>
            <w:vAlign w:val="bottom"/>
            <w:shd w:val="clear" w:color="auto" w:fill="DBDBDB"/>
          </w:tcPr>
          <w:p>
            <w:pPr>
              <w:spacing w:after="0"/>
              <w:rPr>
                <w:sz w:val="19"/>
                <w:szCs w:val="19"/>
                <w:color w:val="auto"/>
              </w:rPr>
            </w:pPr>
          </w:p>
        </w:tc>
        <w:tc>
          <w:tcPr>
            <w:tcW w:w="340" w:type="dxa"/>
            <w:vAlign w:val="bottom"/>
            <w:shd w:val="clear" w:color="auto" w:fill="DBDBDB"/>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100" w:type="dxa"/>
            <w:vAlign w:val="bottom"/>
            <w:shd w:val="clear" w:color="auto" w:fill="DBDBDB"/>
          </w:tcPr>
          <w:p>
            <w:pPr>
              <w:spacing w:after="0"/>
              <w:rPr>
                <w:sz w:val="19"/>
                <w:szCs w:val="19"/>
                <w:color w:val="auto"/>
              </w:rPr>
            </w:pPr>
          </w:p>
        </w:tc>
        <w:tc>
          <w:tcPr>
            <w:tcW w:w="520" w:type="dxa"/>
            <w:vAlign w:val="bottom"/>
            <w:shd w:val="clear" w:color="auto" w:fill="DBDBDB"/>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2.03</w:t>
            </w:r>
          </w:p>
        </w:tc>
      </w:tr>
      <w:tr>
        <w:trPr>
          <w:trHeight w:val="234"/>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r>
    </w:tbl>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CASS INFORMATION SYSTEMS,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34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c>
          <w:tcPr>
            <w:tcW w:w="960" w:type="dxa"/>
            <w:vAlign w:val="bottom"/>
            <w:tcBorders>
              <w:bottom w:val="single" w:sz="8" w:color="auto"/>
            </w:tcBorders>
          </w:tcPr>
          <w:p>
            <w:pPr>
              <w:spacing w:after="0"/>
              <w:rPr>
                <w:sz w:val="20"/>
                <w:szCs w:val="20"/>
                <w:color w:val="auto"/>
              </w:rPr>
            </w:pPr>
          </w:p>
        </w:tc>
      </w:tr>
      <w:tr>
        <w:trPr>
          <w:trHeight w:val="223"/>
        </w:trPr>
        <w:tc>
          <w:tcPr>
            <w:tcW w:w="6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660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w:t>
            </w:r>
          </w:p>
        </w:tc>
        <w:tc>
          <w:tcPr>
            <w:tcW w:w="340" w:type="dxa"/>
            <w:vAlign w:val="bottom"/>
            <w:shd w:val="clear" w:color="auto" w:fill="DBDBDB"/>
          </w:tcPr>
          <w:p>
            <w:pPr>
              <w:spacing w:after="0"/>
              <w:rPr>
                <w:sz w:val="19"/>
                <w:szCs w:val="19"/>
                <w:color w:val="auto"/>
              </w:rPr>
            </w:pPr>
          </w:p>
        </w:tc>
        <w:tc>
          <w:tcPr>
            <w:tcW w:w="11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340" w:type="dxa"/>
            <w:vAlign w:val="bottom"/>
            <w:shd w:val="clear" w:color="auto" w:fill="DBDBDB"/>
          </w:tcPr>
          <w:p>
            <w:pPr>
              <w:spacing w:after="0"/>
              <w:rPr>
                <w:sz w:val="19"/>
                <w:szCs w:val="19"/>
                <w:color w:val="auto"/>
              </w:rPr>
            </w:pPr>
          </w:p>
        </w:tc>
        <w:tc>
          <w:tcPr>
            <w:tcW w:w="11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520" w:type="dxa"/>
            <w:vAlign w:val="bottom"/>
            <w:shd w:val="clear" w:color="auto" w:fill="DBDBDB"/>
          </w:tcPr>
          <w:p>
            <w:pPr>
              <w:spacing w:after="0"/>
              <w:rPr>
                <w:sz w:val="19"/>
                <w:szCs w:val="19"/>
                <w:color w:val="auto"/>
              </w:rPr>
            </w:pPr>
          </w:p>
        </w:tc>
        <w:tc>
          <w:tcPr>
            <w:tcW w:w="960" w:type="dxa"/>
            <w:vAlign w:val="bottom"/>
            <w:shd w:val="clear" w:color="auto" w:fill="DBDBDB"/>
          </w:tcPr>
          <w:p>
            <w:pPr>
              <w:spacing w:after="0"/>
              <w:rPr>
                <w:sz w:val="19"/>
                <w:szCs w:val="19"/>
                <w:color w:val="auto"/>
              </w:rPr>
            </w:pPr>
          </w:p>
        </w:tc>
      </w:tr>
      <w:tr>
        <w:trPr>
          <w:trHeight w:val="23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30,059</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34,904</w:t>
            </w:r>
          </w:p>
        </w:tc>
        <w:tc>
          <w:tcPr>
            <w:tcW w:w="100" w:type="dxa"/>
            <w:vAlign w:val="bottom"/>
          </w:tcPr>
          <w:p>
            <w:pPr>
              <w:spacing w:after="0"/>
              <w:rPr>
                <w:sz w:val="19"/>
                <w:szCs w:val="19"/>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28,604</w:t>
            </w:r>
          </w:p>
        </w:tc>
      </w:tr>
      <w:tr>
        <w:trPr>
          <w:trHeight w:val="229"/>
        </w:trPr>
        <w:tc>
          <w:tcPr>
            <w:tcW w:w="660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340" w:type="dxa"/>
            <w:vAlign w:val="bottom"/>
            <w:shd w:val="clear" w:color="auto" w:fill="DBDBDB"/>
          </w:tcPr>
          <w:p>
            <w:pPr>
              <w:spacing w:after="0"/>
              <w:rPr>
                <w:sz w:val="19"/>
                <w:szCs w:val="19"/>
                <w:color w:val="auto"/>
              </w:rPr>
            </w:pPr>
          </w:p>
        </w:tc>
        <w:tc>
          <w:tcPr>
            <w:tcW w:w="11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340" w:type="dxa"/>
            <w:vAlign w:val="bottom"/>
            <w:shd w:val="clear" w:color="auto" w:fill="DBDBDB"/>
          </w:tcPr>
          <w:p>
            <w:pPr>
              <w:spacing w:after="0"/>
              <w:rPr>
                <w:sz w:val="19"/>
                <w:szCs w:val="19"/>
                <w:color w:val="auto"/>
              </w:rPr>
            </w:pPr>
          </w:p>
        </w:tc>
        <w:tc>
          <w:tcPr>
            <w:tcW w:w="11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520" w:type="dxa"/>
            <w:vAlign w:val="bottom"/>
            <w:shd w:val="clear" w:color="auto" w:fill="DBDBDB"/>
          </w:tcPr>
          <w:p>
            <w:pPr>
              <w:spacing w:after="0"/>
              <w:rPr>
                <w:sz w:val="19"/>
                <w:szCs w:val="19"/>
                <w:color w:val="auto"/>
              </w:rPr>
            </w:pPr>
          </w:p>
        </w:tc>
        <w:tc>
          <w:tcPr>
            <w:tcW w:w="960" w:type="dxa"/>
            <w:vAlign w:val="bottom"/>
            <w:shd w:val="clear" w:color="auto" w:fill="DBDBDB"/>
          </w:tcPr>
          <w:p>
            <w:pPr>
              <w:spacing w:after="0"/>
              <w:rPr>
                <w:sz w:val="19"/>
                <w:szCs w:val="19"/>
                <w:color w:val="auto"/>
              </w:rPr>
            </w:pPr>
          </w:p>
        </w:tc>
      </w:tr>
      <w:tr>
        <w:trPr>
          <w:trHeight w:val="229"/>
        </w:trPr>
        <w:tc>
          <w:tcPr>
            <w:tcW w:w="6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unrealized gain (loss) on securities available-for-sale</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12,605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(79,746)</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(10,447)</w:t>
            </w:r>
          </w:p>
        </w:tc>
      </w:tr>
      <w:tr>
        <w:trPr>
          <w:trHeight w:val="230"/>
        </w:trPr>
        <w:tc>
          <w:tcPr>
            <w:tcW w:w="6600" w:type="dxa"/>
            <w:vAlign w:val="bottom"/>
            <w:shd w:val="clear" w:color="auto" w:fill="DBDBDB"/>
          </w:tcPr>
          <w:p>
            <w:pPr>
              <w:ind w:left="680"/>
              <w:spacing w:after="0"/>
              <w:rPr>
                <w:sz w:val="20"/>
                <w:szCs w:val="20"/>
                <w:color w:val="auto"/>
              </w:rPr>
            </w:pPr>
            <w:r>
              <w:rPr>
                <w:rFonts w:ascii="Times New Roman" w:cs="Times New Roman" w:eastAsia="Times New Roman" w:hAnsi="Times New Roman"/>
                <w:sz w:val="18"/>
                <w:szCs w:val="18"/>
                <w:color w:val="auto"/>
              </w:rPr>
              <w:t>Tax effect</w:t>
            </w:r>
          </w:p>
        </w:tc>
        <w:tc>
          <w:tcPr>
            <w:tcW w:w="340" w:type="dxa"/>
            <w:vAlign w:val="bottom"/>
            <w:shd w:val="clear" w:color="auto" w:fill="DBDBDB"/>
          </w:tcPr>
          <w:p>
            <w:pPr>
              <w:spacing w:after="0"/>
              <w:rPr>
                <w:sz w:val="19"/>
                <w:szCs w:val="19"/>
                <w:color w:val="auto"/>
              </w:rPr>
            </w:pPr>
          </w:p>
        </w:tc>
        <w:tc>
          <w:tcPr>
            <w:tcW w:w="11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100" w:type="dxa"/>
            <w:vAlign w:val="bottom"/>
            <w:shd w:val="clear" w:color="auto" w:fill="DBDBDB"/>
          </w:tcPr>
          <w:p>
            <w:pPr>
              <w:spacing w:after="0"/>
              <w:rPr>
                <w:sz w:val="19"/>
                <w:szCs w:val="19"/>
                <w:color w:val="auto"/>
              </w:rPr>
            </w:pPr>
          </w:p>
        </w:tc>
        <w:tc>
          <w:tcPr>
            <w:tcW w:w="340" w:type="dxa"/>
            <w:vAlign w:val="bottom"/>
            <w:shd w:val="clear" w:color="auto" w:fill="DBDBDB"/>
          </w:tcPr>
          <w:p>
            <w:pPr>
              <w:spacing w:after="0"/>
              <w:rPr>
                <w:sz w:val="19"/>
                <w:szCs w:val="19"/>
                <w:color w:val="auto"/>
              </w:rPr>
            </w:pPr>
          </w:p>
        </w:tc>
        <w:tc>
          <w:tcPr>
            <w:tcW w:w="11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18,981</w:t>
            </w:r>
          </w:p>
        </w:tc>
        <w:tc>
          <w:tcPr>
            <w:tcW w:w="100" w:type="dxa"/>
            <w:vAlign w:val="bottom"/>
            <w:shd w:val="clear" w:color="auto" w:fill="DBDBDB"/>
          </w:tcPr>
          <w:p>
            <w:pPr>
              <w:spacing w:after="0"/>
              <w:rPr>
                <w:sz w:val="19"/>
                <w:szCs w:val="19"/>
                <w:color w:val="auto"/>
              </w:rPr>
            </w:pPr>
          </w:p>
        </w:tc>
        <w:tc>
          <w:tcPr>
            <w:tcW w:w="520" w:type="dxa"/>
            <w:vAlign w:val="bottom"/>
            <w:shd w:val="clear" w:color="auto" w:fill="DBDBDB"/>
          </w:tcPr>
          <w:p>
            <w:pPr>
              <w:spacing w:after="0"/>
              <w:rPr>
                <w:sz w:val="19"/>
                <w:szCs w:val="19"/>
                <w:color w:val="auto"/>
              </w:rPr>
            </w:pPr>
          </w:p>
        </w:tc>
        <w:tc>
          <w:tcPr>
            <w:tcW w:w="9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2,487</w:t>
            </w:r>
          </w:p>
        </w:tc>
      </w:tr>
      <w:tr>
        <w:trPr>
          <w:trHeight w:val="229"/>
        </w:trPr>
        <w:tc>
          <w:tcPr>
            <w:tcW w:w="6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Reclassification adjustments for losses (gains) included in net income</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30"/>
        </w:trPr>
        <w:tc>
          <w:tcPr>
            <w:tcW w:w="6600" w:type="dxa"/>
            <w:vAlign w:val="bottom"/>
            <w:shd w:val="clear" w:color="auto" w:fill="DBDBDB"/>
          </w:tcPr>
          <w:p>
            <w:pPr>
              <w:ind w:left="680"/>
              <w:spacing w:after="0"/>
              <w:rPr>
                <w:sz w:val="20"/>
                <w:szCs w:val="20"/>
                <w:color w:val="auto"/>
              </w:rPr>
            </w:pPr>
            <w:r>
              <w:rPr>
                <w:rFonts w:ascii="Times New Roman" w:cs="Times New Roman" w:eastAsia="Times New Roman" w:hAnsi="Times New Roman"/>
                <w:sz w:val="18"/>
                <w:szCs w:val="18"/>
                <w:color w:val="auto"/>
              </w:rPr>
              <w:t>Tax effect</w:t>
            </w:r>
          </w:p>
        </w:tc>
        <w:tc>
          <w:tcPr>
            <w:tcW w:w="340" w:type="dxa"/>
            <w:vAlign w:val="bottom"/>
            <w:shd w:val="clear" w:color="auto" w:fill="DBDBDB"/>
          </w:tcPr>
          <w:p>
            <w:pPr>
              <w:spacing w:after="0"/>
              <w:rPr>
                <w:sz w:val="19"/>
                <w:szCs w:val="19"/>
                <w:color w:val="auto"/>
              </w:rPr>
            </w:pPr>
          </w:p>
        </w:tc>
        <w:tc>
          <w:tcPr>
            <w:tcW w:w="11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shd w:val="clear" w:color="auto" w:fill="DBDBDB"/>
          </w:tcPr>
          <w:p>
            <w:pPr>
              <w:spacing w:after="0"/>
              <w:rPr>
                <w:sz w:val="19"/>
                <w:szCs w:val="19"/>
                <w:color w:val="auto"/>
              </w:rPr>
            </w:pPr>
          </w:p>
        </w:tc>
        <w:tc>
          <w:tcPr>
            <w:tcW w:w="340" w:type="dxa"/>
            <w:vAlign w:val="bottom"/>
            <w:shd w:val="clear" w:color="auto" w:fill="DBDBDB"/>
          </w:tcPr>
          <w:p>
            <w:pPr>
              <w:spacing w:after="0"/>
              <w:rPr>
                <w:sz w:val="19"/>
                <w:szCs w:val="19"/>
                <w:color w:val="auto"/>
              </w:rPr>
            </w:pPr>
          </w:p>
        </w:tc>
        <w:tc>
          <w:tcPr>
            <w:tcW w:w="11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DBDBDB"/>
          </w:tcPr>
          <w:p>
            <w:pPr>
              <w:spacing w:after="0"/>
              <w:rPr>
                <w:sz w:val="19"/>
                <w:szCs w:val="19"/>
                <w:color w:val="auto"/>
              </w:rPr>
            </w:pPr>
          </w:p>
        </w:tc>
        <w:tc>
          <w:tcPr>
            <w:tcW w:w="520" w:type="dxa"/>
            <w:vAlign w:val="bottom"/>
            <w:shd w:val="clear" w:color="auto" w:fill="DBDBDB"/>
          </w:tcPr>
          <w:p>
            <w:pPr>
              <w:spacing w:after="0"/>
              <w:rPr>
                <w:sz w:val="19"/>
                <w:szCs w:val="19"/>
                <w:color w:val="auto"/>
              </w:rPr>
            </w:pPr>
          </w:p>
        </w:tc>
        <w:tc>
          <w:tcPr>
            <w:tcW w:w="9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29"/>
        </w:trPr>
        <w:tc>
          <w:tcPr>
            <w:tcW w:w="6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FASB ASC 715 pension adjustment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1,504</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11,363</w:t>
            </w:r>
          </w:p>
        </w:tc>
      </w:tr>
      <w:tr>
        <w:trPr>
          <w:trHeight w:val="229"/>
        </w:trPr>
        <w:tc>
          <w:tcPr>
            <w:tcW w:w="6600" w:type="dxa"/>
            <w:vAlign w:val="bottom"/>
            <w:shd w:val="clear" w:color="auto" w:fill="DBDBDB"/>
          </w:tcPr>
          <w:p>
            <w:pPr>
              <w:ind w:left="680"/>
              <w:spacing w:after="0"/>
              <w:rPr>
                <w:sz w:val="20"/>
                <w:szCs w:val="20"/>
                <w:color w:val="auto"/>
              </w:rPr>
            </w:pPr>
            <w:r>
              <w:rPr>
                <w:rFonts w:ascii="Times New Roman" w:cs="Times New Roman" w:eastAsia="Times New Roman" w:hAnsi="Times New Roman"/>
                <w:sz w:val="18"/>
                <w:szCs w:val="18"/>
                <w:color w:val="auto"/>
              </w:rPr>
              <w:t>Tax effect</w:t>
            </w:r>
          </w:p>
        </w:tc>
        <w:tc>
          <w:tcPr>
            <w:tcW w:w="340" w:type="dxa"/>
            <w:vAlign w:val="bottom"/>
            <w:shd w:val="clear" w:color="auto" w:fill="DBDBDB"/>
          </w:tcPr>
          <w:p>
            <w:pPr>
              <w:spacing w:after="0"/>
              <w:rPr>
                <w:sz w:val="19"/>
                <w:szCs w:val="19"/>
                <w:color w:val="auto"/>
              </w:rPr>
            </w:pPr>
          </w:p>
        </w:tc>
        <w:tc>
          <w:tcPr>
            <w:tcW w:w="11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(607)</w:t>
            </w:r>
          </w:p>
        </w:tc>
        <w:tc>
          <w:tcPr>
            <w:tcW w:w="100" w:type="dxa"/>
            <w:vAlign w:val="bottom"/>
            <w:shd w:val="clear" w:color="auto" w:fill="DBDBDB"/>
          </w:tcPr>
          <w:p>
            <w:pPr>
              <w:spacing w:after="0"/>
              <w:rPr>
                <w:sz w:val="19"/>
                <w:szCs w:val="19"/>
                <w:color w:val="auto"/>
              </w:rPr>
            </w:pPr>
          </w:p>
        </w:tc>
        <w:tc>
          <w:tcPr>
            <w:tcW w:w="340" w:type="dxa"/>
            <w:vAlign w:val="bottom"/>
            <w:shd w:val="clear" w:color="auto" w:fill="DBDBDB"/>
          </w:tcPr>
          <w:p>
            <w:pPr>
              <w:spacing w:after="0"/>
              <w:rPr>
                <w:sz w:val="19"/>
                <w:szCs w:val="19"/>
                <w:color w:val="auto"/>
              </w:rPr>
            </w:pPr>
          </w:p>
        </w:tc>
        <w:tc>
          <w:tcPr>
            <w:tcW w:w="11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100" w:type="dxa"/>
            <w:vAlign w:val="bottom"/>
            <w:shd w:val="clear" w:color="auto" w:fill="DBDBDB"/>
          </w:tcPr>
          <w:p>
            <w:pPr>
              <w:spacing w:after="0"/>
              <w:rPr>
                <w:sz w:val="19"/>
                <w:szCs w:val="19"/>
                <w:color w:val="auto"/>
              </w:rPr>
            </w:pPr>
          </w:p>
        </w:tc>
        <w:tc>
          <w:tcPr>
            <w:tcW w:w="520" w:type="dxa"/>
            <w:vAlign w:val="bottom"/>
            <w:shd w:val="clear" w:color="auto" w:fill="DBDBDB"/>
          </w:tcPr>
          <w:p>
            <w:pPr>
              <w:spacing w:after="0"/>
              <w:rPr>
                <w:sz w:val="19"/>
                <w:szCs w:val="19"/>
                <w:color w:val="auto"/>
              </w:rPr>
            </w:pPr>
          </w:p>
        </w:tc>
        <w:tc>
          <w:tcPr>
            <w:tcW w:w="9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(2,705)</w:t>
            </w:r>
          </w:p>
        </w:tc>
      </w:tr>
      <w:tr>
        <w:trPr>
          <w:trHeight w:val="230"/>
        </w:trPr>
        <w:tc>
          <w:tcPr>
            <w:tcW w:w="6600" w:type="dxa"/>
            <w:vAlign w:val="bottom"/>
            <w:tcBorders>
              <w:bottom w:val="single" w:sz="8" w:color="DBDBDB"/>
            </w:tcBorders>
          </w:tcPr>
          <w:p>
            <w:pPr>
              <w:ind w:left="360"/>
              <w:spacing w:after="0"/>
              <w:rPr>
                <w:sz w:val="20"/>
                <w:szCs w:val="20"/>
                <w:color w:val="auto"/>
              </w:rPr>
            </w:pPr>
            <w:r>
              <w:rPr>
                <w:rFonts w:ascii="Times New Roman" w:cs="Times New Roman" w:eastAsia="Times New Roman" w:hAnsi="Times New Roman"/>
                <w:sz w:val="18"/>
                <w:szCs w:val="18"/>
                <w:color w:val="auto"/>
              </w:rPr>
              <w:t>Foreign currency translation adjustments, net of tax</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00" w:type="dxa"/>
            <w:vAlign w:val="bottom"/>
            <w:tcBorders>
              <w:bottom w:val="single" w:sz="8" w:color="DBDBDB"/>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00" w:type="dxa"/>
            <w:vAlign w:val="bottom"/>
            <w:tcBorders>
              <w:bottom w:val="single" w:sz="8" w:color="DBDBDB"/>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w:t>
            </w:r>
          </w:p>
        </w:tc>
      </w:tr>
      <w:tr>
        <w:trPr>
          <w:trHeight w:val="223"/>
        </w:trPr>
        <w:tc>
          <w:tcPr>
            <w:tcW w:w="6600" w:type="dxa"/>
            <w:vAlign w:val="bottom"/>
            <w:shd w:val="clear" w:color="auto" w:fill="DBDBDB"/>
          </w:tcPr>
          <w:p>
            <w:pPr>
              <w:ind w:left="68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340" w:type="dxa"/>
            <w:vAlign w:val="bottom"/>
            <w:tcBorders>
              <w:bottom w:val="single" w:sz="8" w:color="auto"/>
            </w:tcBorders>
            <w:shd w:val="clear" w:color="auto" w:fill="DBDBDB"/>
          </w:tcPr>
          <w:p>
            <w:pPr>
              <w:spacing w:after="0"/>
              <w:rPr>
                <w:sz w:val="19"/>
                <w:szCs w:val="19"/>
                <w:color w:val="auto"/>
              </w:rPr>
            </w:pPr>
          </w:p>
        </w:tc>
        <w:tc>
          <w:tcPr>
            <w:tcW w:w="114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11,852</w:t>
            </w:r>
          </w:p>
        </w:tc>
        <w:tc>
          <w:tcPr>
            <w:tcW w:w="100" w:type="dxa"/>
            <w:vAlign w:val="bottom"/>
            <w:shd w:val="clear" w:color="auto" w:fill="DBDBDB"/>
          </w:tcPr>
          <w:p>
            <w:pPr>
              <w:spacing w:after="0"/>
              <w:rPr>
                <w:sz w:val="19"/>
                <w:szCs w:val="19"/>
                <w:color w:val="auto"/>
              </w:rPr>
            </w:pPr>
          </w:p>
        </w:tc>
        <w:tc>
          <w:tcPr>
            <w:tcW w:w="340" w:type="dxa"/>
            <w:vAlign w:val="bottom"/>
            <w:tcBorders>
              <w:bottom w:val="single" w:sz="8" w:color="auto"/>
            </w:tcBorders>
            <w:shd w:val="clear" w:color="auto" w:fill="DBDBDB"/>
          </w:tcPr>
          <w:p>
            <w:pPr>
              <w:spacing w:after="0"/>
              <w:rPr>
                <w:sz w:val="19"/>
                <w:szCs w:val="19"/>
                <w:color w:val="auto"/>
              </w:rPr>
            </w:pPr>
          </w:p>
        </w:tc>
        <w:tc>
          <w:tcPr>
            <w:tcW w:w="114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(59,774)</w:t>
            </w:r>
          </w:p>
        </w:tc>
        <w:tc>
          <w:tcPr>
            <w:tcW w:w="100" w:type="dxa"/>
            <w:vAlign w:val="bottom"/>
            <w:shd w:val="clear" w:color="auto" w:fill="DBDBDB"/>
          </w:tcPr>
          <w:p>
            <w:pPr>
              <w:spacing w:after="0"/>
              <w:rPr>
                <w:sz w:val="19"/>
                <w:szCs w:val="19"/>
                <w:color w:val="auto"/>
              </w:rPr>
            </w:pPr>
          </w:p>
        </w:tc>
        <w:tc>
          <w:tcPr>
            <w:tcW w:w="520" w:type="dxa"/>
            <w:vAlign w:val="bottom"/>
            <w:tcBorders>
              <w:bottom w:val="single" w:sz="8" w:color="auto"/>
            </w:tcBorders>
            <w:shd w:val="clear" w:color="auto" w:fill="DBDBDB"/>
          </w:tcPr>
          <w:p>
            <w:pPr>
              <w:spacing w:after="0"/>
              <w:rPr>
                <w:sz w:val="19"/>
                <w:szCs w:val="19"/>
                <w:color w:val="auto"/>
              </w:rPr>
            </w:pPr>
          </w:p>
        </w:tc>
        <w:tc>
          <w:tcPr>
            <w:tcW w:w="96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468</w:t>
            </w:r>
          </w:p>
        </w:tc>
      </w:tr>
      <w:tr>
        <w:trPr>
          <w:trHeight w:val="22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comprehensive income (loss)</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41,911</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(24,870)</w:t>
            </w:r>
          </w:p>
        </w:tc>
        <w:tc>
          <w:tcPr>
            <w:tcW w:w="100" w:type="dxa"/>
            <w:vAlign w:val="bottom"/>
          </w:tcPr>
          <w:p>
            <w:pPr>
              <w:spacing w:after="0"/>
              <w:rPr>
                <w:sz w:val="19"/>
                <w:szCs w:val="19"/>
                <w:color w:val="auto"/>
              </w:rPr>
            </w:pPr>
          </w:p>
        </w:tc>
        <w:tc>
          <w:tcPr>
            <w:tcW w:w="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29,072</w:t>
            </w:r>
          </w:p>
        </w:tc>
      </w:tr>
      <w:tr>
        <w:trPr>
          <w:trHeight w:val="20"/>
        </w:trPr>
        <w:tc>
          <w:tcPr>
            <w:tcW w:w="66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CASS INFORMATION SYSTEMS,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6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3280" w:type="dxa"/>
            <w:vAlign w:val="bottom"/>
            <w:tcBorders>
              <w:bottom w:val="single" w:sz="8" w:color="auto"/>
            </w:tcBorders>
            <w:gridSpan w:val="6"/>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tc>
        <w:tc>
          <w:tcPr>
            <w:tcW w:w="1020" w:type="dxa"/>
            <w:vAlign w:val="bottom"/>
            <w:tcBorders>
              <w:bottom w:val="single" w:sz="8" w:color="auto"/>
            </w:tcBorders>
          </w:tcPr>
          <w:p>
            <w:pPr>
              <w:spacing w:after="0"/>
              <w:rPr>
                <w:sz w:val="18"/>
                <w:szCs w:val="18"/>
                <w:color w:val="auto"/>
              </w:rPr>
            </w:pPr>
          </w:p>
        </w:tc>
      </w:tr>
      <w:tr>
        <w:trPr>
          <w:trHeight w:val="214"/>
        </w:trPr>
        <w:tc>
          <w:tcPr>
            <w:tcW w:w="6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11"/>
        </w:trPr>
        <w:tc>
          <w:tcPr>
            <w:tcW w:w="660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340" w:type="dxa"/>
            <w:vAlign w:val="bottom"/>
            <w:shd w:val="clear" w:color="auto" w:fill="DBDBDB"/>
          </w:tcPr>
          <w:p>
            <w:pPr>
              <w:spacing w:after="0"/>
              <w:rPr>
                <w:sz w:val="18"/>
                <w:szCs w:val="18"/>
                <w:color w:val="auto"/>
              </w:rPr>
            </w:pPr>
          </w:p>
        </w:tc>
        <w:tc>
          <w:tcPr>
            <w:tcW w:w="114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340" w:type="dxa"/>
            <w:vAlign w:val="bottom"/>
            <w:shd w:val="clear" w:color="auto" w:fill="DBDBDB"/>
          </w:tcPr>
          <w:p>
            <w:pPr>
              <w:spacing w:after="0"/>
              <w:rPr>
                <w:sz w:val="18"/>
                <w:szCs w:val="18"/>
                <w:color w:val="auto"/>
              </w:rPr>
            </w:pPr>
          </w:p>
        </w:tc>
        <w:tc>
          <w:tcPr>
            <w:tcW w:w="114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460" w:type="dxa"/>
            <w:vAlign w:val="bottom"/>
            <w:shd w:val="clear" w:color="auto" w:fill="DBDBDB"/>
          </w:tcPr>
          <w:p>
            <w:pPr>
              <w:spacing w:after="0"/>
              <w:rPr>
                <w:sz w:val="18"/>
                <w:szCs w:val="18"/>
                <w:color w:val="auto"/>
              </w:rPr>
            </w:pPr>
          </w:p>
        </w:tc>
        <w:tc>
          <w:tcPr>
            <w:tcW w:w="1020" w:type="dxa"/>
            <w:vAlign w:val="bottom"/>
            <w:shd w:val="clear" w:color="auto" w:fill="DBDBDB"/>
          </w:tcPr>
          <w:p>
            <w:pPr>
              <w:spacing w:after="0"/>
              <w:rPr>
                <w:sz w:val="18"/>
                <w:szCs w:val="18"/>
                <w:color w:val="auto"/>
              </w:rPr>
            </w:pPr>
          </w:p>
        </w:tc>
      </w:tr>
      <w:tr>
        <w:trPr>
          <w:trHeight w:val="213"/>
        </w:trPr>
        <w:tc>
          <w:tcPr>
            <w:tcW w:w="6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30,059</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34,904</w:t>
            </w:r>
          </w:p>
        </w:tc>
        <w:tc>
          <w:tcPr>
            <w:tcW w:w="100" w:type="dxa"/>
            <w:vAlign w:val="bottom"/>
          </w:tcPr>
          <w:p>
            <w:pPr>
              <w:spacing w:after="0"/>
              <w:rPr>
                <w:sz w:val="18"/>
                <w:szCs w:val="18"/>
                <w:color w:val="auto"/>
              </w:rPr>
            </w:pPr>
          </w:p>
        </w:tc>
        <w:tc>
          <w:tcPr>
            <w:tcW w:w="46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28,604</w:t>
            </w:r>
          </w:p>
        </w:tc>
      </w:tr>
      <w:tr>
        <w:trPr>
          <w:trHeight w:val="219"/>
        </w:trPr>
        <w:tc>
          <w:tcPr>
            <w:tcW w:w="660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340" w:type="dxa"/>
            <w:vAlign w:val="bottom"/>
            <w:shd w:val="clear" w:color="auto" w:fill="DBDBDB"/>
          </w:tcPr>
          <w:p>
            <w:pPr>
              <w:spacing w:after="0"/>
              <w:rPr>
                <w:sz w:val="19"/>
                <w:szCs w:val="19"/>
                <w:color w:val="auto"/>
              </w:rPr>
            </w:pPr>
          </w:p>
        </w:tc>
        <w:tc>
          <w:tcPr>
            <w:tcW w:w="11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340" w:type="dxa"/>
            <w:vAlign w:val="bottom"/>
            <w:shd w:val="clear" w:color="auto" w:fill="DBDBDB"/>
          </w:tcPr>
          <w:p>
            <w:pPr>
              <w:spacing w:after="0"/>
              <w:rPr>
                <w:sz w:val="19"/>
                <w:szCs w:val="19"/>
                <w:color w:val="auto"/>
              </w:rPr>
            </w:pPr>
          </w:p>
        </w:tc>
        <w:tc>
          <w:tcPr>
            <w:tcW w:w="11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460" w:type="dxa"/>
            <w:vAlign w:val="bottom"/>
            <w:shd w:val="clear" w:color="auto" w:fill="DBDBDB"/>
          </w:tcPr>
          <w:p>
            <w:pPr>
              <w:spacing w:after="0"/>
              <w:rPr>
                <w:sz w:val="19"/>
                <w:szCs w:val="19"/>
                <w:color w:val="auto"/>
              </w:rPr>
            </w:pPr>
          </w:p>
        </w:tc>
        <w:tc>
          <w:tcPr>
            <w:tcW w:w="1020" w:type="dxa"/>
            <w:vAlign w:val="bottom"/>
            <w:shd w:val="clear" w:color="auto" w:fill="DBDBDB"/>
          </w:tcPr>
          <w:p>
            <w:pPr>
              <w:spacing w:after="0"/>
              <w:rPr>
                <w:sz w:val="19"/>
                <w:szCs w:val="19"/>
                <w:color w:val="auto"/>
              </w:rPr>
            </w:pPr>
          </w:p>
        </w:tc>
      </w:tr>
      <w:tr>
        <w:trPr>
          <w:trHeight w:val="213"/>
        </w:trPr>
        <w:tc>
          <w:tcPr>
            <w:tcW w:w="660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680</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859</w:t>
            </w:r>
          </w:p>
        </w:tc>
      </w:tr>
      <w:tr>
        <w:trPr>
          <w:trHeight w:val="219"/>
        </w:trPr>
        <w:tc>
          <w:tcPr>
            <w:tcW w:w="6600" w:type="dxa"/>
            <w:vAlign w:val="bottom"/>
            <w:shd w:val="clear" w:color="auto" w:fill="DBDBDB"/>
          </w:tcPr>
          <w:p>
            <w:pPr>
              <w:ind w:left="560"/>
              <w:spacing w:after="0"/>
              <w:rPr>
                <w:sz w:val="20"/>
                <w:szCs w:val="20"/>
                <w:color w:val="auto"/>
              </w:rPr>
            </w:pPr>
            <w:r>
              <w:rPr>
                <w:rFonts w:ascii="Times New Roman" w:cs="Times New Roman" w:eastAsia="Times New Roman" w:hAnsi="Times New Roman"/>
                <w:sz w:val="16"/>
                <w:szCs w:val="16"/>
                <w:color w:val="auto"/>
              </w:rPr>
              <w:t>Net amortization of premium/discount on investment securities</w:t>
            </w:r>
          </w:p>
        </w:tc>
        <w:tc>
          <w:tcPr>
            <w:tcW w:w="340" w:type="dxa"/>
            <w:vAlign w:val="bottom"/>
            <w:shd w:val="clear" w:color="auto" w:fill="DBDBDB"/>
          </w:tcPr>
          <w:p>
            <w:pPr>
              <w:spacing w:after="0"/>
              <w:rPr>
                <w:sz w:val="19"/>
                <w:szCs w:val="19"/>
                <w:color w:val="auto"/>
              </w:rPr>
            </w:pPr>
          </w:p>
        </w:tc>
        <w:tc>
          <w:tcPr>
            <w:tcW w:w="11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6"/>
                <w:szCs w:val="16"/>
                <w:color w:val="auto"/>
              </w:rPr>
              <w:t>4,473</w:t>
            </w:r>
          </w:p>
        </w:tc>
        <w:tc>
          <w:tcPr>
            <w:tcW w:w="100" w:type="dxa"/>
            <w:vAlign w:val="bottom"/>
            <w:shd w:val="clear" w:color="auto" w:fill="DBDBDB"/>
          </w:tcPr>
          <w:p>
            <w:pPr>
              <w:spacing w:after="0"/>
              <w:rPr>
                <w:sz w:val="19"/>
                <w:szCs w:val="19"/>
                <w:color w:val="auto"/>
              </w:rPr>
            </w:pPr>
          </w:p>
        </w:tc>
        <w:tc>
          <w:tcPr>
            <w:tcW w:w="340" w:type="dxa"/>
            <w:vAlign w:val="bottom"/>
            <w:shd w:val="clear" w:color="auto" w:fill="DBDBDB"/>
          </w:tcPr>
          <w:p>
            <w:pPr>
              <w:spacing w:after="0"/>
              <w:rPr>
                <w:sz w:val="19"/>
                <w:szCs w:val="19"/>
                <w:color w:val="auto"/>
              </w:rPr>
            </w:pPr>
          </w:p>
        </w:tc>
        <w:tc>
          <w:tcPr>
            <w:tcW w:w="11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6"/>
                <w:szCs w:val="16"/>
                <w:color w:val="auto"/>
              </w:rPr>
              <w:t>6,275</w:t>
            </w:r>
          </w:p>
        </w:tc>
        <w:tc>
          <w:tcPr>
            <w:tcW w:w="100" w:type="dxa"/>
            <w:vAlign w:val="bottom"/>
            <w:shd w:val="clear" w:color="auto" w:fill="DBDBDB"/>
          </w:tcPr>
          <w:p>
            <w:pPr>
              <w:spacing w:after="0"/>
              <w:rPr>
                <w:sz w:val="19"/>
                <w:szCs w:val="19"/>
                <w:color w:val="auto"/>
              </w:rPr>
            </w:pPr>
          </w:p>
        </w:tc>
        <w:tc>
          <w:tcPr>
            <w:tcW w:w="460" w:type="dxa"/>
            <w:vAlign w:val="bottom"/>
            <w:shd w:val="clear" w:color="auto" w:fill="DBDBDB"/>
          </w:tcPr>
          <w:p>
            <w:pPr>
              <w:spacing w:after="0"/>
              <w:rPr>
                <w:sz w:val="19"/>
                <w:szCs w:val="19"/>
                <w:color w:val="auto"/>
              </w:rPr>
            </w:pPr>
          </w:p>
        </w:tc>
        <w:tc>
          <w:tcPr>
            <w:tcW w:w="10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6"/>
                <w:szCs w:val="16"/>
                <w:color w:val="auto"/>
              </w:rPr>
              <w:t>7,328</w:t>
            </w:r>
          </w:p>
        </w:tc>
      </w:tr>
      <w:tr>
        <w:trPr>
          <w:trHeight w:val="213"/>
        </w:trPr>
        <w:tc>
          <w:tcPr>
            <w:tcW w:w="660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Depreciation</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4,189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4,021</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4,313</w:t>
            </w:r>
          </w:p>
        </w:tc>
      </w:tr>
      <w:tr>
        <w:trPr>
          <w:trHeight w:val="219"/>
        </w:trPr>
        <w:tc>
          <w:tcPr>
            <w:tcW w:w="6600" w:type="dxa"/>
            <w:vAlign w:val="bottom"/>
            <w:shd w:val="clear" w:color="auto" w:fill="DBDBDB"/>
          </w:tcPr>
          <w:p>
            <w:pPr>
              <w:ind w:left="560"/>
              <w:spacing w:after="0"/>
              <w:rPr>
                <w:sz w:val="20"/>
                <w:szCs w:val="20"/>
                <w:color w:val="auto"/>
              </w:rPr>
            </w:pPr>
            <w:r>
              <w:rPr>
                <w:rFonts w:ascii="Times New Roman" w:cs="Times New Roman" w:eastAsia="Times New Roman" w:hAnsi="Times New Roman"/>
                <w:sz w:val="16"/>
                <w:szCs w:val="16"/>
                <w:color w:val="auto"/>
              </w:rPr>
              <w:t>Losses (gains) on sales of securities</w:t>
            </w:r>
          </w:p>
        </w:tc>
        <w:tc>
          <w:tcPr>
            <w:tcW w:w="340" w:type="dxa"/>
            <w:vAlign w:val="bottom"/>
            <w:shd w:val="clear" w:color="auto" w:fill="DBDBDB"/>
          </w:tcPr>
          <w:p>
            <w:pPr>
              <w:spacing w:after="0"/>
              <w:rPr>
                <w:sz w:val="19"/>
                <w:szCs w:val="19"/>
                <w:color w:val="auto"/>
              </w:rPr>
            </w:pPr>
          </w:p>
        </w:tc>
        <w:tc>
          <w:tcPr>
            <w:tcW w:w="11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6"/>
                <w:szCs w:val="16"/>
                <w:color w:val="auto"/>
              </w:rPr>
              <w:t>173</w:t>
            </w:r>
          </w:p>
        </w:tc>
        <w:tc>
          <w:tcPr>
            <w:tcW w:w="100" w:type="dxa"/>
            <w:vAlign w:val="bottom"/>
            <w:shd w:val="clear" w:color="auto" w:fill="DBDBDB"/>
          </w:tcPr>
          <w:p>
            <w:pPr>
              <w:spacing w:after="0"/>
              <w:rPr>
                <w:sz w:val="19"/>
                <w:szCs w:val="19"/>
                <w:color w:val="auto"/>
              </w:rPr>
            </w:pPr>
          </w:p>
        </w:tc>
        <w:tc>
          <w:tcPr>
            <w:tcW w:w="340" w:type="dxa"/>
            <w:vAlign w:val="bottom"/>
            <w:shd w:val="clear" w:color="auto" w:fill="DBDBDB"/>
          </w:tcPr>
          <w:p>
            <w:pPr>
              <w:spacing w:after="0"/>
              <w:rPr>
                <w:sz w:val="19"/>
                <w:szCs w:val="19"/>
                <w:color w:val="auto"/>
              </w:rPr>
            </w:pPr>
          </w:p>
        </w:tc>
        <w:tc>
          <w:tcPr>
            <w:tcW w:w="11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shd w:val="clear" w:color="auto" w:fill="DBDBDB"/>
          </w:tcPr>
          <w:p>
            <w:pPr>
              <w:spacing w:after="0"/>
              <w:rPr>
                <w:sz w:val="19"/>
                <w:szCs w:val="19"/>
                <w:color w:val="auto"/>
              </w:rPr>
            </w:pPr>
          </w:p>
        </w:tc>
        <w:tc>
          <w:tcPr>
            <w:tcW w:w="460" w:type="dxa"/>
            <w:vAlign w:val="bottom"/>
            <w:shd w:val="clear" w:color="auto" w:fill="DBDBDB"/>
          </w:tcPr>
          <w:p>
            <w:pPr>
              <w:spacing w:after="0"/>
              <w:rPr>
                <w:sz w:val="19"/>
                <w:szCs w:val="19"/>
                <w:color w:val="auto"/>
              </w:rPr>
            </w:pPr>
          </w:p>
        </w:tc>
        <w:tc>
          <w:tcPr>
            <w:tcW w:w="10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6"/>
                <w:szCs w:val="16"/>
                <w:color w:val="auto"/>
              </w:rPr>
              <w:t>(51)</w:t>
            </w:r>
          </w:p>
        </w:tc>
      </w:tr>
      <w:tr>
        <w:trPr>
          <w:trHeight w:val="213"/>
        </w:trPr>
        <w:tc>
          <w:tcPr>
            <w:tcW w:w="660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4,139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6,732</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2,859</w:t>
            </w:r>
          </w:p>
        </w:tc>
      </w:tr>
      <w:tr>
        <w:trPr>
          <w:trHeight w:val="219"/>
        </w:trPr>
        <w:tc>
          <w:tcPr>
            <w:tcW w:w="6600" w:type="dxa"/>
            <w:vAlign w:val="bottom"/>
            <w:shd w:val="clear" w:color="auto" w:fill="DBDBDB"/>
          </w:tcPr>
          <w:p>
            <w:pPr>
              <w:ind w:left="560"/>
              <w:spacing w:after="0"/>
              <w:rPr>
                <w:sz w:val="20"/>
                <w:szCs w:val="20"/>
                <w:color w:val="auto"/>
              </w:rPr>
            </w:pPr>
            <w:r>
              <w:rPr>
                <w:rFonts w:ascii="Times New Roman" w:cs="Times New Roman" w:eastAsia="Times New Roman" w:hAnsi="Times New Roman"/>
                <w:sz w:val="16"/>
                <w:szCs w:val="16"/>
                <w:color w:val="auto"/>
              </w:rPr>
              <w:t>(Release of) provision for credit losses</w:t>
            </w:r>
          </w:p>
        </w:tc>
        <w:tc>
          <w:tcPr>
            <w:tcW w:w="340" w:type="dxa"/>
            <w:vAlign w:val="bottom"/>
            <w:shd w:val="clear" w:color="auto" w:fill="DBDBDB"/>
          </w:tcPr>
          <w:p>
            <w:pPr>
              <w:spacing w:after="0"/>
              <w:rPr>
                <w:sz w:val="19"/>
                <w:szCs w:val="19"/>
                <w:color w:val="auto"/>
              </w:rPr>
            </w:pPr>
          </w:p>
        </w:tc>
        <w:tc>
          <w:tcPr>
            <w:tcW w:w="11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6"/>
                <w:szCs w:val="16"/>
                <w:color w:val="auto"/>
              </w:rPr>
              <w:t>(550)</w:t>
            </w:r>
          </w:p>
        </w:tc>
        <w:tc>
          <w:tcPr>
            <w:tcW w:w="100" w:type="dxa"/>
            <w:vAlign w:val="bottom"/>
            <w:shd w:val="clear" w:color="auto" w:fill="DBDBDB"/>
          </w:tcPr>
          <w:p>
            <w:pPr>
              <w:spacing w:after="0"/>
              <w:rPr>
                <w:sz w:val="19"/>
                <w:szCs w:val="19"/>
                <w:color w:val="auto"/>
              </w:rPr>
            </w:pPr>
          </w:p>
        </w:tc>
        <w:tc>
          <w:tcPr>
            <w:tcW w:w="340" w:type="dxa"/>
            <w:vAlign w:val="bottom"/>
            <w:shd w:val="clear" w:color="auto" w:fill="DBDBDB"/>
          </w:tcPr>
          <w:p>
            <w:pPr>
              <w:spacing w:after="0"/>
              <w:rPr>
                <w:sz w:val="19"/>
                <w:szCs w:val="19"/>
                <w:color w:val="auto"/>
              </w:rPr>
            </w:pPr>
          </w:p>
        </w:tc>
        <w:tc>
          <w:tcPr>
            <w:tcW w:w="11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6"/>
                <w:szCs w:val="16"/>
                <w:color w:val="auto"/>
              </w:rPr>
              <w:t>1,350</w:t>
            </w:r>
          </w:p>
        </w:tc>
        <w:tc>
          <w:tcPr>
            <w:tcW w:w="100" w:type="dxa"/>
            <w:vAlign w:val="bottom"/>
            <w:shd w:val="clear" w:color="auto" w:fill="DBDBDB"/>
          </w:tcPr>
          <w:p>
            <w:pPr>
              <w:spacing w:after="0"/>
              <w:rPr>
                <w:sz w:val="19"/>
                <w:szCs w:val="19"/>
                <w:color w:val="auto"/>
              </w:rPr>
            </w:pPr>
          </w:p>
        </w:tc>
        <w:tc>
          <w:tcPr>
            <w:tcW w:w="460" w:type="dxa"/>
            <w:vAlign w:val="bottom"/>
            <w:shd w:val="clear" w:color="auto" w:fill="DBDBDB"/>
          </w:tcPr>
          <w:p>
            <w:pPr>
              <w:spacing w:after="0"/>
              <w:rPr>
                <w:sz w:val="19"/>
                <w:szCs w:val="19"/>
                <w:color w:val="auto"/>
              </w:rPr>
            </w:pPr>
          </w:p>
        </w:tc>
        <w:tc>
          <w:tcPr>
            <w:tcW w:w="10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6"/>
                <w:szCs w:val="16"/>
                <w:color w:val="auto"/>
              </w:rPr>
              <w:t>(130)</w:t>
            </w:r>
          </w:p>
        </w:tc>
      </w:tr>
      <w:tr>
        <w:trPr>
          <w:trHeight w:val="213"/>
        </w:trPr>
        <w:tc>
          <w:tcPr>
            <w:tcW w:w="660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Deferred income tax benefit</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(1,163)</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(698)</w:t>
            </w:r>
          </w:p>
        </w:tc>
      </w:tr>
      <w:tr>
        <w:trPr>
          <w:trHeight w:val="219"/>
        </w:trPr>
        <w:tc>
          <w:tcPr>
            <w:tcW w:w="6600" w:type="dxa"/>
            <w:vAlign w:val="bottom"/>
            <w:shd w:val="clear" w:color="auto" w:fill="DBDBDB"/>
          </w:tcPr>
          <w:p>
            <w:pPr>
              <w:ind w:left="560"/>
              <w:spacing w:after="0"/>
              <w:rPr>
                <w:sz w:val="20"/>
                <w:szCs w:val="20"/>
                <w:color w:val="auto"/>
              </w:rPr>
            </w:pPr>
            <w:r>
              <w:rPr>
                <w:rFonts w:ascii="Times New Roman" w:cs="Times New Roman" w:eastAsia="Times New Roman" w:hAnsi="Times New Roman"/>
                <w:sz w:val="16"/>
                <w:szCs w:val="16"/>
                <w:color w:val="auto"/>
              </w:rPr>
              <w:t>(Decrease) increase in current income tax liability</w:t>
            </w:r>
          </w:p>
        </w:tc>
        <w:tc>
          <w:tcPr>
            <w:tcW w:w="340" w:type="dxa"/>
            <w:vAlign w:val="bottom"/>
            <w:shd w:val="clear" w:color="auto" w:fill="DBDBDB"/>
          </w:tcPr>
          <w:p>
            <w:pPr>
              <w:spacing w:after="0"/>
              <w:rPr>
                <w:sz w:val="19"/>
                <w:szCs w:val="19"/>
                <w:color w:val="auto"/>
              </w:rPr>
            </w:pPr>
          </w:p>
        </w:tc>
        <w:tc>
          <w:tcPr>
            <w:tcW w:w="11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6"/>
                <w:szCs w:val="16"/>
                <w:color w:val="auto"/>
              </w:rPr>
              <w:t>(1,481)</w:t>
            </w:r>
          </w:p>
        </w:tc>
        <w:tc>
          <w:tcPr>
            <w:tcW w:w="100" w:type="dxa"/>
            <w:vAlign w:val="bottom"/>
            <w:shd w:val="clear" w:color="auto" w:fill="DBDBDB"/>
          </w:tcPr>
          <w:p>
            <w:pPr>
              <w:spacing w:after="0"/>
              <w:rPr>
                <w:sz w:val="19"/>
                <w:szCs w:val="19"/>
                <w:color w:val="auto"/>
              </w:rPr>
            </w:pPr>
          </w:p>
        </w:tc>
        <w:tc>
          <w:tcPr>
            <w:tcW w:w="340" w:type="dxa"/>
            <w:vAlign w:val="bottom"/>
            <w:shd w:val="clear" w:color="auto" w:fill="DBDBDB"/>
          </w:tcPr>
          <w:p>
            <w:pPr>
              <w:spacing w:after="0"/>
              <w:rPr>
                <w:sz w:val="19"/>
                <w:szCs w:val="19"/>
                <w:color w:val="auto"/>
              </w:rPr>
            </w:pPr>
          </w:p>
        </w:tc>
        <w:tc>
          <w:tcPr>
            <w:tcW w:w="11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6"/>
                <w:szCs w:val="16"/>
                <w:color w:val="auto"/>
              </w:rPr>
              <w:t>724</w:t>
            </w:r>
          </w:p>
        </w:tc>
        <w:tc>
          <w:tcPr>
            <w:tcW w:w="100" w:type="dxa"/>
            <w:vAlign w:val="bottom"/>
            <w:shd w:val="clear" w:color="auto" w:fill="DBDBDB"/>
          </w:tcPr>
          <w:p>
            <w:pPr>
              <w:spacing w:after="0"/>
              <w:rPr>
                <w:sz w:val="19"/>
                <w:szCs w:val="19"/>
                <w:color w:val="auto"/>
              </w:rPr>
            </w:pPr>
          </w:p>
        </w:tc>
        <w:tc>
          <w:tcPr>
            <w:tcW w:w="460" w:type="dxa"/>
            <w:vAlign w:val="bottom"/>
            <w:shd w:val="clear" w:color="auto" w:fill="DBDBDB"/>
          </w:tcPr>
          <w:p>
            <w:pPr>
              <w:spacing w:after="0"/>
              <w:rPr>
                <w:sz w:val="19"/>
                <w:szCs w:val="19"/>
                <w:color w:val="auto"/>
              </w:rPr>
            </w:pPr>
          </w:p>
        </w:tc>
        <w:tc>
          <w:tcPr>
            <w:tcW w:w="10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6"/>
                <w:szCs w:val="16"/>
                <w:color w:val="auto"/>
              </w:rPr>
              <w:t>206</w:t>
            </w:r>
          </w:p>
        </w:tc>
      </w:tr>
      <w:tr>
        <w:trPr>
          <w:trHeight w:val="213"/>
        </w:trPr>
        <w:tc>
          <w:tcPr>
            <w:tcW w:w="660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Increase (decrease) in pension liability</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(2,484)</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(1,811)</w:t>
            </w:r>
          </w:p>
        </w:tc>
      </w:tr>
      <w:tr>
        <w:trPr>
          <w:trHeight w:val="219"/>
        </w:trPr>
        <w:tc>
          <w:tcPr>
            <w:tcW w:w="6600" w:type="dxa"/>
            <w:vAlign w:val="bottom"/>
            <w:shd w:val="clear" w:color="auto" w:fill="DBDBDB"/>
          </w:tcPr>
          <w:p>
            <w:pPr>
              <w:ind w:left="560"/>
              <w:spacing w:after="0"/>
              <w:rPr>
                <w:sz w:val="20"/>
                <w:szCs w:val="20"/>
                <w:color w:val="auto"/>
              </w:rPr>
            </w:pPr>
            <w:r>
              <w:rPr>
                <w:rFonts w:ascii="Times New Roman" w:cs="Times New Roman" w:eastAsia="Times New Roman" w:hAnsi="Times New Roman"/>
                <w:sz w:val="16"/>
                <w:szCs w:val="16"/>
                <w:color w:val="auto"/>
              </w:rPr>
              <w:t>Increase in accounts receivable</w:t>
            </w:r>
          </w:p>
        </w:tc>
        <w:tc>
          <w:tcPr>
            <w:tcW w:w="340" w:type="dxa"/>
            <w:vAlign w:val="bottom"/>
            <w:shd w:val="clear" w:color="auto" w:fill="DBDBDB"/>
          </w:tcPr>
          <w:p>
            <w:pPr>
              <w:spacing w:after="0"/>
              <w:rPr>
                <w:sz w:val="19"/>
                <w:szCs w:val="19"/>
                <w:color w:val="auto"/>
              </w:rPr>
            </w:pPr>
          </w:p>
        </w:tc>
        <w:tc>
          <w:tcPr>
            <w:tcW w:w="11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6"/>
                <w:szCs w:val="16"/>
                <w:color w:val="auto"/>
              </w:rPr>
              <w:t>(3,841)</w:t>
            </w:r>
          </w:p>
        </w:tc>
        <w:tc>
          <w:tcPr>
            <w:tcW w:w="100" w:type="dxa"/>
            <w:vAlign w:val="bottom"/>
            <w:shd w:val="clear" w:color="auto" w:fill="DBDBDB"/>
          </w:tcPr>
          <w:p>
            <w:pPr>
              <w:spacing w:after="0"/>
              <w:rPr>
                <w:sz w:val="19"/>
                <w:szCs w:val="19"/>
                <w:color w:val="auto"/>
              </w:rPr>
            </w:pPr>
          </w:p>
        </w:tc>
        <w:tc>
          <w:tcPr>
            <w:tcW w:w="340" w:type="dxa"/>
            <w:vAlign w:val="bottom"/>
            <w:shd w:val="clear" w:color="auto" w:fill="DBDBDB"/>
          </w:tcPr>
          <w:p>
            <w:pPr>
              <w:spacing w:after="0"/>
              <w:rPr>
                <w:sz w:val="19"/>
                <w:szCs w:val="19"/>
                <w:color w:val="auto"/>
              </w:rPr>
            </w:pPr>
          </w:p>
        </w:tc>
        <w:tc>
          <w:tcPr>
            <w:tcW w:w="11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6"/>
                <w:szCs w:val="16"/>
                <w:color w:val="auto"/>
              </w:rPr>
              <w:t>(2,520)</w:t>
            </w:r>
          </w:p>
        </w:tc>
        <w:tc>
          <w:tcPr>
            <w:tcW w:w="100" w:type="dxa"/>
            <w:vAlign w:val="bottom"/>
            <w:shd w:val="clear" w:color="auto" w:fill="DBDBDB"/>
          </w:tcPr>
          <w:p>
            <w:pPr>
              <w:spacing w:after="0"/>
              <w:rPr>
                <w:sz w:val="19"/>
                <w:szCs w:val="19"/>
                <w:color w:val="auto"/>
              </w:rPr>
            </w:pPr>
          </w:p>
        </w:tc>
        <w:tc>
          <w:tcPr>
            <w:tcW w:w="460" w:type="dxa"/>
            <w:vAlign w:val="bottom"/>
            <w:shd w:val="clear" w:color="auto" w:fill="DBDBDB"/>
          </w:tcPr>
          <w:p>
            <w:pPr>
              <w:spacing w:after="0"/>
              <w:rPr>
                <w:sz w:val="19"/>
                <w:szCs w:val="19"/>
                <w:color w:val="auto"/>
              </w:rPr>
            </w:pPr>
          </w:p>
        </w:tc>
        <w:tc>
          <w:tcPr>
            <w:tcW w:w="10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6"/>
                <w:szCs w:val="16"/>
                <w:color w:val="auto"/>
              </w:rPr>
              <w:t>(602)</w:t>
            </w:r>
          </w:p>
        </w:tc>
      </w:tr>
      <w:tr>
        <w:trPr>
          <w:trHeight w:val="213"/>
        </w:trPr>
        <w:tc>
          <w:tcPr>
            <w:tcW w:w="6600" w:type="dxa"/>
            <w:vAlign w:val="bottom"/>
            <w:tcBorders>
              <w:bottom w:val="single" w:sz="8" w:color="DBDBDB"/>
            </w:tcBorders>
          </w:tcPr>
          <w:p>
            <w:pPr>
              <w:ind w:left="560"/>
              <w:spacing w:after="0"/>
              <w:rPr>
                <w:sz w:val="20"/>
                <w:szCs w:val="20"/>
                <w:color w:val="auto"/>
              </w:rPr>
            </w:pPr>
            <w:r>
              <w:rPr>
                <w:rFonts w:ascii="Times New Roman" w:cs="Times New Roman" w:eastAsia="Times New Roman" w:hAnsi="Times New Roman"/>
                <w:sz w:val="16"/>
                <w:szCs w:val="16"/>
                <w:color w:val="auto"/>
              </w:rPr>
              <w:t>Other operating activities, net</w:t>
            </w: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(1,527)</w:t>
            </w:r>
          </w:p>
        </w:tc>
        <w:tc>
          <w:tcPr>
            <w:tcW w:w="100" w:type="dxa"/>
            <w:vAlign w:val="bottom"/>
            <w:tcBorders>
              <w:bottom w:val="single" w:sz="8" w:color="DBDBDB"/>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3,104</w:t>
            </w:r>
          </w:p>
        </w:tc>
        <w:tc>
          <w:tcPr>
            <w:tcW w:w="100" w:type="dxa"/>
            <w:vAlign w:val="bottom"/>
            <w:tcBorders>
              <w:bottom w:val="single" w:sz="8" w:color="DBDBDB"/>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(6,330)</w:t>
            </w:r>
          </w:p>
        </w:tc>
      </w:tr>
      <w:tr>
        <w:trPr>
          <w:trHeight w:val="212"/>
        </w:trPr>
        <w:tc>
          <w:tcPr>
            <w:tcW w:w="6600" w:type="dxa"/>
            <w:vAlign w:val="bottom"/>
            <w:shd w:val="clear" w:color="auto" w:fill="DBDBDB"/>
          </w:tcPr>
          <w:p>
            <w:pPr>
              <w:ind w:left="56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340" w:type="dxa"/>
            <w:vAlign w:val="bottom"/>
            <w:tcBorders>
              <w:bottom w:val="single" w:sz="8" w:color="auto"/>
            </w:tcBorders>
            <w:shd w:val="clear" w:color="auto" w:fill="DBDBDB"/>
          </w:tcPr>
          <w:p>
            <w:pPr>
              <w:spacing w:after="0"/>
              <w:rPr>
                <w:sz w:val="18"/>
                <w:szCs w:val="18"/>
                <w:color w:val="auto"/>
              </w:rPr>
            </w:pPr>
          </w:p>
        </w:tc>
        <w:tc>
          <w:tcPr>
            <w:tcW w:w="114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6"/>
                <w:szCs w:val="16"/>
                <w:color w:val="auto"/>
              </w:rPr>
              <w:t>36,936</w:t>
            </w:r>
          </w:p>
        </w:tc>
        <w:tc>
          <w:tcPr>
            <w:tcW w:w="100" w:type="dxa"/>
            <w:vAlign w:val="bottom"/>
            <w:shd w:val="clear" w:color="auto" w:fill="DBDBDB"/>
          </w:tcPr>
          <w:p>
            <w:pPr>
              <w:spacing w:after="0"/>
              <w:rPr>
                <w:sz w:val="18"/>
                <w:szCs w:val="18"/>
                <w:color w:val="auto"/>
              </w:rPr>
            </w:pPr>
          </w:p>
        </w:tc>
        <w:tc>
          <w:tcPr>
            <w:tcW w:w="340" w:type="dxa"/>
            <w:vAlign w:val="bottom"/>
            <w:tcBorders>
              <w:bottom w:val="single" w:sz="8" w:color="auto"/>
            </w:tcBorders>
            <w:shd w:val="clear" w:color="auto" w:fill="DBDBDB"/>
          </w:tcPr>
          <w:p>
            <w:pPr>
              <w:spacing w:after="0"/>
              <w:rPr>
                <w:sz w:val="18"/>
                <w:szCs w:val="18"/>
                <w:color w:val="auto"/>
              </w:rPr>
            </w:pPr>
          </w:p>
        </w:tc>
        <w:tc>
          <w:tcPr>
            <w:tcW w:w="114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6"/>
                <w:szCs w:val="16"/>
                <w:color w:val="auto"/>
              </w:rPr>
              <w:t>51,608</w:t>
            </w:r>
          </w:p>
        </w:tc>
        <w:tc>
          <w:tcPr>
            <w:tcW w:w="100" w:type="dxa"/>
            <w:vAlign w:val="bottom"/>
            <w:shd w:val="clear" w:color="auto" w:fill="DBDBDB"/>
          </w:tcPr>
          <w:p>
            <w:pPr>
              <w:spacing w:after="0"/>
              <w:rPr>
                <w:sz w:val="18"/>
                <w:szCs w:val="18"/>
                <w:color w:val="auto"/>
              </w:rPr>
            </w:pPr>
          </w:p>
        </w:tc>
        <w:tc>
          <w:tcPr>
            <w:tcW w:w="460" w:type="dxa"/>
            <w:vAlign w:val="bottom"/>
            <w:tcBorders>
              <w:bottom w:val="single" w:sz="8" w:color="auto"/>
            </w:tcBorders>
            <w:shd w:val="clear" w:color="auto" w:fill="DBDBDB"/>
          </w:tcPr>
          <w:p>
            <w:pPr>
              <w:spacing w:after="0"/>
              <w:rPr>
                <w:sz w:val="18"/>
                <w:szCs w:val="18"/>
                <w:color w:val="auto"/>
              </w:rPr>
            </w:pPr>
          </w:p>
        </w:tc>
        <w:tc>
          <w:tcPr>
            <w:tcW w:w="102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6"/>
                <w:szCs w:val="16"/>
                <w:color w:val="auto"/>
              </w:rPr>
              <w:t>34,547</w:t>
            </w:r>
          </w:p>
        </w:tc>
      </w:tr>
      <w:tr>
        <w:trPr>
          <w:trHeight w:val="34"/>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16"/>
        </w:trPr>
        <w:tc>
          <w:tcPr>
            <w:tcW w:w="660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340" w:type="dxa"/>
            <w:vAlign w:val="bottom"/>
            <w:shd w:val="clear" w:color="auto" w:fill="DBDBDB"/>
          </w:tcPr>
          <w:p>
            <w:pPr>
              <w:spacing w:after="0"/>
              <w:rPr>
                <w:sz w:val="18"/>
                <w:szCs w:val="18"/>
                <w:color w:val="auto"/>
              </w:rPr>
            </w:pPr>
          </w:p>
        </w:tc>
        <w:tc>
          <w:tcPr>
            <w:tcW w:w="114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340" w:type="dxa"/>
            <w:vAlign w:val="bottom"/>
            <w:shd w:val="clear" w:color="auto" w:fill="DBDBDB"/>
          </w:tcPr>
          <w:p>
            <w:pPr>
              <w:spacing w:after="0"/>
              <w:rPr>
                <w:sz w:val="18"/>
                <w:szCs w:val="18"/>
                <w:color w:val="auto"/>
              </w:rPr>
            </w:pPr>
          </w:p>
        </w:tc>
        <w:tc>
          <w:tcPr>
            <w:tcW w:w="114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460" w:type="dxa"/>
            <w:vAlign w:val="bottom"/>
            <w:shd w:val="clear" w:color="auto" w:fill="DBDBDB"/>
          </w:tcPr>
          <w:p>
            <w:pPr>
              <w:spacing w:after="0"/>
              <w:rPr>
                <w:sz w:val="18"/>
                <w:szCs w:val="18"/>
                <w:color w:val="auto"/>
              </w:rPr>
            </w:pPr>
          </w:p>
        </w:tc>
        <w:tc>
          <w:tcPr>
            <w:tcW w:w="1020" w:type="dxa"/>
            <w:vAlign w:val="bottom"/>
            <w:shd w:val="clear" w:color="auto" w:fill="DBDBDB"/>
          </w:tcPr>
          <w:p>
            <w:pPr>
              <w:spacing w:after="0"/>
              <w:rPr>
                <w:sz w:val="18"/>
                <w:szCs w:val="18"/>
                <w:color w:val="auto"/>
              </w:rPr>
            </w:pPr>
          </w:p>
        </w:tc>
      </w:tr>
      <w:tr>
        <w:trPr>
          <w:trHeight w:val="213"/>
        </w:trPr>
        <w:tc>
          <w:tcPr>
            <w:tcW w:w="6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Proceeds from sales of securities available-for-sale</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111,583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3,838</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63,774</w:t>
            </w:r>
          </w:p>
        </w:tc>
      </w:tr>
      <w:tr>
        <w:trPr>
          <w:trHeight w:val="219"/>
        </w:trPr>
        <w:tc>
          <w:tcPr>
            <w:tcW w:w="660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6"/>
                <w:szCs w:val="16"/>
                <w:color w:val="auto"/>
              </w:rPr>
              <w:t>Proceeds from maturities of securities available-for-sale</w:t>
            </w:r>
          </w:p>
        </w:tc>
        <w:tc>
          <w:tcPr>
            <w:tcW w:w="340" w:type="dxa"/>
            <w:vAlign w:val="bottom"/>
            <w:shd w:val="clear" w:color="auto" w:fill="DBDBDB"/>
          </w:tcPr>
          <w:p>
            <w:pPr>
              <w:spacing w:after="0"/>
              <w:rPr>
                <w:sz w:val="19"/>
                <w:szCs w:val="19"/>
                <w:color w:val="auto"/>
              </w:rPr>
            </w:pPr>
          </w:p>
        </w:tc>
        <w:tc>
          <w:tcPr>
            <w:tcW w:w="11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6"/>
                <w:szCs w:val="16"/>
                <w:color w:val="auto"/>
              </w:rPr>
              <w:t>39,233</w:t>
            </w:r>
          </w:p>
        </w:tc>
        <w:tc>
          <w:tcPr>
            <w:tcW w:w="100" w:type="dxa"/>
            <w:vAlign w:val="bottom"/>
            <w:shd w:val="clear" w:color="auto" w:fill="DBDBDB"/>
          </w:tcPr>
          <w:p>
            <w:pPr>
              <w:spacing w:after="0"/>
              <w:rPr>
                <w:sz w:val="19"/>
                <w:szCs w:val="19"/>
                <w:color w:val="auto"/>
              </w:rPr>
            </w:pPr>
          </w:p>
        </w:tc>
        <w:tc>
          <w:tcPr>
            <w:tcW w:w="340" w:type="dxa"/>
            <w:vAlign w:val="bottom"/>
            <w:shd w:val="clear" w:color="auto" w:fill="DBDBDB"/>
          </w:tcPr>
          <w:p>
            <w:pPr>
              <w:spacing w:after="0"/>
              <w:rPr>
                <w:sz w:val="19"/>
                <w:szCs w:val="19"/>
                <w:color w:val="auto"/>
              </w:rPr>
            </w:pPr>
          </w:p>
        </w:tc>
        <w:tc>
          <w:tcPr>
            <w:tcW w:w="11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6"/>
                <w:szCs w:val="16"/>
                <w:color w:val="auto"/>
              </w:rPr>
              <w:t>61,209</w:t>
            </w:r>
          </w:p>
        </w:tc>
        <w:tc>
          <w:tcPr>
            <w:tcW w:w="100" w:type="dxa"/>
            <w:vAlign w:val="bottom"/>
            <w:shd w:val="clear" w:color="auto" w:fill="DBDBDB"/>
          </w:tcPr>
          <w:p>
            <w:pPr>
              <w:spacing w:after="0"/>
              <w:rPr>
                <w:sz w:val="19"/>
                <w:szCs w:val="19"/>
                <w:color w:val="auto"/>
              </w:rPr>
            </w:pPr>
          </w:p>
        </w:tc>
        <w:tc>
          <w:tcPr>
            <w:tcW w:w="460" w:type="dxa"/>
            <w:vAlign w:val="bottom"/>
            <w:shd w:val="clear" w:color="auto" w:fill="DBDBDB"/>
          </w:tcPr>
          <w:p>
            <w:pPr>
              <w:spacing w:after="0"/>
              <w:rPr>
                <w:sz w:val="19"/>
                <w:szCs w:val="19"/>
                <w:color w:val="auto"/>
              </w:rPr>
            </w:pPr>
          </w:p>
        </w:tc>
        <w:tc>
          <w:tcPr>
            <w:tcW w:w="10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6"/>
                <w:szCs w:val="16"/>
                <w:color w:val="auto"/>
              </w:rPr>
              <w:t>96,951</w:t>
            </w:r>
          </w:p>
        </w:tc>
      </w:tr>
      <w:tr>
        <w:trPr>
          <w:trHeight w:val="213"/>
        </w:trPr>
        <w:tc>
          <w:tcPr>
            <w:tcW w:w="6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Purchases of securities available-for-sale</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(15,332)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(232,083)</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(494,226)</w:t>
            </w:r>
          </w:p>
        </w:tc>
      </w:tr>
      <w:tr>
        <w:trPr>
          <w:trHeight w:val="219"/>
        </w:trPr>
        <w:tc>
          <w:tcPr>
            <w:tcW w:w="660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6"/>
                <w:szCs w:val="16"/>
                <w:color w:val="auto"/>
              </w:rPr>
              <w:t>Net decrease (increase) in loans</w:t>
            </w:r>
          </w:p>
        </w:tc>
        <w:tc>
          <w:tcPr>
            <w:tcW w:w="340" w:type="dxa"/>
            <w:vAlign w:val="bottom"/>
            <w:shd w:val="clear" w:color="auto" w:fill="DBDBDB"/>
          </w:tcPr>
          <w:p>
            <w:pPr>
              <w:spacing w:after="0"/>
              <w:rPr>
                <w:sz w:val="19"/>
                <w:szCs w:val="19"/>
                <w:color w:val="auto"/>
              </w:rPr>
            </w:pPr>
          </w:p>
        </w:tc>
        <w:tc>
          <w:tcPr>
            <w:tcW w:w="11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6"/>
                <w:szCs w:val="16"/>
                <w:color w:val="auto"/>
              </w:rPr>
              <w:t>68,588</w:t>
            </w:r>
          </w:p>
        </w:tc>
        <w:tc>
          <w:tcPr>
            <w:tcW w:w="100" w:type="dxa"/>
            <w:vAlign w:val="bottom"/>
            <w:shd w:val="clear" w:color="auto" w:fill="DBDBDB"/>
          </w:tcPr>
          <w:p>
            <w:pPr>
              <w:spacing w:after="0"/>
              <w:rPr>
                <w:sz w:val="19"/>
                <w:szCs w:val="19"/>
                <w:color w:val="auto"/>
              </w:rPr>
            </w:pPr>
          </w:p>
        </w:tc>
        <w:tc>
          <w:tcPr>
            <w:tcW w:w="340" w:type="dxa"/>
            <w:vAlign w:val="bottom"/>
            <w:shd w:val="clear" w:color="auto" w:fill="DBDBDB"/>
          </w:tcPr>
          <w:p>
            <w:pPr>
              <w:spacing w:after="0"/>
              <w:rPr>
                <w:sz w:val="19"/>
                <w:szCs w:val="19"/>
                <w:color w:val="auto"/>
              </w:rPr>
            </w:pPr>
          </w:p>
        </w:tc>
        <w:tc>
          <w:tcPr>
            <w:tcW w:w="11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6"/>
                <w:szCs w:val="16"/>
                <w:color w:val="auto"/>
              </w:rPr>
              <w:t>(122,326)</w:t>
            </w:r>
          </w:p>
        </w:tc>
        <w:tc>
          <w:tcPr>
            <w:tcW w:w="100" w:type="dxa"/>
            <w:vAlign w:val="bottom"/>
            <w:shd w:val="clear" w:color="auto" w:fill="DBDBDB"/>
          </w:tcPr>
          <w:p>
            <w:pPr>
              <w:spacing w:after="0"/>
              <w:rPr>
                <w:sz w:val="19"/>
                <w:szCs w:val="19"/>
                <w:color w:val="auto"/>
              </w:rPr>
            </w:pPr>
          </w:p>
        </w:tc>
        <w:tc>
          <w:tcPr>
            <w:tcW w:w="460" w:type="dxa"/>
            <w:vAlign w:val="bottom"/>
            <w:shd w:val="clear" w:color="auto" w:fill="DBDBDB"/>
          </w:tcPr>
          <w:p>
            <w:pPr>
              <w:spacing w:after="0"/>
              <w:rPr>
                <w:sz w:val="19"/>
                <w:szCs w:val="19"/>
                <w:color w:val="auto"/>
              </w:rPr>
            </w:pPr>
          </w:p>
        </w:tc>
        <w:tc>
          <w:tcPr>
            <w:tcW w:w="10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6"/>
                <w:szCs w:val="16"/>
                <w:color w:val="auto"/>
              </w:rPr>
              <w:t>(68,664)</w:t>
            </w:r>
          </w:p>
        </w:tc>
      </w:tr>
      <w:tr>
        <w:trPr>
          <w:trHeight w:val="213"/>
        </w:trPr>
        <w:tc>
          <w:tcPr>
            <w:tcW w:w="6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Purchase of bank-owned life insurance</w:t>
            </w:r>
          </w:p>
        </w:tc>
        <w:tc>
          <w:tcPr>
            <w:tcW w:w="34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(4,000)</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(25,119)</w:t>
            </w:r>
          </w:p>
        </w:tc>
      </w:tr>
      <w:tr>
        <w:trPr>
          <w:trHeight w:val="219"/>
        </w:trPr>
        <w:tc>
          <w:tcPr>
            <w:tcW w:w="660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6"/>
                <w:szCs w:val="16"/>
                <w:color w:val="auto"/>
              </w:rPr>
              <w:t>Decrease (increase) in payments in advance of funding</w:t>
            </w:r>
          </w:p>
        </w:tc>
        <w:tc>
          <w:tcPr>
            <w:tcW w:w="340" w:type="dxa"/>
            <w:vAlign w:val="bottom"/>
            <w:shd w:val="clear" w:color="auto" w:fill="DBDBDB"/>
          </w:tcPr>
          <w:p>
            <w:pPr>
              <w:spacing w:after="0"/>
              <w:rPr>
                <w:sz w:val="19"/>
                <w:szCs w:val="19"/>
                <w:color w:val="auto"/>
              </w:rPr>
            </w:pPr>
          </w:p>
        </w:tc>
        <w:tc>
          <w:tcPr>
            <w:tcW w:w="11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6"/>
                <w:szCs w:val="16"/>
                <w:color w:val="auto"/>
              </w:rPr>
              <w:t>94,914</w:t>
            </w:r>
          </w:p>
        </w:tc>
        <w:tc>
          <w:tcPr>
            <w:tcW w:w="100" w:type="dxa"/>
            <w:vAlign w:val="bottom"/>
            <w:shd w:val="clear" w:color="auto" w:fill="DBDBDB"/>
          </w:tcPr>
          <w:p>
            <w:pPr>
              <w:spacing w:after="0"/>
              <w:rPr>
                <w:sz w:val="19"/>
                <w:szCs w:val="19"/>
                <w:color w:val="auto"/>
              </w:rPr>
            </w:pPr>
          </w:p>
        </w:tc>
        <w:tc>
          <w:tcPr>
            <w:tcW w:w="340" w:type="dxa"/>
            <w:vAlign w:val="bottom"/>
            <w:shd w:val="clear" w:color="auto" w:fill="DBDBDB"/>
          </w:tcPr>
          <w:p>
            <w:pPr>
              <w:spacing w:after="0"/>
              <w:rPr>
                <w:sz w:val="19"/>
                <w:szCs w:val="19"/>
                <w:color w:val="auto"/>
              </w:rPr>
            </w:pPr>
          </w:p>
        </w:tc>
        <w:tc>
          <w:tcPr>
            <w:tcW w:w="11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6"/>
                <w:szCs w:val="16"/>
                <w:color w:val="auto"/>
              </w:rPr>
              <w:t>(2,348)</w:t>
            </w:r>
          </w:p>
        </w:tc>
        <w:tc>
          <w:tcPr>
            <w:tcW w:w="100" w:type="dxa"/>
            <w:vAlign w:val="bottom"/>
            <w:shd w:val="clear" w:color="auto" w:fill="DBDBDB"/>
          </w:tcPr>
          <w:p>
            <w:pPr>
              <w:spacing w:after="0"/>
              <w:rPr>
                <w:sz w:val="19"/>
                <w:szCs w:val="19"/>
                <w:color w:val="auto"/>
              </w:rPr>
            </w:pPr>
          </w:p>
        </w:tc>
        <w:tc>
          <w:tcPr>
            <w:tcW w:w="460" w:type="dxa"/>
            <w:vAlign w:val="bottom"/>
            <w:shd w:val="clear" w:color="auto" w:fill="DBDBDB"/>
          </w:tcPr>
          <w:p>
            <w:pPr>
              <w:spacing w:after="0"/>
              <w:rPr>
                <w:sz w:val="19"/>
                <w:szCs w:val="19"/>
                <w:color w:val="auto"/>
              </w:rPr>
            </w:pPr>
          </w:p>
        </w:tc>
        <w:tc>
          <w:tcPr>
            <w:tcW w:w="10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6"/>
                <w:szCs w:val="16"/>
                <w:color w:val="auto"/>
              </w:rPr>
              <w:t>(96,864)</w:t>
            </w:r>
          </w:p>
        </w:tc>
      </w:tr>
      <w:tr>
        <w:trPr>
          <w:trHeight w:val="213"/>
        </w:trPr>
        <w:tc>
          <w:tcPr>
            <w:tcW w:w="6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Purchases of premises and equipment, net</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(14,324)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(5,866)</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(4,369)</w:t>
            </w:r>
          </w:p>
        </w:tc>
      </w:tr>
      <w:tr>
        <w:trPr>
          <w:trHeight w:val="219"/>
        </w:trPr>
        <w:tc>
          <w:tcPr>
            <w:tcW w:w="660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6"/>
                <w:szCs w:val="16"/>
                <w:color w:val="auto"/>
              </w:rPr>
              <w:t>Asset acquisition of TouchPoint</w:t>
            </w:r>
          </w:p>
        </w:tc>
        <w:tc>
          <w:tcPr>
            <w:tcW w:w="340" w:type="dxa"/>
            <w:vAlign w:val="bottom"/>
            <w:shd w:val="clear" w:color="auto" w:fill="DBDBDB"/>
          </w:tcPr>
          <w:p>
            <w:pPr>
              <w:spacing w:after="0"/>
              <w:rPr>
                <w:sz w:val="19"/>
                <w:szCs w:val="19"/>
                <w:color w:val="auto"/>
              </w:rPr>
            </w:pPr>
          </w:p>
        </w:tc>
        <w:tc>
          <w:tcPr>
            <w:tcW w:w="1240" w:type="dxa"/>
            <w:vAlign w:val="bottom"/>
            <w:gridSpan w:val="2"/>
            <w:shd w:val="clear" w:color="auto" w:fill="DBDBDB"/>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DBDBDB"/>
          </w:tcPr>
          <w:p>
            <w:pPr>
              <w:spacing w:after="0"/>
              <w:rPr>
                <w:sz w:val="19"/>
                <w:szCs w:val="19"/>
                <w:color w:val="auto"/>
              </w:rPr>
            </w:pPr>
          </w:p>
        </w:tc>
        <w:tc>
          <w:tcPr>
            <w:tcW w:w="11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6"/>
                <w:szCs w:val="16"/>
                <w:color w:val="auto"/>
              </w:rPr>
              <w:t>(4,814)</w:t>
            </w:r>
          </w:p>
        </w:tc>
        <w:tc>
          <w:tcPr>
            <w:tcW w:w="100" w:type="dxa"/>
            <w:vAlign w:val="bottom"/>
            <w:shd w:val="clear" w:color="auto" w:fill="DBDBDB"/>
          </w:tcPr>
          <w:p>
            <w:pPr>
              <w:spacing w:after="0"/>
              <w:rPr>
                <w:sz w:val="19"/>
                <w:szCs w:val="19"/>
                <w:color w:val="auto"/>
              </w:rPr>
            </w:pPr>
          </w:p>
        </w:tc>
        <w:tc>
          <w:tcPr>
            <w:tcW w:w="460" w:type="dxa"/>
            <w:vAlign w:val="bottom"/>
            <w:shd w:val="clear" w:color="auto" w:fill="DBDBDB"/>
          </w:tcPr>
          <w:p>
            <w:pPr>
              <w:spacing w:after="0"/>
              <w:rPr>
                <w:sz w:val="19"/>
                <w:szCs w:val="19"/>
                <w:color w:val="auto"/>
              </w:rPr>
            </w:pPr>
          </w:p>
        </w:tc>
        <w:tc>
          <w:tcPr>
            <w:tcW w:w="10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9"/>
        </w:trPr>
        <w:tc>
          <w:tcPr>
            <w:tcW w:w="6600" w:type="dxa"/>
            <w:vAlign w:val="bottom"/>
            <w:tcBorders>
              <w:bottom w:val="single" w:sz="8" w:color="DBDBDB"/>
            </w:tcBorders>
          </w:tcPr>
          <w:p>
            <w:pPr>
              <w:ind w:left="560"/>
              <w:spacing w:after="0"/>
              <w:rPr>
                <w:sz w:val="20"/>
                <w:szCs w:val="20"/>
                <w:color w:val="auto"/>
              </w:rPr>
            </w:pPr>
            <w:r>
              <w:rPr>
                <w:rFonts w:ascii="Times New Roman" w:cs="Times New Roman" w:eastAsia="Times New Roman" w:hAnsi="Times New Roman"/>
                <w:sz w:val="16"/>
                <w:szCs w:val="16"/>
                <w:color w:val="auto"/>
              </w:rPr>
              <w:t>Net cash provided by (used in) investing activities</w:t>
            </w:r>
          </w:p>
        </w:tc>
        <w:tc>
          <w:tcPr>
            <w:tcW w:w="34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284,662</w:t>
            </w:r>
          </w:p>
        </w:tc>
        <w:tc>
          <w:tcPr>
            <w:tcW w:w="100" w:type="dxa"/>
            <w:vAlign w:val="bottom"/>
            <w:tcBorders>
              <w:bottom w:val="single" w:sz="8" w:color="DBDBDB"/>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(306,390)</w:t>
            </w:r>
          </w:p>
        </w:tc>
        <w:tc>
          <w:tcPr>
            <w:tcW w:w="100" w:type="dxa"/>
            <w:vAlign w:val="bottom"/>
            <w:tcBorders>
              <w:bottom w:val="single" w:sz="8" w:color="DBDBDB"/>
            </w:tcBorders>
          </w:tcPr>
          <w:p>
            <w:pPr>
              <w:spacing w:after="0"/>
              <w:rPr>
                <w:sz w:val="21"/>
                <w:szCs w:val="21"/>
                <w:color w:val="auto"/>
              </w:rPr>
            </w:pPr>
          </w:p>
        </w:tc>
        <w:tc>
          <w:tcPr>
            <w:tcW w:w="46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(528,517)</w:t>
            </w:r>
          </w:p>
        </w:tc>
      </w:tr>
      <w:tr>
        <w:trPr>
          <w:trHeight w:val="214"/>
        </w:trPr>
        <w:tc>
          <w:tcPr>
            <w:tcW w:w="6600" w:type="dxa"/>
            <w:vAlign w:val="bottom"/>
            <w:tcBorders>
              <w:top w:val="single" w:sz="8" w:color="DBDBDB"/>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340" w:type="dxa"/>
            <w:vAlign w:val="bottom"/>
            <w:tcBorders>
              <w:top w:val="single" w:sz="8" w:color="DBDBDB"/>
            </w:tcBorders>
          </w:tcPr>
          <w:p>
            <w:pPr>
              <w:spacing w:after="0"/>
              <w:rPr>
                <w:sz w:val="18"/>
                <w:szCs w:val="18"/>
                <w:color w:val="auto"/>
              </w:rPr>
            </w:pPr>
          </w:p>
        </w:tc>
        <w:tc>
          <w:tcPr>
            <w:tcW w:w="1140" w:type="dxa"/>
            <w:vAlign w:val="bottom"/>
            <w:tcBorders>
              <w:top w:val="single" w:sz="8" w:color="DBDBDB"/>
            </w:tcBorders>
          </w:tcPr>
          <w:p>
            <w:pPr>
              <w:spacing w:after="0"/>
              <w:rPr>
                <w:sz w:val="18"/>
                <w:szCs w:val="18"/>
                <w:color w:val="auto"/>
              </w:rPr>
            </w:pPr>
          </w:p>
        </w:tc>
        <w:tc>
          <w:tcPr>
            <w:tcW w:w="100" w:type="dxa"/>
            <w:vAlign w:val="bottom"/>
            <w:tcBorders>
              <w:top w:val="single" w:sz="8" w:color="DBDBDB"/>
            </w:tcBorders>
          </w:tcPr>
          <w:p>
            <w:pPr>
              <w:spacing w:after="0"/>
              <w:rPr>
                <w:sz w:val="18"/>
                <w:szCs w:val="18"/>
                <w:color w:val="auto"/>
              </w:rPr>
            </w:pPr>
          </w:p>
        </w:tc>
        <w:tc>
          <w:tcPr>
            <w:tcW w:w="340" w:type="dxa"/>
            <w:vAlign w:val="bottom"/>
            <w:tcBorders>
              <w:top w:val="single" w:sz="8" w:color="DBDBDB"/>
            </w:tcBorders>
          </w:tcPr>
          <w:p>
            <w:pPr>
              <w:spacing w:after="0"/>
              <w:rPr>
                <w:sz w:val="18"/>
                <w:szCs w:val="18"/>
                <w:color w:val="auto"/>
              </w:rPr>
            </w:pPr>
          </w:p>
        </w:tc>
        <w:tc>
          <w:tcPr>
            <w:tcW w:w="1140" w:type="dxa"/>
            <w:vAlign w:val="bottom"/>
            <w:tcBorders>
              <w:top w:val="single" w:sz="8" w:color="DBDBDB"/>
            </w:tcBorders>
          </w:tcPr>
          <w:p>
            <w:pPr>
              <w:spacing w:after="0"/>
              <w:rPr>
                <w:sz w:val="18"/>
                <w:szCs w:val="18"/>
                <w:color w:val="auto"/>
              </w:rPr>
            </w:pPr>
          </w:p>
        </w:tc>
        <w:tc>
          <w:tcPr>
            <w:tcW w:w="100" w:type="dxa"/>
            <w:vAlign w:val="bottom"/>
            <w:tcBorders>
              <w:top w:val="single" w:sz="8" w:color="DBDBDB"/>
            </w:tcBorders>
          </w:tcPr>
          <w:p>
            <w:pPr>
              <w:spacing w:after="0"/>
              <w:rPr>
                <w:sz w:val="18"/>
                <w:szCs w:val="18"/>
                <w:color w:val="auto"/>
              </w:rPr>
            </w:pPr>
          </w:p>
        </w:tc>
        <w:tc>
          <w:tcPr>
            <w:tcW w:w="460" w:type="dxa"/>
            <w:vAlign w:val="bottom"/>
            <w:tcBorders>
              <w:top w:val="single" w:sz="8" w:color="DBDBDB"/>
            </w:tcBorders>
          </w:tcPr>
          <w:p>
            <w:pPr>
              <w:spacing w:after="0"/>
              <w:rPr>
                <w:sz w:val="18"/>
                <w:szCs w:val="18"/>
                <w:color w:val="auto"/>
              </w:rPr>
            </w:pPr>
          </w:p>
        </w:tc>
        <w:tc>
          <w:tcPr>
            <w:tcW w:w="1020" w:type="dxa"/>
            <w:vAlign w:val="bottom"/>
            <w:tcBorders>
              <w:top w:val="single" w:sz="8" w:color="DBDBDB"/>
            </w:tcBorders>
          </w:tcPr>
          <w:p>
            <w:pPr>
              <w:spacing w:after="0"/>
              <w:rPr>
                <w:sz w:val="18"/>
                <w:szCs w:val="18"/>
                <w:color w:val="auto"/>
              </w:rPr>
            </w:pPr>
          </w:p>
        </w:tc>
      </w:tr>
      <w:tr>
        <w:trPr>
          <w:trHeight w:val="218"/>
        </w:trPr>
        <w:tc>
          <w:tcPr>
            <w:tcW w:w="660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6"/>
                <w:szCs w:val="16"/>
                <w:color w:val="auto"/>
              </w:rPr>
              <w:t>Net (decrease) increase in noninterest-bearing demand deposits</w:t>
            </w:r>
          </w:p>
        </w:tc>
        <w:tc>
          <w:tcPr>
            <w:tcW w:w="340" w:type="dxa"/>
            <w:vAlign w:val="bottom"/>
            <w:shd w:val="clear" w:color="auto" w:fill="DBDBDB"/>
          </w:tcPr>
          <w:p>
            <w:pPr>
              <w:spacing w:after="0"/>
              <w:rPr>
                <w:sz w:val="18"/>
                <w:szCs w:val="18"/>
                <w:color w:val="auto"/>
              </w:rPr>
            </w:pPr>
          </w:p>
        </w:tc>
        <w:tc>
          <w:tcPr>
            <w:tcW w:w="11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6"/>
                <w:szCs w:val="16"/>
                <w:color w:val="auto"/>
              </w:rPr>
              <w:t>(118,398)</w:t>
            </w:r>
          </w:p>
        </w:tc>
        <w:tc>
          <w:tcPr>
            <w:tcW w:w="100" w:type="dxa"/>
            <w:vAlign w:val="bottom"/>
            <w:shd w:val="clear" w:color="auto" w:fill="DBDBDB"/>
          </w:tcPr>
          <w:p>
            <w:pPr>
              <w:spacing w:after="0"/>
              <w:rPr>
                <w:sz w:val="18"/>
                <w:szCs w:val="18"/>
                <w:color w:val="auto"/>
              </w:rPr>
            </w:pPr>
          </w:p>
        </w:tc>
        <w:tc>
          <w:tcPr>
            <w:tcW w:w="340" w:type="dxa"/>
            <w:vAlign w:val="bottom"/>
            <w:shd w:val="clear" w:color="auto" w:fill="DBDBDB"/>
          </w:tcPr>
          <w:p>
            <w:pPr>
              <w:spacing w:after="0"/>
              <w:rPr>
                <w:sz w:val="18"/>
                <w:szCs w:val="18"/>
                <w:color w:val="auto"/>
              </w:rPr>
            </w:pPr>
          </w:p>
        </w:tc>
        <w:tc>
          <w:tcPr>
            <w:tcW w:w="11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6"/>
                <w:szCs w:val="16"/>
                <w:color w:val="auto"/>
              </w:rPr>
              <w:t>60,115</w:t>
            </w:r>
          </w:p>
        </w:tc>
        <w:tc>
          <w:tcPr>
            <w:tcW w:w="100" w:type="dxa"/>
            <w:vAlign w:val="bottom"/>
            <w:shd w:val="clear" w:color="auto" w:fill="DBDBDB"/>
          </w:tcPr>
          <w:p>
            <w:pPr>
              <w:spacing w:after="0"/>
              <w:rPr>
                <w:sz w:val="18"/>
                <w:szCs w:val="18"/>
                <w:color w:val="auto"/>
              </w:rPr>
            </w:pPr>
          </w:p>
        </w:tc>
        <w:tc>
          <w:tcPr>
            <w:tcW w:w="460" w:type="dxa"/>
            <w:vAlign w:val="bottom"/>
            <w:shd w:val="clear" w:color="auto" w:fill="DBDBDB"/>
          </w:tcPr>
          <w:p>
            <w:pPr>
              <w:spacing w:after="0"/>
              <w:rPr>
                <w:sz w:val="18"/>
                <w:szCs w:val="18"/>
                <w:color w:val="auto"/>
              </w:rPr>
            </w:pPr>
          </w:p>
        </w:tc>
        <w:tc>
          <w:tcPr>
            <w:tcW w:w="10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6"/>
                <w:szCs w:val="16"/>
                <w:color w:val="auto"/>
              </w:rPr>
              <w:t>89,138</w:t>
            </w:r>
          </w:p>
        </w:tc>
      </w:tr>
      <w:tr>
        <w:trPr>
          <w:trHeight w:val="213"/>
        </w:trPr>
        <w:tc>
          <w:tcPr>
            <w:tcW w:w="6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(decrease) increase in interest-bearing demand and savings deposits</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(34,106)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(17,838)</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90,310</w:t>
            </w:r>
          </w:p>
        </w:tc>
      </w:tr>
      <w:tr>
        <w:trPr>
          <w:trHeight w:val="219"/>
        </w:trPr>
        <w:tc>
          <w:tcPr>
            <w:tcW w:w="660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6"/>
                <w:szCs w:val="16"/>
                <w:color w:val="auto"/>
              </w:rPr>
              <w:t>Net increase (decrease) in time deposits</w:t>
            </w:r>
          </w:p>
        </w:tc>
        <w:tc>
          <w:tcPr>
            <w:tcW w:w="340" w:type="dxa"/>
            <w:vAlign w:val="bottom"/>
            <w:shd w:val="clear" w:color="auto" w:fill="DBDBDB"/>
          </w:tcPr>
          <w:p>
            <w:pPr>
              <w:spacing w:after="0"/>
              <w:rPr>
                <w:sz w:val="19"/>
                <w:szCs w:val="19"/>
                <w:color w:val="auto"/>
              </w:rPr>
            </w:pPr>
          </w:p>
        </w:tc>
        <w:tc>
          <w:tcPr>
            <w:tcW w:w="11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6"/>
                <w:szCs w:val="16"/>
                <w:color w:val="auto"/>
              </w:rPr>
              <w:t>36,101</w:t>
            </w:r>
          </w:p>
        </w:tc>
        <w:tc>
          <w:tcPr>
            <w:tcW w:w="100" w:type="dxa"/>
            <w:vAlign w:val="bottom"/>
            <w:shd w:val="clear" w:color="auto" w:fill="DBDBDB"/>
          </w:tcPr>
          <w:p>
            <w:pPr>
              <w:spacing w:after="0"/>
              <w:rPr>
                <w:sz w:val="19"/>
                <w:szCs w:val="19"/>
                <w:color w:val="auto"/>
              </w:rPr>
            </w:pPr>
          </w:p>
        </w:tc>
        <w:tc>
          <w:tcPr>
            <w:tcW w:w="340" w:type="dxa"/>
            <w:vAlign w:val="bottom"/>
            <w:shd w:val="clear" w:color="auto" w:fill="DBDBDB"/>
          </w:tcPr>
          <w:p>
            <w:pPr>
              <w:spacing w:after="0"/>
              <w:rPr>
                <w:sz w:val="19"/>
                <w:szCs w:val="19"/>
                <w:color w:val="auto"/>
              </w:rPr>
            </w:pPr>
          </w:p>
        </w:tc>
        <w:tc>
          <w:tcPr>
            <w:tcW w:w="11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6"/>
                <w:szCs w:val="16"/>
                <w:color w:val="auto"/>
              </w:rPr>
              <w:t>(6,563)</w:t>
            </w:r>
          </w:p>
        </w:tc>
        <w:tc>
          <w:tcPr>
            <w:tcW w:w="100" w:type="dxa"/>
            <w:vAlign w:val="bottom"/>
            <w:shd w:val="clear" w:color="auto" w:fill="DBDBDB"/>
          </w:tcPr>
          <w:p>
            <w:pPr>
              <w:spacing w:after="0"/>
              <w:rPr>
                <w:sz w:val="19"/>
                <w:szCs w:val="19"/>
                <w:color w:val="auto"/>
              </w:rPr>
            </w:pPr>
          </w:p>
        </w:tc>
        <w:tc>
          <w:tcPr>
            <w:tcW w:w="460" w:type="dxa"/>
            <w:vAlign w:val="bottom"/>
            <w:shd w:val="clear" w:color="auto" w:fill="DBDBDB"/>
          </w:tcPr>
          <w:p>
            <w:pPr>
              <w:spacing w:after="0"/>
              <w:rPr>
                <w:sz w:val="19"/>
                <w:szCs w:val="19"/>
                <w:color w:val="auto"/>
              </w:rPr>
            </w:pPr>
          </w:p>
        </w:tc>
        <w:tc>
          <w:tcPr>
            <w:tcW w:w="10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6"/>
                <w:szCs w:val="16"/>
                <w:color w:val="auto"/>
              </w:rPr>
              <w:t>(8,801)</w:t>
            </w:r>
          </w:p>
        </w:tc>
      </w:tr>
      <w:tr>
        <w:trPr>
          <w:trHeight w:val="213"/>
        </w:trPr>
        <w:tc>
          <w:tcPr>
            <w:tcW w:w="6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(increase) decrease in accounts and drafts receivable from customers</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(14,872)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(90,787)</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r>
      <w:tr>
        <w:trPr>
          <w:trHeight w:val="219"/>
        </w:trPr>
        <w:tc>
          <w:tcPr>
            <w:tcW w:w="660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6"/>
                <w:szCs w:val="16"/>
                <w:color w:val="auto"/>
              </w:rPr>
              <w:t>Net increase in accounts and drafts payable</w:t>
            </w:r>
          </w:p>
        </w:tc>
        <w:tc>
          <w:tcPr>
            <w:tcW w:w="340" w:type="dxa"/>
            <w:vAlign w:val="bottom"/>
            <w:shd w:val="clear" w:color="auto" w:fill="DBDBDB"/>
          </w:tcPr>
          <w:p>
            <w:pPr>
              <w:spacing w:after="0"/>
              <w:rPr>
                <w:sz w:val="19"/>
                <w:szCs w:val="19"/>
                <w:color w:val="auto"/>
              </w:rPr>
            </w:pPr>
          </w:p>
        </w:tc>
        <w:tc>
          <w:tcPr>
            <w:tcW w:w="11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6"/>
                <w:szCs w:val="16"/>
                <w:color w:val="auto"/>
              </w:rPr>
              <w:t>3,769</w:t>
            </w:r>
          </w:p>
        </w:tc>
        <w:tc>
          <w:tcPr>
            <w:tcW w:w="100" w:type="dxa"/>
            <w:vAlign w:val="bottom"/>
            <w:shd w:val="clear" w:color="auto" w:fill="DBDBDB"/>
          </w:tcPr>
          <w:p>
            <w:pPr>
              <w:spacing w:after="0"/>
              <w:rPr>
                <w:sz w:val="19"/>
                <w:szCs w:val="19"/>
                <w:color w:val="auto"/>
              </w:rPr>
            </w:pPr>
          </w:p>
        </w:tc>
        <w:tc>
          <w:tcPr>
            <w:tcW w:w="340" w:type="dxa"/>
            <w:vAlign w:val="bottom"/>
            <w:shd w:val="clear" w:color="auto" w:fill="DBDBDB"/>
          </w:tcPr>
          <w:p>
            <w:pPr>
              <w:spacing w:after="0"/>
              <w:rPr>
                <w:sz w:val="19"/>
                <w:szCs w:val="19"/>
                <w:color w:val="auto"/>
              </w:rPr>
            </w:pPr>
          </w:p>
        </w:tc>
        <w:tc>
          <w:tcPr>
            <w:tcW w:w="11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6"/>
                <w:szCs w:val="16"/>
                <w:color w:val="auto"/>
              </w:rPr>
              <w:t>17,204</w:t>
            </w:r>
          </w:p>
        </w:tc>
        <w:tc>
          <w:tcPr>
            <w:tcW w:w="100" w:type="dxa"/>
            <w:vAlign w:val="bottom"/>
            <w:shd w:val="clear" w:color="auto" w:fill="DBDBDB"/>
          </w:tcPr>
          <w:p>
            <w:pPr>
              <w:spacing w:after="0"/>
              <w:rPr>
                <w:sz w:val="19"/>
                <w:szCs w:val="19"/>
                <w:color w:val="auto"/>
              </w:rPr>
            </w:pPr>
          </w:p>
        </w:tc>
        <w:tc>
          <w:tcPr>
            <w:tcW w:w="460" w:type="dxa"/>
            <w:vAlign w:val="bottom"/>
            <w:shd w:val="clear" w:color="auto" w:fill="DBDBDB"/>
          </w:tcPr>
          <w:p>
            <w:pPr>
              <w:spacing w:after="0"/>
              <w:rPr>
                <w:sz w:val="19"/>
                <w:szCs w:val="19"/>
                <w:color w:val="auto"/>
              </w:rPr>
            </w:pPr>
          </w:p>
        </w:tc>
        <w:tc>
          <w:tcPr>
            <w:tcW w:w="10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6"/>
                <w:szCs w:val="16"/>
                <w:color w:val="auto"/>
              </w:rPr>
              <w:t>215,010</w:t>
            </w:r>
          </w:p>
        </w:tc>
      </w:tr>
      <w:tr>
        <w:trPr>
          <w:trHeight w:val="213"/>
        </w:trPr>
        <w:tc>
          <w:tcPr>
            <w:tcW w:w="6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dividends paid</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(15,959)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(15,442)</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(15,446)</w:t>
            </w:r>
          </w:p>
        </w:tc>
      </w:tr>
      <w:tr>
        <w:trPr>
          <w:trHeight w:val="219"/>
        </w:trPr>
        <w:tc>
          <w:tcPr>
            <w:tcW w:w="660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6"/>
                <w:szCs w:val="16"/>
                <w:color w:val="auto"/>
              </w:rPr>
              <w:t>Purchase of common shares for treasury</w:t>
            </w:r>
          </w:p>
        </w:tc>
        <w:tc>
          <w:tcPr>
            <w:tcW w:w="340" w:type="dxa"/>
            <w:vAlign w:val="bottom"/>
            <w:shd w:val="clear" w:color="auto" w:fill="DBDBDB"/>
          </w:tcPr>
          <w:p>
            <w:pPr>
              <w:spacing w:after="0"/>
              <w:rPr>
                <w:sz w:val="19"/>
                <w:szCs w:val="19"/>
                <w:color w:val="auto"/>
              </w:rPr>
            </w:pPr>
          </w:p>
        </w:tc>
        <w:tc>
          <w:tcPr>
            <w:tcW w:w="11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6"/>
                <w:szCs w:val="16"/>
                <w:color w:val="auto"/>
              </w:rPr>
              <w:t>(5,773)</w:t>
            </w:r>
          </w:p>
        </w:tc>
        <w:tc>
          <w:tcPr>
            <w:tcW w:w="100" w:type="dxa"/>
            <w:vAlign w:val="bottom"/>
            <w:shd w:val="clear" w:color="auto" w:fill="DBDBDB"/>
          </w:tcPr>
          <w:p>
            <w:pPr>
              <w:spacing w:after="0"/>
              <w:rPr>
                <w:sz w:val="19"/>
                <w:szCs w:val="19"/>
                <w:color w:val="auto"/>
              </w:rPr>
            </w:pPr>
          </w:p>
        </w:tc>
        <w:tc>
          <w:tcPr>
            <w:tcW w:w="340" w:type="dxa"/>
            <w:vAlign w:val="bottom"/>
            <w:shd w:val="clear" w:color="auto" w:fill="DBDBDB"/>
          </w:tcPr>
          <w:p>
            <w:pPr>
              <w:spacing w:after="0"/>
              <w:rPr>
                <w:sz w:val="19"/>
                <w:szCs w:val="19"/>
                <w:color w:val="auto"/>
              </w:rPr>
            </w:pPr>
          </w:p>
        </w:tc>
        <w:tc>
          <w:tcPr>
            <w:tcW w:w="11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6"/>
                <w:szCs w:val="16"/>
                <w:color w:val="auto"/>
              </w:rPr>
              <w:t>(5,299)</w:t>
            </w:r>
          </w:p>
        </w:tc>
        <w:tc>
          <w:tcPr>
            <w:tcW w:w="100" w:type="dxa"/>
            <w:vAlign w:val="bottom"/>
            <w:shd w:val="clear" w:color="auto" w:fill="DBDBDB"/>
          </w:tcPr>
          <w:p>
            <w:pPr>
              <w:spacing w:after="0"/>
              <w:rPr>
                <w:sz w:val="19"/>
                <w:szCs w:val="19"/>
                <w:color w:val="auto"/>
              </w:rPr>
            </w:pPr>
          </w:p>
        </w:tc>
        <w:tc>
          <w:tcPr>
            <w:tcW w:w="460" w:type="dxa"/>
            <w:vAlign w:val="bottom"/>
            <w:shd w:val="clear" w:color="auto" w:fill="DBDBDB"/>
          </w:tcPr>
          <w:p>
            <w:pPr>
              <w:spacing w:after="0"/>
              <w:rPr>
                <w:sz w:val="19"/>
                <w:szCs w:val="19"/>
                <w:color w:val="auto"/>
              </w:rPr>
            </w:pPr>
          </w:p>
        </w:tc>
        <w:tc>
          <w:tcPr>
            <w:tcW w:w="10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6"/>
                <w:szCs w:val="16"/>
                <w:color w:val="auto"/>
              </w:rPr>
              <w:t>(30,997)</w:t>
            </w:r>
          </w:p>
        </w:tc>
      </w:tr>
      <w:tr>
        <w:trPr>
          <w:trHeight w:val="213"/>
        </w:trPr>
        <w:tc>
          <w:tcPr>
            <w:tcW w:w="6600" w:type="dxa"/>
            <w:vAlign w:val="bottom"/>
            <w:tcBorders>
              <w:bottom w:val="single" w:sz="8" w:color="DBDBDB"/>
            </w:tcBorders>
          </w:tcPr>
          <w:p>
            <w:pPr>
              <w:ind w:left="20"/>
              <w:spacing w:after="0"/>
              <w:rPr>
                <w:sz w:val="20"/>
                <w:szCs w:val="20"/>
                <w:color w:val="auto"/>
              </w:rPr>
            </w:pPr>
            <w:r>
              <w:rPr>
                <w:rFonts w:ascii="Times New Roman" w:cs="Times New Roman" w:eastAsia="Times New Roman" w:hAnsi="Times New Roman"/>
                <w:sz w:val="16"/>
                <w:szCs w:val="16"/>
                <w:color w:val="auto"/>
              </w:rPr>
              <w:t>Other financing activities, net</w:t>
            </w: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(834)</w:t>
            </w:r>
          </w:p>
        </w:tc>
        <w:tc>
          <w:tcPr>
            <w:tcW w:w="100" w:type="dxa"/>
            <w:vAlign w:val="bottom"/>
            <w:tcBorders>
              <w:bottom w:val="single" w:sz="8" w:color="DBDBDB"/>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(594)</w:t>
            </w:r>
          </w:p>
        </w:tc>
        <w:tc>
          <w:tcPr>
            <w:tcW w:w="100" w:type="dxa"/>
            <w:vAlign w:val="bottom"/>
            <w:tcBorders>
              <w:bottom w:val="single" w:sz="8" w:color="DBDBDB"/>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(850)</w:t>
            </w:r>
          </w:p>
        </w:tc>
      </w:tr>
      <w:tr>
        <w:trPr>
          <w:trHeight w:val="212"/>
        </w:trPr>
        <w:tc>
          <w:tcPr>
            <w:tcW w:w="6600" w:type="dxa"/>
            <w:vAlign w:val="bottom"/>
            <w:shd w:val="clear" w:color="auto" w:fill="DBDBDB"/>
          </w:tcPr>
          <w:p>
            <w:pPr>
              <w:ind w:left="560"/>
              <w:spacing w:after="0"/>
              <w:rPr>
                <w:sz w:val="20"/>
                <w:szCs w:val="20"/>
                <w:color w:val="auto"/>
              </w:rPr>
            </w:pPr>
            <w:r>
              <w:rPr>
                <w:rFonts w:ascii="Times New Roman" w:cs="Times New Roman" w:eastAsia="Times New Roman" w:hAnsi="Times New Roman"/>
                <w:sz w:val="16"/>
                <w:szCs w:val="16"/>
                <w:color w:val="auto"/>
              </w:rPr>
              <w:t>Net cash (used in) provided by financing activities</w:t>
            </w:r>
          </w:p>
        </w:tc>
        <w:tc>
          <w:tcPr>
            <w:tcW w:w="340" w:type="dxa"/>
            <w:vAlign w:val="bottom"/>
            <w:tcBorders>
              <w:bottom w:val="single" w:sz="8" w:color="auto"/>
            </w:tcBorders>
            <w:shd w:val="clear" w:color="auto" w:fill="DBDBDB"/>
          </w:tcPr>
          <w:p>
            <w:pPr>
              <w:spacing w:after="0"/>
              <w:rPr>
                <w:sz w:val="18"/>
                <w:szCs w:val="18"/>
                <w:color w:val="auto"/>
              </w:rPr>
            </w:pPr>
          </w:p>
        </w:tc>
        <w:tc>
          <w:tcPr>
            <w:tcW w:w="114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6"/>
                <w:szCs w:val="16"/>
                <w:color w:val="auto"/>
              </w:rPr>
              <w:t>(150,072)</w:t>
            </w:r>
          </w:p>
        </w:tc>
        <w:tc>
          <w:tcPr>
            <w:tcW w:w="100" w:type="dxa"/>
            <w:vAlign w:val="bottom"/>
            <w:shd w:val="clear" w:color="auto" w:fill="DBDBDB"/>
          </w:tcPr>
          <w:p>
            <w:pPr>
              <w:spacing w:after="0"/>
              <w:rPr>
                <w:sz w:val="18"/>
                <w:szCs w:val="18"/>
                <w:color w:val="auto"/>
              </w:rPr>
            </w:pPr>
          </w:p>
        </w:tc>
        <w:tc>
          <w:tcPr>
            <w:tcW w:w="340" w:type="dxa"/>
            <w:vAlign w:val="bottom"/>
            <w:tcBorders>
              <w:bottom w:val="single" w:sz="8" w:color="auto"/>
            </w:tcBorders>
            <w:shd w:val="clear" w:color="auto" w:fill="DBDBDB"/>
          </w:tcPr>
          <w:p>
            <w:pPr>
              <w:spacing w:after="0"/>
              <w:rPr>
                <w:sz w:val="18"/>
                <w:szCs w:val="18"/>
                <w:color w:val="auto"/>
              </w:rPr>
            </w:pPr>
          </w:p>
        </w:tc>
        <w:tc>
          <w:tcPr>
            <w:tcW w:w="114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6"/>
                <w:szCs w:val="16"/>
                <w:color w:val="auto"/>
              </w:rPr>
              <w:t>(59,204)</w:t>
            </w:r>
          </w:p>
        </w:tc>
        <w:tc>
          <w:tcPr>
            <w:tcW w:w="100" w:type="dxa"/>
            <w:vAlign w:val="bottom"/>
            <w:shd w:val="clear" w:color="auto" w:fill="DBDBDB"/>
          </w:tcPr>
          <w:p>
            <w:pPr>
              <w:spacing w:after="0"/>
              <w:rPr>
                <w:sz w:val="18"/>
                <w:szCs w:val="18"/>
                <w:color w:val="auto"/>
              </w:rPr>
            </w:pPr>
          </w:p>
        </w:tc>
        <w:tc>
          <w:tcPr>
            <w:tcW w:w="460" w:type="dxa"/>
            <w:vAlign w:val="bottom"/>
            <w:tcBorders>
              <w:bottom w:val="single" w:sz="8" w:color="auto"/>
            </w:tcBorders>
            <w:shd w:val="clear" w:color="auto" w:fill="DBDBDB"/>
          </w:tcPr>
          <w:p>
            <w:pPr>
              <w:spacing w:after="0"/>
              <w:rPr>
                <w:sz w:val="18"/>
                <w:szCs w:val="18"/>
                <w:color w:val="auto"/>
              </w:rPr>
            </w:pPr>
          </w:p>
        </w:tc>
        <w:tc>
          <w:tcPr>
            <w:tcW w:w="102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6"/>
                <w:szCs w:val="16"/>
                <w:color w:val="auto"/>
              </w:rPr>
              <w:t>338,370</w:t>
            </w:r>
          </w:p>
        </w:tc>
      </w:tr>
      <w:tr>
        <w:trPr>
          <w:trHeight w:val="207"/>
        </w:trPr>
        <w:tc>
          <w:tcPr>
            <w:tcW w:w="6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increase (decrease) in cash and cash equivalents</w:t>
            </w: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171,526</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(313,986)</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(155,600)</w:t>
            </w:r>
          </w:p>
        </w:tc>
      </w:tr>
      <w:tr>
        <w:trPr>
          <w:trHeight w:val="216"/>
        </w:trPr>
        <w:tc>
          <w:tcPr>
            <w:tcW w:w="660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6"/>
                <w:szCs w:val="16"/>
                <w:color w:val="auto"/>
              </w:rPr>
              <w:t>Cash and cash equivalents at beginning of year</w:t>
            </w:r>
          </w:p>
        </w:tc>
        <w:tc>
          <w:tcPr>
            <w:tcW w:w="340" w:type="dxa"/>
            <w:vAlign w:val="bottom"/>
            <w:tcBorders>
              <w:bottom w:val="single" w:sz="8" w:color="auto"/>
            </w:tcBorders>
            <w:shd w:val="clear" w:color="auto" w:fill="DBDBDB"/>
          </w:tcPr>
          <w:p>
            <w:pPr>
              <w:spacing w:after="0"/>
              <w:rPr>
                <w:sz w:val="18"/>
                <w:szCs w:val="18"/>
                <w:color w:val="auto"/>
              </w:rPr>
            </w:pPr>
          </w:p>
        </w:tc>
        <w:tc>
          <w:tcPr>
            <w:tcW w:w="114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6"/>
                <w:szCs w:val="16"/>
                <w:color w:val="auto"/>
              </w:rPr>
              <w:t>200,942</w:t>
            </w:r>
          </w:p>
        </w:tc>
        <w:tc>
          <w:tcPr>
            <w:tcW w:w="100" w:type="dxa"/>
            <w:vAlign w:val="bottom"/>
            <w:shd w:val="clear" w:color="auto" w:fill="DBDBDB"/>
          </w:tcPr>
          <w:p>
            <w:pPr>
              <w:spacing w:after="0"/>
              <w:rPr>
                <w:sz w:val="18"/>
                <w:szCs w:val="18"/>
                <w:color w:val="auto"/>
              </w:rPr>
            </w:pPr>
          </w:p>
        </w:tc>
        <w:tc>
          <w:tcPr>
            <w:tcW w:w="340" w:type="dxa"/>
            <w:vAlign w:val="bottom"/>
            <w:tcBorders>
              <w:bottom w:val="single" w:sz="8" w:color="auto"/>
            </w:tcBorders>
            <w:shd w:val="clear" w:color="auto" w:fill="DBDBDB"/>
          </w:tcPr>
          <w:p>
            <w:pPr>
              <w:spacing w:after="0"/>
              <w:rPr>
                <w:sz w:val="18"/>
                <w:szCs w:val="18"/>
                <w:color w:val="auto"/>
              </w:rPr>
            </w:pPr>
          </w:p>
        </w:tc>
        <w:tc>
          <w:tcPr>
            <w:tcW w:w="114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6"/>
                <w:szCs w:val="16"/>
                <w:color w:val="auto"/>
              </w:rPr>
              <w:t>514,928</w:t>
            </w:r>
          </w:p>
        </w:tc>
        <w:tc>
          <w:tcPr>
            <w:tcW w:w="100" w:type="dxa"/>
            <w:vAlign w:val="bottom"/>
            <w:shd w:val="clear" w:color="auto" w:fill="DBDBDB"/>
          </w:tcPr>
          <w:p>
            <w:pPr>
              <w:spacing w:after="0"/>
              <w:rPr>
                <w:sz w:val="18"/>
                <w:szCs w:val="18"/>
                <w:color w:val="auto"/>
              </w:rPr>
            </w:pPr>
          </w:p>
        </w:tc>
        <w:tc>
          <w:tcPr>
            <w:tcW w:w="460" w:type="dxa"/>
            <w:vAlign w:val="bottom"/>
            <w:tcBorders>
              <w:bottom w:val="single" w:sz="8" w:color="auto"/>
            </w:tcBorders>
            <w:shd w:val="clear" w:color="auto" w:fill="DBDBDB"/>
          </w:tcPr>
          <w:p>
            <w:pPr>
              <w:spacing w:after="0"/>
              <w:rPr>
                <w:sz w:val="18"/>
                <w:szCs w:val="18"/>
                <w:color w:val="auto"/>
              </w:rPr>
            </w:pPr>
          </w:p>
        </w:tc>
        <w:tc>
          <w:tcPr>
            <w:tcW w:w="102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6"/>
                <w:szCs w:val="16"/>
                <w:color w:val="auto"/>
              </w:rPr>
              <w:t>670,528</w:t>
            </w:r>
          </w:p>
        </w:tc>
      </w:tr>
      <w:tr>
        <w:trPr>
          <w:trHeight w:val="212"/>
        </w:trPr>
        <w:tc>
          <w:tcPr>
            <w:tcW w:w="6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and cash equivalents at end of year</w:t>
            </w: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372,468</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200,942</w:t>
            </w:r>
          </w:p>
        </w:tc>
        <w:tc>
          <w:tcPr>
            <w:tcW w:w="100" w:type="dxa"/>
            <w:vAlign w:val="bottom"/>
          </w:tcPr>
          <w:p>
            <w:pPr>
              <w:spacing w:after="0"/>
              <w:rPr>
                <w:sz w:val="18"/>
                <w:szCs w:val="18"/>
                <w:color w:val="auto"/>
              </w:rPr>
            </w:pPr>
          </w:p>
        </w:tc>
        <w:tc>
          <w:tcPr>
            <w:tcW w:w="46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514,928</w:t>
            </w:r>
          </w:p>
        </w:tc>
      </w:tr>
      <w:tr>
        <w:trPr>
          <w:trHeight w:val="46"/>
        </w:trPr>
        <w:tc>
          <w:tcPr>
            <w:tcW w:w="6600" w:type="dxa"/>
            <w:vAlign w:val="bottom"/>
            <w:tcBorders>
              <w:bottom w:val="single" w:sz="8" w:color="DBDBDB"/>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DBDBDB"/>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DBDBDB"/>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213"/>
        </w:trPr>
        <w:tc>
          <w:tcPr>
            <w:tcW w:w="6600" w:type="dxa"/>
            <w:vAlign w:val="bottom"/>
            <w:tcBorders>
              <w:top w:val="single" w:sz="8" w:color="DBDBDB"/>
            </w:tcBorders>
          </w:tcPr>
          <w:p>
            <w:pPr>
              <w:ind w:left="20"/>
              <w:spacing w:after="0"/>
              <w:rPr>
                <w:sz w:val="20"/>
                <w:szCs w:val="20"/>
                <w:color w:val="auto"/>
              </w:rPr>
            </w:pPr>
            <w:r>
              <w:rPr>
                <w:rFonts w:ascii="Times New Roman" w:cs="Times New Roman" w:eastAsia="Times New Roman" w:hAnsi="Times New Roman"/>
                <w:sz w:val="16"/>
                <w:szCs w:val="16"/>
                <w:color w:val="auto"/>
              </w:rPr>
              <w:t>Supplemental information:</w:t>
            </w:r>
          </w:p>
        </w:tc>
        <w:tc>
          <w:tcPr>
            <w:tcW w:w="340" w:type="dxa"/>
            <w:vAlign w:val="bottom"/>
            <w:tcBorders>
              <w:top w:val="single" w:sz="8" w:color="DBDBDB"/>
            </w:tcBorders>
          </w:tcPr>
          <w:p>
            <w:pPr>
              <w:spacing w:after="0"/>
              <w:rPr>
                <w:sz w:val="18"/>
                <w:szCs w:val="18"/>
                <w:color w:val="auto"/>
              </w:rPr>
            </w:pPr>
          </w:p>
        </w:tc>
        <w:tc>
          <w:tcPr>
            <w:tcW w:w="1140" w:type="dxa"/>
            <w:vAlign w:val="bottom"/>
            <w:tcBorders>
              <w:top w:val="single" w:sz="8" w:color="DBDBDB"/>
            </w:tcBorders>
          </w:tcPr>
          <w:p>
            <w:pPr>
              <w:spacing w:after="0"/>
              <w:rPr>
                <w:sz w:val="18"/>
                <w:szCs w:val="18"/>
                <w:color w:val="auto"/>
              </w:rPr>
            </w:pPr>
          </w:p>
        </w:tc>
        <w:tc>
          <w:tcPr>
            <w:tcW w:w="100" w:type="dxa"/>
            <w:vAlign w:val="bottom"/>
            <w:tcBorders>
              <w:top w:val="single" w:sz="8" w:color="DBDBDB"/>
            </w:tcBorders>
          </w:tcPr>
          <w:p>
            <w:pPr>
              <w:spacing w:after="0"/>
              <w:rPr>
                <w:sz w:val="18"/>
                <w:szCs w:val="18"/>
                <w:color w:val="auto"/>
              </w:rPr>
            </w:pPr>
          </w:p>
        </w:tc>
        <w:tc>
          <w:tcPr>
            <w:tcW w:w="340" w:type="dxa"/>
            <w:vAlign w:val="bottom"/>
            <w:tcBorders>
              <w:top w:val="single" w:sz="8" w:color="DBDBDB"/>
            </w:tcBorders>
          </w:tcPr>
          <w:p>
            <w:pPr>
              <w:spacing w:after="0"/>
              <w:rPr>
                <w:sz w:val="18"/>
                <w:szCs w:val="18"/>
                <w:color w:val="auto"/>
              </w:rPr>
            </w:pPr>
          </w:p>
        </w:tc>
        <w:tc>
          <w:tcPr>
            <w:tcW w:w="1140" w:type="dxa"/>
            <w:vAlign w:val="bottom"/>
            <w:tcBorders>
              <w:top w:val="single" w:sz="8" w:color="DBDBDB"/>
            </w:tcBorders>
          </w:tcPr>
          <w:p>
            <w:pPr>
              <w:spacing w:after="0"/>
              <w:rPr>
                <w:sz w:val="18"/>
                <w:szCs w:val="18"/>
                <w:color w:val="auto"/>
              </w:rPr>
            </w:pPr>
          </w:p>
        </w:tc>
        <w:tc>
          <w:tcPr>
            <w:tcW w:w="100" w:type="dxa"/>
            <w:vAlign w:val="bottom"/>
            <w:tcBorders>
              <w:top w:val="single" w:sz="8" w:color="DBDBDB"/>
            </w:tcBorders>
          </w:tcPr>
          <w:p>
            <w:pPr>
              <w:spacing w:after="0"/>
              <w:rPr>
                <w:sz w:val="18"/>
                <w:szCs w:val="18"/>
                <w:color w:val="auto"/>
              </w:rPr>
            </w:pPr>
          </w:p>
        </w:tc>
        <w:tc>
          <w:tcPr>
            <w:tcW w:w="460" w:type="dxa"/>
            <w:vAlign w:val="bottom"/>
            <w:tcBorders>
              <w:top w:val="single" w:sz="8" w:color="DBDBDB"/>
            </w:tcBorders>
          </w:tcPr>
          <w:p>
            <w:pPr>
              <w:spacing w:after="0"/>
              <w:rPr>
                <w:sz w:val="18"/>
                <w:szCs w:val="18"/>
                <w:color w:val="auto"/>
              </w:rPr>
            </w:pPr>
          </w:p>
        </w:tc>
        <w:tc>
          <w:tcPr>
            <w:tcW w:w="1020" w:type="dxa"/>
            <w:vAlign w:val="bottom"/>
            <w:tcBorders>
              <w:top w:val="single" w:sz="8" w:color="DBDBDB"/>
            </w:tcBorders>
          </w:tcPr>
          <w:p>
            <w:pPr>
              <w:spacing w:after="0"/>
              <w:rPr>
                <w:sz w:val="18"/>
                <w:szCs w:val="18"/>
                <w:color w:val="auto"/>
              </w:rPr>
            </w:pPr>
          </w:p>
        </w:tc>
      </w:tr>
      <w:tr>
        <w:trPr>
          <w:trHeight w:val="219"/>
        </w:trPr>
        <w:tc>
          <w:tcPr>
            <w:tcW w:w="6600" w:type="dxa"/>
            <w:vAlign w:val="bottom"/>
            <w:shd w:val="clear" w:color="auto" w:fill="DBDBDB"/>
          </w:tcPr>
          <w:p>
            <w:pPr>
              <w:ind w:left="560"/>
              <w:spacing w:after="0"/>
              <w:rPr>
                <w:sz w:val="20"/>
                <w:szCs w:val="20"/>
                <w:color w:val="auto"/>
              </w:rPr>
            </w:pPr>
            <w:r>
              <w:rPr>
                <w:rFonts w:ascii="Times New Roman" w:cs="Times New Roman" w:eastAsia="Times New Roman" w:hAnsi="Times New Roman"/>
                <w:sz w:val="16"/>
                <w:szCs w:val="16"/>
                <w:color w:val="auto"/>
              </w:rPr>
              <w:t>Cash paid for interest</w:t>
            </w:r>
          </w:p>
        </w:tc>
        <w:tc>
          <w:tcPr>
            <w:tcW w:w="340" w:type="dxa"/>
            <w:vAlign w:val="bottom"/>
            <w:shd w:val="clear" w:color="auto" w:fill="DBDBDB"/>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6"/>
                <w:szCs w:val="16"/>
                <w:color w:val="auto"/>
              </w:rPr>
              <w:t>15,697</w:t>
            </w:r>
          </w:p>
        </w:tc>
        <w:tc>
          <w:tcPr>
            <w:tcW w:w="100" w:type="dxa"/>
            <w:vAlign w:val="bottom"/>
            <w:shd w:val="clear" w:color="auto" w:fill="DBDBDB"/>
          </w:tcPr>
          <w:p>
            <w:pPr>
              <w:spacing w:after="0"/>
              <w:rPr>
                <w:sz w:val="19"/>
                <w:szCs w:val="19"/>
                <w:color w:val="auto"/>
              </w:rPr>
            </w:pPr>
          </w:p>
        </w:tc>
        <w:tc>
          <w:tcPr>
            <w:tcW w:w="340" w:type="dxa"/>
            <w:vAlign w:val="bottom"/>
            <w:shd w:val="clear" w:color="auto" w:fill="DBDBDB"/>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6"/>
                <w:szCs w:val="16"/>
                <w:color w:val="auto"/>
              </w:rPr>
              <w:t>3,431</w:t>
            </w:r>
          </w:p>
        </w:tc>
        <w:tc>
          <w:tcPr>
            <w:tcW w:w="100" w:type="dxa"/>
            <w:vAlign w:val="bottom"/>
            <w:shd w:val="clear" w:color="auto" w:fill="DBDBDB"/>
          </w:tcPr>
          <w:p>
            <w:pPr>
              <w:spacing w:after="0"/>
              <w:rPr>
                <w:sz w:val="19"/>
                <w:szCs w:val="19"/>
                <w:color w:val="auto"/>
              </w:rPr>
            </w:pPr>
          </w:p>
        </w:tc>
        <w:tc>
          <w:tcPr>
            <w:tcW w:w="460" w:type="dxa"/>
            <w:vAlign w:val="bottom"/>
            <w:shd w:val="clear" w:color="auto" w:fill="DBDBDB"/>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6"/>
                <w:szCs w:val="16"/>
                <w:color w:val="auto"/>
              </w:rPr>
              <w:t>1,194</w:t>
            </w:r>
          </w:p>
        </w:tc>
      </w:tr>
      <w:tr>
        <w:trPr>
          <w:trHeight w:val="210"/>
        </w:trPr>
        <w:tc>
          <w:tcPr>
            <w:tcW w:w="660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Cash paid for income taxes</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9,300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8,396</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5,637</w:t>
            </w:r>
          </w:p>
        </w:tc>
      </w:tr>
    </w:tbl>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CASS INFORMATION SYSTEMS,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SHAREHOLDERS’ EQUITY</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3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Common</w:t>
            </w:r>
          </w:p>
        </w:tc>
        <w:tc>
          <w:tcPr>
            <w:tcW w:w="16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200" w:type="dxa"/>
            <w:vAlign w:val="bottom"/>
          </w:tcPr>
          <w:p>
            <w:pPr>
              <w:spacing w:after="0"/>
              <w:rPr>
                <w:sz w:val="15"/>
                <w:szCs w:val="15"/>
                <w:color w:val="auto"/>
              </w:rPr>
            </w:pPr>
          </w:p>
        </w:tc>
        <w:tc>
          <w:tcPr>
            <w:tcW w:w="112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Treasury</w:t>
            </w:r>
          </w:p>
        </w:tc>
        <w:tc>
          <w:tcPr>
            <w:tcW w:w="160" w:type="dxa"/>
            <w:vAlign w:val="bottom"/>
          </w:tcPr>
          <w:p>
            <w:pPr>
              <w:spacing w:after="0"/>
              <w:rPr>
                <w:sz w:val="15"/>
                <w:szCs w:val="15"/>
                <w:color w:val="auto"/>
              </w:rPr>
            </w:pPr>
          </w:p>
        </w:tc>
        <w:tc>
          <w:tcPr>
            <w:tcW w:w="1560" w:type="dxa"/>
            <w:vAlign w:val="bottom"/>
            <w:gridSpan w:val="2"/>
          </w:tcPr>
          <w:p>
            <w:pPr>
              <w:jc w:val="center"/>
              <w:ind w:right="260"/>
              <w:spacing w:after="0" w:line="176" w:lineRule="exact"/>
              <w:rPr>
                <w:sz w:val="20"/>
                <w:szCs w:val="20"/>
                <w:color w:val="auto"/>
              </w:rPr>
            </w:pPr>
            <w:r>
              <w:rPr>
                <w:rFonts w:ascii="Times New Roman" w:cs="Times New Roman" w:eastAsia="Times New Roman" w:hAnsi="Times New Roman"/>
                <w:sz w:val="18"/>
                <w:szCs w:val="18"/>
                <w:b w:val="1"/>
                <w:bCs w:val="1"/>
                <w:color w:val="auto"/>
                <w:w w:val="99"/>
              </w:rPr>
              <w:t>Other</w:t>
            </w: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20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 except per share data)</w:t>
            </w:r>
          </w:p>
        </w:tc>
        <w:tc>
          <w:tcPr>
            <w:tcW w:w="16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2"/>
          </w:tcPr>
          <w:p>
            <w:pPr>
              <w:jc w:val="center"/>
              <w:ind w:right="240"/>
              <w:spacing w:after="0" w:line="189" w:lineRule="exact"/>
              <w:rPr>
                <w:sz w:val="20"/>
                <w:szCs w:val="20"/>
                <w:color w:val="auto"/>
              </w:rPr>
            </w:pPr>
            <w:r>
              <w:rPr>
                <w:rFonts w:ascii="Times New Roman" w:cs="Times New Roman" w:eastAsia="Times New Roman" w:hAnsi="Times New Roman"/>
                <w:sz w:val="18"/>
                <w:szCs w:val="18"/>
                <w:b w:val="1"/>
                <w:bCs w:val="1"/>
                <w:color w:val="auto"/>
                <w:w w:val="99"/>
              </w:rPr>
              <w:t>Paid-in</w:t>
            </w:r>
          </w:p>
        </w:tc>
        <w:tc>
          <w:tcPr>
            <w:tcW w:w="16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560" w:type="dxa"/>
            <w:vAlign w:val="bottom"/>
            <w:gridSpan w:val="2"/>
          </w:tcPr>
          <w:p>
            <w:pPr>
              <w:jc w:val="center"/>
              <w:ind w:right="240"/>
              <w:spacing w:after="0" w:line="189" w:lineRule="exact"/>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260" w:type="dxa"/>
            <w:vAlign w:val="bottom"/>
          </w:tcPr>
          <w:p>
            <w:pPr>
              <w:spacing w:after="0"/>
              <w:rPr>
                <w:sz w:val="16"/>
                <w:szCs w:val="16"/>
                <w:color w:val="auto"/>
              </w:rPr>
            </w:pPr>
          </w:p>
        </w:tc>
        <w:tc>
          <w:tcPr>
            <w:tcW w:w="960" w:type="dxa"/>
            <w:vAlign w:val="bottom"/>
            <w:vMerge w:val="restart"/>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29"/>
        </w:trPr>
        <w:tc>
          <w:tcPr>
            <w:tcW w:w="3200" w:type="dxa"/>
            <w:vAlign w:val="bottom"/>
            <w:tcBorders>
              <w:bottom w:val="single" w:sz="8" w:color="auto"/>
            </w:tcBorders>
            <w:vMerge w:val="continue"/>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Income (Loss)</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3200" w:type="dxa"/>
            <w:vAlign w:val="bottom"/>
            <w:tcBorders>
              <w:bottom w:val="single" w:sz="8" w:color="DBDBDB"/>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00" w:type="dxa"/>
            <w:vAlign w:val="bottom"/>
            <w:tcBorders>
              <w:bottom w:val="single" w:sz="8" w:color="DBDBDB"/>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00" w:type="dxa"/>
            <w:vAlign w:val="bottom"/>
            <w:tcBorders>
              <w:bottom w:val="single" w:sz="8" w:color="DBDBDB"/>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80" w:type="dxa"/>
            <w:vAlign w:val="bottom"/>
            <w:tcBorders>
              <w:bottom w:val="single" w:sz="8" w:color="DBDBDB"/>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00" w:type="dxa"/>
            <w:vAlign w:val="bottom"/>
            <w:tcBorders>
              <w:bottom w:val="single" w:sz="8" w:color="DBDBDB"/>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spacing w:after="0"/>
              <w:rPr>
                <w:sz w:val="17"/>
                <w:szCs w:val="17"/>
                <w:color w:val="auto"/>
              </w:rPr>
            </w:pPr>
          </w:p>
        </w:tc>
        <w:tc>
          <w:tcPr>
            <w:tcW w:w="80" w:type="dxa"/>
            <w:vAlign w:val="bottom"/>
            <w:tcBorders>
              <w:bottom w:val="single" w:sz="8" w:color="DBDBDB"/>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20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Balance, December 31, 2020</w:t>
            </w:r>
          </w:p>
        </w:tc>
        <w:tc>
          <w:tcPr>
            <w:tcW w:w="16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7,753</w:t>
            </w:r>
          </w:p>
        </w:tc>
        <w:tc>
          <w:tcPr>
            <w:tcW w:w="100" w:type="dxa"/>
            <w:vAlign w:val="bottom"/>
            <w:shd w:val="clear" w:color="auto" w:fill="DBDBDB"/>
          </w:tcPr>
          <w:p>
            <w:pPr>
              <w:spacing w:after="0"/>
              <w:rPr>
                <w:sz w:val="19"/>
                <w:szCs w:val="19"/>
                <w:color w:val="auto"/>
              </w:rPr>
            </w:pPr>
          </w:p>
        </w:tc>
        <w:tc>
          <w:tcPr>
            <w:tcW w:w="16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204,875</w:t>
            </w:r>
          </w:p>
        </w:tc>
        <w:tc>
          <w:tcPr>
            <w:tcW w:w="100" w:type="dxa"/>
            <w:vAlign w:val="bottom"/>
            <w:shd w:val="clear" w:color="auto" w:fill="DBDBDB"/>
          </w:tcPr>
          <w:p>
            <w:pPr>
              <w:spacing w:after="0"/>
              <w:rPr>
                <w:sz w:val="19"/>
                <w:szCs w:val="19"/>
                <w:color w:val="auto"/>
              </w:rPr>
            </w:pPr>
          </w:p>
        </w:tc>
        <w:tc>
          <w:tcPr>
            <w:tcW w:w="16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99,062</w:t>
            </w:r>
          </w:p>
        </w:tc>
        <w:tc>
          <w:tcPr>
            <w:tcW w:w="80" w:type="dxa"/>
            <w:vAlign w:val="bottom"/>
            <w:shd w:val="clear" w:color="auto" w:fill="DBDBDB"/>
          </w:tcPr>
          <w:p>
            <w:pPr>
              <w:spacing w:after="0"/>
              <w:rPr>
                <w:sz w:val="19"/>
                <w:szCs w:val="19"/>
                <w:color w:val="auto"/>
              </w:rPr>
            </w:pPr>
          </w:p>
        </w:tc>
        <w:tc>
          <w:tcPr>
            <w:tcW w:w="20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(50,515)</w:t>
            </w:r>
          </w:p>
        </w:tc>
        <w:tc>
          <w:tcPr>
            <w:tcW w:w="100" w:type="dxa"/>
            <w:vAlign w:val="bottom"/>
            <w:shd w:val="clear" w:color="auto" w:fill="DBDBDB"/>
          </w:tcPr>
          <w:p>
            <w:pPr>
              <w:spacing w:after="0"/>
              <w:rPr>
                <w:sz w:val="19"/>
                <w:szCs w:val="19"/>
                <w:color w:val="auto"/>
              </w:rPr>
            </w:pPr>
          </w:p>
        </w:tc>
        <w:tc>
          <w:tcPr>
            <w:tcW w:w="16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shd w:val="clear" w:color="auto" w:fill="DBDBDB"/>
          </w:tcPr>
          <w:p>
            <w:pPr>
              <w:spacing w:after="0"/>
              <w:rPr>
                <w:sz w:val="19"/>
                <w:szCs w:val="19"/>
                <w:color w:val="auto"/>
              </w:rPr>
            </w:pPr>
          </w:p>
        </w:tc>
        <w:tc>
          <w:tcPr>
            <w:tcW w:w="260" w:type="dxa"/>
            <w:vAlign w:val="bottom"/>
            <w:tcBorders>
              <w:bottom w:val="single" w:sz="8" w:color="auto"/>
            </w:tcBorders>
            <w:shd w:val="clear" w:color="auto" w:fill="DBDBDB"/>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261,160</w:t>
            </w:r>
          </w:p>
        </w:tc>
        <w:tc>
          <w:tcPr>
            <w:tcW w:w="0" w:type="dxa"/>
            <w:vAlign w:val="bottom"/>
          </w:tcPr>
          <w:p>
            <w:pPr>
              <w:spacing w:after="0"/>
              <w:rPr>
                <w:sz w:val="1"/>
                <w:szCs w:val="1"/>
                <w:color w:val="auto"/>
              </w:rPr>
            </w:pPr>
          </w:p>
        </w:tc>
      </w:tr>
      <w:tr>
        <w:trPr>
          <w:trHeight w:val="196"/>
        </w:trPr>
        <w:tc>
          <w:tcPr>
            <w:tcW w:w="3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20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shd w:val="clear" w:color="auto" w:fill="DBDBDB"/>
          </w:tcPr>
          <w:p>
            <w:pPr>
              <w:spacing w:after="0"/>
              <w:rPr>
                <w:sz w:val="19"/>
                <w:szCs w:val="19"/>
                <w:color w:val="auto"/>
              </w:rPr>
            </w:pPr>
          </w:p>
        </w:tc>
        <w:tc>
          <w:tcPr>
            <w:tcW w:w="98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106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9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28,604</w:t>
            </w:r>
          </w:p>
        </w:tc>
        <w:tc>
          <w:tcPr>
            <w:tcW w:w="8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10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148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9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28,604</w:t>
            </w:r>
          </w:p>
        </w:tc>
        <w:tc>
          <w:tcPr>
            <w:tcW w:w="0" w:type="dxa"/>
            <w:vAlign w:val="bottom"/>
          </w:tcPr>
          <w:p>
            <w:pPr>
              <w:spacing w:after="0"/>
              <w:rPr>
                <w:sz w:val="1"/>
                <w:szCs w:val="1"/>
                <w:color w:val="auto"/>
              </w:rPr>
            </w:pPr>
          </w:p>
        </w:tc>
      </w:tr>
      <w:tr>
        <w:trPr>
          <w:trHeight w:val="230"/>
        </w:trPr>
        <w:tc>
          <w:tcPr>
            <w:tcW w:w="3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dividends ($1.09 per share)</w:t>
            </w: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(15,446)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(15,446)</w:t>
            </w:r>
          </w:p>
        </w:tc>
        <w:tc>
          <w:tcPr>
            <w:tcW w:w="0" w:type="dxa"/>
            <w:vAlign w:val="bottom"/>
          </w:tcPr>
          <w:p>
            <w:pPr>
              <w:spacing w:after="0"/>
              <w:rPr>
                <w:sz w:val="1"/>
                <w:szCs w:val="1"/>
                <w:color w:val="auto"/>
              </w:rPr>
            </w:pPr>
          </w:p>
        </w:tc>
      </w:tr>
      <w:tr>
        <w:trPr>
          <w:trHeight w:val="175"/>
        </w:trPr>
        <w:tc>
          <w:tcPr>
            <w:tcW w:w="3200" w:type="dxa"/>
            <w:vAlign w:val="bottom"/>
            <w:shd w:val="clear" w:color="auto" w:fill="DBDBDB"/>
          </w:tcPr>
          <w:p>
            <w:pPr>
              <w:ind w:left="20"/>
              <w:spacing w:after="0" w:line="176" w:lineRule="exact"/>
              <w:rPr>
                <w:sz w:val="20"/>
                <w:szCs w:val="20"/>
                <w:color w:val="auto"/>
              </w:rPr>
            </w:pPr>
            <w:r>
              <w:rPr>
                <w:rFonts w:ascii="Times New Roman" w:cs="Times New Roman" w:eastAsia="Times New Roman" w:hAnsi="Times New Roman"/>
                <w:sz w:val="18"/>
                <w:szCs w:val="18"/>
                <w:color w:val="auto"/>
              </w:rPr>
              <w:t>Issuance of 85,056 common shares</w:t>
            </w:r>
          </w:p>
        </w:tc>
        <w:tc>
          <w:tcPr>
            <w:tcW w:w="160" w:type="dxa"/>
            <w:vAlign w:val="bottom"/>
            <w:shd w:val="clear" w:color="auto" w:fill="DBDBDB"/>
          </w:tcPr>
          <w:p>
            <w:pPr>
              <w:spacing w:after="0"/>
              <w:rPr>
                <w:sz w:val="15"/>
                <w:szCs w:val="15"/>
                <w:color w:val="auto"/>
              </w:rPr>
            </w:pPr>
          </w:p>
        </w:tc>
        <w:tc>
          <w:tcPr>
            <w:tcW w:w="98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160" w:type="dxa"/>
            <w:vAlign w:val="bottom"/>
            <w:shd w:val="clear" w:color="auto" w:fill="DBDBDB"/>
          </w:tcPr>
          <w:p>
            <w:pPr>
              <w:spacing w:after="0"/>
              <w:rPr>
                <w:sz w:val="15"/>
                <w:szCs w:val="15"/>
                <w:color w:val="auto"/>
              </w:rPr>
            </w:pPr>
          </w:p>
        </w:tc>
        <w:tc>
          <w:tcPr>
            <w:tcW w:w="106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160" w:type="dxa"/>
            <w:vAlign w:val="bottom"/>
            <w:shd w:val="clear" w:color="auto" w:fill="DBDBDB"/>
          </w:tcPr>
          <w:p>
            <w:pPr>
              <w:spacing w:after="0"/>
              <w:rPr>
                <w:sz w:val="15"/>
                <w:szCs w:val="15"/>
                <w:color w:val="auto"/>
              </w:rPr>
            </w:pPr>
          </w:p>
        </w:tc>
        <w:tc>
          <w:tcPr>
            <w:tcW w:w="98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200" w:type="dxa"/>
            <w:vAlign w:val="bottom"/>
            <w:shd w:val="clear" w:color="auto" w:fill="DBDBDB"/>
          </w:tcPr>
          <w:p>
            <w:pPr>
              <w:spacing w:after="0"/>
              <w:rPr>
                <w:sz w:val="15"/>
                <w:szCs w:val="15"/>
                <w:color w:val="auto"/>
              </w:rPr>
            </w:pPr>
          </w:p>
        </w:tc>
        <w:tc>
          <w:tcPr>
            <w:tcW w:w="102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160" w:type="dxa"/>
            <w:vAlign w:val="bottom"/>
            <w:shd w:val="clear" w:color="auto" w:fill="DBDBDB"/>
          </w:tcPr>
          <w:p>
            <w:pPr>
              <w:spacing w:after="0"/>
              <w:rPr>
                <w:sz w:val="15"/>
                <w:szCs w:val="15"/>
                <w:color w:val="auto"/>
              </w:rPr>
            </w:pPr>
          </w:p>
        </w:tc>
        <w:tc>
          <w:tcPr>
            <w:tcW w:w="148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260" w:type="dxa"/>
            <w:vAlign w:val="bottom"/>
            <w:shd w:val="clear" w:color="auto" w:fill="DBDBDB"/>
          </w:tcPr>
          <w:p>
            <w:pPr>
              <w:spacing w:after="0"/>
              <w:rPr>
                <w:sz w:val="15"/>
                <w:szCs w:val="15"/>
                <w:color w:val="auto"/>
              </w:rPr>
            </w:pPr>
          </w:p>
        </w:tc>
        <w:tc>
          <w:tcPr>
            <w:tcW w:w="960" w:type="dxa"/>
            <w:vAlign w:val="bottom"/>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200" w:type="dxa"/>
            <w:vAlign w:val="bottom"/>
            <w:shd w:val="clear" w:color="auto" w:fill="DBDBDB"/>
          </w:tcPr>
          <w:p>
            <w:pPr>
              <w:ind w:left="180"/>
              <w:spacing w:after="0" w:line="184" w:lineRule="exact"/>
              <w:rPr>
                <w:sz w:val="20"/>
                <w:szCs w:val="20"/>
                <w:color w:val="auto"/>
              </w:rPr>
            </w:pPr>
            <w:r>
              <w:rPr>
                <w:rFonts w:ascii="Times New Roman" w:cs="Times New Roman" w:eastAsia="Times New Roman" w:hAnsi="Times New Roman"/>
                <w:sz w:val="18"/>
                <w:szCs w:val="18"/>
                <w:color w:val="auto"/>
              </w:rPr>
              <w:t>pursuant to stock-based compensation</w:t>
            </w:r>
          </w:p>
        </w:tc>
        <w:tc>
          <w:tcPr>
            <w:tcW w:w="160" w:type="dxa"/>
            <w:vAlign w:val="bottom"/>
            <w:shd w:val="clear" w:color="auto" w:fill="DBDBDB"/>
          </w:tcPr>
          <w:p>
            <w:pPr>
              <w:spacing w:after="0"/>
              <w:rPr>
                <w:sz w:val="16"/>
                <w:szCs w:val="16"/>
                <w:color w:val="auto"/>
              </w:rPr>
            </w:pPr>
          </w:p>
        </w:tc>
        <w:tc>
          <w:tcPr>
            <w:tcW w:w="98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160" w:type="dxa"/>
            <w:vAlign w:val="bottom"/>
            <w:shd w:val="clear" w:color="auto" w:fill="DBDBDB"/>
          </w:tcPr>
          <w:p>
            <w:pPr>
              <w:spacing w:after="0"/>
              <w:rPr>
                <w:sz w:val="16"/>
                <w:szCs w:val="16"/>
                <w:color w:val="auto"/>
              </w:rPr>
            </w:pPr>
          </w:p>
        </w:tc>
        <w:tc>
          <w:tcPr>
            <w:tcW w:w="106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160" w:type="dxa"/>
            <w:vAlign w:val="bottom"/>
            <w:shd w:val="clear" w:color="auto" w:fill="DBDBDB"/>
          </w:tcPr>
          <w:p>
            <w:pPr>
              <w:spacing w:after="0"/>
              <w:rPr>
                <w:sz w:val="16"/>
                <w:szCs w:val="16"/>
                <w:color w:val="auto"/>
              </w:rPr>
            </w:pPr>
          </w:p>
        </w:tc>
        <w:tc>
          <w:tcPr>
            <w:tcW w:w="98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200" w:type="dxa"/>
            <w:vAlign w:val="bottom"/>
            <w:shd w:val="clear" w:color="auto" w:fill="DBDBDB"/>
          </w:tcPr>
          <w:p>
            <w:pPr>
              <w:spacing w:after="0"/>
              <w:rPr>
                <w:sz w:val="16"/>
                <w:szCs w:val="16"/>
                <w:color w:val="auto"/>
              </w:rPr>
            </w:pPr>
          </w:p>
        </w:tc>
        <w:tc>
          <w:tcPr>
            <w:tcW w:w="102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160" w:type="dxa"/>
            <w:vAlign w:val="bottom"/>
            <w:shd w:val="clear" w:color="auto" w:fill="DBDBDB"/>
          </w:tcPr>
          <w:p>
            <w:pPr>
              <w:spacing w:after="0"/>
              <w:rPr>
                <w:sz w:val="16"/>
                <w:szCs w:val="16"/>
                <w:color w:val="auto"/>
              </w:rPr>
            </w:pPr>
          </w:p>
        </w:tc>
        <w:tc>
          <w:tcPr>
            <w:tcW w:w="148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260" w:type="dxa"/>
            <w:vAlign w:val="bottom"/>
            <w:shd w:val="clear" w:color="auto" w:fill="DBDBDB"/>
          </w:tcPr>
          <w:p>
            <w:pPr>
              <w:spacing w:after="0"/>
              <w:rPr>
                <w:sz w:val="16"/>
                <w:szCs w:val="16"/>
                <w:color w:val="auto"/>
              </w:rPr>
            </w:pPr>
          </w:p>
        </w:tc>
        <w:tc>
          <w:tcPr>
            <w:tcW w:w="960" w:type="dxa"/>
            <w:vAlign w:val="bottom"/>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200" w:type="dxa"/>
            <w:vAlign w:val="bottom"/>
            <w:shd w:val="clear" w:color="auto" w:fill="DBDBDB"/>
          </w:tcPr>
          <w:p>
            <w:pPr>
              <w:ind w:left="180"/>
              <w:spacing w:after="0"/>
              <w:rPr>
                <w:sz w:val="20"/>
                <w:szCs w:val="20"/>
                <w:color w:val="auto"/>
              </w:rPr>
            </w:pPr>
            <w:r>
              <w:rPr>
                <w:rFonts w:ascii="Times New Roman" w:cs="Times New Roman" w:eastAsia="Times New Roman" w:hAnsi="Times New Roman"/>
                <w:sz w:val="18"/>
                <w:szCs w:val="18"/>
                <w:color w:val="auto"/>
              </w:rPr>
              <w:t>plan, net</w:t>
            </w:r>
          </w:p>
        </w:tc>
        <w:tc>
          <w:tcPr>
            <w:tcW w:w="160" w:type="dxa"/>
            <w:vAlign w:val="bottom"/>
            <w:shd w:val="clear" w:color="auto" w:fill="DBDBDB"/>
          </w:tcPr>
          <w:p>
            <w:pPr>
              <w:spacing w:after="0"/>
              <w:rPr>
                <w:sz w:val="20"/>
                <w:szCs w:val="20"/>
                <w:color w:val="auto"/>
              </w:rPr>
            </w:pPr>
          </w:p>
        </w:tc>
        <w:tc>
          <w:tcPr>
            <w:tcW w:w="98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160" w:type="dxa"/>
            <w:vAlign w:val="bottom"/>
            <w:shd w:val="clear" w:color="auto" w:fill="DBDBDB"/>
          </w:tcPr>
          <w:p>
            <w:pPr>
              <w:spacing w:after="0"/>
              <w:rPr>
                <w:sz w:val="20"/>
                <w:szCs w:val="20"/>
                <w:color w:val="auto"/>
              </w:rPr>
            </w:pPr>
          </w:p>
        </w:tc>
        <w:tc>
          <w:tcPr>
            <w:tcW w:w="10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(2,939)</w:t>
            </w:r>
          </w:p>
        </w:tc>
        <w:tc>
          <w:tcPr>
            <w:tcW w:w="100" w:type="dxa"/>
            <w:vAlign w:val="bottom"/>
            <w:shd w:val="clear" w:color="auto" w:fill="DBDBDB"/>
          </w:tcPr>
          <w:p>
            <w:pPr>
              <w:spacing w:after="0"/>
              <w:rPr>
                <w:sz w:val="20"/>
                <w:szCs w:val="20"/>
                <w:color w:val="auto"/>
              </w:rPr>
            </w:pPr>
          </w:p>
        </w:tc>
        <w:tc>
          <w:tcPr>
            <w:tcW w:w="160" w:type="dxa"/>
            <w:vAlign w:val="bottom"/>
            <w:shd w:val="clear" w:color="auto" w:fill="DBDBDB"/>
          </w:tcPr>
          <w:p>
            <w:pPr>
              <w:spacing w:after="0"/>
              <w:rPr>
                <w:sz w:val="20"/>
                <w:szCs w:val="20"/>
                <w:color w:val="auto"/>
              </w:rPr>
            </w:pPr>
          </w:p>
        </w:tc>
        <w:tc>
          <w:tcPr>
            <w:tcW w:w="980" w:type="dxa"/>
            <w:vAlign w:val="bottom"/>
            <w:shd w:val="clear" w:color="auto" w:fill="DBDBDB"/>
          </w:tcPr>
          <w:p>
            <w:pPr>
              <w:spacing w:after="0"/>
              <w:rPr>
                <w:sz w:val="20"/>
                <w:szCs w:val="20"/>
                <w:color w:val="auto"/>
              </w:rPr>
            </w:pPr>
          </w:p>
        </w:tc>
        <w:tc>
          <w:tcPr>
            <w:tcW w:w="80" w:type="dxa"/>
            <w:vAlign w:val="bottom"/>
            <w:shd w:val="clear" w:color="auto" w:fill="DBDBDB"/>
          </w:tcPr>
          <w:p>
            <w:pPr>
              <w:spacing w:after="0"/>
              <w:rPr>
                <w:sz w:val="20"/>
                <w:szCs w:val="20"/>
                <w:color w:val="auto"/>
              </w:rPr>
            </w:pPr>
          </w:p>
        </w:tc>
        <w:tc>
          <w:tcPr>
            <w:tcW w:w="200" w:type="dxa"/>
            <w:vAlign w:val="bottom"/>
            <w:shd w:val="clear" w:color="auto" w:fill="DBDBDB"/>
          </w:tcPr>
          <w:p>
            <w:pPr>
              <w:spacing w:after="0"/>
              <w:rPr>
                <w:sz w:val="20"/>
                <w:szCs w:val="20"/>
                <w:color w:val="auto"/>
              </w:rPr>
            </w:pPr>
          </w:p>
        </w:tc>
        <w:tc>
          <w:tcPr>
            <w:tcW w:w="10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2,249</w:t>
            </w:r>
          </w:p>
        </w:tc>
        <w:tc>
          <w:tcPr>
            <w:tcW w:w="100" w:type="dxa"/>
            <w:vAlign w:val="bottom"/>
            <w:shd w:val="clear" w:color="auto" w:fill="DBDBDB"/>
          </w:tcPr>
          <w:p>
            <w:pPr>
              <w:spacing w:after="0"/>
              <w:rPr>
                <w:sz w:val="20"/>
                <w:szCs w:val="20"/>
                <w:color w:val="auto"/>
              </w:rPr>
            </w:pPr>
          </w:p>
        </w:tc>
        <w:tc>
          <w:tcPr>
            <w:tcW w:w="160" w:type="dxa"/>
            <w:vAlign w:val="bottom"/>
            <w:shd w:val="clear" w:color="auto" w:fill="DBDBDB"/>
          </w:tcPr>
          <w:p>
            <w:pPr>
              <w:spacing w:after="0"/>
              <w:rPr>
                <w:sz w:val="20"/>
                <w:szCs w:val="20"/>
                <w:color w:val="auto"/>
              </w:rPr>
            </w:pPr>
          </w:p>
        </w:tc>
        <w:tc>
          <w:tcPr>
            <w:tcW w:w="1480" w:type="dxa"/>
            <w:vAlign w:val="bottom"/>
            <w:shd w:val="clear" w:color="auto" w:fill="DBDBDB"/>
          </w:tcPr>
          <w:p>
            <w:pPr>
              <w:spacing w:after="0"/>
              <w:rPr>
                <w:sz w:val="20"/>
                <w:szCs w:val="20"/>
                <w:color w:val="auto"/>
              </w:rPr>
            </w:pPr>
          </w:p>
        </w:tc>
        <w:tc>
          <w:tcPr>
            <w:tcW w:w="80" w:type="dxa"/>
            <w:vAlign w:val="bottom"/>
            <w:shd w:val="clear" w:color="auto" w:fill="DBDBDB"/>
          </w:tcPr>
          <w:p>
            <w:pPr>
              <w:spacing w:after="0"/>
              <w:rPr>
                <w:sz w:val="20"/>
                <w:szCs w:val="20"/>
                <w:color w:val="auto"/>
              </w:rPr>
            </w:pPr>
          </w:p>
        </w:tc>
        <w:tc>
          <w:tcPr>
            <w:tcW w:w="260" w:type="dxa"/>
            <w:vAlign w:val="bottom"/>
            <w:shd w:val="clear" w:color="auto" w:fill="DBDBDB"/>
          </w:tcPr>
          <w:p>
            <w:pPr>
              <w:spacing w:after="0"/>
              <w:rPr>
                <w:sz w:val="20"/>
                <w:szCs w:val="20"/>
                <w:color w:val="auto"/>
              </w:rPr>
            </w:pPr>
          </w:p>
        </w:tc>
        <w:tc>
          <w:tcPr>
            <w:tcW w:w="9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(690)</w:t>
            </w:r>
          </w:p>
        </w:tc>
        <w:tc>
          <w:tcPr>
            <w:tcW w:w="0" w:type="dxa"/>
            <w:vAlign w:val="bottom"/>
          </w:tcPr>
          <w:p>
            <w:pPr>
              <w:spacing w:after="0"/>
              <w:rPr>
                <w:sz w:val="1"/>
                <w:szCs w:val="1"/>
                <w:color w:val="auto"/>
              </w:rPr>
            </w:pPr>
          </w:p>
        </w:tc>
      </w:tr>
      <w:tr>
        <w:trPr>
          <w:trHeight w:val="229"/>
        </w:trPr>
        <w:tc>
          <w:tcPr>
            <w:tcW w:w="3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Exercise of SARs</w:t>
            </w: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0" w:type="dxa"/>
            <w:vAlign w:val="bottom"/>
          </w:tcPr>
          <w:p>
            <w:pPr>
              <w:spacing w:after="0"/>
              <w:rPr>
                <w:sz w:val="1"/>
                <w:szCs w:val="1"/>
                <w:color w:val="auto"/>
              </w:rPr>
            </w:pPr>
          </w:p>
        </w:tc>
      </w:tr>
      <w:tr>
        <w:trPr>
          <w:trHeight w:val="229"/>
        </w:trPr>
        <w:tc>
          <w:tcPr>
            <w:tcW w:w="320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60" w:type="dxa"/>
            <w:vAlign w:val="bottom"/>
            <w:shd w:val="clear" w:color="auto" w:fill="DBDBDB"/>
          </w:tcPr>
          <w:p>
            <w:pPr>
              <w:spacing w:after="0"/>
              <w:rPr>
                <w:sz w:val="19"/>
                <w:szCs w:val="19"/>
                <w:color w:val="auto"/>
              </w:rPr>
            </w:pPr>
          </w:p>
        </w:tc>
        <w:tc>
          <w:tcPr>
            <w:tcW w:w="98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10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2,859</w:t>
            </w:r>
          </w:p>
        </w:tc>
        <w:tc>
          <w:tcPr>
            <w:tcW w:w="10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98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10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148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9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2,859</w:t>
            </w:r>
          </w:p>
        </w:tc>
        <w:tc>
          <w:tcPr>
            <w:tcW w:w="0" w:type="dxa"/>
            <w:vAlign w:val="bottom"/>
          </w:tcPr>
          <w:p>
            <w:pPr>
              <w:spacing w:after="0"/>
              <w:rPr>
                <w:sz w:val="1"/>
                <w:szCs w:val="1"/>
                <w:color w:val="auto"/>
              </w:rPr>
            </w:pPr>
          </w:p>
        </w:tc>
      </w:tr>
      <w:tr>
        <w:trPr>
          <w:trHeight w:val="230"/>
        </w:trPr>
        <w:tc>
          <w:tcPr>
            <w:tcW w:w="3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 of 713,857 common shares</w:t>
            </w: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(30,997)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(30,997)</w:t>
            </w:r>
          </w:p>
        </w:tc>
        <w:tc>
          <w:tcPr>
            <w:tcW w:w="0" w:type="dxa"/>
            <w:vAlign w:val="bottom"/>
          </w:tcPr>
          <w:p>
            <w:pPr>
              <w:spacing w:after="0"/>
              <w:rPr>
                <w:sz w:val="1"/>
                <w:szCs w:val="1"/>
                <w:color w:val="auto"/>
              </w:rPr>
            </w:pPr>
          </w:p>
        </w:tc>
      </w:tr>
      <w:tr>
        <w:trPr>
          <w:trHeight w:val="229"/>
        </w:trPr>
        <w:tc>
          <w:tcPr>
            <w:tcW w:w="320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60" w:type="dxa"/>
            <w:vAlign w:val="bottom"/>
            <w:tcBorders>
              <w:bottom w:val="single" w:sz="8" w:color="auto"/>
            </w:tcBorders>
            <w:shd w:val="clear" w:color="auto" w:fill="DBDBDB"/>
          </w:tcPr>
          <w:p>
            <w:pPr>
              <w:spacing w:after="0"/>
              <w:rPr>
                <w:sz w:val="19"/>
                <w:szCs w:val="19"/>
                <w:color w:val="auto"/>
              </w:rPr>
            </w:pPr>
          </w:p>
        </w:tc>
        <w:tc>
          <w:tcPr>
            <w:tcW w:w="980" w:type="dxa"/>
            <w:vAlign w:val="bottom"/>
            <w:tcBorders>
              <w:bottom w:val="single" w:sz="8" w:color="auto"/>
            </w:tcBorders>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60" w:type="dxa"/>
            <w:vAlign w:val="bottom"/>
            <w:tcBorders>
              <w:bottom w:val="single" w:sz="8" w:color="auto"/>
            </w:tcBorders>
            <w:shd w:val="clear" w:color="auto" w:fill="DBDBDB"/>
          </w:tcPr>
          <w:p>
            <w:pPr>
              <w:spacing w:after="0"/>
              <w:rPr>
                <w:sz w:val="19"/>
                <w:szCs w:val="19"/>
                <w:color w:val="auto"/>
              </w:rPr>
            </w:pPr>
          </w:p>
        </w:tc>
        <w:tc>
          <w:tcPr>
            <w:tcW w:w="1060" w:type="dxa"/>
            <w:vAlign w:val="bottom"/>
            <w:tcBorders>
              <w:bottom w:val="single" w:sz="8" w:color="auto"/>
            </w:tcBorders>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60" w:type="dxa"/>
            <w:vAlign w:val="bottom"/>
            <w:tcBorders>
              <w:bottom w:val="single" w:sz="8" w:color="auto"/>
            </w:tcBorders>
            <w:shd w:val="clear" w:color="auto" w:fill="DBDBDB"/>
          </w:tcPr>
          <w:p>
            <w:pPr>
              <w:spacing w:after="0"/>
              <w:rPr>
                <w:sz w:val="19"/>
                <w:szCs w:val="19"/>
                <w:color w:val="auto"/>
              </w:rPr>
            </w:pPr>
          </w:p>
        </w:tc>
        <w:tc>
          <w:tcPr>
            <w:tcW w:w="980" w:type="dxa"/>
            <w:vAlign w:val="bottom"/>
            <w:tcBorders>
              <w:bottom w:val="single" w:sz="8" w:color="auto"/>
            </w:tcBorders>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200" w:type="dxa"/>
            <w:vAlign w:val="bottom"/>
            <w:tcBorders>
              <w:bottom w:val="single" w:sz="8" w:color="auto"/>
            </w:tcBorders>
            <w:shd w:val="clear" w:color="auto" w:fill="DBDBDB"/>
          </w:tcPr>
          <w:p>
            <w:pPr>
              <w:spacing w:after="0"/>
              <w:rPr>
                <w:sz w:val="19"/>
                <w:szCs w:val="19"/>
                <w:color w:val="auto"/>
              </w:rPr>
            </w:pPr>
          </w:p>
        </w:tc>
        <w:tc>
          <w:tcPr>
            <w:tcW w:w="1020" w:type="dxa"/>
            <w:vAlign w:val="bottom"/>
            <w:tcBorders>
              <w:bottom w:val="single" w:sz="8" w:color="auto"/>
            </w:tcBorders>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60" w:type="dxa"/>
            <w:vAlign w:val="bottom"/>
            <w:tcBorders>
              <w:bottom w:val="single" w:sz="8" w:color="auto"/>
            </w:tcBorders>
            <w:shd w:val="clear" w:color="auto" w:fill="DBDBDB"/>
          </w:tcPr>
          <w:p>
            <w:pPr>
              <w:spacing w:after="0"/>
              <w:rPr>
                <w:sz w:val="19"/>
                <w:szCs w:val="19"/>
                <w:color w:val="auto"/>
              </w:rPr>
            </w:pPr>
          </w:p>
        </w:tc>
        <w:tc>
          <w:tcPr>
            <w:tcW w:w="148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468</w:t>
            </w:r>
          </w:p>
        </w:tc>
        <w:tc>
          <w:tcPr>
            <w:tcW w:w="80" w:type="dxa"/>
            <w:vAlign w:val="bottom"/>
            <w:shd w:val="clear" w:color="auto" w:fill="DBDBDB"/>
          </w:tcPr>
          <w:p>
            <w:pPr>
              <w:spacing w:after="0"/>
              <w:rPr>
                <w:sz w:val="19"/>
                <w:szCs w:val="19"/>
                <w:color w:val="auto"/>
              </w:rPr>
            </w:pPr>
          </w:p>
        </w:tc>
        <w:tc>
          <w:tcPr>
            <w:tcW w:w="260" w:type="dxa"/>
            <w:vAlign w:val="bottom"/>
            <w:tcBorders>
              <w:bottom w:val="single" w:sz="8" w:color="auto"/>
            </w:tcBorders>
            <w:shd w:val="clear" w:color="auto" w:fill="DBDBDB"/>
          </w:tcPr>
          <w:p>
            <w:pPr>
              <w:spacing w:after="0"/>
              <w:rPr>
                <w:sz w:val="19"/>
                <w:szCs w:val="19"/>
                <w:color w:val="auto"/>
              </w:rPr>
            </w:pPr>
          </w:p>
        </w:tc>
        <w:tc>
          <w:tcPr>
            <w:tcW w:w="96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468</w:t>
            </w:r>
          </w:p>
        </w:tc>
        <w:tc>
          <w:tcPr>
            <w:tcW w:w="0" w:type="dxa"/>
            <w:vAlign w:val="bottom"/>
          </w:tcPr>
          <w:p>
            <w:pPr>
              <w:spacing w:after="0"/>
              <w:rPr>
                <w:sz w:val="1"/>
                <w:szCs w:val="1"/>
                <w:color w:val="auto"/>
              </w:rPr>
            </w:pPr>
          </w:p>
        </w:tc>
      </w:tr>
      <w:tr>
        <w:trPr>
          <w:trHeight w:val="223"/>
        </w:trPr>
        <w:tc>
          <w:tcPr>
            <w:tcW w:w="3200" w:type="dxa"/>
            <w:vAlign w:val="bottom"/>
            <w:tcBorders>
              <w:bottom w:val="single" w:sz="8" w:color="DBDBDB"/>
            </w:tcBorders>
          </w:tcPr>
          <w:p>
            <w:pPr>
              <w:ind w:left="20"/>
              <w:spacing w:after="0"/>
              <w:rPr>
                <w:sz w:val="20"/>
                <w:szCs w:val="20"/>
                <w:color w:val="auto"/>
              </w:rPr>
            </w:pPr>
            <w:r>
              <w:rPr>
                <w:rFonts w:ascii="Times New Roman" w:cs="Times New Roman" w:eastAsia="Times New Roman" w:hAnsi="Times New Roman"/>
                <w:sz w:val="18"/>
                <w:szCs w:val="18"/>
                <w:color w:val="auto"/>
              </w:rPr>
              <w:t>Balance, December 31, 2021</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7,753</w:t>
            </w:r>
          </w:p>
        </w:tc>
        <w:tc>
          <w:tcPr>
            <w:tcW w:w="100" w:type="dxa"/>
            <w:vAlign w:val="bottom"/>
            <w:tcBorders>
              <w:bottom w:val="single" w:sz="8" w:color="DBDBDB"/>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204,276</w:t>
            </w:r>
          </w:p>
        </w:tc>
        <w:tc>
          <w:tcPr>
            <w:tcW w:w="100" w:type="dxa"/>
            <w:vAlign w:val="bottom"/>
            <w:tcBorders>
              <w:bottom w:val="single" w:sz="8" w:color="DBDBDB"/>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112,220</w:t>
            </w:r>
          </w:p>
        </w:tc>
        <w:tc>
          <w:tcPr>
            <w:tcW w:w="80" w:type="dxa"/>
            <w:vAlign w:val="bottom"/>
            <w:tcBorders>
              <w:bottom w:val="single" w:sz="8" w:color="DBDBDB"/>
            </w:tcBorders>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(78,904)</w:t>
            </w:r>
          </w:p>
        </w:tc>
        <w:tc>
          <w:tcPr>
            <w:tcW w:w="100" w:type="dxa"/>
            <w:vAlign w:val="bottom"/>
            <w:tcBorders>
              <w:bottom w:val="single" w:sz="8" w:color="DBDBDB"/>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80" w:type="dxa"/>
            <w:vAlign w:val="bottom"/>
            <w:tcBorders>
              <w:bottom w:val="single" w:sz="8" w:color="DBDBDB"/>
            </w:tcBorders>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245,798</w:t>
            </w:r>
          </w:p>
        </w:tc>
        <w:tc>
          <w:tcPr>
            <w:tcW w:w="0" w:type="dxa"/>
            <w:vAlign w:val="bottom"/>
          </w:tcPr>
          <w:p>
            <w:pPr>
              <w:spacing w:after="0"/>
              <w:rPr>
                <w:sz w:val="1"/>
                <w:szCs w:val="1"/>
                <w:color w:val="auto"/>
              </w:rPr>
            </w:pPr>
          </w:p>
        </w:tc>
      </w:tr>
      <w:tr>
        <w:trPr>
          <w:trHeight w:val="88"/>
        </w:trPr>
        <w:tc>
          <w:tcPr>
            <w:tcW w:w="3200" w:type="dxa"/>
            <w:vAlign w:val="bottom"/>
            <w:shd w:val="clear" w:color="auto" w:fill="DBDBDB"/>
          </w:tcPr>
          <w:p>
            <w:pPr>
              <w:spacing w:after="0"/>
              <w:rPr>
                <w:sz w:val="7"/>
                <w:szCs w:val="7"/>
                <w:color w:val="auto"/>
              </w:rPr>
            </w:pPr>
          </w:p>
        </w:tc>
        <w:tc>
          <w:tcPr>
            <w:tcW w:w="160" w:type="dxa"/>
            <w:vAlign w:val="bottom"/>
            <w:shd w:val="clear" w:color="auto" w:fill="DBDBDB"/>
          </w:tcPr>
          <w:p>
            <w:pPr>
              <w:spacing w:after="0"/>
              <w:rPr>
                <w:sz w:val="7"/>
                <w:szCs w:val="7"/>
                <w:color w:val="auto"/>
              </w:rPr>
            </w:pPr>
          </w:p>
        </w:tc>
        <w:tc>
          <w:tcPr>
            <w:tcW w:w="980" w:type="dxa"/>
            <w:vAlign w:val="bottom"/>
            <w:shd w:val="clear" w:color="auto" w:fill="DBDBDB"/>
          </w:tcPr>
          <w:p>
            <w:pPr>
              <w:spacing w:after="0"/>
              <w:rPr>
                <w:sz w:val="7"/>
                <w:szCs w:val="7"/>
                <w:color w:val="auto"/>
              </w:rPr>
            </w:pPr>
          </w:p>
        </w:tc>
        <w:tc>
          <w:tcPr>
            <w:tcW w:w="100" w:type="dxa"/>
            <w:vAlign w:val="bottom"/>
            <w:shd w:val="clear" w:color="auto" w:fill="DBDBDB"/>
          </w:tcPr>
          <w:p>
            <w:pPr>
              <w:spacing w:after="0"/>
              <w:rPr>
                <w:sz w:val="7"/>
                <w:szCs w:val="7"/>
                <w:color w:val="auto"/>
              </w:rPr>
            </w:pPr>
          </w:p>
        </w:tc>
        <w:tc>
          <w:tcPr>
            <w:tcW w:w="160" w:type="dxa"/>
            <w:vAlign w:val="bottom"/>
            <w:shd w:val="clear" w:color="auto" w:fill="DBDBDB"/>
          </w:tcPr>
          <w:p>
            <w:pPr>
              <w:spacing w:after="0"/>
              <w:rPr>
                <w:sz w:val="7"/>
                <w:szCs w:val="7"/>
                <w:color w:val="auto"/>
              </w:rPr>
            </w:pPr>
          </w:p>
        </w:tc>
        <w:tc>
          <w:tcPr>
            <w:tcW w:w="1060" w:type="dxa"/>
            <w:vAlign w:val="bottom"/>
            <w:shd w:val="clear" w:color="auto" w:fill="DBDBDB"/>
          </w:tcPr>
          <w:p>
            <w:pPr>
              <w:spacing w:after="0"/>
              <w:rPr>
                <w:sz w:val="7"/>
                <w:szCs w:val="7"/>
                <w:color w:val="auto"/>
              </w:rPr>
            </w:pPr>
          </w:p>
        </w:tc>
        <w:tc>
          <w:tcPr>
            <w:tcW w:w="100" w:type="dxa"/>
            <w:vAlign w:val="bottom"/>
            <w:shd w:val="clear" w:color="auto" w:fill="DBDBDB"/>
          </w:tcPr>
          <w:p>
            <w:pPr>
              <w:spacing w:after="0"/>
              <w:rPr>
                <w:sz w:val="7"/>
                <w:szCs w:val="7"/>
                <w:color w:val="auto"/>
              </w:rPr>
            </w:pPr>
          </w:p>
        </w:tc>
        <w:tc>
          <w:tcPr>
            <w:tcW w:w="160" w:type="dxa"/>
            <w:vAlign w:val="bottom"/>
            <w:shd w:val="clear" w:color="auto" w:fill="DBDBDB"/>
          </w:tcPr>
          <w:p>
            <w:pPr>
              <w:spacing w:after="0"/>
              <w:rPr>
                <w:sz w:val="7"/>
                <w:szCs w:val="7"/>
                <w:color w:val="auto"/>
              </w:rPr>
            </w:pPr>
          </w:p>
        </w:tc>
        <w:tc>
          <w:tcPr>
            <w:tcW w:w="980" w:type="dxa"/>
            <w:vAlign w:val="bottom"/>
            <w:shd w:val="clear" w:color="auto" w:fill="DBDBDB"/>
          </w:tcPr>
          <w:p>
            <w:pPr>
              <w:spacing w:after="0"/>
              <w:rPr>
                <w:sz w:val="7"/>
                <w:szCs w:val="7"/>
                <w:color w:val="auto"/>
              </w:rPr>
            </w:pPr>
          </w:p>
        </w:tc>
        <w:tc>
          <w:tcPr>
            <w:tcW w:w="80" w:type="dxa"/>
            <w:vAlign w:val="bottom"/>
            <w:shd w:val="clear" w:color="auto" w:fill="DBDBDB"/>
          </w:tcPr>
          <w:p>
            <w:pPr>
              <w:spacing w:after="0"/>
              <w:rPr>
                <w:sz w:val="7"/>
                <w:szCs w:val="7"/>
                <w:color w:val="auto"/>
              </w:rPr>
            </w:pPr>
          </w:p>
        </w:tc>
        <w:tc>
          <w:tcPr>
            <w:tcW w:w="200" w:type="dxa"/>
            <w:vAlign w:val="bottom"/>
            <w:shd w:val="clear" w:color="auto" w:fill="DBDBDB"/>
          </w:tcPr>
          <w:p>
            <w:pPr>
              <w:spacing w:after="0"/>
              <w:rPr>
                <w:sz w:val="7"/>
                <w:szCs w:val="7"/>
                <w:color w:val="auto"/>
              </w:rPr>
            </w:pPr>
          </w:p>
        </w:tc>
        <w:tc>
          <w:tcPr>
            <w:tcW w:w="1020" w:type="dxa"/>
            <w:vAlign w:val="bottom"/>
            <w:shd w:val="clear" w:color="auto" w:fill="DBDBDB"/>
          </w:tcPr>
          <w:p>
            <w:pPr>
              <w:spacing w:after="0"/>
              <w:rPr>
                <w:sz w:val="7"/>
                <w:szCs w:val="7"/>
                <w:color w:val="auto"/>
              </w:rPr>
            </w:pPr>
          </w:p>
        </w:tc>
        <w:tc>
          <w:tcPr>
            <w:tcW w:w="100" w:type="dxa"/>
            <w:vAlign w:val="bottom"/>
            <w:shd w:val="clear" w:color="auto" w:fill="DBDBDB"/>
          </w:tcPr>
          <w:p>
            <w:pPr>
              <w:spacing w:after="0"/>
              <w:rPr>
                <w:sz w:val="7"/>
                <w:szCs w:val="7"/>
                <w:color w:val="auto"/>
              </w:rPr>
            </w:pPr>
          </w:p>
        </w:tc>
        <w:tc>
          <w:tcPr>
            <w:tcW w:w="160" w:type="dxa"/>
            <w:vAlign w:val="bottom"/>
            <w:shd w:val="clear" w:color="auto" w:fill="DBDBDB"/>
          </w:tcPr>
          <w:p>
            <w:pPr>
              <w:spacing w:after="0"/>
              <w:rPr>
                <w:sz w:val="7"/>
                <w:szCs w:val="7"/>
                <w:color w:val="auto"/>
              </w:rPr>
            </w:pPr>
          </w:p>
        </w:tc>
        <w:tc>
          <w:tcPr>
            <w:tcW w:w="1480" w:type="dxa"/>
            <w:vAlign w:val="bottom"/>
            <w:shd w:val="clear" w:color="auto" w:fill="DBDBDB"/>
          </w:tcPr>
          <w:p>
            <w:pPr>
              <w:spacing w:after="0"/>
              <w:rPr>
                <w:sz w:val="7"/>
                <w:szCs w:val="7"/>
                <w:color w:val="auto"/>
              </w:rPr>
            </w:pPr>
          </w:p>
        </w:tc>
        <w:tc>
          <w:tcPr>
            <w:tcW w:w="80" w:type="dxa"/>
            <w:vAlign w:val="bottom"/>
            <w:shd w:val="clear" w:color="auto" w:fill="DBDBDB"/>
          </w:tcPr>
          <w:p>
            <w:pPr>
              <w:spacing w:after="0"/>
              <w:rPr>
                <w:sz w:val="7"/>
                <w:szCs w:val="7"/>
                <w:color w:val="auto"/>
              </w:rPr>
            </w:pPr>
          </w:p>
        </w:tc>
        <w:tc>
          <w:tcPr>
            <w:tcW w:w="260" w:type="dxa"/>
            <w:vAlign w:val="bottom"/>
            <w:shd w:val="clear" w:color="auto" w:fill="DBDBDB"/>
          </w:tcPr>
          <w:p>
            <w:pPr>
              <w:spacing w:after="0"/>
              <w:rPr>
                <w:sz w:val="7"/>
                <w:szCs w:val="7"/>
                <w:color w:val="auto"/>
              </w:rPr>
            </w:pPr>
          </w:p>
        </w:tc>
        <w:tc>
          <w:tcPr>
            <w:tcW w:w="960" w:type="dxa"/>
            <w:vAlign w:val="bottom"/>
            <w:shd w:val="clear" w:color="auto" w:fill="DBDBDB"/>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3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34,904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34,904</w:t>
            </w:r>
          </w:p>
        </w:tc>
        <w:tc>
          <w:tcPr>
            <w:tcW w:w="0" w:type="dxa"/>
            <w:vAlign w:val="bottom"/>
          </w:tcPr>
          <w:p>
            <w:pPr>
              <w:spacing w:after="0"/>
              <w:rPr>
                <w:sz w:val="1"/>
                <w:szCs w:val="1"/>
                <w:color w:val="auto"/>
              </w:rPr>
            </w:pPr>
          </w:p>
        </w:tc>
      </w:tr>
      <w:tr>
        <w:trPr>
          <w:trHeight w:val="229"/>
        </w:trPr>
        <w:tc>
          <w:tcPr>
            <w:tcW w:w="320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Cash dividends ($1.13 per share)</w:t>
            </w:r>
          </w:p>
        </w:tc>
        <w:tc>
          <w:tcPr>
            <w:tcW w:w="160" w:type="dxa"/>
            <w:vAlign w:val="bottom"/>
            <w:shd w:val="clear" w:color="auto" w:fill="DBDBDB"/>
          </w:tcPr>
          <w:p>
            <w:pPr>
              <w:spacing w:after="0"/>
              <w:rPr>
                <w:sz w:val="19"/>
                <w:szCs w:val="19"/>
                <w:color w:val="auto"/>
              </w:rPr>
            </w:pPr>
          </w:p>
        </w:tc>
        <w:tc>
          <w:tcPr>
            <w:tcW w:w="98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106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9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(15,442)</w:t>
            </w:r>
          </w:p>
        </w:tc>
        <w:tc>
          <w:tcPr>
            <w:tcW w:w="8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10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148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9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(15,442)</w:t>
            </w:r>
          </w:p>
        </w:tc>
        <w:tc>
          <w:tcPr>
            <w:tcW w:w="0" w:type="dxa"/>
            <w:vAlign w:val="bottom"/>
          </w:tcPr>
          <w:p>
            <w:pPr>
              <w:spacing w:after="0"/>
              <w:rPr>
                <w:sz w:val="1"/>
                <w:szCs w:val="1"/>
                <w:color w:val="auto"/>
              </w:rPr>
            </w:pPr>
          </w:p>
        </w:tc>
      </w:tr>
      <w:tr>
        <w:trPr>
          <w:trHeight w:val="176"/>
        </w:trPr>
        <w:tc>
          <w:tcPr>
            <w:tcW w:w="32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Issuance of 82,172 common shares</w:t>
            </w: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200" w:type="dxa"/>
            <w:vAlign w:val="bottom"/>
          </w:tcPr>
          <w:p>
            <w:pPr>
              <w:ind w:left="180"/>
              <w:spacing w:after="0" w:line="184" w:lineRule="exact"/>
              <w:rPr>
                <w:sz w:val="20"/>
                <w:szCs w:val="20"/>
                <w:color w:val="auto"/>
              </w:rPr>
            </w:pPr>
            <w:r>
              <w:rPr>
                <w:rFonts w:ascii="Times New Roman" w:cs="Times New Roman" w:eastAsia="Times New Roman" w:hAnsi="Times New Roman"/>
                <w:sz w:val="18"/>
                <w:szCs w:val="18"/>
                <w:color w:val="auto"/>
              </w:rPr>
              <w:t>pursuant to stock-based compensation</w:t>
            </w: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plan, net</w:t>
            </w: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0" w:type="dxa"/>
            <w:vAlign w:val="bottom"/>
          </w:tcPr>
          <w:p>
            <w:pPr>
              <w:spacing w:after="0"/>
              <w:rPr>
                <w:sz w:val="1"/>
                <w:szCs w:val="1"/>
                <w:color w:val="auto"/>
              </w:rPr>
            </w:pPr>
          </w:p>
        </w:tc>
      </w:tr>
      <w:tr>
        <w:trPr>
          <w:trHeight w:val="229"/>
        </w:trPr>
        <w:tc>
          <w:tcPr>
            <w:tcW w:w="320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Exercise of SARs</w:t>
            </w:r>
          </w:p>
        </w:tc>
        <w:tc>
          <w:tcPr>
            <w:tcW w:w="160" w:type="dxa"/>
            <w:vAlign w:val="bottom"/>
            <w:shd w:val="clear" w:color="auto" w:fill="DBDBDB"/>
          </w:tcPr>
          <w:p>
            <w:pPr>
              <w:spacing w:after="0"/>
              <w:rPr>
                <w:sz w:val="19"/>
                <w:szCs w:val="19"/>
                <w:color w:val="auto"/>
              </w:rPr>
            </w:pPr>
          </w:p>
        </w:tc>
        <w:tc>
          <w:tcPr>
            <w:tcW w:w="98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10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(859)</w:t>
            </w:r>
          </w:p>
        </w:tc>
        <w:tc>
          <w:tcPr>
            <w:tcW w:w="10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98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10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578</w:t>
            </w:r>
          </w:p>
        </w:tc>
        <w:tc>
          <w:tcPr>
            <w:tcW w:w="10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148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9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0" w:type="dxa"/>
            <w:vAlign w:val="bottom"/>
          </w:tcPr>
          <w:p>
            <w:pPr>
              <w:spacing w:after="0"/>
              <w:rPr>
                <w:sz w:val="1"/>
                <w:szCs w:val="1"/>
                <w:color w:val="auto"/>
              </w:rPr>
            </w:pPr>
          </w:p>
        </w:tc>
      </w:tr>
      <w:tr>
        <w:trPr>
          <w:trHeight w:val="230"/>
        </w:trPr>
        <w:tc>
          <w:tcPr>
            <w:tcW w:w="3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6,732</w:t>
            </w:r>
          </w:p>
        </w:tc>
        <w:tc>
          <w:tcPr>
            <w:tcW w:w="0" w:type="dxa"/>
            <w:vAlign w:val="bottom"/>
          </w:tcPr>
          <w:p>
            <w:pPr>
              <w:spacing w:after="0"/>
              <w:rPr>
                <w:sz w:val="1"/>
                <w:szCs w:val="1"/>
                <w:color w:val="auto"/>
              </w:rPr>
            </w:pPr>
          </w:p>
        </w:tc>
      </w:tr>
      <w:tr>
        <w:trPr>
          <w:trHeight w:val="230"/>
        </w:trPr>
        <w:tc>
          <w:tcPr>
            <w:tcW w:w="320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Purchase of 130,374 common shares</w:t>
            </w:r>
          </w:p>
        </w:tc>
        <w:tc>
          <w:tcPr>
            <w:tcW w:w="160" w:type="dxa"/>
            <w:vAlign w:val="bottom"/>
            <w:shd w:val="clear" w:color="auto" w:fill="DBDBDB"/>
          </w:tcPr>
          <w:p>
            <w:pPr>
              <w:spacing w:after="0"/>
              <w:rPr>
                <w:sz w:val="19"/>
                <w:szCs w:val="19"/>
                <w:color w:val="auto"/>
              </w:rPr>
            </w:pPr>
          </w:p>
        </w:tc>
        <w:tc>
          <w:tcPr>
            <w:tcW w:w="98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106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98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10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(5,299)</w:t>
            </w:r>
          </w:p>
        </w:tc>
        <w:tc>
          <w:tcPr>
            <w:tcW w:w="10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148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9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(5,299)</w:t>
            </w:r>
          </w:p>
        </w:tc>
        <w:tc>
          <w:tcPr>
            <w:tcW w:w="0" w:type="dxa"/>
            <w:vAlign w:val="bottom"/>
          </w:tcPr>
          <w:p>
            <w:pPr>
              <w:spacing w:after="0"/>
              <w:rPr>
                <w:sz w:val="1"/>
                <w:szCs w:val="1"/>
                <w:color w:val="auto"/>
              </w:rPr>
            </w:pPr>
          </w:p>
        </w:tc>
      </w:tr>
      <w:tr>
        <w:trPr>
          <w:trHeight w:val="230"/>
        </w:trPr>
        <w:tc>
          <w:tcPr>
            <w:tcW w:w="3200" w:type="dxa"/>
            <w:vAlign w:val="bottom"/>
            <w:tcBorders>
              <w:bottom w:val="single" w:sz="8" w:color="DBDBDB"/>
            </w:tcBorders>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00" w:type="dxa"/>
            <w:vAlign w:val="bottom"/>
            <w:tcBorders>
              <w:bottom w:val="single" w:sz="8" w:color="DBDBDB"/>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00" w:type="dxa"/>
            <w:vAlign w:val="bottom"/>
            <w:tcBorders>
              <w:bottom w:val="single" w:sz="8" w:color="DBDBDB"/>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80" w:type="dxa"/>
            <w:vAlign w:val="bottom"/>
            <w:tcBorders>
              <w:bottom w:val="single" w:sz="8" w:color="DBDBDB"/>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00" w:type="dxa"/>
            <w:vAlign w:val="bottom"/>
            <w:tcBorders>
              <w:bottom w:val="single" w:sz="8" w:color="DBDBDB"/>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(59,774)</w:t>
            </w:r>
          </w:p>
        </w:tc>
        <w:tc>
          <w:tcPr>
            <w:tcW w:w="80" w:type="dxa"/>
            <w:vAlign w:val="bottom"/>
            <w:tcBorders>
              <w:bottom w:val="single" w:sz="8" w:color="DBDBDB"/>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(59,774)</w:t>
            </w:r>
          </w:p>
        </w:tc>
        <w:tc>
          <w:tcPr>
            <w:tcW w:w="0" w:type="dxa"/>
            <w:vAlign w:val="bottom"/>
          </w:tcPr>
          <w:p>
            <w:pPr>
              <w:spacing w:after="0"/>
              <w:rPr>
                <w:sz w:val="1"/>
                <w:szCs w:val="1"/>
                <w:color w:val="auto"/>
              </w:rPr>
            </w:pPr>
          </w:p>
        </w:tc>
      </w:tr>
      <w:tr>
        <w:trPr>
          <w:trHeight w:val="223"/>
        </w:trPr>
        <w:tc>
          <w:tcPr>
            <w:tcW w:w="320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Balance, December 31, 2022</w:t>
            </w:r>
          </w:p>
        </w:tc>
        <w:tc>
          <w:tcPr>
            <w:tcW w:w="16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7,753</w:t>
            </w:r>
          </w:p>
        </w:tc>
        <w:tc>
          <w:tcPr>
            <w:tcW w:w="100" w:type="dxa"/>
            <w:vAlign w:val="bottom"/>
            <w:shd w:val="clear" w:color="auto" w:fill="DBDBDB"/>
          </w:tcPr>
          <w:p>
            <w:pPr>
              <w:spacing w:after="0"/>
              <w:rPr>
                <w:sz w:val="19"/>
                <w:szCs w:val="19"/>
                <w:color w:val="auto"/>
              </w:rPr>
            </w:pPr>
          </w:p>
        </w:tc>
        <w:tc>
          <w:tcPr>
            <w:tcW w:w="16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207,422</w:t>
            </w:r>
          </w:p>
        </w:tc>
        <w:tc>
          <w:tcPr>
            <w:tcW w:w="100" w:type="dxa"/>
            <w:vAlign w:val="bottom"/>
            <w:shd w:val="clear" w:color="auto" w:fill="DBDBDB"/>
          </w:tcPr>
          <w:p>
            <w:pPr>
              <w:spacing w:after="0"/>
              <w:rPr>
                <w:sz w:val="19"/>
                <w:szCs w:val="19"/>
                <w:color w:val="auto"/>
              </w:rPr>
            </w:pPr>
          </w:p>
        </w:tc>
        <w:tc>
          <w:tcPr>
            <w:tcW w:w="16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131,682</w:t>
            </w:r>
          </w:p>
        </w:tc>
        <w:tc>
          <w:tcPr>
            <w:tcW w:w="80" w:type="dxa"/>
            <w:vAlign w:val="bottom"/>
            <w:shd w:val="clear" w:color="auto" w:fill="DBDBDB"/>
          </w:tcPr>
          <w:p>
            <w:pPr>
              <w:spacing w:after="0"/>
              <w:rPr>
                <w:sz w:val="19"/>
                <w:szCs w:val="19"/>
                <w:color w:val="auto"/>
              </w:rPr>
            </w:pPr>
          </w:p>
        </w:tc>
        <w:tc>
          <w:tcPr>
            <w:tcW w:w="20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(81,211)</w:t>
            </w:r>
          </w:p>
        </w:tc>
        <w:tc>
          <w:tcPr>
            <w:tcW w:w="100" w:type="dxa"/>
            <w:vAlign w:val="bottom"/>
            <w:shd w:val="clear" w:color="auto" w:fill="DBDBDB"/>
          </w:tcPr>
          <w:p>
            <w:pPr>
              <w:spacing w:after="0"/>
              <w:rPr>
                <w:sz w:val="19"/>
                <w:szCs w:val="19"/>
                <w:color w:val="auto"/>
              </w:rPr>
            </w:pPr>
          </w:p>
        </w:tc>
        <w:tc>
          <w:tcPr>
            <w:tcW w:w="16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(59,321)</w:t>
            </w:r>
          </w:p>
        </w:tc>
        <w:tc>
          <w:tcPr>
            <w:tcW w:w="80" w:type="dxa"/>
            <w:vAlign w:val="bottom"/>
            <w:shd w:val="clear" w:color="auto" w:fill="DBDBDB"/>
          </w:tcPr>
          <w:p>
            <w:pPr>
              <w:spacing w:after="0"/>
              <w:rPr>
                <w:sz w:val="19"/>
                <w:szCs w:val="19"/>
                <w:color w:val="auto"/>
              </w:rPr>
            </w:pPr>
          </w:p>
        </w:tc>
        <w:tc>
          <w:tcPr>
            <w:tcW w:w="260" w:type="dxa"/>
            <w:vAlign w:val="bottom"/>
            <w:tcBorders>
              <w:bottom w:val="single" w:sz="8" w:color="auto"/>
            </w:tcBorders>
            <w:shd w:val="clear" w:color="auto" w:fill="DBDBDB"/>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206,325</w:t>
            </w:r>
          </w:p>
        </w:tc>
        <w:tc>
          <w:tcPr>
            <w:tcW w:w="0" w:type="dxa"/>
            <w:vAlign w:val="bottom"/>
          </w:tcPr>
          <w:p>
            <w:pPr>
              <w:spacing w:after="0"/>
              <w:rPr>
                <w:sz w:val="1"/>
                <w:szCs w:val="1"/>
                <w:color w:val="auto"/>
              </w:rPr>
            </w:pPr>
          </w:p>
        </w:tc>
      </w:tr>
      <w:tr>
        <w:trPr>
          <w:trHeight w:val="88"/>
        </w:trPr>
        <w:tc>
          <w:tcPr>
            <w:tcW w:w="3200" w:type="dxa"/>
            <w:vAlign w:val="bottom"/>
          </w:tcPr>
          <w:p>
            <w:pPr>
              <w:spacing w:after="0"/>
              <w:rPr>
                <w:sz w:val="7"/>
                <w:szCs w:val="7"/>
                <w:color w:val="auto"/>
              </w:rPr>
            </w:pPr>
          </w:p>
        </w:tc>
        <w:tc>
          <w:tcPr>
            <w:tcW w:w="160" w:type="dxa"/>
            <w:vAlign w:val="bottom"/>
          </w:tcPr>
          <w:p>
            <w:pPr>
              <w:spacing w:after="0"/>
              <w:rPr>
                <w:sz w:val="7"/>
                <w:szCs w:val="7"/>
                <w:color w:val="auto"/>
              </w:rPr>
            </w:pPr>
          </w:p>
        </w:tc>
        <w:tc>
          <w:tcPr>
            <w:tcW w:w="9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9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8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9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320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shd w:val="clear" w:color="auto" w:fill="DBDBDB"/>
          </w:tcPr>
          <w:p>
            <w:pPr>
              <w:spacing w:after="0"/>
              <w:rPr>
                <w:sz w:val="19"/>
                <w:szCs w:val="19"/>
                <w:color w:val="auto"/>
              </w:rPr>
            </w:pPr>
          </w:p>
        </w:tc>
        <w:tc>
          <w:tcPr>
            <w:tcW w:w="98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106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9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30,059</w:t>
            </w:r>
          </w:p>
        </w:tc>
        <w:tc>
          <w:tcPr>
            <w:tcW w:w="8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10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148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9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30,059</w:t>
            </w:r>
          </w:p>
        </w:tc>
        <w:tc>
          <w:tcPr>
            <w:tcW w:w="0" w:type="dxa"/>
            <w:vAlign w:val="bottom"/>
          </w:tcPr>
          <w:p>
            <w:pPr>
              <w:spacing w:after="0"/>
              <w:rPr>
                <w:sz w:val="1"/>
                <w:szCs w:val="1"/>
                <w:color w:val="auto"/>
              </w:rPr>
            </w:pPr>
          </w:p>
        </w:tc>
      </w:tr>
      <w:tr>
        <w:trPr>
          <w:trHeight w:val="229"/>
        </w:trPr>
        <w:tc>
          <w:tcPr>
            <w:tcW w:w="3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dividends ($1.17 per share)</w:t>
            </w: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(15,959)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(15,959)</w:t>
            </w:r>
          </w:p>
        </w:tc>
        <w:tc>
          <w:tcPr>
            <w:tcW w:w="0" w:type="dxa"/>
            <w:vAlign w:val="bottom"/>
          </w:tcPr>
          <w:p>
            <w:pPr>
              <w:spacing w:after="0"/>
              <w:rPr>
                <w:sz w:val="1"/>
                <w:szCs w:val="1"/>
                <w:color w:val="auto"/>
              </w:rPr>
            </w:pPr>
          </w:p>
        </w:tc>
      </w:tr>
      <w:tr>
        <w:trPr>
          <w:trHeight w:val="176"/>
        </w:trPr>
        <w:tc>
          <w:tcPr>
            <w:tcW w:w="3200" w:type="dxa"/>
            <w:vAlign w:val="bottom"/>
            <w:shd w:val="clear" w:color="auto" w:fill="DBDBDB"/>
          </w:tcPr>
          <w:p>
            <w:pPr>
              <w:ind w:left="20"/>
              <w:spacing w:after="0" w:line="176" w:lineRule="exact"/>
              <w:rPr>
                <w:sz w:val="20"/>
                <w:szCs w:val="20"/>
                <w:color w:val="auto"/>
              </w:rPr>
            </w:pPr>
            <w:r>
              <w:rPr>
                <w:rFonts w:ascii="Times New Roman" w:cs="Times New Roman" w:eastAsia="Times New Roman" w:hAnsi="Times New Roman"/>
                <w:sz w:val="18"/>
                <w:szCs w:val="18"/>
                <w:color w:val="auto"/>
              </w:rPr>
              <w:t>Issuance of 84,366 common shares</w:t>
            </w:r>
          </w:p>
        </w:tc>
        <w:tc>
          <w:tcPr>
            <w:tcW w:w="160" w:type="dxa"/>
            <w:vAlign w:val="bottom"/>
            <w:shd w:val="clear" w:color="auto" w:fill="DBDBDB"/>
          </w:tcPr>
          <w:p>
            <w:pPr>
              <w:spacing w:after="0"/>
              <w:rPr>
                <w:sz w:val="15"/>
                <w:szCs w:val="15"/>
                <w:color w:val="auto"/>
              </w:rPr>
            </w:pPr>
          </w:p>
        </w:tc>
        <w:tc>
          <w:tcPr>
            <w:tcW w:w="98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160" w:type="dxa"/>
            <w:vAlign w:val="bottom"/>
            <w:shd w:val="clear" w:color="auto" w:fill="DBDBDB"/>
          </w:tcPr>
          <w:p>
            <w:pPr>
              <w:spacing w:after="0"/>
              <w:rPr>
                <w:sz w:val="15"/>
                <w:szCs w:val="15"/>
                <w:color w:val="auto"/>
              </w:rPr>
            </w:pPr>
          </w:p>
        </w:tc>
        <w:tc>
          <w:tcPr>
            <w:tcW w:w="106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160" w:type="dxa"/>
            <w:vAlign w:val="bottom"/>
            <w:shd w:val="clear" w:color="auto" w:fill="DBDBDB"/>
          </w:tcPr>
          <w:p>
            <w:pPr>
              <w:spacing w:after="0"/>
              <w:rPr>
                <w:sz w:val="15"/>
                <w:szCs w:val="15"/>
                <w:color w:val="auto"/>
              </w:rPr>
            </w:pPr>
          </w:p>
        </w:tc>
        <w:tc>
          <w:tcPr>
            <w:tcW w:w="98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200" w:type="dxa"/>
            <w:vAlign w:val="bottom"/>
            <w:shd w:val="clear" w:color="auto" w:fill="DBDBDB"/>
          </w:tcPr>
          <w:p>
            <w:pPr>
              <w:spacing w:after="0"/>
              <w:rPr>
                <w:sz w:val="15"/>
                <w:szCs w:val="15"/>
                <w:color w:val="auto"/>
              </w:rPr>
            </w:pPr>
          </w:p>
        </w:tc>
        <w:tc>
          <w:tcPr>
            <w:tcW w:w="102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160" w:type="dxa"/>
            <w:vAlign w:val="bottom"/>
            <w:shd w:val="clear" w:color="auto" w:fill="DBDBDB"/>
          </w:tcPr>
          <w:p>
            <w:pPr>
              <w:spacing w:after="0"/>
              <w:rPr>
                <w:sz w:val="15"/>
                <w:szCs w:val="15"/>
                <w:color w:val="auto"/>
              </w:rPr>
            </w:pPr>
          </w:p>
        </w:tc>
        <w:tc>
          <w:tcPr>
            <w:tcW w:w="148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260" w:type="dxa"/>
            <w:vAlign w:val="bottom"/>
            <w:shd w:val="clear" w:color="auto" w:fill="DBDBDB"/>
          </w:tcPr>
          <w:p>
            <w:pPr>
              <w:spacing w:after="0"/>
              <w:rPr>
                <w:sz w:val="15"/>
                <w:szCs w:val="15"/>
                <w:color w:val="auto"/>
              </w:rPr>
            </w:pPr>
          </w:p>
        </w:tc>
        <w:tc>
          <w:tcPr>
            <w:tcW w:w="960" w:type="dxa"/>
            <w:vAlign w:val="bottom"/>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200" w:type="dxa"/>
            <w:vAlign w:val="bottom"/>
            <w:shd w:val="clear" w:color="auto" w:fill="DBDBDB"/>
          </w:tcPr>
          <w:p>
            <w:pPr>
              <w:ind w:left="180"/>
              <w:spacing w:after="0" w:line="184" w:lineRule="exact"/>
              <w:rPr>
                <w:sz w:val="20"/>
                <w:szCs w:val="20"/>
                <w:color w:val="auto"/>
              </w:rPr>
            </w:pPr>
            <w:r>
              <w:rPr>
                <w:rFonts w:ascii="Times New Roman" w:cs="Times New Roman" w:eastAsia="Times New Roman" w:hAnsi="Times New Roman"/>
                <w:sz w:val="18"/>
                <w:szCs w:val="18"/>
                <w:color w:val="auto"/>
              </w:rPr>
              <w:t>pursuant to stock-based compensation</w:t>
            </w:r>
          </w:p>
        </w:tc>
        <w:tc>
          <w:tcPr>
            <w:tcW w:w="160" w:type="dxa"/>
            <w:vAlign w:val="bottom"/>
            <w:shd w:val="clear" w:color="auto" w:fill="DBDBDB"/>
          </w:tcPr>
          <w:p>
            <w:pPr>
              <w:spacing w:after="0"/>
              <w:rPr>
                <w:sz w:val="16"/>
                <w:szCs w:val="16"/>
                <w:color w:val="auto"/>
              </w:rPr>
            </w:pPr>
          </w:p>
        </w:tc>
        <w:tc>
          <w:tcPr>
            <w:tcW w:w="98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160" w:type="dxa"/>
            <w:vAlign w:val="bottom"/>
            <w:shd w:val="clear" w:color="auto" w:fill="DBDBDB"/>
          </w:tcPr>
          <w:p>
            <w:pPr>
              <w:spacing w:after="0"/>
              <w:rPr>
                <w:sz w:val="16"/>
                <w:szCs w:val="16"/>
                <w:color w:val="auto"/>
              </w:rPr>
            </w:pPr>
          </w:p>
        </w:tc>
        <w:tc>
          <w:tcPr>
            <w:tcW w:w="106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160" w:type="dxa"/>
            <w:vAlign w:val="bottom"/>
            <w:shd w:val="clear" w:color="auto" w:fill="DBDBDB"/>
          </w:tcPr>
          <w:p>
            <w:pPr>
              <w:spacing w:after="0"/>
              <w:rPr>
                <w:sz w:val="16"/>
                <w:szCs w:val="16"/>
                <w:color w:val="auto"/>
              </w:rPr>
            </w:pPr>
          </w:p>
        </w:tc>
        <w:tc>
          <w:tcPr>
            <w:tcW w:w="98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200" w:type="dxa"/>
            <w:vAlign w:val="bottom"/>
            <w:shd w:val="clear" w:color="auto" w:fill="DBDBDB"/>
          </w:tcPr>
          <w:p>
            <w:pPr>
              <w:spacing w:after="0"/>
              <w:rPr>
                <w:sz w:val="16"/>
                <w:szCs w:val="16"/>
                <w:color w:val="auto"/>
              </w:rPr>
            </w:pPr>
          </w:p>
        </w:tc>
        <w:tc>
          <w:tcPr>
            <w:tcW w:w="102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160" w:type="dxa"/>
            <w:vAlign w:val="bottom"/>
            <w:shd w:val="clear" w:color="auto" w:fill="DBDBDB"/>
          </w:tcPr>
          <w:p>
            <w:pPr>
              <w:spacing w:after="0"/>
              <w:rPr>
                <w:sz w:val="16"/>
                <w:szCs w:val="16"/>
                <w:color w:val="auto"/>
              </w:rPr>
            </w:pPr>
          </w:p>
        </w:tc>
        <w:tc>
          <w:tcPr>
            <w:tcW w:w="148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260" w:type="dxa"/>
            <w:vAlign w:val="bottom"/>
            <w:shd w:val="clear" w:color="auto" w:fill="DBDBDB"/>
          </w:tcPr>
          <w:p>
            <w:pPr>
              <w:spacing w:after="0"/>
              <w:rPr>
                <w:sz w:val="16"/>
                <w:szCs w:val="16"/>
                <w:color w:val="auto"/>
              </w:rPr>
            </w:pPr>
          </w:p>
        </w:tc>
        <w:tc>
          <w:tcPr>
            <w:tcW w:w="960" w:type="dxa"/>
            <w:vAlign w:val="bottom"/>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200" w:type="dxa"/>
            <w:vAlign w:val="bottom"/>
            <w:shd w:val="clear" w:color="auto" w:fill="DBDBDB"/>
          </w:tcPr>
          <w:p>
            <w:pPr>
              <w:ind w:left="180"/>
              <w:spacing w:after="0"/>
              <w:rPr>
                <w:sz w:val="20"/>
                <w:szCs w:val="20"/>
                <w:color w:val="auto"/>
              </w:rPr>
            </w:pPr>
            <w:r>
              <w:rPr>
                <w:rFonts w:ascii="Times New Roman" w:cs="Times New Roman" w:eastAsia="Times New Roman" w:hAnsi="Times New Roman"/>
                <w:sz w:val="18"/>
                <w:szCs w:val="18"/>
                <w:color w:val="auto"/>
              </w:rPr>
              <w:t>plan, net</w:t>
            </w:r>
          </w:p>
        </w:tc>
        <w:tc>
          <w:tcPr>
            <w:tcW w:w="160" w:type="dxa"/>
            <w:vAlign w:val="bottom"/>
            <w:shd w:val="clear" w:color="auto" w:fill="DBDBDB"/>
          </w:tcPr>
          <w:p>
            <w:pPr>
              <w:spacing w:after="0"/>
              <w:rPr>
                <w:sz w:val="20"/>
                <w:szCs w:val="20"/>
                <w:color w:val="auto"/>
              </w:rPr>
            </w:pPr>
          </w:p>
        </w:tc>
        <w:tc>
          <w:tcPr>
            <w:tcW w:w="98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160" w:type="dxa"/>
            <w:vAlign w:val="bottom"/>
            <w:shd w:val="clear" w:color="auto" w:fill="DBDBDB"/>
          </w:tcPr>
          <w:p>
            <w:pPr>
              <w:spacing w:after="0"/>
              <w:rPr>
                <w:sz w:val="20"/>
                <w:szCs w:val="20"/>
                <w:color w:val="auto"/>
              </w:rPr>
            </w:pPr>
          </w:p>
        </w:tc>
        <w:tc>
          <w:tcPr>
            <w:tcW w:w="10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(3,334)</w:t>
            </w:r>
          </w:p>
        </w:tc>
        <w:tc>
          <w:tcPr>
            <w:tcW w:w="100" w:type="dxa"/>
            <w:vAlign w:val="bottom"/>
            <w:shd w:val="clear" w:color="auto" w:fill="DBDBDB"/>
          </w:tcPr>
          <w:p>
            <w:pPr>
              <w:spacing w:after="0"/>
              <w:rPr>
                <w:sz w:val="20"/>
                <w:szCs w:val="20"/>
                <w:color w:val="auto"/>
              </w:rPr>
            </w:pPr>
          </w:p>
        </w:tc>
        <w:tc>
          <w:tcPr>
            <w:tcW w:w="160" w:type="dxa"/>
            <w:vAlign w:val="bottom"/>
            <w:shd w:val="clear" w:color="auto" w:fill="DBDBDB"/>
          </w:tcPr>
          <w:p>
            <w:pPr>
              <w:spacing w:after="0"/>
              <w:rPr>
                <w:sz w:val="20"/>
                <w:szCs w:val="20"/>
                <w:color w:val="auto"/>
              </w:rPr>
            </w:pPr>
          </w:p>
        </w:tc>
        <w:tc>
          <w:tcPr>
            <w:tcW w:w="980" w:type="dxa"/>
            <w:vAlign w:val="bottom"/>
            <w:shd w:val="clear" w:color="auto" w:fill="DBDBDB"/>
          </w:tcPr>
          <w:p>
            <w:pPr>
              <w:spacing w:after="0"/>
              <w:rPr>
                <w:sz w:val="20"/>
                <w:szCs w:val="20"/>
                <w:color w:val="auto"/>
              </w:rPr>
            </w:pPr>
          </w:p>
        </w:tc>
        <w:tc>
          <w:tcPr>
            <w:tcW w:w="80" w:type="dxa"/>
            <w:vAlign w:val="bottom"/>
            <w:shd w:val="clear" w:color="auto" w:fill="DBDBDB"/>
          </w:tcPr>
          <w:p>
            <w:pPr>
              <w:spacing w:after="0"/>
              <w:rPr>
                <w:sz w:val="20"/>
                <w:szCs w:val="20"/>
                <w:color w:val="auto"/>
              </w:rPr>
            </w:pPr>
          </w:p>
        </w:tc>
        <w:tc>
          <w:tcPr>
            <w:tcW w:w="200" w:type="dxa"/>
            <w:vAlign w:val="bottom"/>
            <w:shd w:val="clear" w:color="auto" w:fill="DBDBDB"/>
          </w:tcPr>
          <w:p>
            <w:pPr>
              <w:spacing w:after="0"/>
              <w:rPr>
                <w:sz w:val="20"/>
                <w:szCs w:val="20"/>
                <w:color w:val="auto"/>
              </w:rPr>
            </w:pPr>
          </w:p>
        </w:tc>
        <w:tc>
          <w:tcPr>
            <w:tcW w:w="10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2,616</w:t>
            </w:r>
          </w:p>
        </w:tc>
        <w:tc>
          <w:tcPr>
            <w:tcW w:w="100" w:type="dxa"/>
            <w:vAlign w:val="bottom"/>
            <w:shd w:val="clear" w:color="auto" w:fill="DBDBDB"/>
          </w:tcPr>
          <w:p>
            <w:pPr>
              <w:spacing w:after="0"/>
              <w:rPr>
                <w:sz w:val="20"/>
                <w:szCs w:val="20"/>
                <w:color w:val="auto"/>
              </w:rPr>
            </w:pPr>
          </w:p>
        </w:tc>
        <w:tc>
          <w:tcPr>
            <w:tcW w:w="160" w:type="dxa"/>
            <w:vAlign w:val="bottom"/>
            <w:shd w:val="clear" w:color="auto" w:fill="DBDBDB"/>
          </w:tcPr>
          <w:p>
            <w:pPr>
              <w:spacing w:after="0"/>
              <w:rPr>
                <w:sz w:val="20"/>
                <w:szCs w:val="20"/>
                <w:color w:val="auto"/>
              </w:rPr>
            </w:pPr>
          </w:p>
        </w:tc>
        <w:tc>
          <w:tcPr>
            <w:tcW w:w="1480" w:type="dxa"/>
            <w:vAlign w:val="bottom"/>
            <w:shd w:val="clear" w:color="auto" w:fill="DBDBDB"/>
          </w:tcPr>
          <w:p>
            <w:pPr>
              <w:spacing w:after="0"/>
              <w:rPr>
                <w:sz w:val="20"/>
                <w:szCs w:val="20"/>
                <w:color w:val="auto"/>
              </w:rPr>
            </w:pPr>
          </w:p>
        </w:tc>
        <w:tc>
          <w:tcPr>
            <w:tcW w:w="80" w:type="dxa"/>
            <w:vAlign w:val="bottom"/>
            <w:shd w:val="clear" w:color="auto" w:fill="DBDBDB"/>
          </w:tcPr>
          <w:p>
            <w:pPr>
              <w:spacing w:after="0"/>
              <w:rPr>
                <w:sz w:val="20"/>
                <w:szCs w:val="20"/>
                <w:color w:val="auto"/>
              </w:rPr>
            </w:pPr>
          </w:p>
        </w:tc>
        <w:tc>
          <w:tcPr>
            <w:tcW w:w="260" w:type="dxa"/>
            <w:vAlign w:val="bottom"/>
            <w:shd w:val="clear" w:color="auto" w:fill="DBDBDB"/>
          </w:tcPr>
          <w:p>
            <w:pPr>
              <w:spacing w:after="0"/>
              <w:rPr>
                <w:sz w:val="20"/>
                <w:szCs w:val="20"/>
                <w:color w:val="auto"/>
              </w:rPr>
            </w:pPr>
          </w:p>
        </w:tc>
        <w:tc>
          <w:tcPr>
            <w:tcW w:w="9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(718)</w:t>
            </w:r>
          </w:p>
        </w:tc>
        <w:tc>
          <w:tcPr>
            <w:tcW w:w="0" w:type="dxa"/>
            <w:vAlign w:val="bottom"/>
          </w:tcPr>
          <w:p>
            <w:pPr>
              <w:spacing w:after="0"/>
              <w:rPr>
                <w:sz w:val="1"/>
                <w:szCs w:val="1"/>
                <w:color w:val="auto"/>
              </w:rPr>
            </w:pPr>
          </w:p>
        </w:tc>
      </w:tr>
      <w:tr>
        <w:trPr>
          <w:trHeight w:val="230"/>
        </w:trPr>
        <w:tc>
          <w:tcPr>
            <w:tcW w:w="3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Exercise of SARs</w:t>
            </w: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229"/>
        </w:trPr>
        <w:tc>
          <w:tcPr>
            <w:tcW w:w="320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60" w:type="dxa"/>
            <w:vAlign w:val="bottom"/>
            <w:shd w:val="clear" w:color="auto" w:fill="DBDBDB"/>
          </w:tcPr>
          <w:p>
            <w:pPr>
              <w:spacing w:after="0"/>
              <w:rPr>
                <w:sz w:val="19"/>
                <w:szCs w:val="19"/>
                <w:color w:val="auto"/>
              </w:rPr>
            </w:pPr>
          </w:p>
        </w:tc>
        <w:tc>
          <w:tcPr>
            <w:tcW w:w="98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10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4,157</w:t>
            </w:r>
          </w:p>
        </w:tc>
        <w:tc>
          <w:tcPr>
            <w:tcW w:w="10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98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10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148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9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4,139</w:t>
            </w:r>
          </w:p>
        </w:tc>
        <w:tc>
          <w:tcPr>
            <w:tcW w:w="0" w:type="dxa"/>
            <w:vAlign w:val="bottom"/>
          </w:tcPr>
          <w:p>
            <w:pPr>
              <w:spacing w:after="0"/>
              <w:rPr>
                <w:sz w:val="1"/>
                <w:szCs w:val="1"/>
                <w:color w:val="auto"/>
              </w:rPr>
            </w:pPr>
          </w:p>
        </w:tc>
      </w:tr>
      <w:tr>
        <w:trPr>
          <w:trHeight w:val="230"/>
        </w:trPr>
        <w:tc>
          <w:tcPr>
            <w:tcW w:w="3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 of 150,541 common shares</w:t>
            </w: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(5,773)</w:t>
            </w:r>
          </w:p>
        </w:tc>
        <w:tc>
          <w:tcPr>
            <w:tcW w:w="0" w:type="dxa"/>
            <w:vAlign w:val="bottom"/>
          </w:tcPr>
          <w:p>
            <w:pPr>
              <w:spacing w:after="0"/>
              <w:rPr>
                <w:sz w:val="1"/>
                <w:szCs w:val="1"/>
                <w:color w:val="auto"/>
              </w:rPr>
            </w:pPr>
          </w:p>
        </w:tc>
      </w:tr>
      <w:tr>
        <w:trPr>
          <w:trHeight w:val="230"/>
        </w:trPr>
        <w:tc>
          <w:tcPr>
            <w:tcW w:w="320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60" w:type="dxa"/>
            <w:vAlign w:val="bottom"/>
            <w:tcBorders>
              <w:bottom w:val="single" w:sz="8" w:color="auto"/>
            </w:tcBorders>
            <w:shd w:val="clear" w:color="auto" w:fill="DBDBDB"/>
          </w:tcPr>
          <w:p>
            <w:pPr>
              <w:spacing w:after="0"/>
              <w:rPr>
                <w:sz w:val="19"/>
                <w:szCs w:val="19"/>
                <w:color w:val="auto"/>
              </w:rPr>
            </w:pPr>
          </w:p>
        </w:tc>
        <w:tc>
          <w:tcPr>
            <w:tcW w:w="980" w:type="dxa"/>
            <w:vAlign w:val="bottom"/>
            <w:tcBorders>
              <w:bottom w:val="single" w:sz="8" w:color="auto"/>
            </w:tcBorders>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60" w:type="dxa"/>
            <w:vAlign w:val="bottom"/>
            <w:tcBorders>
              <w:bottom w:val="single" w:sz="8" w:color="auto"/>
            </w:tcBorders>
            <w:shd w:val="clear" w:color="auto" w:fill="DBDBDB"/>
          </w:tcPr>
          <w:p>
            <w:pPr>
              <w:spacing w:after="0"/>
              <w:rPr>
                <w:sz w:val="19"/>
                <w:szCs w:val="19"/>
                <w:color w:val="auto"/>
              </w:rPr>
            </w:pPr>
          </w:p>
        </w:tc>
        <w:tc>
          <w:tcPr>
            <w:tcW w:w="1060" w:type="dxa"/>
            <w:vAlign w:val="bottom"/>
            <w:tcBorders>
              <w:bottom w:val="single" w:sz="8" w:color="auto"/>
            </w:tcBorders>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60" w:type="dxa"/>
            <w:vAlign w:val="bottom"/>
            <w:tcBorders>
              <w:bottom w:val="single" w:sz="8" w:color="auto"/>
            </w:tcBorders>
            <w:shd w:val="clear" w:color="auto" w:fill="DBDBDB"/>
          </w:tcPr>
          <w:p>
            <w:pPr>
              <w:spacing w:after="0"/>
              <w:rPr>
                <w:sz w:val="19"/>
                <w:szCs w:val="19"/>
                <w:color w:val="auto"/>
              </w:rPr>
            </w:pPr>
          </w:p>
        </w:tc>
        <w:tc>
          <w:tcPr>
            <w:tcW w:w="980" w:type="dxa"/>
            <w:vAlign w:val="bottom"/>
            <w:tcBorders>
              <w:bottom w:val="single" w:sz="8" w:color="auto"/>
            </w:tcBorders>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200" w:type="dxa"/>
            <w:vAlign w:val="bottom"/>
            <w:tcBorders>
              <w:bottom w:val="single" w:sz="8" w:color="auto"/>
            </w:tcBorders>
            <w:shd w:val="clear" w:color="auto" w:fill="DBDBDB"/>
          </w:tcPr>
          <w:p>
            <w:pPr>
              <w:spacing w:after="0"/>
              <w:rPr>
                <w:sz w:val="19"/>
                <w:szCs w:val="19"/>
                <w:color w:val="auto"/>
              </w:rPr>
            </w:pPr>
          </w:p>
        </w:tc>
        <w:tc>
          <w:tcPr>
            <w:tcW w:w="1020" w:type="dxa"/>
            <w:vAlign w:val="bottom"/>
            <w:tcBorders>
              <w:bottom w:val="single" w:sz="8" w:color="auto"/>
            </w:tcBorders>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60" w:type="dxa"/>
            <w:vAlign w:val="bottom"/>
            <w:tcBorders>
              <w:bottom w:val="single" w:sz="8" w:color="auto"/>
            </w:tcBorders>
            <w:shd w:val="clear" w:color="auto" w:fill="DBDBDB"/>
          </w:tcPr>
          <w:p>
            <w:pPr>
              <w:spacing w:after="0"/>
              <w:rPr>
                <w:sz w:val="19"/>
                <w:szCs w:val="19"/>
                <w:color w:val="auto"/>
              </w:rPr>
            </w:pPr>
          </w:p>
        </w:tc>
        <w:tc>
          <w:tcPr>
            <w:tcW w:w="148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11,852</w:t>
            </w:r>
          </w:p>
        </w:tc>
        <w:tc>
          <w:tcPr>
            <w:tcW w:w="80" w:type="dxa"/>
            <w:vAlign w:val="bottom"/>
            <w:shd w:val="clear" w:color="auto" w:fill="DBDBDB"/>
          </w:tcPr>
          <w:p>
            <w:pPr>
              <w:spacing w:after="0"/>
              <w:rPr>
                <w:sz w:val="19"/>
                <w:szCs w:val="19"/>
                <w:color w:val="auto"/>
              </w:rPr>
            </w:pPr>
          </w:p>
        </w:tc>
        <w:tc>
          <w:tcPr>
            <w:tcW w:w="260" w:type="dxa"/>
            <w:vAlign w:val="bottom"/>
            <w:tcBorders>
              <w:bottom w:val="single" w:sz="8" w:color="auto"/>
            </w:tcBorders>
            <w:shd w:val="clear" w:color="auto" w:fill="DBDBDB"/>
          </w:tcPr>
          <w:p>
            <w:pPr>
              <w:spacing w:after="0"/>
              <w:rPr>
                <w:sz w:val="19"/>
                <w:szCs w:val="19"/>
                <w:color w:val="auto"/>
              </w:rPr>
            </w:pPr>
          </w:p>
        </w:tc>
        <w:tc>
          <w:tcPr>
            <w:tcW w:w="96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11,852</w:t>
            </w:r>
          </w:p>
        </w:tc>
        <w:tc>
          <w:tcPr>
            <w:tcW w:w="0" w:type="dxa"/>
            <w:vAlign w:val="bottom"/>
          </w:tcPr>
          <w:p>
            <w:pPr>
              <w:spacing w:after="0"/>
              <w:rPr>
                <w:sz w:val="1"/>
                <w:szCs w:val="1"/>
                <w:color w:val="auto"/>
              </w:rPr>
            </w:pPr>
          </w:p>
        </w:tc>
      </w:tr>
      <w:tr>
        <w:trPr>
          <w:trHeight w:val="223"/>
        </w:trPr>
        <w:tc>
          <w:tcPr>
            <w:tcW w:w="3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December 31, 2023</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7,753</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208,007</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145,782</w:t>
            </w: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(84,264)</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(47,469)</w:t>
            </w:r>
          </w:p>
        </w:tc>
        <w:tc>
          <w:tcPr>
            <w:tcW w:w="8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229,809</w:t>
            </w:r>
          </w:p>
        </w:tc>
        <w:tc>
          <w:tcPr>
            <w:tcW w:w="0" w:type="dxa"/>
            <w:vAlign w:val="bottom"/>
          </w:tcPr>
          <w:p>
            <w:pPr>
              <w:spacing w:after="0"/>
              <w:rPr>
                <w:sz w:val="1"/>
                <w:szCs w:val="1"/>
                <w:color w:val="auto"/>
              </w:rPr>
            </w:pPr>
          </w:p>
        </w:tc>
      </w:tr>
    </w:tbl>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Significant Accounting Policies</w:t>
      </w:r>
    </w:p>
    <w:p>
      <w:pPr>
        <w:spacing w:after="0" w:line="20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Summary of Operations </w:t>
      </w:r>
      <w:r>
        <w:rPr>
          <w:rFonts w:ascii="Times New Roman" w:cs="Times New Roman" w:eastAsia="Times New Roman" w:hAnsi="Times New Roman"/>
          <w:sz w:val="18"/>
          <w:szCs w:val="18"/>
          <w:color w:val="auto"/>
        </w:rPr>
        <w:t>The Company provides payment and information services, which include processing and payment of transportation, energy,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telecommunications and environmental invoices. These services include the acquisition and management of data, information delivery and financial exchange. The consolidated balance sheet captions, “Accounts and drafts payable” and “Payments in advance of funding,” represent the Company’s resulting financial position related to the payment services that are performed for customers. The Company also provides a full range of banking services to individual, corporate and institutional customers through the Bank, its wholly owned bank subsidiary.</w:t>
      </w:r>
    </w:p>
    <w:p>
      <w:pPr>
        <w:spacing w:after="0" w:line="17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Basis of Presentation </w:t>
      </w:r>
      <w:r>
        <w:rPr>
          <w:rFonts w:ascii="Times New Roman" w:cs="Times New Roman" w:eastAsia="Times New Roman" w:hAnsi="Times New Roman"/>
          <w:sz w:val="18"/>
          <w:szCs w:val="18"/>
          <w:color w:val="auto"/>
        </w:rPr>
        <w:t>The accounting and reporting policies of the Company and its subsidiaries conform to U.S. GAAP. The consolidated financial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statements include the accounts of the Company and its wholly owned subsidiaries after elimination of intercompany transactions. Certain amounts in the 2022 and 2021 consolidated financial statements have been reclassified to conform to the 2023 presentation. Such reclassifications have no effect on previously reported net income or shareholders’ equity.</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Use of Estimates </w:t>
      </w:r>
      <w:r>
        <w:rPr>
          <w:rFonts w:ascii="Times New Roman" w:cs="Times New Roman" w:eastAsia="Times New Roman" w:hAnsi="Times New Roman"/>
          <w:sz w:val="18"/>
          <w:szCs w:val="18"/>
          <w:color w:val="auto"/>
        </w:rPr>
        <w:t>In preparing the consolidated financial statements, Company management is required to make estimates and assumptions which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significantly affect the reported amounts in the consolidated financial statements.</w:t>
      </w:r>
    </w:p>
    <w:p>
      <w:pPr>
        <w:spacing w:after="0" w:line="15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Cash and Cash Equivalents </w:t>
      </w:r>
      <w:r>
        <w:rPr>
          <w:rFonts w:ascii="Times New Roman" w:cs="Times New Roman" w:eastAsia="Times New Roman" w:hAnsi="Times New Roman"/>
          <w:sz w:val="18"/>
          <w:szCs w:val="18"/>
          <w:color w:val="auto"/>
        </w:rPr>
        <w:t>For purposes of the consolidated statements of cash flows, the Company considers cash and due from banks, interest-bearing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deposits in other financial institutions, and federal funds sold and other short-term investments to be cash and cash equivalents.</w:t>
      </w:r>
    </w:p>
    <w:p>
      <w:pPr>
        <w:spacing w:after="0" w:line="15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Investment in Debt Securities </w:t>
      </w:r>
      <w:r>
        <w:rPr>
          <w:rFonts w:ascii="Times New Roman" w:cs="Times New Roman" w:eastAsia="Times New Roman" w:hAnsi="Times New Roman"/>
          <w:sz w:val="18"/>
          <w:szCs w:val="18"/>
          <w:color w:val="auto"/>
        </w:rPr>
        <w:t>The Company classifies its investment securities as available-for-sale. Securities classified as available-for-sale are carried 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fair value. Unrealized gains and losses, net of the related tax effect, are excluded from earnings and reported in accumulated other comprehensive income, a component of shareholders’ equity. Securities are periodically evaluated for credit losses in accordance with the guidance provided in FASB ASC Topic 326, </w:t>
      </w:r>
      <w:r>
        <w:rPr>
          <w:rFonts w:ascii="Times New Roman" w:cs="Times New Roman" w:eastAsia="Times New Roman" w:hAnsi="Times New Roman"/>
          <w:sz w:val="18"/>
          <w:szCs w:val="18"/>
          <w:i w:val="1"/>
          <w:iCs w:val="1"/>
          <w:color w:val="auto"/>
        </w:rPr>
        <w:t>Financial Instruments – Credit Losses</w:t>
      </w:r>
      <w:r>
        <w:rPr>
          <w:rFonts w:ascii="Times New Roman" w:cs="Times New Roman" w:eastAsia="Times New Roman" w:hAnsi="Times New Roman"/>
          <w:sz w:val="18"/>
          <w:szCs w:val="18"/>
          <w:color w:val="auto"/>
        </w:rPr>
        <w:t xml:space="preserve"> ("ASC 326").</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For available for sale investment securities in an unrealized loss position, the entire loss in fair value is required to be recognized in current earnings if the Company intends to sell the securities or believes it is more likely than not that it will be required to sell the security before the anticipated recovery. If neither condition is met, and the Company does not expect to recover the amortized cost basis, the Company determines whether the decline in fair value resulted from credit losses or other factors. If the assessment indicates that a credit loss exists, the present value of cash flows expected to be collected is compared to the amortized cost basis of the security. If the present value of cash flows expected to be collected is less than the amortized cost basis, a credit loss has occurred, and an allowance for credit losses is recorded. The allowance for credit losses is limited by the amount that the fair value is less than the amortized cost basis. Any impairment not recorded through the provision for credit losses would be recognized in other comprehensive income.</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Changes in the allowance for credit losses would be recorded as a provision for credit losses on the consolidated statements of income. Losses would be charged against the allowance for credit losses on securities when management believes the uncollectibility of an available-for-sale security is confirmed or when either of the conditions regarding intent or requirement to sell is met.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Premiums and discounts are amortized or accreted to interest income over the expected lives of the respective securities using the level-yield method.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income is recognized when earned. Gains and losses are calculated using the specific identification method.</w:t>
      </w:r>
    </w:p>
    <w:p>
      <w:pPr>
        <w:spacing w:after="0" w:line="20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Loans </w:t>
      </w:r>
      <w:r>
        <w:rPr>
          <w:rFonts w:ascii="Times New Roman" w:cs="Times New Roman" w:eastAsia="Times New Roman" w:hAnsi="Times New Roman"/>
          <w:sz w:val="18"/>
          <w:szCs w:val="18"/>
          <w:color w:val="auto"/>
        </w:rPr>
        <w:t>Interest on loans is recognized based upon the principal amounts outstanding. It is the Company’s policy to discontinue the accrual of interest when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there is reasonable doubt as to the collectability of principal or interest. Subsequent payments received on such loans are applied to principal if there is any doubt as to the collectability of such principal; otherwise, these receipts are recorded as interest income. The accrual of interest on a loan is resumed when the loan is current as to payment of both principal and interest and/or the borrower demonstrates the ability to pay and remain current. Loan origination and commitment fees on originated loans, net of certain direct loan origination costs, are deferred and amortized to interest income using the level-yield method over the estimated lives of the related loans.</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Allowance for Credit Losses </w:t>
      </w:r>
      <w:r>
        <w:rPr>
          <w:rFonts w:ascii="Times New Roman" w:cs="Times New Roman" w:eastAsia="Times New Roman" w:hAnsi="Times New Roman"/>
          <w:sz w:val="18"/>
          <w:szCs w:val="18"/>
          <w:color w:val="auto"/>
        </w:rPr>
        <w:t>The ACL is increased by provisions charged to expense and is available to absorb charge-offs, net of recoveries. Management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utilizes a systematic, documented approach in determining the appropriate level of the ACL. Management’s approach provides for estimated current expected credit losses on loans in accordance with ASC 326. These estimates are based upon a number of factors, such as payment history, financial condition of the borrower, expected future cash flows and collateral exposure.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ACL is a valuation account that is deducted from the amortized cost basis to present the net amount expected to be collected on the loans. Loans are charged off against the ACL when management believes the uncollectibility of a loan balance is confirmed. Expected recoveries for amounts previously charged off and expected to be charged off do not exceed the aggregate of amounts previously charged off and expected to be charged off.</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Management estimated the allowance balance using relevant available information from internal and external sources, relating to past events, current conditions and reasonable and supportable forecasts based on economic factors, such as GDP. Historical credit loss experience, of both the Company and similar peer banks, provides the basis for the estimation of expected credit losses. Adjustments to historical loss information are made for concentration risk, asset quality trends, borrower’s ability to pay, collateral, and other environmental factors. It is difficult to estimate how potential changes in any one economic factor or input might affect the overall ACL because a wide variety of factors and inputs are considered in estimating the allowance and changes in those factors and inputs considered may not occur at the same rate and may not be consistent across all loan types. Additionally, changes in factors and inputs may be directionally inconsistent, such that improvement in one factor may offset deterioration in others. The ACL is measured on a collective pool basis when similar risk characteristics exist. Management believes the ACL is adequate to absorb expected losses in the loan portfolio.</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Loans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identified the following portfolio segments:</w:t>
      </w:r>
    </w:p>
    <w:p>
      <w:pPr>
        <w:spacing w:after="0" w:line="20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Commercial &amp; Industrial (“C&amp;I”) </w:t>
      </w:r>
      <w:r>
        <w:rPr>
          <w:rFonts w:ascii="Times New Roman" w:cs="Times New Roman" w:eastAsia="Times New Roman" w:hAnsi="Times New Roman"/>
          <w:sz w:val="18"/>
          <w:szCs w:val="18"/>
          <w:color w:val="auto"/>
        </w:rPr>
        <w:t>– C&amp;I loans consist of loans to small and medium-sized businesses in a wide variety of industries, franchise lending,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equipment financing to companies of all sizes. These loans are generally collateralized by inventory, accounts receivable, equipment, and other commercial assets, and may be supported by other credit enhancements such as personal guarantees. Risk arises primarily due to a difference between expected and actual cash flows of the borrower. However, the recoverability of these loans is also dependent on other factors primarily dictated by the type of collateral securing these loans. The fair value of the collateral securing these loans may fluctuate as market conditions change. Included within C&amp;I are revolving loans supported by borrowing bases that fluctuate depending on the amount of underlying collateral.</w:t>
      </w:r>
    </w:p>
    <w:p>
      <w:pPr>
        <w:spacing w:after="0" w:line="18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Commercial Real Estate (“CRE”) </w:t>
      </w:r>
      <w:r>
        <w:rPr>
          <w:rFonts w:ascii="Times New Roman" w:cs="Times New Roman" w:eastAsia="Times New Roman" w:hAnsi="Times New Roman"/>
          <w:sz w:val="18"/>
          <w:szCs w:val="18"/>
          <w:color w:val="auto"/>
        </w:rPr>
        <w:t>– CRE loans include various types of loans for which the Company holds real property as collateral. Commercial real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estate lending activity is typically restricted to owner-occupied properties or to investor properties that are owned by customers with a current banking relationship. The primary risks of CRE loans include the borrower’s inability to pay and material decreases in the value of the real estate being held as collateral.</w:t>
      </w:r>
    </w:p>
    <w:p>
      <w:pPr>
        <w:spacing w:after="0" w:line="180"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Faith-based CRE </w:t>
      </w:r>
      <w:r>
        <w:rPr>
          <w:rFonts w:ascii="Times New Roman" w:cs="Times New Roman" w:eastAsia="Times New Roman" w:hAnsi="Times New Roman"/>
          <w:sz w:val="18"/>
          <w:szCs w:val="18"/>
          <w:color w:val="auto"/>
        </w:rPr>
        <w:t>– Faith-based CRE loans include loans to faith-based ministries for which the Company holds real property as collateral. The primary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risks of faith-based CRE loans include the borrower’s inability to pay and material decreases in the value of the real estate being held as collateral.</w:t>
      </w:r>
    </w:p>
    <w:p>
      <w:pPr>
        <w:spacing w:after="0" w:line="15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Construction and Land Development </w:t>
      </w:r>
      <w:r>
        <w:rPr>
          <w:rFonts w:ascii="Times New Roman" w:cs="Times New Roman" w:eastAsia="Times New Roman" w:hAnsi="Times New Roman"/>
          <w:sz w:val="18"/>
          <w:szCs w:val="18"/>
          <w:color w:val="auto"/>
        </w:rPr>
        <w:t>– The Company originates loans to finance construction projects including faith-based and commercial projects.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Construction loans are generally collateralized by first liens on the real estate and have floating interest rates. The primary risks of construction loans are construction completion and timing risk. Adverse economic conditions may negatively impact the borrowers’ ability to complete the project. Additionally, the fair value of the underlying collateral may fluctuate as market conditions change.</w:t>
      </w:r>
    </w:p>
    <w:p>
      <w:pPr>
        <w:spacing w:after="0" w:line="18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ACL is calculated as the difference between the amortized cost basis of the loan portfolio and the projections from the weighted-average remaining maturity ("WARM") model that the Company developed. The WARM model utilizes an attrition analysis, including events such as payoffs, matured loans, and renewals in the borrowers’ control, to anticipate the length of time it would take for each portfolio segment to runoff. Management incorporates a one-year GDP forecast and an immediate reversion to peer historical loss rates to determine the annual charge off rates over the estimated life of the loans. After the reasonable and supportable forecast period, the model reverts to long-run /historical average loss rates of its peers. However, for the faith-based CRE ACL, loss rates are determined using the Company’s long-run historical averages, as this loan segment is unique to the Company and does not represent a more than nominal percentage of peer loan portfolios. The economic forecast is based on management’s assessment of the length and pattern of the current economic</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cycle. The resulting annual charge off rate determined for each year in the WARM model is applied to the loan balances estimated in the attrition analysis.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Management accounts for the inherent uncertainty of the underlying economic forecast by reviewing forecast scenarios. Additionally, the ACL calculation includes subjective adjustments for qualitative risk factors that are likely to cause estimated credit losses to differ from historical experience. These qualitative adjustments may increase or reduce reserve levels and include adjustments for lending management experience and risk tolerance, value of underlying collateral, loan review and audit results, asset quality and portfolio trends, loan portfolio growth and loan concentrations. The Company has elected to exclude accrued interest receivable ("AIR") from the allowance for credit losses calculation. When a loan is placed on non-accrual, any recorded AIR is reversed against interest income.</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determination and application of the ACL accounting policy involves judgments, estimates, and uncertainties that are subject to change. Changes in these assumptions, estimates or the conditions surrounding them may have a material impact on the Company’s financial condition, liquidity or results of operations. Various regulatory agencies, as an integral part of the examination process, periodically review the ACL. Such agencies may require the Company to recognize additions to the ACL or reserve increases to adversely graded classified loans based on information available to them at the time of their examinations.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ACL is decreased by net charge-offs and is increased by provisions for credit losses that are charged to the consolidated statements of operations. Charge-offs, if any, are typically measured for each loan based on a thorough analysis of the most probable source of repayment, such as the present value of the loan’s expected future cash flows, the loan’s estimated fair value, or the estimated fair value of the underlying collateral less costs of disposition for collateral-dependent loans. When it is determined that specific loans, or portions thereof, are uncollectible, these amounts are charged off against the ACL.</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Unfunded loan commitments</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to the ACL for funded loans, the Company maintains reserves to cover the risk of loss associated with off-balance sheet unfunded loan commitments. The allowance for off-balance sheet credit losses is maintained within other liabilities in the statements of financial condition. Under the CECL framework, adjustments to this liability are recorded as provision for credit losses in the consolidated statements of operations. Unfunded loan commitment balances are evaluated by loan segment. In order to establish the required level of reserve, the Company applies average historical utilization rates and ACL loan model loss rates for each loan segment to the outstanding unfunded commitment balances.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 securities</w:t>
      </w:r>
    </w:p>
    <w:p>
      <w:pPr>
        <w:spacing w:after="0" w:line="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Management evaluates all investments in an unrealized loss position on a quarterly basis, and more frequently when economic or market conditions warrant such evaluation. If the Company has the intent to sell the security or it is more likely than not that the Company will be required to sell the security, the security is written down to fair value and the entire loss is recorded in earnings. If either of the above criteria is not met, the Company will evaluate whether the decline in fair value is the result of credit losses or other factors. In making the assessment, the Company may consider various factors including the extent to which fair value is less than amortized cost, performance on any underlying collateral, downgrades in the ratings of the security by a rating agency, the failure of the issuer to make scheduled interest or principal payments and adverse conditions specifically related to the security. If the assessment indicates that a credit loss exists, the present value of cash flows expected to be collected is compared to the amortized cost basis of the security and any excess is recorded as an allowance for credit loss. For U.S. agency-backed securities where the risk of nonpayment of the amortized cost basis is zero, the Company will not measure expected credit losses on these securities. When the loss is not considered a result of credit loss, the cost basis of the security is written down to fair value, with the loss charge recognized in AOCI. Credit losses are not estimated for AIR from investment securities as interest deemed uncollectible is written off through interest income.</w:t>
      </w:r>
    </w:p>
    <w:p>
      <w:pPr>
        <w:spacing w:after="0" w:line="18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Individually Evaluated Loans </w:t>
      </w:r>
      <w:r>
        <w:rPr>
          <w:rFonts w:ascii="Times New Roman" w:cs="Times New Roman" w:eastAsia="Times New Roman" w:hAnsi="Times New Roman"/>
          <w:sz w:val="18"/>
          <w:szCs w:val="18"/>
          <w:color w:val="auto"/>
        </w:rPr>
        <w:t>A loan is considered individually evaluated when it is probable that a creditor will be unable to collect all amounts due, both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principal and interest, according to the contractual terms of the loan agreement. Individually evaluated loans are generally measured based on the expected future cash flows and discounted at the loan's effective interest rate. Alternatively, reference to an observable market price could be used to individually evaluate loans, if one exists, or the fair value of the collateral for a collateral-dependent loan. Regardless of the historical measurement method used, the Company measures individually evaluated loans based on the fair value of the collateral when the Company determines foreclosure is probable. The Company uses its methods as discussed above for recognizing interest on individually evaluated loans.</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Foreclosed Assets </w:t>
      </w:r>
      <w:r>
        <w:rPr>
          <w:rFonts w:ascii="Times New Roman" w:cs="Times New Roman" w:eastAsia="Times New Roman" w:hAnsi="Times New Roman"/>
          <w:sz w:val="18"/>
          <w:szCs w:val="18"/>
          <w:color w:val="auto"/>
        </w:rPr>
        <w:t>Real estate acquired as a result of foreclosure is initially recorded at fair value less estimated selling costs. Fair value is generally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determined through the receipt of appraisals. Any write down to fair value at the time the property is acquired is recorded as a charge-off to the allowance for credit losses. Any decline in the fair value of the property subsequent to acquisition is recorded as a charge to non-interest expense.</w:t>
      </w:r>
    </w:p>
    <w:p>
      <w:pPr>
        <w:spacing w:after="0" w:line="17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Premises and Equipment </w:t>
      </w:r>
      <w:r>
        <w:rPr>
          <w:rFonts w:ascii="Times New Roman" w:cs="Times New Roman" w:eastAsia="Times New Roman" w:hAnsi="Times New Roman"/>
          <w:sz w:val="18"/>
          <w:szCs w:val="18"/>
          <w:color w:val="auto"/>
        </w:rPr>
        <w:t>Premises and equipment are stated at cost less accumulated depreciation and amortization. Depreciation is computed over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estimated useful lives of the assets, or the respective lease terms for leasehold improvements, using straight-line and accelerated methods. Estimated useful lives do not exceed 40 years for buildings, the lesser of 10 years or the life of the lease for leasehold improvements and range from 3 to 7 years for software, equipment, furniture and fixtures. Maintenance and repairs are charged to expense as incurred.</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Intangible Assets </w:t>
      </w:r>
      <w:r>
        <w:rPr>
          <w:rFonts w:ascii="Times New Roman" w:cs="Times New Roman" w:eastAsia="Times New Roman" w:hAnsi="Times New Roman"/>
          <w:sz w:val="18"/>
          <w:szCs w:val="18"/>
          <w:color w:val="auto"/>
        </w:rPr>
        <w:t>Cost in excess of fair value of net assets acquired has resulted from business acquisitions. Goodwill and intangible assets with indefinite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useful lives are not amortized, but instead are tested for impairment at least annually. Intangible assets with definite useful lives are amortized on a straight-line basis over their respective estimated useful lives.</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Periodically, the Company reviews intangible assets for events or changes in circumstances that may indicate that the carrying amount of the assets may not be recoverable. Based on those reviews, adjustments of recorded amounts have not been required.</w:t>
      </w:r>
    </w:p>
    <w:p>
      <w:pPr>
        <w:spacing w:after="0" w:line="15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Non-marketable Equity Investments </w:t>
      </w:r>
      <w:r>
        <w:rPr>
          <w:rFonts w:ascii="Times New Roman" w:cs="Times New Roman" w:eastAsia="Times New Roman" w:hAnsi="Times New Roman"/>
          <w:sz w:val="18"/>
          <w:szCs w:val="18"/>
          <w:color w:val="auto"/>
        </w:rPr>
        <w:t>The Company accounts for non-marketable equity investments, in which it holds less than a 20% ownership,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equity investments without readily determinable fair values. As a result, the carrying value of the investment is determined under the measurement alternative of cost, less impairment (if any), adjusted for fair value changes when observable prices are available. The Company periodically evaluates for impairment of these investments. In performing this evaluation, the Company considers various factors including the investee's financial condition, results of operations, operating trends and other financial ratios. Non-marketable equity investments are included in other assets on the consolidated balance sheets.</w:t>
      </w:r>
    </w:p>
    <w:p>
      <w:pPr>
        <w:spacing w:after="0" w:line="18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Treasury Stock </w:t>
      </w:r>
      <w:r>
        <w:rPr>
          <w:rFonts w:ascii="Times New Roman" w:cs="Times New Roman" w:eastAsia="Times New Roman" w:hAnsi="Times New Roman"/>
          <w:sz w:val="18"/>
          <w:szCs w:val="18"/>
          <w:color w:val="auto"/>
        </w:rPr>
        <w:t>Purchases of the Company’s common stock are recorded at cost. Upon reissuance, treasury stock is reduced based upon the average cost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basis of shares held.</w:t>
      </w:r>
    </w:p>
    <w:p>
      <w:pPr>
        <w:spacing w:after="0" w:line="15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Comprehensive Income </w:t>
      </w:r>
      <w:r>
        <w:rPr>
          <w:rFonts w:ascii="Times New Roman" w:cs="Times New Roman" w:eastAsia="Times New Roman" w:hAnsi="Times New Roman"/>
          <w:sz w:val="18"/>
          <w:szCs w:val="18"/>
          <w:color w:val="auto"/>
        </w:rPr>
        <w:t>Comprehensive income consists of net income, changes in net unrealized gains (losses) on available-for-sale securities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pension liability adjustments and is presented in the accompanying consolidated statements of shareholders' equity and consolidated statements of comprehensive income.</w:t>
      </w:r>
    </w:p>
    <w:p>
      <w:pPr>
        <w:spacing w:after="0" w:line="17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Processing Fees </w:t>
      </w:r>
      <w:r>
        <w:rPr>
          <w:rFonts w:ascii="Times New Roman" w:cs="Times New Roman" w:eastAsia="Times New Roman" w:hAnsi="Times New Roman"/>
          <w:sz w:val="18"/>
          <w:szCs w:val="18"/>
          <w:color w:val="auto"/>
        </w:rPr>
        <w:t>A majority of the Company’s fee revenue is attributable to providing services related to processing and payment of invoices. These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services include invoice processing, transportation invoice rating, payment processing and services, auditing, and the generation of accounting and transportation information. The Company also processes, pays and generates management information from electric, gas, telecommunications, environmental, and other invoices. The specific payment and information processing services provided to each customer are developed individually to meet each customer’s specific requirements. The Company enters into service agreements with customers typically for fixed fees per transaction that are invoiced monthly. Revenues are recognized in the period services are rendered and earned under the service agreements, as long as collection is reasonably assured.</w:t>
      </w:r>
    </w:p>
    <w:p>
      <w:pPr>
        <w:spacing w:after="0" w:line="14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Financial fees </w:t>
      </w:r>
      <w:r>
        <w:rPr>
          <w:rFonts w:ascii="Times New Roman" w:cs="Times New Roman" w:eastAsia="Times New Roman" w:hAnsi="Times New Roman"/>
          <w:sz w:val="18"/>
          <w:szCs w:val="18"/>
          <w:color w:val="auto"/>
        </w:rPr>
        <w:t>The Company earns fees on a transaction level basis for invoice payment services when making customer payments. Fees are recognized 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point in time when the payment transactions are made, which is when the performance obligation is satisfied.</w:t>
      </w:r>
    </w:p>
    <w:p>
      <w:pPr>
        <w:spacing w:after="0" w:line="15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Income Taxes </w:t>
      </w:r>
      <w:r>
        <w:rPr>
          <w:rFonts w:ascii="Times New Roman" w:cs="Times New Roman" w:eastAsia="Times New Roman" w:hAnsi="Times New Roman"/>
          <w:sz w:val="18"/>
          <w:szCs w:val="18"/>
          <w:color w:val="auto"/>
        </w:rPr>
        <w:t>Deferred tax assets and liabilities are recognized for the estimated future tax consequences attributable to differences between the financial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statement carrying amounts of existing assets and liabilities and their respective tax basis. Deferred tax assets and liabilities are measured using enacted tax rates in effect for the year in which those temporary differences are expected to be recovered or settled. Deferred tax assets are reduced if necessary, by a deferred tax asset valuation allowance. In the event that management determines it is more likely than not that it will not be able to realize all or part of net deferred tax assets in the future, the Company adjusts the recorded value of deferred tax assets, which would result in a direct charge to income tax expense in the period that such determination is made. Likewise, the Company will reverse the valuation allowance when realization of the deferred tax asset is expected. The effect on deferred tax assets and liabilities of a change in tax rates is recognized in income in the period that includes the enactment date. The Company and its subsidiaries file U.S. federal and certain state income tax returns on a consolidated basis. In addition, certain state jurisdictions are filed on a separate company basis by the Company or its subsidiaries.</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recognizes and measures income tax benefits using a two-step model: 1) a tax position must be more likely than not to be sustained based solely on its technical merits in order to be recognized; and 2) the benefit must be measured as the largest dollar amount of that position that is more likely than not to be sustained upon settlement. The difference between the benefit recognized for a tax position in this model and the tax benefit claimed on a tax return is treated as an unrecognized tax benefit. The Company recognizes income tax related interest and penalties in income tax expense.</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Earnings Per Share </w:t>
      </w:r>
      <w:r>
        <w:rPr>
          <w:rFonts w:ascii="Times New Roman" w:cs="Times New Roman" w:eastAsia="Times New Roman" w:hAnsi="Times New Roman"/>
          <w:sz w:val="18"/>
          <w:szCs w:val="18"/>
          <w:color w:val="auto"/>
        </w:rPr>
        <w:t>Basic earnings per share is computed by dividing net income by the weighted average number of common shares outstanding. Diluted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earnings per share is computed by dividing net income by the sum of the weighted average number of common shares outstanding and the weighted average number of potential common shares outstanding.</w:t>
      </w:r>
    </w:p>
    <w:p>
      <w:pPr>
        <w:spacing w:after="0" w:line="17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Stock-Based Compensation </w:t>
      </w:r>
      <w:r>
        <w:rPr>
          <w:rFonts w:ascii="Times New Roman" w:cs="Times New Roman" w:eastAsia="Times New Roman" w:hAnsi="Times New Roman"/>
          <w:sz w:val="18"/>
          <w:szCs w:val="18"/>
          <w:color w:val="auto"/>
        </w:rPr>
        <w:t>The Company follows FASB ASC 718,</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Accounting for Stock Options and Other Stock-based Compensation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(“ASC 718”),</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which requires that all stock-based compensation be recognized as an expense in the financial statements and that such cost be measured at the fair value of the award. ASC 718 also requires that excess tax benefits related to stock option exercises and restricted stock awards be reflected as financing cash inflows instead of operating cash inflows.</w:t>
      </w:r>
    </w:p>
    <w:p>
      <w:pPr>
        <w:spacing w:after="0" w:line="17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Pension Plans </w:t>
      </w:r>
      <w:r>
        <w:rPr>
          <w:rFonts w:ascii="Times New Roman" w:cs="Times New Roman" w:eastAsia="Times New Roman" w:hAnsi="Times New Roman"/>
          <w:sz w:val="18"/>
          <w:szCs w:val="18"/>
          <w:color w:val="auto"/>
        </w:rPr>
        <w:t>The amounts recognized in the consolidated financial statements related to pension are determined from actuarial valuations. Inherent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these valuations are assumptions including expected return on plan assets, discount rates at which the liabilities could be settled at December 31, 2023, rate of increase in mortality rates. These assumptions are updated annually and are disclosed in Note 10. The Company follows FASB ASC 715, </w:t>
      </w:r>
      <w:r>
        <w:rPr>
          <w:rFonts w:ascii="Times New Roman" w:cs="Times New Roman" w:eastAsia="Times New Roman" w:hAnsi="Times New Roman"/>
          <w:sz w:val="18"/>
          <w:szCs w:val="18"/>
          <w:i w:val="1"/>
          <w:iCs w:val="1"/>
          <w:color w:val="auto"/>
        </w:rPr>
        <w:t>Compensation</w:t>
      </w: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 Retirement Benefits </w:t>
      </w:r>
      <w:r>
        <w:rPr>
          <w:rFonts w:ascii="Times New Roman" w:cs="Times New Roman" w:eastAsia="Times New Roman" w:hAnsi="Times New Roman"/>
          <w:sz w:val="18"/>
          <w:szCs w:val="18"/>
          <w:color w:val="auto"/>
        </w:rPr>
        <w:t>(“ASC 715”), which requires companies to recognize the overfunded or underfunded status of a defined benefit postretirement plan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an asset or liability in its consolidated balance sheet and to recognize changes in that funded status in the year in which the changes occur through comprehensive income. The funded status is measured as the difference between the fair value of the plan assets and the projected benefit obligation as of the date of its fiscal year-end.</w:t>
      </w:r>
    </w:p>
    <w:p>
      <w:pPr>
        <w:spacing w:after="0" w:line="18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Fair Value Measurements </w:t>
      </w:r>
      <w:r>
        <w:rPr>
          <w:rFonts w:ascii="Times New Roman" w:cs="Times New Roman" w:eastAsia="Times New Roman" w:hAnsi="Times New Roman"/>
          <w:sz w:val="18"/>
          <w:szCs w:val="18"/>
          <w:color w:val="auto"/>
        </w:rPr>
        <w:t>The Company follows the provisions of FASB ASC 820,</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Fair Value Measurements and Disclosures</w:t>
      </w:r>
      <w:r>
        <w:rPr>
          <w:rFonts w:ascii="Times New Roman" w:cs="Times New Roman" w:eastAsia="Times New Roman" w:hAnsi="Times New Roman"/>
          <w:sz w:val="18"/>
          <w:szCs w:val="18"/>
          <w:color w:val="auto"/>
        </w:rPr>
        <w:t>, which defines fair value,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establishes a framework for measuring fair value in GAAP, and outlines disclosures about fair value measurements. Fair value is defined as the exchange price that would be received for an asset or paid to transfer a liability (an exit price) in the principal or most advantageous market for the asset or liability in an orderly transaction between market participants on the measurement date. A three-level hierarchy for valuation techniques is used to measure financial assets and financial liabilities at fair value. This hierarchy is based on whether the valuation inputs are observable or unobservable. Financial instrument valuations are considered Level 1 when they are based on quoted prices in active markets for identical assets or liabilities. Level 2 financial instrument valuations use quoted prices for similar assets or liabilities, quoted prices in markets that are not active, or other inputs that are observable or can be corroborated by observable market data. Financial instrument valuations are considered Level 3 when they are determined using pricing models, discounted cash flow methodologies or similar techniques and at least one significant model assumption or input is unobservable, and when determination of the fair value requires significant management judgment or estimation. The Company records securities available for sale at their fair values on a recurring basis using Level 2 valuations. Additionally, the Company records individually evaluated credits and other real estate owned at their fair value on a nonrecurring basis. The nonrecurring fair value adjustments typically involve application of lower-of-cost-or-market accounting or impairment write-downs of individual assets.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of New and Not Yet Adopted Accounting Pronouncements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In March 2022, the FASB issued 2022-02, </w:t>
      </w:r>
      <w:r>
        <w:rPr>
          <w:rFonts w:ascii="Times New Roman" w:cs="Times New Roman" w:eastAsia="Times New Roman" w:hAnsi="Times New Roman"/>
          <w:sz w:val="18"/>
          <w:szCs w:val="18"/>
          <w:i w:val="1"/>
          <w:iCs w:val="1"/>
          <w:color w:val="auto"/>
        </w:rPr>
        <w:t>Financial Instruments – Credit Losses (Topic 326): Troubled Debt Restructurings and Vintage Disclosures</w:t>
      </w:r>
      <w:r>
        <w:rPr>
          <w:rFonts w:ascii="Times New Roman" w:cs="Times New Roman" w:eastAsia="Times New Roman" w:hAnsi="Times New Roman"/>
          <w:sz w:val="18"/>
          <w:szCs w:val="18"/>
          <w:color w:val="auto"/>
        </w:rPr>
        <w:t xml:space="preserve"> ("ASU 2022-02"). This ASU eliminates the accounting guidance for troubled debt restructurings by creditors that have adopted the CECL methodology for estimating allowances for credit losses and enhances the disclosure requirements for loan restructurings made with borrowers experiencing financial difficulty. Instead, entities are required to evaluate (consistent with the accounting for other loan modifications) whether the modification represents a new loan or continuation of an existing loan. In addition, the amendments require a public business entity to disclose current period gross charge-offs for financing receivables and net investment in leases by year of origination in the vintage disclosures. ASU 2022-02 was effective for fiscal years beginning after December 15, 2022, including interim periods within those fiscal years. The implementation of this ASU effective January 1, 2023 did not have a material impact on the consolidated financial statements.</w:t>
      </w:r>
    </w:p>
    <w:p>
      <w:pPr>
        <w:spacing w:after="0" w:line="18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In October 2023, the FASB issued 2023-06, </w:t>
      </w:r>
      <w:r>
        <w:rPr>
          <w:rFonts w:ascii="Times New Roman" w:cs="Times New Roman" w:eastAsia="Times New Roman" w:hAnsi="Times New Roman"/>
          <w:sz w:val="18"/>
          <w:szCs w:val="18"/>
          <w:i w:val="1"/>
          <w:iCs w:val="1"/>
          <w:color w:val="auto"/>
        </w:rPr>
        <w:t>Disclosure Improvements - Codification Amendments in Response to the SEC's Disclosure Update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Simplification Initiative </w:t>
      </w:r>
      <w:r>
        <w:rPr>
          <w:rFonts w:ascii="Times New Roman" w:cs="Times New Roman" w:eastAsia="Times New Roman" w:hAnsi="Times New Roman"/>
          <w:sz w:val="18"/>
          <w:szCs w:val="18"/>
          <w:color w:val="auto"/>
        </w:rPr>
        <w:t>("ASU 2023-06"). This ASU amends the ASC to incorporate certain disclosure requirements from SEC Release No. 33-10532 -</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Disclosure Update and Simplification that was issued in 2018.</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effective date for each amendment will be the date on which the SEC's removal of that related disclosure from Regulation S-X or Regulation S-K becomes effective, with early adoption prohibited. ASU 2023-06 is not expected to have a significant impact on the Company's financial statements.</w:t>
      </w:r>
    </w:p>
    <w:p>
      <w:pPr>
        <w:spacing w:after="0" w:line="1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November 2023, the FASB issued 2023-07, </w:t>
      </w:r>
      <w:r>
        <w:rPr>
          <w:rFonts w:ascii="Times New Roman" w:cs="Times New Roman" w:eastAsia="Times New Roman" w:hAnsi="Times New Roman"/>
          <w:sz w:val="18"/>
          <w:szCs w:val="18"/>
          <w:i w:val="1"/>
          <w:iCs w:val="1"/>
          <w:color w:val="auto"/>
        </w:rPr>
        <w:t>Segment Reporting (Topic 820): Improvements to Reportable Segment Disclosures</w:t>
      </w:r>
      <w:r>
        <w:rPr>
          <w:rFonts w:ascii="Times New Roman" w:cs="Times New Roman" w:eastAsia="Times New Roman" w:hAnsi="Times New Roman"/>
          <w:sz w:val="18"/>
          <w:szCs w:val="18"/>
          <w:color w:val="auto"/>
        </w:rPr>
        <w:t xml:space="preserve"> ("ASU 2023-07"). This ASU expands segment disclosure requirements for public entities to require disclosure of significant segment expenses and other segment items on an annual and interim basis and to provide in interim periods all disclosures about a reportable segment's profit or loss and assets that are currently required annually. ASU 2023-07 is effective for fiscal years beginning after December 15, 2023, and interim periods within fiscal years beginning after December 15, 2024. Early adoption is permitted. ASU 2023-07 is not expected to have a significant impact on the Company's financial statements.</w:t>
      </w:r>
    </w:p>
    <w:p>
      <w:pPr>
        <w:spacing w:after="0" w:line="18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In December 2023, the FASB issued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xml:space="preserve"> ("ASU 2023-09"). This ASU requires public business entities to disclose in their rate reconciliation table additional categories of information about federal, state, and foreign income taxes and to provide more details about the reconciling items in some categories if items meet a quantitative threshold. It also requires all entities to disclose income taxes paid, net of refunds, disaggregated by federal, state, and foreign taxes for annual periods and to disaggregate the information by jurisdiction based on a quantitative threshold, among other things. ASU 2023-09 is effective for annual periods beginning after December 15, 2024, though early adoption is permitted. ASU 2023-09 is not expected to have a significant impact on the Company's financial statements.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Requirements and Regulatory Restrictions</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and the Bank are subject to various regulatory capital requirements administered by the federal banking agencies. Failure to meet minimum capital requirements can result in certain mandatory, and possibly additional discretionary actions by regulators that, if undertaken, could have a direct material effect on the Company’s consolidated financial statements. Under capital adequacy guidelines, the Company and the Bank must meet specific capital guidelines that involve quantitative measures of assets, liabilities and certain off-balance sheet items as calculated under regulatory accounting practices. The Company’s and the Bank’s capital amounts and classifications are also subject to qualitative judgments by the regulators about components, risk weightings and other factors.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Quantitative measures established by regulators to ensure capital adequacy require the Company and the Bank to maintain minimum amounts and ratios of total and Tier I capital and common equity Tier I capital to risk-weighted assets, and of Tier I capital to average assets. Management believes that as of December 31, 2023 and 2022, the Company and the Bank met all capital adequacy requirements to which they are subject.</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Bank is also subject to the regulatory framework for prompt corrective action. As of December 31, 2023, the most recent notification from the regulatory agencies categorized the Bank as well-capitalized. To be categorized as well-capitalized, the Bank must maintain minimum total risk-based, common equity Tier I risk-based, Tier I risk-based, and Tier I leverage ratios as set forth in the table below. There are no conditions or events since that notification that management believes have changed the Bank’s category.</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has traditionally paid a quarterly cash dividend to its shareholders. Subsidiary dividends can be a significant source of funds for payment of dividends by the Company to its shareholders. Banking regulations may limit the amount of dividends that may be paid. Approval by regulatory authorities is required if the effect of dividends declared would cause the regulatory capital of the Bank to fall below specified minimum levels. Approval is also required if dividends declared exceed the net profits for that year combined with the retained net profits for the preceding two years. Under the foregoing dividend restrictions and while maintaining its “well capitalized” status, at December 31, 2023, unappropriated retained earnings of $30.8 million were available at the Bank for the declaration of dividends to the Company without prior approval from regulatory authorities. In addition to regulatory requirements and considerations, any payment of dividends in the future will depend on the Company’s earnings, financial condition and other factors considered relevant by the Company’s Board of Directors.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restricted funds on deposit used to meet regulatory reserve requirements at December 31, 2023 and 2022.</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and the Bank’s actual and required capital amounts and ratios are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Actual</w:t>
            </w: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w w:val="98"/>
              </w:rPr>
              <w:t>Capital</w:t>
            </w:r>
          </w:p>
        </w:tc>
        <w:tc>
          <w:tcPr>
            <w:tcW w:w="10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80" w:type="dxa"/>
            <w:vAlign w:val="bottom"/>
            <w:gridSpan w:val="2"/>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w w:val="97"/>
              </w:rPr>
              <w:t>Requirement to be</w:t>
            </w:r>
          </w:p>
        </w:tc>
        <w:tc>
          <w:tcPr>
            <w:tcW w:w="0" w:type="dxa"/>
            <w:vAlign w:val="bottom"/>
          </w:tcPr>
          <w:p>
            <w:pPr>
              <w:spacing w:after="0"/>
              <w:rPr>
                <w:sz w:val="1"/>
                <w:szCs w:val="1"/>
                <w:color w:val="auto"/>
              </w:rPr>
            </w:pPr>
          </w:p>
        </w:tc>
      </w:tr>
      <w:tr>
        <w:trPr>
          <w:trHeight w:val="243"/>
        </w:trPr>
        <w:tc>
          <w:tcPr>
            <w:tcW w:w="37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vMerge w:val="continue"/>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460" w:type="dxa"/>
            <w:vAlign w:val="bottom"/>
            <w:tcBorders>
              <w:bottom w:val="single" w:sz="8" w:color="auto"/>
            </w:tcBorders>
            <w:gridSpan w:val="2"/>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9"/>
              </w:rPr>
              <w:t>Requirements</w:t>
            </w:r>
          </w:p>
        </w:tc>
        <w:tc>
          <w:tcPr>
            <w:tcW w:w="380" w:type="dxa"/>
            <w:vAlign w:val="bottom"/>
            <w:tcBorders>
              <w:bottom w:val="single" w:sz="8" w:color="auto"/>
            </w:tcBorders>
          </w:tcPr>
          <w:p>
            <w:pPr>
              <w:spacing w:after="0"/>
              <w:rPr>
                <w:sz w:val="21"/>
                <w:szCs w:val="21"/>
                <w:color w:val="auto"/>
              </w:rPr>
            </w:pPr>
          </w:p>
        </w:tc>
        <w:tc>
          <w:tcPr>
            <w:tcW w:w="1880" w:type="dxa"/>
            <w:vAlign w:val="bottom"/>
            <w:tcBorders>
              <w:bottom w:val="single" w:sz="8" w:color="auto"/>
            </w:tcBorders>
            <w:gridSpan w:val="2"/>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Well-Capitalized</w:t>
            </w:r>
          </w:p>
        </w:tc>
        <w:tc>
          <w:tcPr>
            <w:tcW w:w="0" w:type="dxa"/>
            <w:vAlign w:val="bottom"/>
          </w:tcPr>
          <w:p>
            <w:pPr>
              <w:spacing w:after="0"/>
              <w:rPr>
                <w:sz w:val="1"/>
                <w:szCs w:val="1"/>
                <w:color w:val="auto"/>
              </w:rPr>
            </w:pPr>
          </w:p>
        </w:tc>
      </w:tr>
      <w:tr>
        <w:trPr>
          <w:trHeight w:val="223"/>
        </w:trPr>
        <w:tc>
          <w:tcPr>
            <w:tcW w:w="3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9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Ratio</w:t>
            </w:r>
          </w:p>
        </w:tc>
        <w:tc>
          <w:tcPr>
            <w:tcW w:w="2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Ratio</w:t>
            </w:r>
          </w:p>
        </w:tc>
        <w:tc>
          <w:tcPr>
            <w:tcW w:w="1260" w:type="dxa"/>
            <w:vAlign w:val="bottom"/>
            <w:tcBorders>
              <w:bottom w:val="single" w:sz="8" w:color="auto"/>
            </w:tcBorders>
            <w:gridSpan w:val="2"/>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Ratio</w:t>
            </w:r>
          </w:p>
        </w:tc>
        <w:tc>
          <w:tcPr>
            <w:tcW w:w="0" w:type="dxa"/>
            <w:vAlign w:val="bottom"/>
          </w:tcPr>
          <w:p>
            <w:pPr>
              <w:spacing w:after="0"/>
              <w:rPr>
                <w:sz w:val="1"/>
                <w:szCs w:val="1"/>
                <w:color w:val="auto"/>
              </w:rPr>
            </w:pPr>
          </w:p>
        </w:tc>
      </w:tr>
      <w:tr>
        <w:trPr>
          <w:trHeight w:val="223"/>
        </w:trPr>
        <w:tc>
          <w:tcPr>
            <w:tcW w:w="378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8"/>
                <w:szCs w:val="18"/>
                <w:b w:val="1"/>
                <w:bCs w:val="1"/>
                <w:color w:val="auto"/>
              </w:rPr>
              <w:t>At December 31, 2023</w:t>
            </w:r>
          </w:p>
        </w:tc>
        <w:tc>
          <w:tcPr>
            <w:tcW w:w="180" w:type="dxa"/>
            <w:vAlign w:val="bottom"/>
            <w:shd w:val="clear" w:color="auto" w:fill="DBDBDB"/>
          </w:tcPr>
          <w:p>
            <w:pPr>
              <w:spacing w:after="0"/>
              <w:rPr>
                <w:sz w:val="19"/>
                <w:szCs w:val="19"/>
                <w:color w:val="auto"/>
              </w:rPr>
            </w:pPr>
          </w:p>
        </w:tc>
        <w:tc>
          <w:tcPr>
            <w:tcW w:w="1380" w:type="dxa"/>
            <w:vAlign w:val="bottom"/>
            <w:shd w:val="clear" w:color="auto" w:fill="DBDBDB"/>
          </w:tcPr>
          <w:p>
            <w:pPr>
              <w:spacing w:after="0"/>
              <w:rPr>
                <w:sz w:val="19"/>
                <w:szCs w:val="19"/>
                <w:color w:val="auto"/>
              </w:rPr>
            </w:pPr>
          </w:p>
        </w:tc>
        <w:tc>
          <w:tcPr>
            <w:tcW w:w="960" w:type="dxa"/>
            <w:vAlign w:val="bottom"/>
            <w:shd w:val="clear" w:color="auto" w:fill="DBDBDB"/>
          </w:tcPr>
          <w:p>
            <w:pPr>
              <w:spacing w:after="0"/>
              <w:rPr>
                <w:sz w:val="19"/>
                <w:szCs w:val="19"/>
                <w:color w:val="auto"/>
              </w:rPr>
            </w:pPr>
          </w:p>
        </w:tc>
        <w:tc>
          <w:tcPr>
            <w:tcW w:w="220" w:type="dxa"/>
            <w:vAlign w:val="bottom"/>
            <w:shd w:val="clear" w:color="auto" w:fill="DBDBDB"/>
          </w:tcPr>
          <w:p>
            <w:pPr>
              <w:spacing w:after="0"/>
              <w:rPr>
                <w:sz w:val="19"/>
                <w:szCs w:val="19"/>
                <w:color w:val="auto"/>
              </w:rPr>
            </w:pPr>
          </w:p>
        </w:tc>
        <w:tc>
          <w:tcPr>
            <w:tcW w:w="1400" w:type="dxa"/>
            <w:vAlign w:val="bottom"/>
            <w:shd w:val="clear" w:color="auto" w:fill="DBDBDB"/>
          </w:tcPr>
          <w:p>
            <w:pPr>
              <w:spacing w:after="0"/>
              <w:rPr>
                <w:sz w:val="19"/>
                <w:szCs w:val="19"/>
                <w:color w:val="auto"/>
              </w:rPr>
            </w:pPr>
          </w:p>
        </w:tc>
        <w:tc>
          <w:tcPr>
            <w:tcW w:w="106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880" w:type="dxa"/>
            <w:vAlign w:val="bottom"/>
            <w:shd w:val="clear" w:color="auto" w:fill="DBDBDB"/>
          </w:tcPr>
          <w:p>
            <w:pPr>
              <w:spacing w:after="0"/>
              <w:rPr>
                <w:sz w:val="19"/>
                <w:szCs w:val="19"/>
                <w:color w:val="auto"/>
              </w:rPr>
            </w:pPr>
          </w:p>
        </w:tc>
        <w:tc>
          <w:tcPr>
            <w:tcW w:w="100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capital (to risk-weighted assets)</w:t>
            </w: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shd w:val="clear" w:color="auto" w:fill="DBDBDB"/>
          </w:tcPr>
          <w:p>
            <w:pPr>
              <w:ind w:left="360"/>
              <w:spacing w:after="0"/>
              <w:rPr>
                <w:sz w:val="20"/>
                <w:szCs w:val="20"/>
                <w:color w:val="auto"/>
              </w:rPr>
            </w:pPr>
            <w:r>
              <w:rPr>
                <w:rFonts w:ascii="Times New Roman" w:cs="Times New Roman" w:eastAsia="Times New Roman" w:hAnsi="Times New Roman"/>
                <w:sz w:val="18"/>
                <w:szCs w:val="18"/>
                <w:color w:val="auto"/>
              </w:rPr>
              <w:t>Cass Information Systems, Inc.</w:t>
            </w:r>
          </w:p>
        </w:tc>
        <w:tc>
          <w:tcPr>
            <w:tcW w:w="1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DBDBDB"/>
          </w:tcPr>
          <w:p>
            <w:pPr>
              <w:jc w:val="right"/>
              <w:ind w:right="410"/>
              <w:spacing w:after="0"/>
              <w:rPr>
                <w:sz w:val="20"/>
                <w:szCs w:val="20"/>
                <w:color w:val="auto"/>
              </w:rPr>
            </w:pPr>
            <w:r>
              <w:rPr>
                <w:rFonts w:ascii="Times New Roman" w:cs="Times New Roman" w:eastAsia="Times New Roman" w:hAnsi="Times New Roman"/>
                <w:sz w:val="18"/>
                <w:szCs w:val="18"/>
                <w:color w:val="auto"/>
              </w:rPr>
              <w:t>269,580</w:t>
            </w:r>
          </w:p>
        </w:tc>
        <w:tc>
          <w:tcPr>
            <w:tcW w:w="9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15.49 %</w:t>
            </w:r>
          </w:p>
        </w:tc>
        <w:tc>
          <w:tcPr>
            <w:tcW w:w="2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DBDBDB"/>
          </w:tcPr>
          <w:p>
            <w:pPr>
              <w:jc w:val="right"/>
              <w:ind w:right="430"/>
              <w:spacing w:after="0"/>
              <w:rPr>
                <w:sz w:val="20"/>
                <w:szCs w:val="20"/>
                <w:color w:val="auto"/>
              </w:rPr>
            </w:pPr>
            <w:r>
              <w:rPr>
                <w:rFonts w:ascii="Times New Roman" w:cs="Times New Roman" w:eastAsia="Times New Roman" w:hAnsi="Times New Roman"/>
                <w:sz w:val="18"/>
                <w:szCs w:val="18"/>
                <w:color w:val="auto"/>
              </w:rPr>
              <w:t>139,266</w:t>
            </w:r>
          </w:p>
        </w:tc>
        <w:tc>
          <w:tcPr>
            <w:tcW w:w="1060" w:type="dxa"/>
            <w:vAlign w:val="bottom"/>
            <w:shd w:val="clear" w:color="auto" w:fill="DBDBDB"/>
          </w:tcPr>
          <w:p>
            <w:pPr>
              <w:ind w:left="360"/>
              <w:spacing w:after="0"/>
              <w:rPr>
                <w:sz w:val="20"/>
                <w:szCs w:val="20"/>
                <w:color w:val="auto"/>
              </w:rPr>
            </w:pPr>
            <w:r>
              <w:rPr>
                <w:rFonts w:ascii="Times New Roman" w:cs="Times New Roman" w:eastAsia="Times New Roman" w:hAnsi="Times New Roman"/>
                <w:sz w:val="18"/>
                <w:szCs w:val="18"/>
                <w:color w:val="auto"/>
              </w:rPr>
              <w:t>8.00 %</w:t>
            </w:r>
          </w:p>
        </w:tc>
        <w:tc>
          <w:tcPr>
            <w:tcW w:w="3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DBDBDB"/>
          </w:tcPr>
          <w:p>
            <w:pPr>
              <w:jc w:val="right"/>
              <w:ind w:right="130"/>
              <w:spacing w:after="0"/>
              <w:rPr>
                <w:sz w:val="20"/>
                <w:szCs w:val="20"/>
                <w:color w:val="auto"/>
              </w:rPr>
            </w:pPr>
            <w:r>
              <w:rPr>
                <w:rFonts w:ascii="Times New Roman" w:cs="Times New Roman" w:eastAsia="Times New Roman" w:hAnsi="Times New Roman"/>
                <w:sz w:val="18"/>
                <w:szCs w:val="18"/>
                <w:color w:val="auto"/>
              </w:rPr>
              <w:t>N/A</w:t>
            </w:r>
          </w:p>
        </w:tc>
        <w:tc>
          <w:tcPr>
            <w:tcW w:w="10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N/A %</w:t>
            </w:r>
          </w:p>
        </w:tc>
        <w:tc>
          <w:tcPr>
            <w:tcW w:w="0" w:type="dxa"/>
            <w:vAlign w:val="bottom"/>
          </w:tcPr>
          <w:p>
            <w:pPr>
              <w:spacing w:after="0"/>
              <w:rPr>
                <w:sz w:val="1"/>
                <w:szCs w:val="1"/>
                <w:color w:val="auto"/>
              </w:rPr>
            </w:pPr>
          </w:p>
        </w:tc>
      </w:tr>
      <w:tr>
        <w:trPr>
          <w:trHeight w:val="229"/>
        </w:trPr>
        <w:tc>
          <w:tcPr>
            <w:tcW w:w="3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Cass Commercial Bank</w:t>
            </w:r>
          </w:p>
        </w:tc>
        <w:tc>
          <w:tcPr>
            <w:tcW w:w="180" w:type="dxa"/>
            <w:vAlign w:val="bottom"/>
          </w:tcPr>
          <w:p>
            <w:pPr>
              <w:spacing w:after="0"/>
              <w:rPr>
                <w:sz w:val="19"/>
                <w:szCs w:val="19"/>
                <w:color w:val="auto"/>
              </w:rPr>
            </w:pPr>
          </w:p>
        </w:tc>
        <w:tc>
          <w:tcPr>
            <w:tcW w:w="138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204,584</w:t>
            </w:r>
          </w:p>
        </w:tc>
        <w:tc>
          <w:tcPr>
            <w:tcW w:w="9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19.04</w:t>
            </w:r>
          </w:p>
        </w:tc>
        <w:tc>
          <w:tcPr>
            <w:tcW w:w="220" w:type="dxa"/>
            <w:vAlign w:val="bottom"/>
          </w:tcPr>
          <w:p>
            <w:pPr>
              <w:spacing w:after="0"/>
              <w:rPr>
                <w:sz w:val="19"/>
                <w:szCs w:val="19"/>
                <w:color w:val="auto"/>
              </w:rPr>
            </w:pPr>
          </w:p>
        </w:tc>
        <w:tc>
          <w:tcPr>
            <w:tcW w:w="140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85,964</w:t>
            </w:r>
          </w:p>
        </w:tc>
        <w:tc>
          <w:tcPr>
            <w:tcW w:w="1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8.00</w:t>
            </w:r>
          </w:p>
        </w:tc>
        <w:tc>
          <w:tcPr>
            <w:tcW w:w="380" w:type="dxa"/>
            <w:vAlign w:val="bottom"/>
          </w:tcPr>
          <w:p>
            <w:pPr>
              <w:spacing w:after="0"/>
              <w:rPr>
                <w:sz w:val="19"/>
                <w:szCs w:val="19"/>
                <w:color w:val="auto"/>
              </w:rPr>
            </w:pPr>
          </w:p>
        </w:tc>
        <w:tc>
          <w:tcPr>
            <w:tcW w:w="8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99"/>
              </w:rPr>
              <w:t>107,455</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176"/>
        </w:trPr>
        <w:tc>
          <w:tcPr>
            <w:tcW w:w="3780" w:type="dxa"/>
            <w:vAlign w:val="bottom"/>
            <w:shd w:val="clear" w:color="auto" w:fill="DBDBDB"/>
          </w:tcPr>
          <w:p>
            <w:pPr>
              <w:ind w:left="20"/>
              <w:spacing w:after="0" w:line="176" w:lineRule="exact"/>
              <w:rPr>
                <w:sz w:val="20"/>
                <w:szCs w:val="20"/>
                <w:color w:val="auto"/>
              </w:rPr>
            </w:pPr>
            <w:r>
              <w:rPr>
                <w:rFonts w:ascii="Times New Roman" w:cs="Times New Roman" w:eastAsia="Times New Roman" w:hAnsi="Times New Roman"/>
                <w:sz w:val="18"/>
                <w:szCs w:val="18"/>
                <w:color w:val="auto"/>
              </w:rPr>
              <w:t>Common Equity Tier I Capital (to risk-weighted</w:t>
            </w:r>
          </w:p>
        </w:tc>
        <w:tc>
          <w:tcPr>
            <w:tcW w:w="180" w:type="dxa"/>
            <w:vAlign w:val="bottom"/>
            <w:shd w:val="clear" w:color="auto" w:fill="DBDBDB"/>
          </w:tcPr>
          <w:p>
            <w:pPr>
              <w:spacing w:after="0"/>
              <w:rPr>
                <w:sz w:val="15"/>
                <w:szCs w:val="15"/>
                <w:color w:val="auto"/>
              </w:rPr>
            </w:pPr>
          </w:p>
        </w:tc>
        <w:tc>
          <w:tcPr>
            <w:tcW w:w="1380" w:type="dxa"/>
            <w:vAlign w:val="bottom"/>
            <w:shd w:val="clear" w:color="auto" w:fill="DBDBDB"/>
          </w:tcPr>
          <w:p>
            <w:pPr>
              <w:spacing w:after="0"/>
              <w:rPr>
                <w:sz w:val="15"/>
                <w:szCs w:val="15"/>
                <w:color w:val="auto"/>
              </w:rPr>
            </w:pPr>
          </w:p>
        </w:tc>
        <w:tc>
          <w:tcPr>
            <w:tcW w:w="960" w:type="dxa"/>
            <w:vAlign w:val="bottom"/>
            <w:shd w:val="clear" w:color="auto" w:fill="DBDBDB"/>
          </w:tcPr>
          <w:p>
            <w:pPr>
              <w:spacing w:after="0"/>
              <w:rPr>
                <w:sz w:val="15"/>
                <w:szCs w:val="15"/>
                <w:color w:val="auto"/>
              </w:rPr>
            </w:pPr>
          </w:p>
        </w:tc>
        <w:tc>
          <w:tcPr>
            <w:tcW w:w="220" w:type="dxa"/>
            <w:vAlign w:val="bottom"/>
            <w:shd w:val="clear" w:color="auto" w:fill="DBDBDB"/>
          </w:tcPr>
          <w:p>
            <w:pPr>
              <w:spacing w:after="0"/>
              <w:rPr>
                <w:sz w:val="15"/>
                <w:szCs w:val="15"/>
                <w:color w:val="auto"/>
              </w:rPr>
            </w:pPr>
          </w:p>
        </w:tc>
        <w:tc>
          <w:tcPr>
            <w:tcW w:w="1400" w:type="dxa"/>
            <w:vAlign w:val="bottom"/>
            <w:shd w:val="clear" w:color="auto" w:fill="DBDBDB"/>
          </w:tcPr>
          <w:p>
            <w:pPr>
              <w:spacing w:after="0"/>
              <w:rPr>
                <w:sz w:val="15"/>
                <w:szCs w:val="15"/>
                <w:color w:val="auto"/>
              </w:rPr>
            </w:pPr>
          </w:p>
        </w:tc>
        <w:tc>
          <w:tcPr>
            <w:tcW w:w="1060" w:type="dxa"/>
            <w:vAlign w:val="bottom"/>
            <w:shd w:val="clear" w:color="auto" w:fill="DBDBDB"/>
          </w:tcPr>
          <w:p>
            <w:pPr>
              <w:spacing w:after="0"/>
              <w:rPr>
                <w:sz w:val="15"/>
                <w:szCs w:val="15"/>
                <w:color w:val="auto"/>
              </w:rPr>
            </w:pPr>
          </w:p>
        </w:tc>
        <w:tc>
          <w:tcPr>
            <w:tcW w:w="380" w:type="dxa"/>
            <w:vAlign w:val="bottom"/>
            <w:shd w:val="clear" w:color="auto" w:fill="DBDBDB"/>
          </w:tcPr>
          <w:p>
            <w:pPr>
              <w:spacing w:after="0"/>
              <w:rPr>
                <w:sz w:val="15"/>
                <w:szCs w:val="15"/>
                <w:color w:val="auto"/>
              </w:rPr>
            </w:pPr>
          </w:p>
        </w:tc>
        <w:tc>
          <w:tcPr>
            <w:tcW w:w="880" w:type="dxa"/>
            <w:vAlign w:val="bottom"/>
            <w:shd w:val="clear" w:color="auto" w:fill="DBDBDB"/>
          </w:tcPr>
          <w:p>
            <w:pPr>
              <w:spacing w:after="0"/>
              <w:rPr>
                <w:sz w:val="15"/>
                <w:szCs w:val="15"/>
                <w:color w:val="auto"/>
              </w:rPr>
            </w:pPr>
          </w:p>
        </w:tc>
        <w:tc>
          <w:tcPr>
            <w:tcW w:w="1000" w:type="dxa"/>
            <w:vAlign w:val="bottom"/>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780" w:type="dxa"/>
            <w:vAlign w:val="bottom"/>
            <w:shd w:val="clear" w:color="auto" w:fill="DBDBDB"/>
          </w:tcPr>
          <w:p>
            <w:pPr>
              <w:ind w:left="180"/>
              <w:spacing w:after="0"/>
              <w:rPr>
                <w:sz w:val="20"/>
                <w:szCs w:val="20"/>
                <w:color w:val="auto"/>
              </w:rPr>
            </w:pPr>
            <w:r>
              <w:rPr>
                <w:rFonts w:ascii="Times New Roman" w:cs="Times New Roman" w:eastAsia="Times New Roman" w:hAnsi="Times New Roman"/>
                <w:sz w:val="18"/>
                <w:szCs w:val="18"/>
                <w:color w:val="auto"/>
              </w:rPr>
              <w:t>assets)</w:t>
            </w:r>
          </w:p>
        </w:tc>
        <w:tc>
          <w:tcPr>
            <w:tcW w:w="180" w:type="dxa"/>
            <w:vAlign w:val="bottom"/>
            <w:shd w:val="clear" w:color="auto" w:fill="DBDBDB"/>
          </w:tcPr>
          <w:p>
            <w:pPr>
              <w:spacing w:after="0"/>
              <w:rPr>
                <w:sz w:val="21"/>
                <w:szCs w:val="21"/>
                <w:color w:val="auto"/>
              </w:rPr>
            </w:pPr>
          </w:p>
        </w:tc>
        <w:tc>
          <w:tcPr>
            <w:tcW w:w="1380" w:type="dxa"/>
            <w:vAlign w:val="bottom"/>
            <w:shd w:val="clear" w:color="auto" w:fill="DBDBDB"/>
          </w:tcPr>
          <w:p>
            <w:pPr>
              <w:spacing w:after="0"/>
              <w:rPr>
                <w:sz w:val="21"/>
                <w:szCs w:val="21"/>
                <w:color w:val="auto"/>
              </w:rPr>
            </w:pPr>
          </w:p>
        </w:tc>
        <w:tc>
          <w:tcPr>
            <w:tcW w:w="960" w:type="dxa"/>
            <w:vAlign w:val="bottom"/>
            <w:shd w:val="clear" w:color="auto" w:fill="DBDBDB"/>
          </w:tcPr>
          <w:p>
            <w:pPr>
              <w:spacing w:after="0"/>
              <w:rPr>
                <w:sz w:val="21"/>
                <w:szCs w:val="21"/>
                <w:color w:val="auto"/>
              </w:rPr>
            </w:pPr>
          </w:p>
        </w:tc>
        <w:tc>
          <w:tcPr>
            <w:tcW w:w="220" w:type="dxa"/>
            <w:vAlign w:val="bottom"/>
            <w:shd w:val="clear" w:color="auto" w:fill="DBDBDB"/>
          </w:tcPr>
          <w:p>
            <w:pPr>
              <w:spacing w:after="0"/>
              <w:rPr>
                <w:sz w:val="21"/>
                <w:szCs w:val="21"/>
                <w:color w:val="auto"/>
              </w:rPr>
            </w:pPr>
          </w:p>
        </w:tc>
        <w:tc>
          <w:tcPr>
            <w:tcW w:w="1400" w:type="dxa"/>
            <w:vAlign w:val="bottom"/>
            <w:shd w:val="clear" w:color="auto" w:fill="DBDBDB"/>
          </w:tcPr>
          <w:p>
            <w:pPr>
              <w:spacing w:after="0"/>
              <w:rPr>
                <w:sz w:val="21"/>
                <w:szCs w:val="21"/>
                <w:color w:val="auto"/>
              </w:rPr>
            </w:pPr>
          </w:p>
        </w:tc>
        <w:tc>
          <w:tcPr>
            <w:tcW w:w="1060" w:type="dxa"/>
            <w:vAlign w:val="bottom"/>
            <w:shd w:val="clear" w:color="auto" w:fill="DBDBDB"/>
          </w:tcPr>
          <w:p>
            <w:pPr>
              <w:spacing w:after="0"/>
              <w:rPr>
                <w:sz w:val="21"/>
                <w:szCs w:val="21"/>
                <w:color w:val="auto"/>
              </w:rPr>
            </w:pPr>
          </w:p>
        </w:tc>
        <w:tc>
          <w:tcPr>
            <w:tcW w:w="380" w:type="dxa"/>
            <w:vAlign w:val="bottom"/>
            <w:shd w:val="clear" w:color="auto" w:fill="DBDBDB"/>
          </w:tcPr>
          <w:p>
            <w:pPr>
              <w:spacing w:after="0"/>
              <w:rPr>
                <w:sz w:val="21"/>
                <w:szCs w:val="21"/>
                <w:color w:val="auto"/>
              </w:rPr>
            </w:pPr>
          </w:p>
        </w:tc>
        <w:tc>
          <w:tcPr>
            <w:tcW w:w="880" w:type="dxa"/>
            <w:vAlign w:val="bottom"/>
            <w:shd w:val="clear" w:color="auto" w:fill="DBDBDB"/>
          </w:tcPr>
          <w:p>
            <w:pPr>
              <w:spacing w:after="0"/>
              <w:rPr>
                <w:sz w:val="21"/>
                <w:szCs w:val="21"/>
                <w:color w:val="auto"/>
              </w:rPr>
            </w:pPr>
          </w:p>
        </w:tc>
        <w:tc>
          <w:tcPr>
            <w:tcW w:w="1000" w:type="dxa"/>
            <w:vAlign w:val="bottom"/>
            <w:shd w:val="clear" w:color="auto" w:fill="DBDBDB"/>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Cass Information Systems, Inc.</w:t>
            </w:r>
          </w:p>
        </w:tc>
        <w:tc>
          <w:tcPr>
            <w:tcW w:w="180" w:type="dxa"/>
            <w:vAlign w:val="bottom"/>
          </w:tcPr>
          <w:p>
            <w:pPr>
              <w:spacing w:after="0"/>
              <w:rPr>
                <w:sz w:val="19"/>
                <w:szCs w:val="19"/>
                <w:color w:val="auto"/>
              </w:rPr>
            </w:pPr>
          </w:p>
        </w:tc>
        <w:tc>
          <w:tcPr>
            <w:tcW w:w="138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256,359</w:t>
            </w:r>
          </w:p>
        </w:tc>
        <w:tc>
          <w:tcPr>
            <w:tcW w:w="9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14.73</w:t>
            </w:r>
          </w:p>
        </w:tc>
        <w:tc>
          <w:tcPr>
            <w:tcW w:w="220" w:type="dxa"/>
            <w:vAlign w:val="bottom"/>
          </w:tcPr>
          <w:p>
            <w:pPr>
              <w:spacing w:after="0"/>
              <w:rPr>
                <w:sz w:val="19"/>
                <w:szCs w:val="19"/>
                <w:color w:val="auto"/>
              </w:rPr>
            </w:pPr>
          </w:p>
        </w:tc>
        <w:tc>
          <w:tcPr>
            <w:tcW w:w="140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78,337</w:t>
            </w:r>
          </w:p>
        </w:tc>
        <w:tc>
          <w:tcPr>
            <w:tcW w:w="1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4.50</w:t>
            </w:r>
          </w:p>
        </w:tc>
        <w:tc>
          <w:tcPr>
            <w:tcW w:w="380" w:type="dxa"/>
            <w:vAlign w:val="bottom"/>
          </w:tcPr>
          <w:p>
            <w:pPr>
              <w:spacing w:after="0"/>
              <w:rPr>
                <w:sz w:val="19"/>
                <w:szCs w:val="19"/>
                <w:color w:val="auto"/>
              </w:rPr>
            </w:pPr>
          </w:p>
        </w:tc>
        <w:tc>
          <w:tcPr>
            <w:tcW w:w="8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N/A</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9"/>
        </w:trPr>
        <w:tc>
          <w:tcPr>
            <w:tcW w:w="3780" w:type="dxa"/>
            <w:vAlign w:val="bottom"/>
            <w:shd w:val="clear" w:color="auto" w:fill="DBDBDB"/>
          </w:tcPr>
          <w:p>
            <w:pPr>
              <w:ind w:left="360"/>
              <w:spacing w:after="0"/>
              <w:rPr>
                <w:sz w:val="20"/>
                <w:szCs w:val="20"/>
                <w:color w:val="auto"/>
              </w:rPr>
            </w:pPr>
            <w:r>
              <w:rPr>
                <w:rFonts w:ascii="Times New Roman" w:cs="Times New Roman" w:eastAsia="Times New Roman" w:hAnsi="Times New Roman"/>
                <w:sz w:val="18"/>
                <w:szCs w:val="18"/>
                <w:color w:val="auto"/>
              </w:rPr>
              <w:t>Cass Commercial Bank</w:t>
            </w:r>
          </w:p>
        </w:tc>
        <w:tc>
          <w:tcPr>
            <w:tcW w:w="180" w:type="dxa"/>
            <w:vAlign w:val="bottom"/>
            <w:shd w:val="clear" w:color="auto" w:fill="DBDBDB"/>
          </w:tcPr>
          <w:p>
            <w:pPr>
              <w:spacing w:after="0"/>
              <w:rPr>
                <w:sz w:val="19"/>
                <w:szCs w:val="19"/>
                <w:color w:val="auto"/>
              </w:rPr>
            </w:pPr>
          </w:p>
        </w:tc>
        <w:tc>
          <w:tcPr>
            <w:tcW w:w="1380" w:type="dxa"/>
            <w:vAlign w:val="bottom"/>
            <w:shd w:val="clear" w:color="auto" w:fill="DBDBDB"/>
          </w:tcPr>
          <w:p>
            <w:pPr>
              <w:jc w:val="right"/>
              <w:ind w:right="410"/>
              <w:spacing w:after="0"/>
              <w:rPr>
                <w:sz w:val="20"/>
                <w:szCs w:val="20"/>
                <w:color w:val="auto"/>
              </w:rPr>
            </w:pPr>
            <w:r>
              <w:rPr>
                <w:rFonts w:ascii="Times New Roman" w:cs="Times New Roman" w:eastAsia="Times New Roman" w:hAnsi="Times New Roman"/>
                <w:sz w:val="18"/>
                <w:szCs w:val="18"/>
                <w:color w:val="auto"/>
              </w:rPr>
              <w:t>192,104</w:t>
            </w:r>
          </w:p>
        </w:tc>
        <w:tc>
          <w:tcPr>
            <w:tcW w:w="960" w:type="dxa"/>
            <w:vAlign w:val="bottom"/>
            <w:shd w:val="clear" w:color="auto" w:fill="DBDBDB"/>
          </w:tcPr>
          <w:p>
            <w:pPr>
              <w:jc w:val="right"/>
              <w:ind w:right="170"/>
              <w:spacing w:after="0"/>
              <w:rPr>
                <w:sz w:val="20"/>
                <w:szCs w:val="20"/>
                <w:color w:val="auto"/>
              </w:rPr>
            </w:pPr>
            <w:r>
              <w:rPr>
                <w:rFonts w:ascii="Times New Roman" w:cs="Times New Roman" w:eastAsia="Times New Roman" w:hAnsi="Times New Roman"/>
                <w:sz w:val="18"/>
                <w:szCs w:val="18"/>
                <w:color w:val="auto"/>
              </w:rPr>
              <w:t>17.88</w:t>
            </w:r>
          </w:p>
        </w:tc>
        <w:tc>
          <w:tcPr>
            <w:tcW w:w="220" w:type="dxa"/>
            <w:vAlign w:val="bottom"/>
            <w:shd w:val="clear" w:color="auto" w:fill="DBDBDB"/>
          </w:tcPr>
          <w:p>
            <w:pPr>
              <w:spacing w:after="0"/>
              <w:rPr>
                <w:sz w:val="19"/>
                <w:szCs w:val="19"/>
                <w:color w:val="auto"/>
              </w:rPr>
            </w:pPr>
          </w:p>
        </w:tc>
        <w:tc>
          <w:tcPr>
            <w:tcW w:w="1400" w:type="dxa"/>
            <w:vAlign w:val="bottom"/>
            <w:shd w:val="clear" w:color="auto" w:fill="DBDBDB"/>
          </w:tcPr>
          <w:p>
            <w:pPr>
              <w:jc w:val="right"/>
              <w:ind w:right="430"/>
              <w:spacing w:after="0"/>
              <w:rPr>
                <w:sz w:val="20"/>
                <w:szCs w:val="20"/>
                <w:color w:val="auto"/>
              </w:rPr>
            </w:pPr>
            <w:r>
              <w:rPr>
                <w:rFonts w:ascii="Times New Roman" w:cs="Times New Roman" w:eastAsia="Times New Roman" w:hAnsi="Times New Roman"/>
                <w:sz w:val="18"/>
                <w:szCs w:val="18"/>
                <w:color w:val="auto"/>
              </w:rPr>
              <w:t>48,355</w:t>
            </w:r>
          </w:p>
        </w:tc>
        <w:tc>
          <w:tcPr>
            <w:tcW w:w="1060" w:type="dxa"/>
            <w:vAlign w:val="bottom"/>
            <w:shd w:val="clear" w:color="auto" w:fill="DBDBDB"/>
          </w:tcPr>
          <w:p>
            <w:pPr>
              <w:ind w:left="360"/>
              <w:spacing w:after="0"/>
              <w:rPr>
                <w:sz w:val="20"/>
                <w:szCs w:val="20"/>
                <w:color w:val="auto"/>
              </w:rPr>
            </w:pPr>
            <w:r>
              <w:rPr>
                <w:rFonts w:ascii="Times New Roman" w:cs="Times New Roman" w:eastAsia="Times New Roman" w:hAnsi="Times New Roman"/>
                <w:sz w:val="18"/>
                <w:szCs w:val="18"/>
                <w:color w:val="auto"/>
              </w:rPr>
              <w:t>4.50</w:t>
            </w:r>
          </w:p>
        </w:tc>
        <w:tc>
          <w:tcPr>
            <w:tcW w:w="380" w:type="dxa"/>
            <w:vAlign w:val="bottom"/>
            <w:shd w:val="clear" w:color="auto" w:fill="DBDBDB"/>
          </w:tcPr>
          <w:p>
            <w:pPr>
              <w:spacing w:after="0"/>
              <w:rPr>
                <w:sz w:val="19"/>
                <w:szCs w:val="19"/>
                <w:color w:val="auto"/>
              </w:rPr>
            </w:pPr>
          </w:p>
        </w:tc>
        <w:tc>
          <w:tcPr>
            <w:tcW w:w="880" w:type="dxa"/>
            <w:vAlign w:val="bottom"/>
            <w:shd w:val="clear" w:color="auto" w:fill="DBDBDB"/>
          </w:tcPr>
          <w:p>
            <w:pPr>
              <w:jc w:val="right"/>
              <w:ind w:right="190"/>
              <w:spacing w:after="0"/>
              <w:rPr>
                <w:sz w:val="20"/>
                <w:szCs w:val="20"/>
                <w:color w:val="auto"/>
              </w:rPr>
            </w:pPr>
            <w:r>
              <w:rPr>
                <w:rFonts w:ascii="Times New Roman" w:cs="Times New Roman" w:eastAsia="Times New Roman" w:hAnsi="Times New Roman"/>
                <w:sz w:val="18"/>
                <w:szCs w:val="18"/>
                <w:color w:val="auto"/>
              </w:rPr>
              <w:t>69,846</w:t>
            </w:r>
          </w:p>
        </w:tc>
        <w:tc>
          <w:tcPr>
            <w:tcW w:w="10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0" w:type="dxa"/>
            <w:vAlign w:val="bottom"/>
          </w:tcPr>
          <w:p>
            <w:pPr>
              <w:spacing w:after="0"/>
              <w:rPr>
                <w:sz w:val="1"/>
                <w:szCs w:val="1"/>
                <w:color w:val="auto"/>
              </w:rPr>
            </w:pPr>
          </w:p>
        </w:tc>
      </w:tr>
      <w:tr>
        <w:trPr>
          <w:trHeight w:val="229"/>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Tier I capital (to risk-weighted assets)</w:t>
            </w: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shd w:val="clear" w:color="auto" w:fill="DBDBDB"/>
          </w:tcPr>
          <w:p>
            <w:pPr>
              <w:ind w:left="360"/>
              <w:spacing w:after="0"/>
              <w:rPr>
                <w:sz w:val="20"/>
                <w:szCs w:val="20"/>
                <w:color w:val="auto"/>
              </w:rPr>
            </w:pPr>
            <w:r>
              <w:rPr>
                <w:rFonts w:ascii="Times New Roman" w:cs="Times New Roman" w:eastAsia="Times New Roman" w:hAnsi="Times New Roman"/>
                <w:sz w:val="18"/>
                <w:szCs w:val="18"/>
                <w:color w:val="auto"/>
              </w:rPr>
              <w:t>Cass Information Systems, Inc.</w:t>
            </w:r>
          </w:p>
        </w:tc>
        <w:tc>
          <w:tcPr>
            <w:tcW w:w="180" w:type="dxa"/>
            <w:vAlign w:val="bottom"/>
            <w:shd w:val="clear" w:color="auto" w:fill="DBDBDB"/>
          </w:tcPr>
          <w:p>
            <w:pPr>
              <w:spacing w:after="0"/>
              <w:rPr>
                <w:sz w:val="19"/>
                <w:szCs w:val="19"/>
                <w:color w:val="auto"/>
              </w:rPr>
            </w:pPr>
          </w:p>
        </w:tc>
        <w:tc>
          <w:tcPr>
            <w:tcW w:w="1380" w:type="dxa"/>
            <w:vAlign w:val="bottom"/>
            <w:shd w:val="clear" w:color="auto" w:fill="DBDBDB"/>
          </w:tcPr>
          <w:p>
            <w:pPr>
              <w:jc w:val="right"/>
              <w:ind w:right="410"/>
              <w:spacing w:after="0"/>
              <w:rPr>
                <w:sz w:val="20"/>
                <w:szCs w:val="20"/>
                <w:color w:val="auto"/>
              </w:rPr>
            </w:pPr>
            <w:r>
              <w:rPr>
                <w:rFonts w:ascii="Times New Roman" w:cs="Times New Roman" w:eastAsia="Times New Roman" w:hAnsi="Times New Roman"/>
                <w:sz w:val="18"/>
                <w:szCs w:val="18"/>
                <w:color w:val="auto"/>
              </w:rPr>
              <w:t>256,359</w:t>
            </w:r>
          </w:p>
        </w:tc>
        <w:tc>
          <w:tcPr>
            <w:tcW w:w="960" w:type="dxa"/>
            <w:vAlign w:val="bottom"/>
            <w:shd w:val="clear" w:color="auto" w:fill="DBDBDB"/>
          </w:tcPr>
          <w:p>
            <w:pPr>
              <w:jc w:val="right"/>
              <w:ind w:right="170"/>
              <w:spacing w:after="0"/>
              <w:rPr>
                <w:sz w:val="20"/>
                <w:szCs w:val="20"/>
                <w:color w:val="auto"/>
              </w:rPr>
            </w:pPr>
            <w:r>
              <w:rPr>
                <w:rFonts w:ascii="Times New Roman" w:cs="Times New Roman" w:eastAsia="Times New Roman" w:hAnsi="Times New Roman"/>
                <w:sz w:val="18"/>
                <w:szCs w:val="18"/>
                <w:color w:val="auto"/>
              </w:rPr>
              <w:t>14.73</w:t>
            </w:r>
          </w:p>
        </w:tc>
        <w:tc>
          <w:tcPr>
            <w:tcW w:w="220" w:type="dxa"/>
            <w:vAlign w:val="bottom"/>
            <w:shd w:val="clear" w:color="auto" w:fill="DBDBDB"/>
          </w:tcPr>
          <w:p>
            <w:pPr>
              <w:spacing w:after="0"/>
              <w:rPr>
                <w:sz w:val="19"/>
                <w:szCs w:val="19"/>
                <w:color w:val="auto"/>
              </w:rPr>
            </w:pPr>
          </w:p>
        </w:tc>
        <w:tc>
          <w:tcPr>
            <w:tcW w:w="1400" w:type="dxa"/>
            <w:vAlign w:val="bottom"/>
            <w:shd w:val="clear" w:color="auto" w:fill="DBDBDB"/>
          </w:tcPr>
          <w:p>
            <w:pPr>
              <w:jc w:val="right"/>
              <w:ind w:right="430"/>
              <w:spacing w:after="0"/>
              <w:rPr>
                <w:sz w:val="20"/>
                <w:szCs w:val="20"/>
                <w:color w:val="auto"/>
              </w:rPr>
            </w:pPr>
            <w:r>
              <w:rPr>
                <w:rFonts w:ascii="Times New Roman" w:cs="Times New Roman" w:eastAsia="Times New Roman" w:hAnsi="Times New Roman"/>
                <w:sz w:val="18"/>
                <w:szCs w:val="18"/>
                <w:color w:val="auto"/>
              </w:rPr>
              <w:t>104,449</w:t>
            </w:r>
          </w:p>
        </w:tc>
        <w:tc>
          <w:tcPr>
            <w:tcW w:w="1060" w:type="dxa"/>
            <w:vAlign w:val="bottom"/>
            <w:shd w:val="clear" w:color="auto" w:fill="DBDBDB"/>
          </w:tcPr>
          <w:p>
            <w:pPr>
              <w:ind w:left="360"/>
              <w:spacing w:after="0"/>
              <w:rPr>
                <w:sz w:val="20"/>
                <w:szCs w:val="20"/>
                <w:color w:val="auto"/>
              </w:rPr>
            </w:pPr>
            <w:r>
              <w:rPr>
                <w:rFonts w:ascii="Times New Roman" w:cs="Times New Roman" w:eastAsia="Times New Roman" w:hAnsi="Times New Roman"/>
                <w:sz w:val="18"/>
                <w:szCs w:val="18"/>
                <w:color w:val="auto"/>
              </w:rPr>
              <w:t>6.00</w:t>
            </w:r>
          </w:p>
        </w:tc>
        <w:tc>
          <w:tcPr>
            <w:tcW w:w="380" w:type="dxa"/>
            <w:vAlign w:val="bottom"/>
            <w:shd w:val="clear" w:color="auto" w:fill="DBDBDB"/>
          </w:tcPr>
          <w:p>
            <w:pPr>
              <w:spacing w:after="0"/>
              <w:rPr>
                <w:sz w:val="19"/>
                <w:szCs w:val="19"/>
                <w:color w:val="auto"/>
              </w:rPr>
            </w:pPr>
          </w:p>
        </w:tc>
        <w:tc>
          <w:tcPr>
            <w:tcW w:w="880" w:type="dxa"/>
            <w:vAlign w:val="bottom"/>
            <w:shd w:val="clear" w:color="auto" w:fill="DBDBDB"/>
          </w:tcPr>
          <w:p>
            <w:pPr>
              <w:jc w:val="right"/>
              <w:ind w:right="130"/>
              <w:spacing w:after="0"/>
              <w:rPr>
                <w:sz w:val="20"/>
                <w:szCs w:val="20"/>
                <w:color w:val="auto"/>
              </w:rPr>
            </w:pPr>
            <w:r>
              <w:rPr>
                <w:rFonts w:ascii="Times New Roman" w:cs="Times New Roman" w:eastAsia="Times New Roman" w:hAnsi="Times New Roman"/>
                <w:sz w:val="18"/>
                <w:szCs w:val="18"/>
                <w:color w:val="auto"/>
              </w:rPr>
              <w:t>N/A</w:t>
            </w:r>
          </w:p>
        </w:tc>
        <w:tc>
          <w:tcPr>
            <w:tcW w:w="10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9"/>
        </w:trPr>
        <w:tc>
          <w:tcPr>
            <w:tcW w:w="3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Cass Commercial Bank</w:t>
            </w:r>
          </w:p>
        </w:tc>
        <w:tc>
          <w:tcPr>
            <w:tcW w:w="180" w:type="dxa"/>
            <w:vAlign w:val="bottom"/>
          </w:tcPr>
          <w:p>
            <w:pPr>
              <w:spacing w:after="0"/>
              <w:rPr>
                <w:sz w:val="19"/>
                <w:szCs w:val="19"/>
                <w:color w:val="auto"/>
              </w:rPr>
            </w:pPr>
          </w:p>
        </w:tc>
        <w:tc>
          <w:tcPr>
            <w:tcW w:w="138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192,104</w:t>
            </w:r>
          </w:p>
        </w:tc>
        <w:tc>
          <w:tcPr>
            <w:tcW w:w="9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17.88</w:t>
            </w:r>
          </w:p>
        </w:tc>
        <w:tc>
          <w:tcPr>
            <w:tcW w:w="220" w:type="dxa"/>
            <w:vAlign w:val="bottom"/>
          </w:tcPr>
          <w:p>
            <w:pPr>
              <w:spacing w:after="0"/>
              <w:rPr>
                <w:sz w:val="19"/>
                <w:szCs w:val="19"/>
                <w:color w:val="auto"/>
              </w:rPr>
            </w:pPr>
          </w:p>
        </w:tc>
        <w:tc>
          <w:tcPr>
            <w:tcW w:w="140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64,473</w:t>
            </w:r>
          </w:p>
        </w:tc>
        <w:tc>
          <w:tcPr>
            <w:tcW w:w="1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6.00</w:t>
            </w:r>
          </w:p>
        </w:tc>
        <w:tc>
          <w:tcPr>
            <w:tcW w:w="380" w:type="dxa"/>
            <w:vAlign w:val="bottom"/>
          </w:tcPr>
          <w:p>
            <w:pPr>
              <w:spacing w:after="0"/>
              <w:rPr>
                <w:sz w:val="19"/>
                <w:szCs w:val="19"/>
                <w:color w:val="auto"/>
              </w:rPr>
            </w:pPr>
          </w:p>
        </w:tc>
        <w:tc>
          <w:tcPr>
            <w:tcW w:w="8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85,964</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0" w:type="dxa"/>
            <w:vAlign w:val="bottom"/>
          </w:tcPr>
          <w:p>
            <w:pPr>
              <w:spacing w:after="0"/>
              <w:rPr>
                <w:sz w:val="1"/>
                <w:szCs w:val="1"/>
                <w:color w:val="auto"/>
              </w:rPr>
            </w:pPr>
          </w:p>
        </w:tc>
      </w:tr>
      <w:tr>
        <w:trPr>
          <w:trHeight w:val="230"/>
        </w:trPr>
        <w:tc>
          <w:tcPr>
            <w:tcW w:w="378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Tier I capital (to average assets)</w:t>
            </w:r>
          </w:p>
        </w:tc>
        <w:tc>
          <w:tcPr>
            <w:tcW w:w="180" w:type="dxa"/>
            <w:vAlign w:val="bottom"/>
            <w:shd w:val="clear" w:color="auto" w:fill="DBDBDB"/>
          </w:tcPr>
          <w:p>
            <w:pPr>
              <w:spacing w:after="0"/>
              <w:rPr>
                <w:sz w:val="19"/>
                <w:szCs w:val="19"/>
                <w:color w:val="auto"/>
              </w:rPr>
            </w:pPr>
          </w:p>
        </w:tc>
        <w:tc>
          <w:tcPr>
            <w:tcW w:w="1380" w:type="dxa"/>
            <w:vAlign w:val="bottom"/>
            <w:shd w:val="clear" w:color="auto" w:fill="DBDBDB"/>
          </w:tcPr>
          <w:p>
            <w:pPr>
              <w:spacing w:after="0"/>
              <w:rPr>
                <w:sz w:val="19"/>
                <w:szCs w:val="19"/>
                <w:color w:val="auto"/>
              </w:rPr>
            </w:pPr>
          </w:p>
        </w:tc>
        <w:tc>
          <w:tcPr>
            <w:tcW w:w="960" w:type="dxa"/>
            <w:vAlign w:val="bottom"/>
            <w:shd w:val="clear" w:color="auto" w:fill="DBDBDB"/>
          </w:tcPr>
          <w:p>
            <w:pPr>
              <w:spacing w:after="0"/>
              <w:rPr>
                <w:sz w:val="19"/>
                <w:szCs w:val="19"/>
                <w:color w:val="auto"/>
              </w:rPr>
            </w:pPr>
          </w:p>
        </w:tc>
        <w:tc>
          <w:tcPr>
            <w:tcW w:w="220" w:type="dxa"/>
            <w:vAlign w:val="bottom"/>
            <w:shd w:val="clear" w:color="auto" w:fill="DBDBDB"/>
          </w:tcPr>
          <w:p>
            <w:pPr>
              <w:spacing w:after="0"/>
              <w:rPr>
                <w:sz w:val="19"/>
                <w:szCs w:val="19"/>
                <w:color w:val="auto"/>
              </w:rPr>
            </w:pPr>
          </w:p>
        </w:tc>
        <w:tc>
          <w:tcPr>
            <w:tcW w:w="1400" w:type="dxa"/>
            <w:vAlign w:val="bottom"/>
            <w:shd w:val="clear" w:color="auto" w:fill="DBDBDB"/>
          </w:tcPr>
          <w:p>
            <w:pPr>
              <w:spacing w:after="0"/>
              <w:rPr>
                <w:sz w:val="19"/>
                <w:szCs w:val="19"/>
                <w:color w:val="auto"/>
              </w:rPr>
            </w:pPr>
          </w:p>
        </w:tc>
        <w:tc>
          <w:tcPr>
            <w:tcW w:w="106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880" w:type="dxa"/>
            <w:vAlign w:val="bottom"/>
            <w:shd w:val="clear" w:color="auto" w:fill="DBDBDB"/>
          </w:tcPr>
          <w:p>
            <w:pPr>
              <w:spacing w:after="0"/>
              <w:rPr>
                <w:sz w:val="19"/>
                <w:szCs w:val="19"/>
                <w:color w:val="auto"/>
              </w:rPr>
            </w:pPr>
          </w:p>
        </w:tc>
        <w:tc>
          <w:tcPr>
            <w:tcW w:w="100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Cass Information Systems, Inc.</w:t>
            </w:r>
          </w:p>
        </w:tc>
        <w:tc>
          <w:tcPr>
            <w:tcW w:w="180" w:type="dxa"/>
            <w:vAlign w:val="bottom"/>
          </w:tcPr>
          <w:p>
            <w:pPr>
              <w:spacing w:after="0"/>
              <w:rPr>
                <w:sz w:val="19"/>
                <w:szCs w:val="19"/>
                <w:color w:val="auto"/>
              </w:rPr>
            </w:pPr>
          </w:p>
        </w:tc>
        <w:tc>
          <w:tcPr>
            <w:tcW w:w="138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256,359</w:t>
            </w:r>
          </w:p>
        </w:tc>
        <w:tc>
          <w:tcPr>
            <w:tcW w:w="9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10.71</w:t>
            </w:r>
          </w:p>
        </w:tc>
        <w:tc>
          <w:tcPr>
            <w:tcW w:w="220" w:type="dxa"/>
            <w:vAlign w:val="bottom"/>
          </w:tcPr>
          <w:p>
            <w:pPr>
              <w:spacing w:after="0"/>
              <w:rPr>
                <w:sz w:val="19"/>
                <w:szCs w:val="19"/>
                <w:color w:val="auto"/>
              </w:rPr>
            </w:pPr>
          </w:p>
        </w:tc>
        <w:tc>
          <w:tcPr>
            <w:tcW w:w="140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95,760</w:t>
            </w:r>
          </w:p>
        </w:tc>
        <w:tc>
          <w:tcPr>
            <w:tcW w:w="1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4.00</w:t>
            </w:r>
          </w:p>
        </w:tc>
        <w:tc>
          <w:tcPr>
            <w:tcW w:w="380" w:type="dxa"/>
            <w:vAlign w:val="bottom"/>
          </w:tcPr>
          <w:p>
            <w:pPr>
              <w:spacing w:after="0"/>
              <w:rPr>
                <w:sz w:val="19"/>
                <w:szCs w:val="19"/>
                <w:color w:val="auto"/>
              </w:rPr>
            </w:pPr>
          </w:p>
        </w:tc>
        <w:tc>
          <w:tcPr>
            <w:tcW w:w="8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N/A</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9"/>
        </w:trPr>
        <w:tc>
          <w:tcPr>
            <w:tcW w:w="3780" w:type="dxa"/>
            <w:vAlign w:val="bottom"/>
            <w:tcBorders>
              <w:bottom w:val="single" w:sz="8" w:color="auto"/>
            </w:tcBorders>
            <w:shd w:val="clear" w:color="auto" w:fill="DBDBDB"/>
          </w:tcPr>
          <w:p>
            <w:pPr>
              <w:ind w:left="360"/>
              <w:spacing w:after="0"/>
              <w:rPr>
                <w:sz w:val="20"/>
                <w:szCs w:val="20"/>
                <w:color w:val="auto"/>
              </w:rPr>
            </w:pPr>
            <w:r>
              <w:rPr>
                <w:rFonts w:ascii="Times New Roman" w:cs="Times New Roman" w:eastAsia="Times New Roman" w:hAnsi="Times New Roman"/>
                <w:sz w:val="18"/>
                <w:szCs w:val="18"/>
                <w:color w:val="auto"/>
              </w:rPr>
              <w:t>Cass Commercial Bank</w:t>
            </w:r>
          </w:p>
        </w:tc>
        <w:tc>
          <w:tcPr>
            <w:tcW w:w="180" w:type="dxa"/>
            <w:vAlign w:val="bottom"/>
            <w:tcBorders>
              <w:bottom w:val="single" w:sz="8" w:color="auto"/>
            </w:tcBorders>
            <w:shd w:val="clear" w:color="auto" w:fill="DBDBDB"/>
          </w:tcPr>
          <w:p>
            <w:pPr>
              <w:spacing w:after="0"/>
              <w:rPr>
                <w:sz w:val="19"/>
                <w:szCs w:val="19"/>
                <w:color w:val="auto"/>
              </w:rPr>
            </w:pPr>
          </w:p>
        </w:tc>
        <w:tc>
          <w:tcPr>
            <w:tcW w:w="1380" w:type="dxa"/>
            <w:vAlign w:val="bottom"/>
            <w:tcBorders>
              <w:bottom w:val="single" w:sz="8" w:color="auto"/>
            </w:tcBorders>
            <w:shd w:val="clear" w:color="auto" w:fill="DBDBDB"/>
          </w:tcPr>
          <w:p>
            <w:pPr>
              <w:jc w:val="right"/>
              <w:ind w:right="410"/>
              <w:spacing w:after="0"/>
              <w:rPr>
                <w:sz w:val="20"/>
                <w:szCs w:val="20"/>
                <w:color w:val="auto"/>
              </w:rPr>
            </w:pPr>
            <w:r>
              <w:rPr>
                <w:rFonts w:ascii="Times New Roman" w:cs="Times New Roman" w:eastAsia="Times New Roman" w:hAnsi="Times New Roman"/>
                <w:sz w:val="18"/>
                <w:szCs w:val="18"/>
                <w:color w:val="auto"/>
              </w:rPr>
              <w:t>192,104</w:t>
            </w:r>
          </w:p>
        </w:tc>
        <w:tc>
          <w:tcPr>
            <w:tcW w:w="960" w:type="dxa"/>
            <w:vAlign w:val="bottom"/>
            <w:tcBorders>
              <w:bottom w:val="single" w:sz="8" w:color="auto"/>
            </w:tcBorders>
            <w:shd w:val="clear" w:color="auto" w:fill="DBDBDB"/>
          </w:tcPr>
          <w:p>
            <w:pPr>
              <w:jc w:val="right"/>
              <w:ind w:right="170"/>
              <w:spacing w:after="0"/>
              <w:rPr>
                <w:sz w:val="20"/>
                <w:szCs w:val="20"/>
                <w:color w:val="auto"/>
              </w:rPr>
            </w:pPr>
            <w:r>
              <w:rPr>
                <w:rFonts w:ascii="Times New Roman" w:cs="Times New Roman" w:eastAsia="Times New Roman" w:hAnsi="Times New Roman"/>
                <w:sz w:val="18"/>
                <w:szCs w:val="18"/>
                <w:color w:val="auto"/>
              </w:rPr>
              <w:t>12.49</w:t>
            </w:r>
          </w:p>
        </w:tc>
        <w:tc>
          <w:tcPr>
            <w:tcW w:w="220" w:type="dxa"/>
            <w:vAlign w:val="bottom"/>
            <w:tcBorders>
              <w:bottom w:val="single" w:sz="8" w:color="auto"/>
            </w:tcBorders>
            <w:shd w:val="clear" w:color="auto" w:fill="DBDBDB"/>
          </w:tcPr>
          <w:p>
            <w:pPr>
              <w:spacing w:after="0"/>
              <w:rPr>
                <w:sz w:val="19"/>
                <w:szCs w:val="19"/>
                <w:color w:val="auto"/>
              </w:rPr>
            </w:pPr>
          </w:p>
        </w:tc>
        <w:tc>
          <w:tcPr>
            <w:tcW w:w="1400" w:type="dxa"/>
            <w:vAlign w:val="bottom"/>
            <w:tcBorders>
              <w:bottom w:val="single" w:sz="8" w:color="auto"/>
            </w:tcBorders>
            <w:shd w:val="clear" w:color="auto" w:fill="DBDBDB"/>
          </w:tcPr>
          <w:p>
            <w:pPr>
              <w:jc w:val="right"/>
              <w:ind w:right="430"/>
              <w:spacing w:after="0"/>
              <w:rPr>
                <w:sz w:val="20"/>
                <w:szCs w:val="20"/>
                <w:color w:val="auto"/>
              </w:rPr>
            </w:pPr>
            <w:r>
              <w:rPr>
                <w:rFonts w:ascii="Times New Roman" w:cs="Times New Roman" w:eastAsia="Times New Roman" w:hAnsi="Times New Roman"/>
                <w:sz w:val="18"/>
                <w:szCs w:val="18"/>
                <w:color w:val="auto"/>
              </w:rPr>
              <w:t>61,526</w:t>
            </w:r>
          </w:p>
        </w:tc>
        <w:tc>
          <w:tcPr>
            <w:tcW w:w="1060" w:type="dxa"/>
            <w:vAlign w:val="bottom"/>
            <w:tcBorders>
              <w:bottom w:val="single" w:sz="8" w:color="auto"/>
            </w:tcBorders>
            <w:shd w:val="clear" w:color="auto" w:fill="DBDBDB"/>
          </w:tcPr>
          <w:p>
            <w:pPr>
              <w:ind w:left="360"/>
              <w:spacing w:after="0"/>
              <w:rPr>
                <w:sz w:val="20"/>
                <w:szCs w:val="20"/>
                <w:color w:val="auto"/>
              </w:rPr>
            </w:pPr>
            <w:r>
              <w:rPr>
                <w:rFonts w:ascii="Times New Roman" w:cs="Times New Roman" w:eastAsia="Times New Roman" w:hAnsi="Times New Roman"/>
                <w:sz w:val="18"/>
                <w:szCs w:val="18"/>
                <w:color w:val="auto"/>
              </w:rPr>
              <w:t>4.00</w:t>
            </w:r>
          </w:p>
        </w:tc>
        <w:tc>
          <w:tcPr>
            <w:tcW w:w="380" w:type="dxa"/>
            <w:vAlign w:val="bottom"/>
            <w:tcBorders>
              <w:bottom w:val="single" w:sz="8" w:color="auto"/>
            </w:tcBorders>
            <w:shd w:val="clear" w:color="auto" w:fill="DBDBDB"/>
          </w:tcPr>
          <w:p>
            <w:pPr>
              <w:spacing w:after="0"/>
              <w:rPr>
                <w:sz w:val="19"/>
                <w:szCs w:val="19"/>
                <w:color w:val="auto"/>
              </w:rPr>
            </w:pPr>
          </w:p>
        </w:tc>
        <w:tc>
          <w:tcPr>
            <w:tcW w:w="880" w:type="dxa"/>
            <w:vAlign w:val="bottom"/>
            <w:tcBorders>
              <w:bottom w:val="single" w:sz="8" w:color="auto"/>
            </w:tcBorders>
            <w:shd w:val="clear" w:color="auto" w:fill="DBDBDB"/>
          </w:tcPr>
          <w:p>
            <w:pPr>
              <w:jc w:val="right"/>
              <w:ind w:right="190"/>
              <w:spacing w:after="0"/>
              <w:rPr>
                <w:sz w:val="20"/>
                <w:szCs w:val="20"/>
                <w:color w:val="auto"/>
              </w:rPr>
            </w:pPr>
            <w:r>
              <w:rPr>
                <w:rFonts w:ascii="Times New Roman" w:cs="Times New Roman" w:eastAsia="Times New Roman" w:hAnsi="Times New Roman"/>
                <w:sz w:val="18"/>
                <w:szCs w:val="18"/>
                <w:color w:val="auto"/>
              </w:rPr>
              <w:t>76,908</w:t>
            </w:r>
          </w:p>
        </w:tc>
        <w:tc>
          <w:tcPr>
            <w:tcW w:w="100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0" w:type="dxa"/>
            <w:vAlign w:val="bottom"/>
          </w:tcPr>
          <w:p>
            <w:pPr>
              <w:spacing w:after="0"/>
              <w:rPr>
                <w:sz w:val="1"/>
                <w:szCs w:val="1"/>
                <w:color w:val="auto"/>
              </w:rPr>
            </w:pPr>
          </w:p>
        </w:tc>
      </w:tr>
      <w:tr>
        <w:trPr>
          <w:trHeight w:val="223"/>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At December 31, 2022</w:t>
            </w: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8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Total capital (to risk-weighted assets)</w:t>
            </w:r>
          </w:p>
        </w:tc>
        <w:tc>
          <w:tcPr>
            <w:tcW w:w="180" w:type="dxa"/>
            <w:vAlign w:val="bottom"/>
            <w:shd w:val="clear" w:color="auto" w:fill="DBDBDB"/>
          </w:tcPr>
          <w:p>
            <w:pPr>
              <w:spacing w:after="0"/>
              <w:rPr>
                <w:sz w:val="19"/>
                <w:szCs w:val="19"/>
                <w:color w:val="auto"/>
              </w:rPr>
            </w:pPr>
          </w:p>
        </w:tc>
        <w:tc>
          <w:tcPr>
            <w:tcW w:w="1380" w:type="dxa"/>
            <w:vAlign w:val="bottom"/>
            <w:shd w:val="clear" w:color="auto" w:fill="DBDBDB"/>
          </w:tcPr>
          <w:p>
            <w:pPr>
              <w:spacing w:after="0"/>
              <w:rPr>
                <w:sz w:val="19"/>
                <w:szCs w:val="19"/>
                <w:color w:val="auto"/>
              </w:rPr>
            </w:pPr>
          </w:p>
        </w:tc>
        <w:tc>
          <w:tcPr>
            <w:tcW w:w="960" w:type="dxa"/>
            <w:vAlign w:val="bottom"/>
            <w:shd w:val="clear" w:color="auto" w:fill="DBDBDB"/>
          </w:tcPr>
          <w:p>
            <w:pPr>
              <w:spacing w:after="0"/>
              <w:rPr>
                <w:sz w:val="19"/>
                <w:szCs w:val="19"/>
                <w:color w:val="auto"/>
              </w:rPr>
            </w:pPr>
          </w:p>
        </w:tc>
        <w:tc>
          <w:tcPr>
            <w:tcW w:w="220" w:type="dxa"/>
            <w:vAlign w:val="bottom"/>
            <w:shd w:val="clear" w:color="auto" w:fill="DBDBDB"/>
          </w:tcPr>
          <w:p>
            <w:pPr>
              <w:spacing w:after="0"/>
              <w:rPr>
                <w:sz w:val="19"/>
                <w:szCs w:val="19"/>
                <w:color w:val="auto"/>
              </w:rPr>
            </w:pPr>
          </w:p>
        </w:tc>
        <w:tc>
          <w:tcPr>
            <w:tcW w:w="1400" w:type="dxa"/>
            <w:vAlign w:val="bottom"/>
            <w:shd w:val="clear" w:color="auto" w:fill="DBDBDB"/>
          </w:tcPr>
          <w:p>
            <w:pPr>
              <w:spacing w:after="0"/>
              <w:rPr>
                <w:sz w:val="19"/>
                <w:szCs w:val="19"/>
                <w:color w:val="auto"/>
              </w:rPr>
            </w:pPr>
          </w:p>
        </w:tc>
        <w:tc>
          <w:tcPr>
            <w:tcW w:w="106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880" w:type="dxa"/>
            <w:vAlign w:val="bottom"/>
            <w:shd w:val="clear" w:color="auto" w:fill="DBDBDB"/>
          </w:tcPr>
          <w:p>
            <w:pPr>
              <w:spacing w:after="0"/>
              <w:rPr>
                <w:sz w:val="19"/>
                <w:szCs w:val="19"/>
                <w:color w:val="auto"/>
              </w:rPr>
            </w:pPr>
          </w:p>
        </w:tc>
        <w:tc>
          <w:tcPr>
            <w:tcW w:w="100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Cass Information Systems, Inc.</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257,313</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13.52 %</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152,306</w:t>
            </w:r>
          </w:p>
        </w:tc>
        <w:tc>
          <w:tcPr>
            <w:tcW w:w="1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8.00 %</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N/A</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 %</w:t>
            </w:r>
          </w:p>
        </w:tc>
        <w:tc>
          <w:tcPr>
            <w:tcW w:w="0" w:type="dxa"/>
            <w:vAlign w:val="bottom"/>
          </w:tcPr>
          <w:p>
            <w:pPr>
              <w:spacing w:after="0"/>
              <w:rPr>
                <w:sz w:val="1"/>
                <w:szCs w:val="1"/>
                <w:color w:val="auto"/>
              </w:rPr>
            </w:pPr>
          </w:p>
        </w:tc>
      </w:tr>
      <w:tr>
        <w:trPr>
          <w:trHeight w:val="229"/>
        </w:trPr>
        <w:tc>
          <w:tcPr>
            <w:tcW w:w="3780" w:type="dxa"/>
            <w:vAlign w:val="bottom"/>
            <w:shd w:val="clear" w:color="auto" w:fill="DBDBDB"/>
          </w:tcPr>
          <w:p>
            <w:pPr>
              <w:ind w:left="360"/>
              <w:spacing w:after="0"/>
              <w:rPr>
                <w:sz w:val="20"/>
                <w:szCs w:val="20"/>
                <w:color w:val="auto"/>
              </w:rPr>
            </w:pPr>
            <w:r>
              <w:rPr>
                <w:rFonts w:ascii="Times New Roman" w:cs="Times New Roman" w:eastAsia="Times New Roman" w:hAnsi="Times New Roman"/>
                <w:sz w:val="18"/>
                <w:szCs w:val="18"/>
                <w:color w:val="auto"/>
              </w:rPr>
              <w:t>Cass Commercial Bank</w:t>
            </w:r>
          </w:p>
        </w:tc>
        <w:tc>
          <w:tcPr>
            <w:tcW w:w="180" w:type="dxa"/>
            <w:vAlign w:val="bottom"/>
            <w:shd w:val="clear" w:color="auto" w:fill="DBDBDB"/>
          </w:tcPr>
          <w:p>
            <w:pPr>
              <w:spacing w:after="0"/>
              <w:rPr>
                <w:sz w:val="19"/>
                <w:szCs w:val="19"/>
                <w:color w:val="auto"/>
              </w:rPr>
            </w:pPr>
          </w:p>
        </w:tc>
        <w:tc>
          <w:tcPr>
            <w:tcW w:w="1380" w:type="dxa"/>
            <w:vAlign w:val="bottom"/>
            <w:shd w:val="clear" w:color="auto" w:fill="DBDBDB"/>
          </w:tcPr>
          <w:p>
            <w:pPr>
              <w:jc w:val="right"/>
              <w:ind w:right="410"/>
              <w:spacing w:after="0"/>
              <w:rPr>
                <w:sz w:val="20"/>
                <w:szCs w:val="20"/>
                <w:color w:val="auto"/>
              </w:rPr>
            </w:pPr>
            <w:r>
              <w:rPr>
                <w:rFonts w:ascii="Times New Roman" w:cs="Times New Roman" w:eastAsia="Times New Roman" w:hAnsi="Times New Roman"/>
                <w:sz w:val="18"/>
                <w:szCs w:val="18"/>
                <w:color w:val="auto"/>
              </w:rPr>
              <w:t>186,075</w:t>
            </w:r>
          </w:p>
        </w:tc>
        <w:tc>
          <w:tcPr>
            <w:tcW w:w="960" w:type="dxa"/>
            <w:vAlign w:val="bottom"/>
            <w:shd w:val="clear" w:color="auto" w:fill="DBDBDB"/>
          </w:tcPr>
          <w:p>
            <w:pPr>
              <w:jc w:val="right"/>
              <w:ind w:right="170"/>
              <w:spacing w:after="0"/>
              <w:rPr>
                <w:sz w:val="20"/>
                <w:szCs w:val="20"/>
                <w:color w:val="auto"/>
              </w:rPr>
            </w:pPr>
            <w:r>
              <w:rPr>
                <w:rFonts w:ascii="Times New Roman" w:cs="Times New Roman" w:eastAsia="Times New Roman" w:hAnsi="Times New Roman"/>
                <w:sz w:val="18"/>
                <w:szCs w:val="18"/>
                <w:color w:val="auto"/>
              </w:rPr>
              <w:t>16.00</w:t>
            </w:r>
          </w:p>
        </w:tc>
        <w:tc>
          <w:tcPr>
            <w:tcW w:w="220" w:type="dxa"/>
            <w:vAlign w:val="bottom"/>
            <w:shd w:val="clear" w:color="auto" w:fill="DBDBDB"/>
          </w:tcPr>
          <w:p>
            <w:pPr>
              <w:spacing w:after="0"/>
              <w:rPr>
                <w:sz w:val="19"/>
                <w:szCs w:val="19"/>
                <w:color w:val="auto"/>
              </w:rPr>
            </w:pPr>
          </w:p>
        </w:tc>
        <w:tc>
          <w:tcPr>
            <w:tcW w:w="1400" w:type="dxa"/>
            <w:vAlign w:val="bottom"/>
            <w:shd w:val="clear" w:color="auto" w:fill="DBDBDB"/>
          </w:tcPr>
          <w:p>
            <w:pPr>
              <w:jc w:val="right"/>
              <w:ind w:right="430"/>
              <w:spacing w:after="0"/>
              <w:rPr>
                <w:sz w:val="20"/>
                <w:szCs w:val="20"/>
                <w:color w:val="auto"/>
              </w:rPr>
            </w:pPr>
            <w:r>
              <w:rPr>
                <w:rFonts w:ascii="Times New Roman" w:cs="Times New Roman" w:eastAsia="Times New Roman" w:hAnsi="Times New Roman"/>
                <w:sz w:val="18"/>
                <w:szCs w:val="18"/>
                <w:color w:val="auto"/>
              </w:rPr>
              <w:t>93,044</w:t>
            </w:r>
          </w:p>
        </w:tc>
        <w:tc>
          <w:tcPr>
            <w:tcW w:w="1060" w:type="dxa"/>
            <w:vAlign w:val="bottom"/>
            <w:shd w:val="clear" w:color="auto" w:fill="DBDBDB"/>
          </w:tcPr>
          <w:p>
            <w:pPr>
              <w:ind w:left="360"/>
              <w:spacing w:after="0"/>
              <w:rPr>
                <w:sz w:val="20"/>
                <w:szCs w:val="20"/>
                <w:color w:val="auto"/>
              </w:rPr>
            </w:pPr>
            <w:r>
              <w:rPr>
                <w:rFonts w:ascii="Times New Roman" w:cs="Times New Roman" w:eastAsia="Times New Roman" w:hAnsi="Times New Roman"/>
                <w:sz w:val="18"/>
                <w:szCs w:val="18"/>
                <w:color w:val="auto"/>
              </w:rPr>
              <w:t>8.00</w:t>
            </w:r>
          </w:p>
        </w:tc>
        <w:tc>
          <w:tcPr>
            <w:tcW w:w="380" w:type="dxa"/>
            <w:vAlign w:val="bottom"/>
            <w:shd w:val="clear" w:color="auto" w:fill="DBDBDB"/>
          </w:tcPr>
          <w:p>
            <w:pPr>
              <w:spacing w:after="0"/>
              <w:rPr>
                <w:sz w:val="19"/>
                <w:szCs w:val="19"/>
                <w:color w:val="auto"/>
              </w:rPr>
            </w:pPr>
          </w:p>
        </w:tc>
        <w:tc>
          <w:tcPr>
            <w:tcW w:w="880" w:type="dxa"/>
            <w:vAlign w:val="bottom"/>
            <w:shd w:val="clear" w:color="auto" w:fill="DBDBDB"/>
          </w:tcPr>
          <w:p>
            <w:pPr>
              <w:jc w:val="right"/>
              <w:ind w:right="190"/>
              <w:spacing w:after="0"/>
              <w:rPr>
                <w:sz w:val="20"/>
                <w:szCs w:val="20"/>
                <w:color w:val="auto"/>
              </w:rPr>
            </w:pPr>
            <w:r>
              <w:rPr>
                <w:rFonts w:ascii="Times New Roman" w:cs="Times New Roman" w:eastAsia="Times New Roman" w:hAnsi="Times New Roman"/>
                <w:sz w:val="18"/>
                <w:szCs w:val="18"/>
                <w:color w:val="auto"/>
                <w:w w:val="99"/>
              </w:rPr>
              <w:t>116,305</w:t>
            </w:r>
          </w:p>
        </w:tc>
        <w:tc>
          <w:tcPr>
            <w:tcW w:w="10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175"/>
        </w:trPr>
        <w:tc>
          <w:tcPr>
            <w:tcW w:w="37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Common Equity Tier I Capital (to risk-weighted</w:t>
            </w:r>
          </w:p>
        </w:tc>
        <w:tc>
          <w:tcPr>
            <w:tcW w:w="1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3780" w:type="dxa"/>
            <w:vAlign w:val="bottom"/>
            <w:shd w:val="clear" w:color="auto" w:fill="DBDBDB"/>
          </w:tcPr>
          <w:p>
            <w:pPr>
              <w:ind w:left="360"/>
              <w:spacing w:after="0"/>
              <w:rPr>
                <w:sz w:val="20"/>
                <w:szCs w:val="20"/>
                <w:color w:val="auto"/>
              </w:rPr>
            </w:pPr>
            <w:r>
              <w:rPr>
                <w:rFonts w:ascii="Times New Roman" w:cs="Times New Roman" w:eastAsia="Times New Roman" w:hAnsi="Times New Roman"/>
                <w:sz w:val="18"/>
                <w:szCs w:val="18"/>
                <w:color w:val="auto"/>
              </w:rPr>
              <w:t>Cass Information Systems, Inc.</w:t>
            </w:r>
          </w:p>
        </w:tc>
        <w:tc>
          <w:tcPr>
            <w:tcW w:w="180" w:type="dxa"/>
            <w:vAlign w:val="bottom"/>
            <w:shd w:val="clear" w:color="auto" w:fill="DBDBDB"/>
          </w:tcPr>
          <w:p>
            <w:pPr>
              <w:spacing w:after="0"/>
              <w:rPr>
                <w:sz w:val="20"/>
                <w:szCs w:val="20"/>
                <w:color w:val="auto"/>
              </w:rPr>
            </w:pPr>
          </w:p>
        </w:tc>
        <w:tc>
          <w:tcPr>
            <w:tcW w:w="1380" w:type="dxa"/>
            <w:vAlign w:val="bottom"/>
            <w:shd w:val="clear" w:color="auto" w:fill="DBDBDB"/>
          </w:tcPr>
          <w:p>
            <w:pPr>
              <w:jc w:val="right"/>
              <w:ind w:right="410"/>
              <w:spacing w:after="0"/>
              <w:rPr>
                <w:sz w:val="20"/>
                <w:szCs w:val="20"/>
                <w:color w:val="auto"/>
              </w:rPr>
            </w:pPr>
            <w:r>
              <w:rPr>
                <w:rFonts w:ascii="Times New Roman" w:cs="Times New Roman" w:eastAsia="Times New Roman" w:hAnsi="Times New Roman"/>
                <w:sz w:val="18"/>
                <w:szCs w:val="18"/>
                <w:color w:val="auto"/>
              </w:rPr>
              <w:t>243,774</w:t>
            </w:r>
          </w:p>
        </w:tc>
        <w:tc>
          <w:tcPr>
            <w:tcW w:w="960" w:type="dxa"/>
            <w:vAlign w:val="bottom"/>
            <w:shd w:val="clear" w:color="auto" w:fill="DBDBDB"/>
          </w:tcPr>
          <w:p>
            <w:pPr>
              <w:jc w:val="right"/>
              <w:ind w:right="170"/>
              <w:spacing w:after="0"/>
              <w:rPr>
                <w:sz w:val="20"/>
                <w:szCs w:val="20"/>
                <w:color w:val="auto"/>
              </w:rPr>
            </w:pPr>
            <w:r>
              <w:rPr>
                <w:rFonts w:ascii="Times New Roman" w:cs="Times New Roman" w:eastAsia="Times New Roman" w:hAnsi="Times New Roman"/>
                <w:sz w:val="18"/>
                <w:szCs w:val="18"/>
                <w:color w:val="auto"/>
              </w:rPr>
              <w:t>12.80</w:t>
            </w:r>
          </w:p>
        </w:tc>
        <w:tc>
          <w:tcPr>
            <w:tcW w:w="220" w:type="dxa"/>
            <w:vAlign w:val="bottom"/>
            <w:shd w:val="clear" w:color="auto" w:fill="DBDBDB"/>
          </w:tcPr>
          <w:p>
            <w:pPr>
              <w:spacing w:after="0"/>
              <w:rPr>
                <w:sz w:val="20"/>
                <w:szCs w:val="20"/>
                <w:color w:val="auto"/>
              </w:rPr>
            </w:pPr>
          </w:p>
        </w:tc>
        <w:tc>
          <w:tcPr>
            <w:tcW w:w="1400" w:type="dxa"/>
            <w:vAlign w:val="bottom"/>
            <w:shd w:val="clear" w:color="auto" w:fill="DBDBDB"/>
          </w:tcPr>
          <w:p>
            <w:pPr>
              <w:jc w:val="right"/>
              <w:ind w:right="430"/>
              <w:spacing w:after="0"/>
              <w:rPr>
                <w:sz w:val="20"/>
                <w:szCs w:val="20"/>
                <w:color w:val="auto"/>
              </w:rPr>
            </w:pPr>
            <w:r>
              <w:rPr>
                <w:rFonts w:ascii="Times New Roman" w:cs="Times New Roman" w:eastAsia="Times New Roman" w:hAnsi="Times New Roman"/>
                <w:sz w:val="18"/>
                <w:szCs w:val="18"/>
                <w:color w:val="auto"/>
              </w:rPr>
              <w:t>85,672</w:t>
            </w:r>
          </w:p>
        </w:tc>
        <w:tc>
          <w:tcPr>
            <w:tcW w:w="1060" w:type="dxa"/>
            <w:vAlign w:val="bottom"/>
            <w:shd w:val="clear" w:color="auto" w:fill="DBDBDB"/>
          </w:tcPr>
          <w:p>
            <w:pPr>
              <w:ind w:left="360"/>
              <w:spacing w:after="0"/>
              <w:rPr>
                <w:sz w:val="20"/>
                <w:szCs w:val="20"/>
                <w:color w:val="auto"/>
              </w:rPr>
            </w:pPr>
            <w:r>
              <w:rPr>
                <w:rFonts w:ascii="Times New Roman" w:cs="Times New Roman" w:eastAsia="Times New Roman" w:hAnsi="Times New Roman"/>
                <w:sz w:val="18"/>
                <w:szCs w:val="18"/>
                <w:color w:val="auto"/>
              </w:rPr>
              <w:t>4.50</w:t>
            </w:r>
          </w:p>
        </w:tc>
        <w:tc>
          <w:tcPr>
            <w:tcW w:w="380" w:type="dxa"/>
            <w:vAlign w:val="bottom"/>
            <w:shd w:val="clear" w:color="auto" w:fill="DBDBDB"/>
          </w:tcPr>
          <w:p>
            <w:pPr>
              <w:spacing w:after="0"/>
              <w:rPr>
                <w:sz w:val="20"/>
                <w:szCs w:val="20"/>
                <w:color w:val="auto"/>
              </w:rPr>
            </w:pPr>
          </w:p>
        </w:tc>
        <w:tc>
          <w:tcPr>
            <w:tcW w:w="880" w:type="dxa"/>
            <w:vAlign w:val="bottom"/>
            <w:shd w:val="clear" w:color="auto" w:fill="DBDBDB"/>
          </w:tcPr>
          <w:p>
            <w:pPr>
              <w:jc w:val="right"/>
              <w:ind w:right="130"/>
              <w:spacing w:after="0"/>
              <w:rPr>
                <w:sz w:val="20"/>
                <w:szCs w:val="20"/>
                <w:color w:val="auto"/>
              </w:rPr>
            </w:pPr>
            <w:r>
              <w:rPr>
                <w:rFonts w:ascii="Times New Roman" w:cs="Times New Roman" w:eastAsia="Times New Roman" w:hAnsi="Times New Roman"/>
                <w:sz w:val="18"/>
                <w:szCs w:val="18"/>
                <w:color w:val="auto"/>
              </w:rPr>
              <w:t>N/A</w:t>
            </w:r>
          </w:p>
        </w:tc>
        <w:tc>
          <w:tcPr>
            <w:tcW w:w="10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30"/>
        </w:trPr>
        <w:tc>
          <w:tcPr>
            <w:tcW w:w="3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Cass Commercial Bank</w:t>
            </w:r>
          </w:p>
        </w:tc>
        <w:tc>
          <w:tcPr>
            <w:tcW w:w="180" w:type="dxa"/>
            <w:vAlign w:val="bottom"/>
          </w:tcPr>
          <w:p>
            <w:pPr>
              <w:spacing w:after="0"/>
              <w:rPr>
                <w:sz w:val="19"/>
                <w:szCs w:val="19"/>
                <w:color w:val="auto"/>
              </w:rPr>
            </w:pPr>
          </w:p>
        </w:tc>
        <w:tc>
          <w:tcPr>
            <w:tcW w:w="138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172,848</w:t>
            </w:r>
          </w:p>
        </w:tc>
        <w:tc>
          <w:tcPr>
            <w:tcW w:w="9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14.86</w:t>
            </w:r>
          </w:p>
        </w:tc>
        <w:tc>
          <w:tcPr>
            <w:tcW w:w="220" w:type="dxa"/>
            <w:vAlign w:val="bottom"/>
          </w:tcPr>
          <w:p>
            <w:pPr>
              <w:spacing w:after="0"/>
              <w:rPr>
                <w:sz w:val="19"/>
                <w:szCs w:val="19"/>
                <w:color w:val="auto"/>
              </w:rPr>
            </w:pPr>
          </w:p>
        </w:tc>
        <w:tc>
          <w:tcPr>
            <w:tcW w:w="140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52,337</w:t>
            </w:r>
          </w:p>
        </w:tc>
        <w:tc>
          <w:tcPr>
            <w:tcW w:w="1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4.50</w:t>
            </w:r>
          </w:p>
        </w:tc>
        <w:tc>
          <w:tcPr>
            <w:tcW w:w="380" w:type="dxa"/>
            <w:vAlign w:val="bottom"/>
          </w:tcPr>
          <w:p>
            <w:pPr>
              <w:spacing w:after="0"/>
              <w:rPr>
                <w:sz w:val="19"/>
                <w:szCs w:val="19"/>
                <w:color w:val="auto"/>
              </w:rPr>
            </w:pPr>
          </w:p>
        </w:tc>
        <w:tc>
          <w:tcPr>
            <w:tcW w:w="8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75,598</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0" w:type="dxa"/>
            <w:vAlign w:val="bottom"/>
          </w:tcPr>
          <w:p>
            <w:pPr>
              <w:spacing w:after="0"/>
              <w:rPr>
                <w:sz w:val="1"/>
                <w:szCs w:val="1"/>
                <w:color w:val="auto"/>
              </w:rPr>
            </w:pPr>
          </w:p>
        </w:tc>
      </w:tr>
      <w:tr>
        <w:trPr>
          <w:trHeight w:val="230"/>
        </w:trPr>
        <w:tc>
          <w:tcPr>
            <w:tcW w:w="378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Tier I capital (to risk-weighted assets)</w:t>
            </w:r>
          </w:p>
        </w:tc>
        <w:tc>
          <w:tcPr>
            <w:tcW w:w="180" w:type="dxa"/>
            <w:vAlign w:val="bottom"/>
            <w:shd w:val="clear" w:color="auto" w:fill="DBDBDB"/>
          </w:tcPr>
          <w:p>
            <w:pPr>
              <w:spacing w:after="0"/>
              <w:rPr>
                <w:sz w:val="19"/>
                <w:szCs w:val="19"/>
                <w:color w:val="auto"/>
              </w:rPr>
            </w:pPr>
          </w:p>
        </w:tc>
        <w:tc>
          <w:tcPr>
            <w:tcW w:w="1380" w:type="dxa"/>
            <w:vAlign w:val="bottom"/>
            <w:shd w:val="clear" w:color="auto" w:fill="DBDBDB"/>
          </w:tcPr>
          <w:p>
            <w:pPr>
              <w:spacing w:after="0"/>
              <w:rPr>
                <w:sz w:val="19"/>
                <w:szCs w:val="19"/>
                <w:color w:val="auto"/>
              </w:rPr>
            </w:pPr>
          </w:p>
        </w:tc>
        <w:tc>
          <w:tcPr>
            <w:tcW w:w="960" w:type="dxa"/>
            <w:vAlign w:val="bottom"/>
            <w:shd w:val="clear" w:color="auto" w:fill="DBDBDB"/>
          </w:tcPr>
          <w:p>
            <w:pPr>
              <w:spacing w:after="0"/>
              <w:rPr>
                <w:sz w:val="19"/>
                <w:szCs w:val="19"/>
                <w:color w:val="auto"/>
              </w:rPr>
            </w:pPr>
          </w:p>
        </w:tc>
        <w:tc>
          <w:tcPr>
            <w:tcW w:w="220" w:type="dxa"/>
            <w:vAlign w:val="bottom"/>
            <w:shd w:val="clear" w:color="auto" w:fill="DBDBDB"/>
          </w:tcPr>
          <w:p>
            <w:pPr>
              <w:spacing w:after="0"/>
              <w:rPr>
                <w:sz w:val="19"/>
                <w:szCs w:val="19"/>
                <w:color w:val="auto"/>
              </w:rPr>
            </w:pPr>
          </w:p>
        </w:tc>
        <w:tc>
          <w:tcPr>
            <w:tcW w:w="1400" w:type="dxa"/>
            <w:vAlign w:val="bottom"/>
            <w:shd w:val="clear" w:color="auto" w:fill="DBDBDB"/>
          </w:tcPr>
          <w:p>
            <w:pPr>
              <w:spacing w:after="0"/>
              <w:rPr>
                <w:sz w:val="19"/>
                <w:szCs w:val="19"/>
                <w:color w:val="auto"/>
              </w:rPr>
            </w:pPr>
          </w:p>
        </w:tc>
        <w:tc>
          <w:tcPr>
            <w:tcW w:w="106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880" w:type="dxa"/>
            <w:vAlign w:val="bottom"/>
            <w:shd w:val="clear" w:color="auto" w:fill="DBDBDB"/>
          </w:tcPr>
          <w:p>
            <w:pPr>
              <w:spacing w:after="0"/>
              <w:rPr>
                <w:sz w:val="19"/>
                <w:szCs w:val="19"/>
                <w:color w:val="auto"/>
              </w:rPr>
            </w:pPr>
          </w:p>
        </w:tc>
        <w:tc>
          <w:tcPr>
            <w:tcW w:w="100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Cass Information Systems, Inc.</w:t>
            </w:r>
          </w:p>
        </w:tc>
        <w:tc>
          <w:tcPr>
            <w:tcW w:w="180" w:type="dxa"/>
            <w:vAlign w:val="bottom"/>
          </w:tcPr>
          <w:p>
            <w:pPr>
              <w:spacing w:after="0"/>
              <w:rPr>
                <w:sz w:val="19"/>
                <w:szCs w:val="19"/>
                <w:color w:val="auto"/>
              </w:rPr>
            </w:pPr>
          </w:p>
        </w:tc>
        <w:tc>
          <w:tcPr>
            <w:tcW w:w="138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243,774</w:t>
            </w:r>
          </w:p>
        </w:tc>
        <w:tc>
          <w:tcPr>
            <w:tcW w:w="9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12.80</w:t>
            </w:r>
          </w:p>
        </w:tc>
        <w:tc>
          <w:tcPr>
            <w:tcW w:w="220" w:type="dxa"/>
            <w:vAlign w:val="bottom"/>
          </w:tcPr>
          <w:p>
            <w:pPr>
              <w:spacing w:after="0"/>
              <w:rPr>
                <w:sz w:val="19"/>
                <w:szCs w:val="19"/>
                <w:color w:val="auto"/>
              </w:rPr>
            </w:pPr>
          </w:p>
        </w:tc>
        <w:tc>
          <w:tcPr>
            <w:tcW w:w="140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114,229</w:t>
            </w:r>
          </w:p>
        </w:tc>
        <w:tc>
          <w:tcPr>
            <w:tcW w:w="1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6.00</w:t>
            </w:r>
          </w:p>
        </w:tc>
        <w:tc>
          <w:tcPr>
            <w:tcW w:w="380" w:type="dxa"/>
            <w:vAlign w:val="bottom"/>
          </w:tcPr>
          <w:p>
            <w:pPr>
              <w:spacing w:after="0"/>
              <w:rPr>
                <w:sz w:val="19"/>
                <w:szCs w:val="19"/>
                <w:color w:val="auto"/>
              </w:rPr>
            </w:pPr>
          </w:p>
        </w:tc>
        <w:tc>
          <w:tcPr>
            <w:tcW w:w="8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N/A</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30"/>
        </w:trPr>
        <w:tc>
          <w:tcPr>
            <w:tcW w:w="3780" w:type="dxa"/>
            <w:vAlign w:val="bottom"/>
            <w:shd w:val="clear" w:color="auto" w:fill="DBDBDB"/>
          </w:tcPr>
          <w:p>
            <w:pPr>
              <w:ind w:left="360"/>
              <w:spacing w:after="0"/>
              <w:rPr>
                <w:sz w:val="20"/>
                <w:szCs w:val="20"/>
                <w:color w:val="auto"/>
              </w:rPr>
            </w:pPr>
            <w:r>
              <w:rPr>
                <w:rFonts w:ascii="Times New Roman" w:cs="Times New Roman" w:eastAsia="Times New Roman" w:hAnsi="Times New Roman"/>
                <w:sz w:val="18"/>
                <w:szCs w:val="18"/>
                <w:color w:val="auto"/>
              </w:rPr>
              <w:t>Cass Commercial Bank</w:t>
            </w:r>
          </w:p>
        </w:tc>
        <w:tc>
          <w:tcPr>
            <w:tcW w:w="180" w:type="dxa"/>
            <w:vAlign w:val="bottom"/>
            <w:shd w:val="clear" w:color="auto" w:fill="DBDBDB"/>
          </w:tcPr>
          <w:p>
            <w:pPr>
              <w:spacing w:after="0"/>
              <w:rPr>
                <w:sz w:val="19"/>
                <w:szCs w:val="19"/>
                <w:color w:val="auto"/>
              </w:rPr>
            </w:pPr>
          </w:p>
        </w:tc>
        <w:tc>
          <w:tcPr>
            <w:tcW w:w="1380" w:type="dxa"/>
            <w:vAlign w:val="bottom"/>
            <w:shd w:val="clear" w:color="auto" w:fill="DBDBDB"/>
          </w:tcPr>
          <w:p>
            <w:pPr>
              <w:jc w:val="right"/>
              <w:ind w:right="410"/>
              <w:spacing w:after="0"/>
              <w:rPr>
                <w:sz w:val="20"/>
                <w:szCs w:val="20"/>
                <w:color w:val="auto"/>
              </w:rPr>
            </w:pPr>
            <w:r>
              <w:rPr>
                <w:rFonts w:ascii="Times New Roman" w:cs="Times New Roman" w:eastAsia="Times New Roman" w:hAnsi="Times New Roman"/>
                <w:sz w:val="18"/>
                <w:szCs w:val="18"/>
                <w:color w:val="auto"/>
              </w:rPr>
              <w:t>172,848</w:t>
            </w:r>
          </w:p>
        </w:tc>
        <w:tc>
          <w:tcPr>
            <w:tcW w:w="960" w:type="dxa"/>
            <w:vAlign w:val="bottom"/>
            <w:shd w:val="clear" w:color="auto" w:fill="DBDBDB"/>
          </w:tcPr>
          <w:p>
            <w:pPr>
              <w:jc w:val="right"/>
              <w:ind w:right="170"/>
              <w:spacing w:after="0"/>
              <w:rPr>
                <w:sz w:val="20"/>
                <w:szCs w:val="20"/>
                <w:color w:val="auto"/>
              </w:rPr>
            </w:pPr>
            <w:r>
              <w:rPr>
                <w:rFonts w:ascii="Times New Roman" w:cs="Times New Roman" w:eastAsia="Times New Roman" w:hAnsi="Times New Roman"/>
                <w:sz w:val="18"/>
                <w:szCs w:val="18"/>
                <w:color w:val="auto"/>
              </w:rPr>
              <w:t>14.86</w:t>
            </w:r>
          </w:p>
        </w:tc>
        <w:tc>
          <w:tcPr>
            <w:tcW w:w="220" w:type="dxa"/>
            <w:vAlign w:val="bottom"/>
            <w:shd w:val="clear" w:color="auto" w:fill="DBDBDB"/>
          </w:tcPr>
          <w:p>
            <w:pPr>
              <w:spacing w:after="0"/>
              <w:rPr>
                <w:sz w:val="19"/>
                <w:szCs w:val="19"/>
                <w:color w:val="auto"/>
              </w:rPr>
            </w:pPr>
          </w:p>
        </w:tc>
        <w:tc>
          <w:tcPr>
            <w:tcW w:w="1400" w:type="dxa"/>
            <w:vAlign w:val="bottom"/>
            <w:shd w:val="clear" w:color="auto" w:fill="DBDBDB"/>
          </w:tcPr>
          <w:p>
            <w:pPr>
              <w:jc w:val="right"/>
              <w:ind w:right="430"/>
              <w:spacing w:after="0"/>
              <w:rPr>
                <w:sz w:val="20"/>
                <w:szCs w:val="20"/>
                <w:color w:val="auto"/>
              </w:rPr>
            </w:pPr>
            <w:r>
              <w:rPr>
                <w:rFonts w:ascii="Times New Roman" w:cs="Times New Roman" w:eastAsia="Times New Roman" w:hAnsi="Times New Roman"/>
                <w:sz w:val="18"/>
                <w:szCs w:val="18"/>
                <w:color w:val="auto"/>
              </w:rPr>
              <w:t>69,783</w:t>
            </w:r>
          </w:p>
        </w:tc>
        <w:tc>
          <w:tcPr>
            <w:tcW w:w="1060" w:type="dxa"/>
            <w:vAlign w:val="bottom"/>
            <w:shd w:val="clear" w:color="auto" w:fill="DBDBDB"/>
          </w:tcPr>
          <w:p>
            <w:pPr>
              <w:ind w:left="360"/>
              <w:spacing w:after="0"/>
              <w:rPr>
                <w:sz w:val="20"/>
                <w:szCs w:val="20"/>
                <w:color w:val="auto"/>
              </w:rPr>
            </w:pPr>
            <w:r>
              <w:rPr>
                <w:rFonts w:ascii="Times New Roman" w:cs="Times New Roman" w:eastAsia="Times New Roman" w:hAnsi="Times New Roman"/>
                <w:sz w:val="18"/>
                <w:szCs w:val="18"/>
                <w:color w:val="auto"/>
              </w:rPr>
              <w:t>6.00</w:t>
            </w:r>
          </w:p>
        </w:tc>
        <w:tc>
          <w:tcPr>
            <w:tcW w:w="380" w:type="dxa"/>
            <w:vAlign w:val="bottom"/>
            <w:shd w:val="clear" w:color="auto" w:fill="DBDBDB"/>
          </w:tcPr>
          <w:p>
            <w:pPr>
              <w:spacing w:after="0"/>
              <w:rPr>
                <w:sz w:val="19"/>
                <w:szCs w:val="19"/>
                <w:color w:val="auto"/>
              </w:rPr>
            </w:pPr>
          </w:p>
        </w:tc>
        <w:tc>
          <w:tcPr>
            <w:tcW w:w="880" w:type="dxa"/>
            <w:vAlign w:val="bottom"/>
            <w:shd w:val="clear" w:color="auto" w:fill="DBDBDB"/>
          </w:tcPr>
          <w:p>
            <w:pPr>
              <w:jc w:val="right"/>
              <w:ind w:right="190"/>
              <w:spacing w:after="0"/>
              <w:rPr>
                <w:sz w:val="20"/>
                <w:szCs w:val="20"/>
                <w:color w:val="auto"/>
              </w:rPr>
            </w:pPr>
            <w:r>
              <w:rPr>
                <w:rFonts w:ascii="Times New Roman" w:cs="Times New Roman" w:eastAsia="Times New Roman" w:hAnsi="Times New Roman"/>
                <w:sz w:val="18"/>
                <w:szCs w:val="18"/>
                <w:color w:val="auto"/>
              </w:rPr>
              <w:t>93,044</w:t>
            </w:r>
          </w:p>
        </w:tc>
        <w:tc>
          <w:tcPr>
            <w:tcW w:w="10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0" w:type="dxa"/>
            <w:vAlign w:val="bottom"/>
          </w:tcPr>
          <w:p>
            <w:pPr>
              <w:spacing w:after="0"/>
              <w:rPr>
                <w:sz w:val="1"/>
                <w:szCs w:val="1"/>
                <w:color w:val="auto"/>
              </w:rPr>
            </w:pPr>
          </w:p>
        </w:tc>
      </w:tr>
      <w:tr>
        <w:trPr>
          <w:trHeight w:val="230"/>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Tier I capital (to average assets)</w:t>
            </w: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shd w:val="clear" w:color="auto" w:fill="DBDBDB"/>
          </w:tcPr>
          <w:p>
            <w:pPr>
              <w:ind w:left="360"/>
              <w:spacing w:after="0"/>
              <w:rPr>
                <w:sz w:val="20"/>
                <w:szCs w:val="20"/>
                <w:color w:val="auto"/>
              </w:rPr>
            </w:pPr>
            <w:r>
              <w:rPr>
                <w:rFonts w:ascii="Times New Roman" w:cs="Times New Roman" w:eastAsia="Times New Roman" w:hAnsi="Times New Roman"/>
                <w:sz w:val="18"/>
                <w:szCs w:val="18"/>
                <w:color w:val="auto"/>
              </w:rPr>
              <w:t>Cass Information Systems, Inc.</w:t>
            </w:r>
          </w:p>
        </w:tc>
        <w:tc>
          <w:tcPr>
            <w:tcW w:w="180" w:type="dxa"/>
            <w:vAlign w:val="bottom"/>
            <w:shd w:val="clear" w:color="auto" w:fill="DBDBDB"/>
          </w:tcPr>
          <w:p>
            <w:pPr>
              <w:spacing w:after="0"/>
              <w:rPr>
                <w:sz w:val="19"/>
                <w:szCs w:val="19"/>
                <w:color w:val="auto"/>
              </w:rPr>
            </w:pPr>
          </w:p>
        </w:tc>
        <w:tc>
          <w:tcPr>
            <w:tcW w:w="1380" w:type="dxa"/>
            <w:vAlign w:val="bottom"/>
            <w:shd w:val="clear" w:color="auto" w:fill="DBDBDB"/>
          </w:tcPr>
          <w:p>
            <w:pPr>
              <w:jc w:val="right"/>
              <w:ind w:right="410"/>
              <w:spacing w:after="0"/>
              <w:rPr>
                <w:sz w:val="20"/>
                <w:szCs w:val="20"/>
                <w:color w:val="auto"/>
              </w:rPr>
            </w:pPr>
            <w:r>
              <w:rPr>
                <w:rFonts w:ascii="Times New Roman" w:cs="Times New Roman" w:eastAsia="Times New Roman" w:hAnsi="Times New Roman"/>
                <w:sz w:val="18"/>
                <w:szCs w:val="18"/>
                <w:color w:val="auto"/>
              </w:rPr>
              <w:t>243,774</w:t>
            </w:r>
          </w:p>
        </w:tc>
        <w:tc>
          <w:tcPr>
            <w:tcW w:w="960" w:type="dxa"/>
            <w:vAlign w:val="bottom"/>
            <w:shd w:val="clear" w:color="auto" w:fill="DBDBDB"/>
          </w:tcPr>
          <w:p>
            <w:pPr>
              <w:jc w:val="right"/>
              <w:ind w:right="170"/>
              <w:spacing w:after="0"/>
              <w:rPr>
                <w:sz w:val="20"/>
                <w:szCs w:val="20"/>
                <w:color w:val="auto"/>
              </w:rPr>
            </w:pPr>
            <w:r>
              <w:rPr>
                <w:rFonts w:ascii="Times New Roman" w:cs="Times New Roman" w:eastAsia="Times New Roman" w:hAnsi="Times New Roman"/>
                <w:sz w:val="18"/>
                <w:szCs w:val="18"/>
                <w:color w:val="auto"/>
              </w:rPr>
              <w:t>9.52</w:t>
            </w:r>
          </w:p>
        </w:tc>
        <w:tc>
          <w:tcPr>
            <w:tcW w:w="220" w:type="dxa"/>
            <w:vAlign w:val="bottom"/>
            <w:shd w:val="clear" w:color="auto" w:fill="DBDBDB"/>
          </w:tcPr>
          <w:p>
            <w:pPr>
              <w:spacing w:after="0"/>
              <w:rPr>
                <w:sz w:val="19"/>
                <w:szCs w:val="19"/>
                <w:color w:val="auto"/>
              </w:rPr>
            </w:pPr>
          </w:p>
        </w:tc>
        <w:tc>
          <w:tcPr>
            <w:tcW w:w="1400" w:type="dxa"/>
            <w:vAlign w:val="bottom"/>
            <w:shd w:val="clear" w:color="auto" w:fill="DBDBDB"/>
          </w:tcPr>
          <w:p>
            <w:pPr>
              <w:jc w:val="right"/>
              <w:ind w:right="430"/>
              <w:spacing w:after="0"/>
              <w:rPr>
                <w:sz w:val="20"/>
                <w:szCs w:val="20"/>
                <w:color w:val="auto"/>
              </w:rPr>
            </w:pPr>
            <w:r>
              <w:rPr>
                <w:rFonts w:ascii="Times New Roman" w:cs="Times New Roman" w:eastAsia="Times New Roman" w:hAnsi="Times New Roman"/>
                <w:sz w:val="18"/>
                <w:szCs w:val="18"/>
                <w:color w:val="auto"/>
              </w:rPr>
              <w:t>102,386</w:t>
            </w:r>
          </w:p>
        </w:tc>
        <w:tc>
          <w:tcPr>
            <w:tcW w:w="1060" w:type="dxa"/>
            <w:vAlign w:val="bottom"/>
            <w:shd w:val="clear" w:color="auto" w:fill="DBDBDB"/>
          </w:tcPr>
          <w:p>
            <w:pPr>
              <w:ind w:left="360"/>
              <w:spacing w:after="0"/>
              <w:rPr>
                <w:sz w:val="20"/>
                <w:szCs w:val="20"/>
                <w:color w:val="auto"/>
              </w:rPr>
            </w:pPr>
            <w:r>
              <w:rPr>
                <w:rFonts w:ascii="Times New Roman" w:cs="Times New Roman" w:eastAsia="Times New Roman" w:hAnsi="Times New Roman"/>
                <w:sz w:val="18"/>
                <w:szCs w:val="18"/>
                <w:color w:val="auto"/>
              </w:rPr>
              <w:t>4.00</w:t>
            </w:r>
          </w:p>
        </w:tc>
        <w:tc>
          <w:tcPr>
            <w:tcW w:w="380" w:type="dxa"/>
            <w:vAlign w:val="bottom"/>
            <w:shd w:val="clear" w:color="auto" w:fill="DBDBDB"/>
          </w:tcPr>
          <w:p>
            <w:pPr>
              <w:spacing w:after="0"/>
              <w:rPr>
                <w:sz w:val="19"/>
                <w:szCs w:val="19"/>
                <w:color w:val="auto"/>
              </w:rPr>
            </w:pPr>
          </w:p>
        </w:tc>
        <w:tc>
          <w:tcPr>
            <w:tcW w:w="880" w:type="dxa"/>
            <w:vAlign w:val="bottom"/>
            <w:shd w:val="clear" w:color="auto" w:fill="DBDBDB"/>
          </w:tcPr>
          <w:p>
            <w:pPr>
              <w:jc w:val="right"/>
              <w:ind w:right="130"/>
              <w:spacing w:after="0"/>
              <w:rPr>
                <w:sz w:val="20"/>
                <w:szCs w:val="20"/>
                <w:color w:val="auto"/>
              </w:rPr>
            </w:pPr>
            <w:r>
              <w:rPr>
                <w:rFonts w:ascii="Times New Roman" w:cs="Times New Roman" w:eastAsia="Times New Roman" w:hAnsi="Times New Roman"/>
                <w:sz w:val="18"/>
                <w:szCs w:val="18"/>
                <w:color w:val="auto"/>
              </w:rPr>
              <w:t>N/A</w:t>
            </w:r>
          </w:p>
        </w:tc>
        <w:tc>
          <w:tcPr>
            <w:tcW w:w="10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9"/>
        </w:trPr>
        <w:tc>
          <w:tcPr>
            <w:tcW w:w="378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Cass Commercial Bank</w:t>
            </w: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172,848</w:t>
            </w:r>
          </w:p>
        </w:tc>
        <w:tc>
          <w:tcPr>
            <w:tcW w:w="9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10.77</w:t>
            </w:r>
          </w:p>
        </w:tc>
        <w:tc>
          <w:tcPr>
            <w:tcW w:w="2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64,196</w:t>
            </w:r>
          </w:p>
        </w:tc>
        <w:tc>
          <w:tcPr>
            <w:tcW w:w="106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4.00</w:t>
            </w:r>
          </w:p>
        </w:tc>
        <w:tc>
          <w:tcPr>
            <w:tcW w:w="3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80,245</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0" w:type="dxa"/>
            <w:vAlign w:val="bottom"/>
          </w:tcPr>
          <w:p>
            <w:pPr>
              <w:spacing w:after="0"/>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Securities</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Investment securities available-for-sale are recorded at fair value on a recurring basis. The Company’s investment securities available-for-sale at December 31, 2023 and 2022 are measured at fair value using Level 2 valuations. The market evaluation utilizes several sources which include “observable inputs” rather than “significant unobservable inputs” and therefore falls into the Level 2 category. The table below presents the balances of securities available-for-sale</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measured at fair value on a recurring basis. The amortized cost, gross unrealized gains, gross unrealized losses and fair value of debt and equity securities are summarized as follows: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2620" w:type="dxa"/>
            <w:vAlign w:val="bottom"/>
            <w:tcBorders>
              <w:bottom w:val="single" w:sz="8" w:color="auto"/>
            </w:tcBorders>
            <w:gridSpan w:val="5"/>
          </w:tcPr>
          <w:p>
            <w:pPr>
              <w:ind w:left="34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2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3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gridSpan w:val="3"/>
            <w:vMerge w:val="restart"/>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Amortized</w:t>
            </w:r>
          </w:p>
        </w:tc>
        <w:tc>
          <w:tcPr>
            <w:tcW w:w="600" w:type="dxa"/>
            <w:vAlign w:val="bottom"/>
          </w:tcPr>
          <w:p>
            <w:pPr>
              <w:spacing w:after="0"/>
              <w:rPr>
                <w:sz w:val="14"/>
                <w:szCs w:val="14"/>
                <w:color w:val="auto"/>
              </w:rPr>
            </w:pPr>
          </w:p>
        </w:tc>
        <w:tc>
          <w:tcPr>
            <w:tcW w:w="740" w:type="dxa"/>
            <w:vAlign w:val="bottom"/>
          </w:tcPr>
          <w:p>
            <w:pPr>
              <w:jc w:val="center"/>
              <w:ind w:right="90"/>
              <w:spacing w:after="0" w:line="169"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jc w:val="center"/>
              <w:ind w:right="430"/>
              <w:spacing w:after="0" w:line="169"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04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gridSpan w:val="3"/>
            <w:vMerge w:val="continue"/>
          </w:tcPr>
          <w:p>
            <w:pPr>
              <w:spacing w:after="0"/>
              <w:rPr>
                <w:sz w:val="15"/>
                <w:szCs w:val="15"/>
                <w:color w:val="auto"/>
              </w:rPr>
            </w:pPr>
          </w:p>
        </w:tc>
        <w:tc>
          <w:tcPr>
            <w:tcW w:w="1340" w:type="dxa"/>
            <w:vAlign w:val="bottom"/>
            <w:gridSpan w:val="2"/>
          </w:tcPr>
          <w:p>
            <w:pPr>
              <w:jc w:val="center"/>
              <w:ind w:left="330"/>
              <w:spacing w:after="0" w:line="176"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20" w:type="dxa"/>
            <w:vAlign w:val="bottom"/>
            <w:gridSpan w:val="2"/>
          </w:tcPr>
          <w:p>
            <w:pPr>
              <w:jc w:val="center"/>
              <w:ind w:right="210"/>
              <w:spacing w:after="0" w:line="176"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vMerge w:val="restart"/>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c>
          <w:tcPr>
            <w:tcW w:w="0" w:type="dxa"/>
            <w:vAlign w:val="bottom"/>
          </w:tcPr>
          <w:p>
            <w:pPr>
              <w:spacing w:after="0"/>
              <w:rPr>
                <w:sz w:val="1"/>
                <w:szCs w:val="1"/>
                <w:color w:val="auto"/>
              </w:rPr>
            </w:pPr>
          </w:p>
        </w:tc>
      </w:tr>
      <w:tr>
        <w:trPr>
          <w:trHeight w:val="243"/>
        </w:trPr>
        <w:tc>
          <w:tcPr>
            <w:tcW w:w="3040" w:type="dxa"/>
            <w:vAlign w:val="bottom"/>
            <w:tcBorders>
              <w:bottom w:val="single" w:sz="8" w:color="auto"/>
            </w:tcBorders>
            <w:vMerge w:val="continue"/>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gridSpan w:val="2"/>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rPr>
              <w:t>Cost</w:t>
            </w:r>
          </w:p>
        </w:tc>
        <w:tc>
          <w:tcPr>
            <w:tcW w:w="52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7"/>
              </w:rPr>
              <w:t>Gains</w:t>
            </w:r>
          </w:p>
        </w:tc>
        <w:tc>
          <w:tcPr>
            <w:tcW w:w="34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gridSpan w:val="2"/>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24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04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State and political subdivisions</w:t>
            </w:r>
          </w:p>
        </w:tc>
        <w:tc>
          <w:tcPr>
            <w:tcW w:w="160" w:type="dxa"/>
            <w:vAlign w:val="bottom"/>
            <w:shd w:val="clear" w:color="auto" w:fill="DBDBDB"/>
          </w:tcPr>
          <w:p>
            <w:pPr>
              <w:spacing w:after="0"/>
              <w:rPr>
                <w:sz w:val="19"/>
                <w:szCs w:val="19"/>
                <w:color w:val="auto"/>
              </w:rPr>
            </w:pPr>
          </w:p>
        </w:tc>
        <w:tc>
          <w:tcPr>
            <w:tcW w:w="1140" w:type="dxa"/>
            <w:vAlign w:val="bottom"/>
            <w:shd w:val="clear" w:color="auto" w:fill="DBDBDB"/>
          </w:tcPr>
          <w:p>
            <w:pPr>
              <w:spacing w:after="0"/>
              <w:rPr>
                <w:sz w:val="19"/>
                <w:szCs w:val="19"/>
                <w:color w:val="auto"/>
              </w:rPr>
            </w:pPr>
          </w:p>
        </w:tc>
        <w:tc>
          <w:tcPr>
            <w:tcW w:w="980" w:type="dxa"/>
            <w:vAlign w:val="bottom"/>
            <w:gridSpan w:val="2"/>
            <w:shd w:val="clear" w:color="auto" w:fill="DBDBDB"/>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DBDBDB"/>
          </w:tcPr>
          <w:p>
            <w:pPr>
              <w:spacing w:after="0"/>
              <w:rPr>
                <w:sz w:val="19"/>
                <w:szCs w:val="19"/>
                <w:color w:val="auto"/>
              </w:rPr>
            </w:pPr>
          </w:p>
        </w:tc>
        <w:tc>
          <w:tcPr>
            <w:tcW w:w="700" w:type="dxa"/>
            <w:vAlign w:val="bottom"/>
            <w:gridSpan w:val="2"/>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235,297</w:t>
            </w:r>
          </w:p>
        </w:tc>
        <w:tc>
          <w:tcPr>
            <w:tcW w:w="600" w:type="dxa"/>
            <w:vAlign w:val="bottom"/>
            <w:shd w:val="clear" w:color="auto" w:fill="DBDBDB"/>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DBDBDB"/>
          </w:tcPr>
          <w:p>
            <w:pPr>
              <w:spacing w:after="0"/>
              <w:rPr>
                <w:sz w:val="19"/>
                <w:szCs w:val="19"/>
                <w:color w:val="auto"/>
              </w:rPr>
            </w:pPr>
          </w:p>
        </w:tc>
        <w:tc>
          <w:tcPr>
            <w:tcW w:w="340" w:type="dxa"/>
            <w:vAlign w:val="bottom"/>
            <w:shd w:val="clear" w:color="auto" w:fill="DBDBDB"/>
          </w:tcPr>
          <w:p>
            <w:pPr>
              <w:jc w:val="right"/>
              <w:ind w:right="50"/>
              <w:spacing w:after="0"/>
              <w:rPr>
                <w:sz w:val="20"/>
                <w:szCs w:val="20"/>
                <w:color w:val="auto"/>
              </w:rPr>
            </w:pPr>
            <w:r>
              <w:rPr>
                <w:rFonts w:ascii="Times New Roman" w:cs="Times New Roman" w:eastAsia="Times New Roman" w:hAnsi="Times New Roman"/>
                <w:sz w:val="18"/>
                <w:szCs w:val="18"/>
                <w:color w:val="auto"/>
              </w:rPr>
              <w:t>4</w:t>
            </w:r>
          </w:p>
        </w:tc>
        <w:tc>
          <w:tcPr>
            <w:tcW w:w="320" w:type="dxa"/>
            <w:vAlign w:val="bottom"/>
            <w:shd w:val="clear" w:color="auto" w:fill="DBDBDB"/>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DBDBDB"/>
          </w:tcPr>
          <w:p>
            <w:pPr>
              <w:spacing w:after="0"/>
              <w:rPr>
                <w:sz w:val="19"/>
                <w:szCs w:val="19"/>
                <w:color w:val="auto"/>
              </w:rPr>
            </w:pPr>
          </w:p>
        </w:tc>
        <w:tc>
          <w:tcPr>
            <w:tcW w:w="10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(16,266)</w:t>
            </w:r>
          </w:p>
        </w:tc>
        <w:tc>
          <w:tcPr>
            <w:tcW w:w="2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DBDBDB"/>
          </w:tcPr>
          <w:p>
            <w:pPr>
              <w:spacing w:after="0"/>
              <w:rPr>
                <w:sz w:val="19"/>
                <w:szCs w:val="19"/>
                <w:color w:val="auto"/>
              </w:rPr>
            </w:pPr>
          </w:p>
        </w:tc>
        <w:tc>
          <w:tcPr>
            <w:tcW w:w="11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219,035</w:t>
            </w:r>
          </w:p>
        </w:tc>
        <w:tc>
          <w:tcPr>
            <w:tcW w:w="0" w:type="dxa"/>
            <w:vAlign w:val="bottom"/>
          </w:tcPr>
          <w:p>
            <w:pPr>
              <w:spacing w:after="0"/>
              <w:rPr>
                <w:sz w:val="1"/>
                <w:szCs w:val="1"/>
                <w:color w:val="auto"/>
              </w:rPr>
            </w:pPr>
          </w:p>
        </w:tc>
      </w:tr>
      <w:tr>
        <w:trPr>
          <w:trHeight w:val="175"/>
        </w:trPr>
        <w:tc>
          <w:tcPr>
            <w:tcW w:w="4340" w:type="dxa"/>
            <w:vAlign w:val="bottom"/>
            <w:gridSpan w:val="3"/>
          </w:tcPr>
          <w:p>
            <w:pPr>
              <w:ind w:left="20"/>
              <w:spacing w:after="0" w:line="176" w:lineRule="exact"/>
              <w:rPr>
                <w:sz w:val="20"/>
                <w:szCs w:val="20"/>
                <w:color w:val="auto"/>
              </w:rPr>
            </w:pPr>
            <w:r>
              <w:rPr>
                <w:rFonts w:ascii="Times New Roman" w:cs="Times New Roman" w:eastAsia="Times New Roman" w:hAnsi="Times New Roman"/>
                <w:sz w:val="18"/>
                <w:szCs w:val="18"/>
                <w:color w:val="auto"/>
              </w:rPr>
              <w:t>Mortgage-backed securities issued or guaranteed by U.S.</w:t>
            </w:r>
          </w:p>
        </w:tc>
        <w:tc>
          <w:tcPr>
            <w:tcW w:w="6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3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government agencies or sponsored enterprises</w:t>
            </w:r>
          </w:p>
        </w:tc>
        <w:tc>
          <w:tcPr>
            <w:tcW w:w="6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188,307</w:t>
            </w:r>
          </w:p>
        </w:tc>
        <w:tc>
          <w:tcPr>
            <w:tcW w:w="6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(30,508)</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157,799</w:t>
            </w:r>
          </w:p>
        </w:tc>
        <w:tc>
          <w:tcPr>
            <w:tcW w:w="0" w:type="dxa"/>
            <w:vAlign w:val="bottom"/>
          </w:tcPr>
          <w:p>
            <w:pPr>
              <w:spacing w:after="0"/>
              <w:rPr>
                <w:sz w:val="1"/>
                <w:szCs w:val="1"/>
                <w:color w:val="auto"/>
              </w:rPr>
            </w:pPr>
          </w:p>
        </w:tc>
      </w:tr>
      <w:tr>
        <w:trPr>
          <w:trHeight w:val="229"/>
        </w:trPr>
        <w:tc>
          <w:tcPr>
            <w:tcW w:w="304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Corporate bonds</w:t>
            </w:r>
          </w:p>
        </w:tc>
        <w:tc>
          <w:tcPr>
            <w:tcW w:w="160" w:type="dxa"/>
            <w:vAlign w:val="bottom"/>
            <w:shd w:val="clear" w:color="auto" w:fill="DBDBDB"/>
          </w:tcPr>
          <w:p>
            <w:pPr>
              <w:spacing w:after="0"/>
              <w:rPr>
                <w:sz w:val="19"/>
                <w:szCs w:val="19"/>
                <w:color w:val="auto"/>
              </w:rPr>
            </w:pPr>
          </w:p>
        </w:tc>
        <w:tc>
          <w:tcPr>
            <w:tcW w:w="1140" w:type="dxa"/>
            <w:vAlign w:val="bottom"/>
            <w:shd w:val="clear" w:color="auto" w:fill="DBDBDB"/>
          </w:tcPr>
          <w:p>
            <w:pPr>
              <w:spacing w:after="0"/>
              <w:rPr>
                <w:sz w:val="19"/>
                <w:szCs w:val="19"/>
                <w:color w:val="auto"/>
              </w:rPr>
            </w:pPr>
          </w:p>
        </w:tc>
        <w:tc>
          <w:tcPr>
            <w:tcW w:w="68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440" w:type="dxa"/>
            <w:vAlign w:val="bottom"/>
            <w:shd w:val="clear" w:color="auto" w:fill="DBDBDB"/>
          </w:tcPr>
          <w:p>
            <w:pPr>
              <w:spacing w:after="0"/>
              <w:rPr>
                <w:sz w:val="19"/>
                <w:szCs w:val="19"/>
                <w:color w:val="auto"/>
              </w:rPr>
            </w:pPr>
          </w:p>
        </w:tc>
        <w:tc>
          <w:tcPr>
            <w:tcW w:w="700" w:type="dxa"/>
            <w:vAlign w:val="bottom"/>
            <w:gridSpan w:val="2"/>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111,109</w:t>
            </w:r>
          </w:p>
        </w:tc>
        <w:tc>
          <w:tcPr>
            <w:tcW w:w="600" w:type="dxa"/>
            <w:vAlign w:val="bottom"/>
            <w:shd w:val="clear" w:color="auto" w:fill="DBDBDB"/>
          </w:tcPr>
          <w:p>
            <w:pPr>
              <w:spacing w:after="0"/>
              <w:rPr>
                <w:sz w:val="19"/>
                <w:szCs w:val="19"/>
                <w:color w:val="auto"/>
              </w:rPr>
            </w:pPr>
          </w:p>
        </w:tc>
        <w:tc>
          <w:tcPr>
            <w:tcW w:w="740" w:type="dxa"/>
            <w:vAlign w:val="bottom"/>
            <w:shd w:val="clear" w:color="auto" w:fill="DBDBDB"/>
          </w:tcPr>
          <w:p>
            <w:pPr>
              <w:spacing w:after="0"/>
              <w:rPr>
                <w:sz w:val="19"/>
                <w:szCs w:val="19"/>
                <w:color w:val="auto"/>
              </w:rPr>
            </w:pPr>
          </w:p>
        </w:tc>
        <w:tc>
          <w:tcPr>
            <w:tcW w:w="340" w:type="dxa"/>
            <w:vAlign w:val="bottom"/>
            <w:shd w:val="clear" w:color="auto" w:fill="DBDBDB"/>
          </w:tcPr>
          <w:p>
            <w:pPr>
              <w:jc w:val="right"/>
              <w:ind w:right="50"/>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shd w:val="clear" w:color="auto" w:fill="DBDBDB"/>
          </w:tcPr>
          <w:p>
            <w:pPr>
              <w:spacing w:after="0"/>
              <w:rPr>
                <w:sz w:val="19"/>
                <w:szCs w:val="19"/>
                <w:color w:val="auto"/>
              </w:rPr>
            </w:pPr>
          </w:p>
        </w:tc>
        <w:tc>
          <w:tcPr>
            <w:tcW w:w="220" w:type="dxa"/>
            <w:vAlign w:val="bottom"/>
            <w:shd w:val="clear" w:color="auto" w:fill="DBDBDB"/>
          </w:tcPr>
          <w:p>
            <w:pPr>
              <w:spacing w:after="0"/>
              <w:rPr>
                <w:sz w:val="19"/>
                <w:szCs w:val="19"/>
                <w:color w:val="auto"/>
              </w:rPr>
            </w:pPr>
          </w:p>
        </w:tc>
        <w:tc>
          <w:tcPr>
            <w:tcW w:w="10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(8,769)</w:t>
            </w:r>
          </w:p>
        </w:tc>
        <w:tc>
          <w:tcPr>
            <w:tcW w:w="24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11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102,340</w:t>
            </w:r>
          </w:p>
        </w:tc>
        <w:tc>
          <w:tcPr>
            <w:tcW w:w="0" w:type="dxa"/>
            <w:vAlign w:val="bottom"/>
          </w:tcPr>
          <w:p>
            <w:pPr>
              <w:spacing w:after="0"/>
              <w:rPr>
                <w:sz w:val="1"/>
                <w:szCs w:val="1"/>
                <w:color w:val="auto"/>
              </w:rPr>
            </w:pPr>
          </w:p>
        </w:tc>
      </w:tr>
      <w:tr>
        <w:trPr>
          <w:trHeight w:val="257"/>
        </w:trPr>
        <w:tc>
          <w:tcPr>
            <w:tcW w:w="3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Treasury securities</w:t>
            </w:r>
          </w:p>
        </w:tc>
        <w:tc>
          <w:tcPr>
            <w:tcW w:w="1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109,836</w:t>
            </w:r>
          </w:p>
        </w:tc>
        <w:tc>
          <w:tcPr>
            <w:tcW w:w="6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(1,115)</w:t>
            </w:r>
          </w:p>
        </w:tc>
        <w:tc>
          <w:tcPr>
            <w:tcW w:w="2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108,721</w:t>
            </w:r>
          </w:p>
        </w:tc>
        <w:tc>
          <w:tcPr>
            <w:tcW w:w="0" w:type="dxa"/>
            <w:vAlign w:val="bottom"/>
          </w:tcPr>
          <w:p>
            <w:pPr>
              <w:spacing w:after="0"/>
              <w:rPr>
                <w:sz w:val="1"/>
                <w:szCs w:val="1"/>
                <w:color w:val="auto"/>
              </w:rPr>
            </w:pPr>
          </w:p>
        </w:tc>
      </w:tr>
      <w:tr>
        <w:trPr>
          <w:trHeight w:val="211"/>
        </w:trPr>
        <w:tc>
          <w:tcPr>
            <w:tcW w:w="5320" w:type="dxa"/>
            <w:vAlign w:val="bottom"/>
            <w:gridSpan w:val="5"/>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Asset backed securities issued or guaranteed by U.S. Government</w:t>
            </w:r>
          </w:p>
        </w:tc>
        <w:tc>
          <w:tcPr>
            <w:tcW w:w="440" w:type="dxa"/>
            <w:vAlign w:val="bottom"/>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520" w:type="dxa"/>
            <w:vAlign w:val="bottom"/>
            <w:shd w:val="clear" w:color="auto" w:fill="DBDBDB"/>
          </w:tcPr>
          <w:p>
            <w:pPr>
              <w:spacing w:after="0"/>
              <w:rPr>
                <w:sz w:val="18"/>
                <w:szCs w:val="18"/>
                <w:color w:val="auto"/>
              </w:rPr>
            </w:pPr>
          </w:p>
        </w:tc>
        <w:tc>
          <w:tcPr>
            <w:tcW w:w="600" w:type="dxa"/>
            <w:vAlign w:val="bottom"/>
            <w:shd w:val="clear" w:color="auto" w:fill="DBDBDB"/>
          </w:tcPr>
          <w:p>
            <w:pPr>
              <w:spacing w:after="0"/>
              <w:rPr>
                <w:sz w:val="18"/>
                <w:szCs w:val="18"/>
                <w:color w:val="auto"/>
              </w:rPr>
            </w:pPr>
          </w:p>
        </w:tc>
        <w:tc>
          <w:tcPr>
            <w:tcW w:w="740" w:type="dxa"/>
            <w:vAlign w:val="bottom"/>
            <w:shd w:val="clear" w:color="auto" w:fill="DBDBDB"/>
          </w:tcPr>
          <w:p>
            <w:pPr>
              <w:spacing w:after="0"/>
              <w:rPr>
                <w:sz w:val="18"/>
                <w:szCs w:val="18"/>
                <w:color w:val="auto"/>
              </w:rPr>
            </w:pPr>
          </w:p>
        </w:tc>
        <w:tc>
          <w:tcPr>
            <w:tcW w:w="340" w:type="dxa"/>
            <w:vAlign w:val="bottom"/>
            <w:shd w:val="clear" w:color="auto" w:fill="DBDBDB"/>
          </w:tcPr>
          <w:p>
            <w:pPr>
              <w:spacing w:after="0"/>
              <w:rPr>
                <w:sz w:val="18"/>
                <w:szCs w:val="18"/>
                <w:color w:val="auto"/>
              </w:rPr>
            </w:pPr>
          </w:p>
        </w:tc>
        <w:tc>
          <w:tcPr>
            <w:tcW w:w="320" w:type="dxa"/>
            <w:vAlign w:val="bottom"/>
            <w:shd w:val="clear" w:color="auto" w:fill="DBDBDB"/>
          </w:tcPr>
          <w:p>
            <w:pPr>
              <w:spacing w:after="0"/>
              <w:rPr>
                <w:sz w:val="18"/>
                <w:szCs w:val="18"/>
                <w:color w:val="auto"/>
              </w:rPr>
            </w:pPr>
          </w:p>
        </w:tc>
        <w:tc>
          <w:tcPr>
            <w:tcW w:w="220" w:type="dxa"/>
            <w:vAlign w:val="bottom"/>
            <w:shd w:val="clear" w:color="auto" w:fill="DBDBDB"/>
          </w:tcPr>
          <w:p>
            <w:pPr>
              <w:spacing w:after="0"/>
              <w:rPr>
                <w:sz w:val="18"/>
                <w:szCs w:val="18"/>
                <w:color w:val="auto"/>
              </w:rPr>
            </w:pPr>
          </w:p>
        </w:tc>
        <w:tc>
          <w:tcPr>
            <w:tcW w:w="1000" w:type="dxa"/>
            <w:vAlign w:val="bottom"/>
            <w:shd w:val="clear" w:color="auto" w:fill="DBDBDB"/>
          </w:tcPr>
          <w:p>
            <w:pPr>
              <w:spacing w:after="0"/>
              <w:rPr>
                <w:sz w:val="18"/>
                <w:szCs w:val="18"/>
                <w:color w:val="auto"/>
              </w:rPr>
            </w:pPr>
          </w:p>
        </w:tc>
        <w:tc>
          <w:tcPr>
            <w:tcW w:w="240" w:type="dxa"/>
            <w:vAlign w:val="bottom"/>
            <w:shd w:val="clear" w:color="auto" w:fill="DBDBDB"/>
          </w:tcPr>
          <w:p>
            <w:pPr>
              <w:spacing w:after="0"/>
              <w:rPr>
                <w:sz w:val="18"/>
                <w:szCs w:val="18"/>
                <w:color w:val="auto"/>
              </w:rPr>
            </w:pPr>
          </w:p>
        </w:tc>
        <w:tc>
          <w:tcPr>
            <w:tcW w:w="160" w:type="dxa"/>
            <w:vAlign w:val="bottom"/>
            <w:shd w:val="clear" w:color="auto" w:fill="DBDBDB"/>
          </w:tcPr>
          <w:p>
            <w:pPr>
              <w:spacing w:after="0"/>
              <w:rPr>
                <w:sz w:val="18"/>
                <w:szCs w:val="18"/>
                <w:color w:val="auto"/>
              </w:rPr>
            </w:pPr>
          </w:p>
        </w:tc>
        <w:tc>
          <w:tcPr>
            <w:tcW w:w="116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3040" w:type="dxa"/>
            <w:vAlign w:val="bottom"/>
            <w:tcBorders>
              <w:bottom w:val="single" w:sz="8" w:color="auto"/>
            </w:tcBorders>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agencies or sponsored enterprises</w:t>
            </w:r>
          </w:p>
        </w:tc>
        <w:tc>
          <w:tcPr>
            <w:tcW w:w="160" w:type="dxa"/>
            <w:vAlign w:val="bottom"/>
            <w:tcBorders>
              <w:bottom w:val="single" w:sz="8" w:color="auto"/>
            </w:tcBorders>
            <w:shd w:val="clear" w:color="auto" w:fill="DBDBDB"/>
          </w:tcPr>
          <w:p>
            <w:pPr>
              <w:spacing w:after="0"/>
              <w:rPr>
                <w:sz w:val="21"/>
                <w:szCs w:val="21"/>
                <w:color w:val="auto"/>
              </w:rPr>
            </w:pPr>
          </w:p>
        </w:tc>
        <w:tc>
          <w:tcPr>
            <w:tcW w:w="1140" w:type="dxa"/>
            <w:vAlign w:val="bottom"/>
            <w:tcBorders>
              <w:bottom w:val="single" w:sz="8" w:color="auto"/>
            </w:tcBorders>
            <w:shd w:val="clear" w:color="auto" w:fill="DBDBDB"/>
          </w:tcPr>
          <w:p>
            <w:pPr>
              <w:spacing w:after="0"/>
              <w:rPr>
                <w:sz w:val="21"/>
                <w:szCs w:val="21"/>
                <w:color w:val="auto"/>
              </w:rPr>
            </w:pPr>
          </w:p>
        </w:tc>
        <w:tc>
          <w:tcPr>
            <w:tcW w:w="680" w:type="dxa"/>
            <w:vAlign w:val="bottom"/>
            <w:tcBorders>
              <w:bottom w:val="single" w:sz="8" w:color="auto"/>
            </w:tcBorders>
            <w:shd w:val="clear" w:color="auto" w:fill="DBDBDB"/>
          </w:tcPr>
          <w:p>
            <w:pPr>
              <w:spacing w:after="0"/>
              <w:rPr>
                <w:sz w:val="21"/>
                <w:szCs w:val="21"/>
                <w:color w:val="auto"/>
              </w:rPr>
            </w:pPr>
          </w:p>
        </w:tc>
        <w:tc>
          <w:tcPr>
            <w:tcW w:w="300" w:type="dxa"/>
            <w:vAlign w:val="bottom"/>
            <w:tcBorders>
              <w:bottom w:val="single" w:sz="8" w:color="auto"/>
            </w:tcBorders>
            <w:shd w:val="clear" w:color="auto" w:fill="DBDBDB"/>
          </w:tcPr>
          <w:p>
            <w:pPr>
              <w:spacing w:after="0"/>
              <w:rPr>
                <w:sz w:val="21"/>
                <w:szCs w:val="21"/>
                <w:color w:val="auto"/>
              </w:rPr>
            </w:pPr>
          </w:p>
        </w:tc>
        <w:tc>
          <w:tcPr>
            <w:tcW w:w="440" w:type="dxa"/>
            <w:vAlign w:val="bottom"/>
            <w:tcBorders>
              <w:bottom w:val="single" w:sz="8" w:color="auto"/>
            </w:tcBorders>
            <w:shd w:val="clear" w:color="auto" w:fill="DBDBDB"/>
          </w:tcPr>
          <w:p>
            <w:pPr>
              <w:spacing w:after="0"/>
              <w:rPr>
                <w:sz w:val="21"/>
                <w:szCs w:val="21"/>
                <w:color w:val="auto"/>
              </w:rPr>
            </w:pPr>
          </w:p>
        </w:tc>
        <w:tc>
          <w:tcPr>
            <w:tcW w:w="180" w:type="dxa"/>
            <w:vAlign w:val="bottom"/>
            <w:tcBorders>
              <w:bottom w:val="single" w:sz="8" w:color="auto"/>
            </w:tcBorders>
            <w:shd w:val="clear" w:color="auto" w:fill="DBDBDB"/>
          </w:tcPr>
          <w:p>
            <w:pPr>
              <w:spacing w:after="0"/>
              <w:rPr>
                <w:sz w:val="21"/>
                <w:szCs w:val="21"/>
                <w:color w:val="auto"/>
              </w:rPr>
            </w:pPr>
          </w:p>
        </w:tc>
        <w:tc>
          <w:tcPr>
            <w:tcW w:w="52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w w:val="92"/>
              </w:rPr>
              <w:t>40,368</w:t>
            </w:r>
          </w:p>
        </w:tc>
        <w:tc>
          <w:tcPr>
            <w:tcW w:w="600" w:type="dxa"/>
            <w:vAlign w:val="bottom"/>
            <w:tcBorders>
              <w:bottom w:val="single" w:sz="8" w:color="auto"/>
            </w:tcBorders>
            <w:shd w:val="clear" w:color="auto" w:fill="DBDBDB"/>
          </w:tcPr>
          <w:p>
            <w:pPr>
              <w:spacing w:after="0"/>
              <w:rPr>
                <w:sz w:val="21"/>
                <w:szCs w:val="21"/>
                <w:color w:val="auto"/>
              </w:rPr>
            </w:pPr>
          </w:p>
        </w:tc>
        <w:tc>
          <w:tcPr>
            <w:tcW w:w="740" w:type="dxa"/>
            <w:vAlign w:val="bottom"/>
            <w:tcBorders>
              <w:bottom w:val="single" w:sz="8" w:color="auto"/>
            </w:tcBorders>
            <w:shd w:val="clear" w:color="auto" w:fill="DBDBDB"/>
          </w:tcPr>
          <w:p>
            <w:pPr>
              <w:spacing w:after="0"/>
              <w:rPr>
                <w:sz w:val="21"/>
                <w:szCs w:val="21"/>
                <w:color w:val="auto"/>
              </w:rPr>
            </w:pPr>
          </w:p>
        </w:tc>
        <w:tc>
          <w:tcPr>
            <w:tcW w:w="340" w:type="dxa"/>
            <w:vAlign w:val="bottom"/>
            <w:tcBorders>
              <w:bottom w:val="single" w:sz="8" w:color="auto"/>
            </w:tcBorders>
            <w:shd w:val="clear" w:color="auto" w:fill="DBDBDB"/>
          </w:tcPr>
          <w:p>
            <w:pPr>
              <w:jc w:val="right"/>
              <w:ind w:right="50"/>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tcBorders>
              <w:bottom w:val="single" w:sz="8" w:color="auto"/>
            </w:tcBorders>
            <w:shd w:val="clear" w:color="auto" w:fill="DBDBDB"/>
          </w:tcPr>
          <w:p>
            <w:pPr>
              <w:spacing w:after="0"/>
              <w:rPr>
                <w:sz w:val="21"/>
                <w:szCs w:val="21"/>
                <w:color w:val="auto"/>
              </w:rPr>
            </w:pPr>
          </w:p>
        </w:tc>
        <w:tc>
          <w:tcPr>
            <w:tcW w:w="220" w:type="dxa"/>
            <w:vAlign w:val="bottom"/>
            <w:tcBorders>
              <w:bottom w:val="single" w:sz="8" w:color="auto"/>
            </w:tcBorders>
            <w:shd w:val="clear" w:color="auto" w:fill="DBDBDB"/>
          </w:tcPr>
          <w:p>
            <w:pPr>
              <w:spacing w:after="0"/>
              <w:rPr>
                <w:sz w:val="21"/>
                <w:szCs w:val="21"/>
                <w:color w:val="auto"/>
              </w:rPr>
            </w:pPr>
          </w:p>
        </w:tc>
        <w:tc>
          <w:tcPr>
            <w:tcW w:w="100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(1,146)</w:t>
            </w:r>
          </w:p>
        </w:tc>
        <w:tc>
          <w:tcPr>
            <w:tcW w:w="240" w:type="dxa"/>
            <w:vAlign w:val="bottom"/>
            <w:tcBorders>
              <w:bottom w:val="single" w:sz="8" w:color="auto"/>
            </w:tcBorders>
            <w:shd w:val="clear" w:color="auto" w:fill="DBDBDB"/>
          </w:tcPr>
          <w:p>
            <w:pPr>
              <w:spacing w:after="0"/>
              <w:rPr>
                <w:sz w:val="21"/>
                <w:szCs w:val="21"/>
                <w:color w:val="auto"/>
              </w:rPr>
            </w:pPr>
          </w:p>
        </w:tc>
        <w:tc>
          <w:tcPr>
            <w:tcW w:w="160" w:type="dxa"/>
            <w:vAlign w:val="bottom"/>
            <w:tcBorders>
              <w:bottom w:val="single" w:sz="8" w:color="auto"/>
            </w:tcBorders>
            <w:shd w:val="clear" w:color="auto" w:fill="DBDBDB"/>
          </w:tcPr>
          <w:p>
            <w:pPr>
              <w:spacing w:after="0"/>
              <w:rPr>
                <w:sz w:val="21"/>
                <w:szCs w:val="21"/>
                <w:color w:val="auto"/>
              </w:rPr>
            </w:pPr>
          </w:p>
        </w:tc>
        <w:tc>
          <w:tcPr>
            <w:tcW w:w="116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39,222</w:t>
            </w:r>
          </w:p>
        </w:tc>
        <w:tc>
          <w:tcPr>
            <w:tcW w:w="0" w:type="dxa"/>
            <w:vAlign w:val="bottom"/>
          </w:tcPr>
          <w:p>
            <w:pPr>
              <w:spacing w:after="0"/>
              <w:rPr>
                <w:sz w:val="1"/>
                <w:szCs w:val="1"/>
                <w:color w:val="auto"/>
              </w:rPr>
            </w:pPr>
          </w:p>
        </w:tc>
      </w:tr>
      <w:tr>
        <w:trPr>
          <w:trHeight w:val="223"/>
        </w:trPr>
        <w:tc>
          <w:tcPr>
            <w:tcW w:w="304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684,917</w:t>
            </w:r>
          </w:p>
        </w:tc>
        <w:tc>
          <w:tcPr>
            <w:tcW w:w="6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4</w:t>
            </w:r>
          </w:p>
        </w:tc>
        <w:tc>
          <w:tcPr>
            <w:tcW w:w="3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(57,804)</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627,117</w:t>
            </w:r>
          </w:p>
        </w:tc>
        <w:tc>
          <w:tcPr>
            <w:tcW w:w="0" w:type="dxa"/>
            <w:vAlign w:val="bottom"/>
          </w:tcPr>
          <w:p>
            <w:pPr>
              <w:spacing w:after="0"/>
              <w:rPr>
                <w:sz w:val="1"/>
                <w:szCs w:val="1"/>
                <w:color w:val="auto"/>
              </w:rPr>
            </w:pPr>
          </w:p>
        </w:tc>
      </w:tr>
      <w:tr>
        <w:trPr>
          <w:trHeight w:val="561"/>
        </w:trPr>
        <w:tc>
          <w:tcPr>
            <w:tcW w:w="3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5"/>
          </w:tcPr>
          <w:p>
            <w:pPr>
              <w:ind w:left="34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gridSpan w:val="3"/>
            <w:vMerge w:val="restart"/>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Amortized</w:t>
            </w:r>
          </w:p>
        </w:tc>
        <w:tc>
          <w:tcPr>
            <w:tcW w:w="600" w:type="dxa"/>
            <w:vAlign w:val="bottom"/>
          </w:tcPr>
          <w:p>
            <w:pPr>
              <w:spacing w:after="0"/>
              <w:rPr>
                <w:sz w:val="14"/>
                <w:szCs w:val="14"/>
                <w:color w:val="auto"/>
              </w:rPr>
            </w:pPr>
          </w:p>
        </w:tc>
        <w:tc>
          <w:tcPr>
            <w:tcW w:w="740" w:type="dxa"/>
            <w:vAlign w:val="bottom"/>
          </w:tcPr>
          <w:p>
            <w:pPr>
              <w:jc w:val="center"/>
              <w:ind w:right="90"/>
              <w:spacing w:after="0" w:line="169"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jc w:val="center"/>
              <w:ind w:right="430"/>
              <w:spacing w:after="0" w:line="169"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04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gridSpan w:val="3"/>
            <w:vMerge w:val="continue"/>
          </w:tcPr>
          <w:p>
            <w:pPr>
              <w:spacing w:after="0"/>
              <w:rPr>
                <w:sz w:val="15"/>
                <w:szCs w:val="15"/>
                <w:color w:val="auto"/>
              </w:rPr>
            </w:pPr>
          </w:p>
        </w:tc>
        <w:tc>
          <w:tcPr>
            <w:tcW w:w="1340" w:type="dxa"/>
            <w:vAlign w:val="bottom"/>
            <w:gridSpan w:val="2"/>
          </w:tcPr>
          <w:p>
            <w:pPr>
              <w:jc w:val="center"/>
              <w:ind w:left="330"/>
              <w:spacing w:after="0" w:line="176"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20" w:type="dxa"/>
            <w:vAlign w:val="bottom"/>
            <w:gridSpan w:val="2"/>
          </w:tcPr>
          <w:p>
            <w:pPr>
              <w:jc w:val="center"/>
              <w:ind w:right="210"/>
              <w:spacing w:after="0" w:line="176"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vMerge w:val="restart"/>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c>
          <w:tcPr>
            <w:tcW w:w="0" w:type="dxa"/>
            <w:vAlign w:val="bottom"/>
          </w:tcPr>
          <w:p>
            <w:pPr>
              <w:spacing w:after="0"/>
              <w:rPr>
                <w:sz w:val="1"/>
                <w:szCs w:val="1"/>
                <w:color w:val="auto"/>
              </w:rPr>
            </w:pPr>
          </w:p>
        </w:tc>
      </w:tr>
      <w:tr>
        <w:trPr>
          <w:trHeight w:val="243"/>
        </w:trPr>
        <w:tc>
          <w:tcPr>
            <w:tcW w:w="3040" w:type="dxa"/>
            <w:vAlign w:val="bottom"/>
            <w:tcBorders>
              <w:bottom w:val="single" w:sz="8" w:color="auto"/>
            </w:tcBorders>
            <w:vMerge w:val="continue"/>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gridSpan w:val="2"/>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rPr>
              <w:t>Cost</w:t>
            </w:r>
          </w:p>
        </w:tc>
        <w:tc>
          <w:tcPr>
            <w:tcW w:w="52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7"/>
              </w:rPr>
              <w:t>Gains</w:t>
            </w:r>
          </w:p>
        </w:tc>
        <w:tc>
          <w:tcPr>
            <w:tcW w:w="34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gridSpan w:val="2"/>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24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04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State and political subdivisions</w:t>
            </w:r>
          </w:p>
        </w:tc>
        <w:tc>
          <w:tcPr>
            <w:tcW w:w="160" w:type="dxa"/>
            <w:vAlign w:val="bottom"/>
            <w:shd w:val="clear" w:color="auto" w:fill="DBDBDB"/>
          </w:tcPr>
          <w:p>
            <w:pPr>
              <w:spacing w:after="0"/>
              <w:rPr>
                <w:sz w:val="19"/>
                <w:szCs w:val="19"/>
                <w:color w:val="auto"/>
              </w:rPr>
            </w:pPr>
          </w:p>
        </w:tc>
        <w:tc>
          <w:tcPr>
            <w:tcW w:w="1140" w:type="dxa"/>
            <w:vAlign w:val="bottom"/>
            <w:shd w:val="clear" w:color="auto" w:fill="DBDBDB"/>
          </w:tcPr>
          <w:p>
            <w:pPr>
              <w:spacing w:after="0"/>
              <w:rPr>
                <w:sz w:val="19"/>
                <w:szCs w:val="19"/>
                <w:color w:val="auto"/>
              </w:rPr>
            </w:pPr>
          </w:p>
        </w:tc>
        <w:tc>
          <w:tcPr>
            <w:tcW w:w="980" w:type="dxa"/>
            <w:vAlign w:val="bottom"/>
            <w:gridSpan w:val="2"/>
            <w:shd w:val="clear" w:color="auto" w:fill="DBDBDB"/>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DBDBDB"/>
          </w:tcPr>
          <w:p>
            <w:pPr>
              <w:spacing w:after="0"/>
              <w:rPr>
                <w:sz w:val="19"/>
                <w:szCs w:val="19"/>
                <w:color w:val="auto"/>
              </w:rPr>
            </w:pPr>
          </w:p>
        </w:tc>
        <w:tc>
          <w:tcPr>
            <w:tcW w:w="700" w:type="dxa"/>
            <w:vAlign w:val="bottom"/>
            <w:gridSpan w:val="2"/>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317,376</w:t>
            </w:r>
          </w:p>
        </w:tc>
        <w:tc>
          <w:tcPr>
            <w:tcW w:w="600" w:type="dxa"/>
            <w:vAlign w:val="bottom"/>
            <w:shd w:val="clear" w:color="auto" w:fill="DBDBDB"/>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DBDBDB"/>
          </w:tcPr>
          <w:p>
            <w:pPr>
              <w:spacing w:after="0"/>
              <w:rPr>
                <w:sz w:val="19"/>
                <w:szCs w:val="19"/>
                <w:color w:val="auto"/>
              </w:rPr>
            </w:pPr>
          </w:p>
        </w:tc>
        <w:tc>
          <w:tcPr>
            <w:tcW w:w="340" w:type="dxa"/>
            <w:vAlign w:val="bottom"/>
            <w:shd w:val="clear" w:color="auto" w:fill="DBDBDB"/>
          </w:tcPr>
          <w:p>
            <w:pPr>
              <w:jc w:val="right"/>
              <w:ind w:right="50"/>
              <w:spacing w:after="0"/>
              <w:rPr>
                <w:sz w:val="20"/>
                <w:szCs w:val="20"/>
                <w:color w:val="auto"/>
              </w:rPr>
            </w:pPr>
            <w:r>
              <w:rPr>
                <w:rFonts w:ascii="Times New Roman" w:cs="Times New Roman" w:eastAsia="Times New Roman" w:hAnsi="Times New Roman"/>
                <w:sz w:val="18"/>
                <w:szCs w:val="18"/>
                <w:color w:val="auto"/>
                <w:w w:val="99"/>
              </w:rPr>
              <w:t>54</w:t>
            </w:r>
          </w:p>
        </w:tc>
        <w:tc>
          <w:tcPr>
            <w:tcW w:w="320" w:type="dxa"/>
            <w:vAlign w:val="bottom"/>
            <w:shd w:val="clear" w:color="auto" w:fill="DBDBDB"/>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DBDBDB"/>
          </w:tcPr>
          <w:p>
            <w:pPr>
              <w:spacing w:after="0"/>
              <w:rPr>
                <w:sz w:val="19"/>
                <w:szCs w:val="19"/>
                <w:color w:val="auto"/>
              </w:rPr>
            </w:pPr>
          </w:p>
        </w:tc>
        <w:tc>
          <w:tcPr>
            <w:tcW w:w="10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(22,304)</w:t>
            </w:r>
          </w:p>
        </w:tc>
        <w:tc>
          <w:tcPr>
            <w:tcW w:w="2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DBDBDB"/>
          </w:tcPr>
          <w:p>
            <w:pPr>
              <w:spacing w:after="0"/>
              <w:rPr>
                <w:sz w:val="19"/>
                <w:szCs w:val="19"/>
                <w:color w:val="auto"/>
              </w:rPr>
            </w:pPr>
          </w:p>
        </w:tc>
        <w:tc>
          <w:tcPr>
            <w:tcW w:w="11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295,126</w:t>
            </w:r>
          </w:p>
        </w:tc>
        <w:tc>
          <w:tcPr>
            <w:tcW w:w="0" w:type="dxa"/>
            <w:vAlign w:val="bottom"/>
          </w:tcPr>
          <w:p>
            <w:pPr>
              <w:spacing w:after="0"/>
              <w:rPr>
                <w:sz w:val="1"/>
                <w:szCs w:val="1"/>
                <w:color w:val="auto"/>
              </w:rPr>
            </w:pPr>
          </w:p>
        </w:tc>
      </w:tr>
      <w:tr>
        <w:trPr>
          <w:trHeight w:val="211"/>
        </w:trPr>
        <w:tc>
          <w:tcPr>
            <w:tcW w:w="43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Mortgage-backed securities issued or guaranteed by U.S.</w:t>
            </w: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43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government agencies or sponsored enterprises</w:t>
            </w:r>
          </w:p>
        </w:tc>
        <w:tc>
          <w:tcPr>
            <w:tcW w:w="6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205,175</w:t>
            </w:r>
          </w:p>
        </w:tc>
        <w:tc>
          <w:tcPr>
            <w:tcW w:w="6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(31,236)</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173,939</w:t>
            </w:r>
          </w:p>
        </w:tc>
        <w:tc>
          <w:tcPr>
            <w:tcW w:w="0" w:type="dxa"/>
            <w:vAlign w:val="bottom"/>
          </w:tcPr>
          <w:p>
            <w:pPr>
              <w:spacing w:after="0"/>
              <w:rPr>
                <w:sz w:val="1"/>
                <w:szCs w:val="1"/>
                <w:color w:val="auto"/>
              </w:rPr>
            </w:pPr>
          </w:p>
        </w:tc>
      </w:tr>
      <w:tr>
        <w:trPr>
          <w:trHeight w:val="257"/>
        </w:trPr>
        <w:tc>
          <w:tcPr>
            <w:tcW w:w="304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Corporate bonds</w:t>
            </w:r>
          </w:p>
        </w:tc>
        <w:tc>
          <w:tcPr>
            <w:tcW w:w="160" w:type="dxa"/>
            <w:vAlign w:val="bottom"/>
            <w:shd w:val="clear" w:color="auto" w:fill="DBDBDB"/>
          </w:tcPr>
          <w:p>
            <w:pPr>
              <w:spacing w:after="0"/>
              <w:rPr>
                <w:sz w:val="22"/>
                <w:szCs w:val="22"/>
                <w:color w:val="auto"/>
              </w:rPr>
            </w:pPr>
          </w:p>
        </w:tc>
        <w:tc>
          <w:tcPr>
            <w:tcW w:w="1140" w:type="dxa"/>
            <w:vAlign w:val="bottom"/>
            <w:shd w:val="clear" w:color="auto" w:fill="DBDBDB"/>
          </w:tcPr>
          <w:p>
            <w:pPr>
              <w:spacing w:after="0"/>
              <w:rPr>
                <w:sz w:val="22"/>
                <w:szCs w:val="22"/>
                <w:color w:val="auto"/>
              </w:rPr>
            </w:pPr>
          </w:p>
        </w:tc>
        <w:tc>
          <w:tcPr>
            <w:tcW w:w="680" w:type="dxa"/>
            <w:vAlign w:val="bottom"/>
            <w:shd w:val="clear" w:color="auto" w:fill="DBDBDB"/>
          </w:tcPr>
          <w:p>
            <w:pPr>
              <w:spacing w:after="0"/>
              <w:rPr>
                <w:sz w:val="22"/>
                <w:szCs w:val="22"/>
                <w:color w:val="auto"/>
              </w:rPr>
            </w:pPr>
          </w:p>
        </w:tc>
        <w:tc>
          <w:tcPr>
            <w:tcW w:w="300" w:type="dxa"/>
            <w:vAlign w:val="bottom"/>
            <w:shd w:val="clear" w:color="auto" w:fill="DBDBDB"/>
          </w:tcPr>
          <w:p>
            <w:pPr>
              <w:spacing w:after="0"/>
              <w:rPr>
                <w:sz w:val="22"/>
                <w:szCs w:val="22"/>
                <w:color w:val="auto"/>
              </w:rPr>
            </w:pPr>
          </w:p>
        </w:tc>
        <w:tc>
          <w:tcPr>
            <w:tcW w:w="440" w:type="dxa"/>
            <w:vAlign w:val="bottom"/>
            <w:shd w:val="clear" w:color="auto" w:fill="DBDBDB"/>
          </w:tcPr>
          <w:p>
            <w:pPr>
              <w:spacing w:after="0"/>
              <w:rPr>
                <w:sz w:val="22"/>
                <w:szCs w:val="22"/>
                <w:color w:val="auto"/>
              </w:rPr>
            </w:pPr>
          </w:p>
        </w:tc>
        <w:tc>
          <w:tcPr>
            <w:tcW w:w="180" w:type="dxa"/>
            <w:vAlign w:val="bottom"/>
            <w:shd w:val="clear" w:color="auto" w:fill="DBDBDB"/>
          </w:tcPr>
          <w:p>
            <w:pPr>
              <w:spacing w:after="0"/>
              <w:rPr>
                <w:sz w:val="22"/>
                <w:szCs w:val="22"/>
                <w:color w:val="auto"/>
              </w:rPr>
            </w:pPr>
          </w:p>
        </w:tc>
        <w:tc>
          <w:tcPr>
            <w:tcW w:w="5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w w:val="92"/>
              </w:rPr>
              <w:t>96,348</w:t>
            </w:r>
          </w:p>
        </w:tc>
        <w:tc>
          <w:tcPr>
            <w:tcW w:w="600" w:type="dxa"/>
            <w:vAlign w:val="bottom"/>
            <w:shd w:val="clear" w:color="auto" w:fill="DBDBDB"/>
          </w:tcPr>
          <w:p>
            <w:pPr>
              <w:spacing w:after="0"/>
              <w:rPr>
                <w:sz w:val="22"/>
                <w:szCs w:val="22"/>
                <w:color w:val="auto"/>
              </w:rPr>
            </w:pPr>
          </w:p>
        </w:tc>
        <w:tc>
          <w:tcPr>
            <w:tcW w:w="740" w:type="dxa"/>
            <w:vAlign w:val="bottom"/>
            <w:shd w:val="clear" w:color="auto" w:fill="DBDBDB"/>
          </w:tcPr>
          <w:p>
            <w:pPr>
              <w:spacing w:after="0"/>
              <w:rPr>
                <w:sz w:val="22"/>
                <w:szCs w:val="22"/>
                <w:color w:val="auto"/>
              </w:rPr>
            </w:pPr>
          </w:p>
        </w:tc>
        <w:tc>
          <w:tcPr>
            <w:tcW w:w="340" w:type="dxa"/>
            <w:vAlign w:val="bottom"/>
            <w:shd w:val="clear" w:color="auto" w:fill="DBDBDB"/>
          </w:tcPr>
          <w:p>
            <w:pPr>
              <w:jc w:val="right"/>
              <w:ind w:right="50"/>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shd w:val="clear" w:color="auto" w:fill="DBDBDB"/>
          </w:tcPr>
          <w:p>
            <w:pPr>
              <w:spacing w:after="0"/>
              <w:rPr>
                <w:sz w:val="22"/>
                <w:szCs w:val="22"/>
                <w:color w:val="auto"/>
              </w:rPr>
            </w:pPr>
          </w:p>
        </w:tc>
        <w:tc>
          <w:tcPr>
            <w:tcW w:w="220" w:type="dxa"/>
            <w:vAlign w:val="bottom"/>
            <w:shd w:val="clear" w:color="auto" w:fill="DBDBDB"/>
          </w:tcPr>
          <w:p>
            <w:pPr>
              <w:spacing w:after="0"/>
              <w:rPr>
                <w:sz w:val="22"/>
                <w:szCs w:val="22"/>
                <w:color w:val="auto"/>
              </w:rPr>
            </w:pPr>
          </w:p>
        </w:tc>
        <w:tc>
          <w:tcPr>
            <w:tcW w:w="10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(11,251)</w:t>
            </w:r>
          </w:p>
        </w:tc>
        <w:tc>
          <w:tcPr>
            <w:tcW w:w="240" w:type="dxa"/>
            <w:vAlign w:val="bottom"/>
            <w:shd w:val="clear" w:color="auto" w:fill="DBDBDB"/>
          </w:tcPr>
          <w:p>
            <w:pPr>
              <w:spacing w:after="0"/>
              <w:rPr>
                <w:sz w:val="22"/>
                <w:szCs w:val="22"/>
                <w:color w:val="auto"/>
              </w:rPr>
            </w:pPr>
          </w:p>
        </w:tc>
        <w:tc>
          <w:tcPr>
            <w:tcW w:w="160" w:type="dxa"/>
            <w:vAlign w:val="bottom"/>
            <w:shd w:val="clear" w:color="auto" w:fill="DBDBDB"/>
          </w:tcPr>
          <w:p>
            <w:pPr>
              <w:spacing w:after="0"/>
              <w:rPr>
                <w:sz w:val="22"/>
                <w:szCs w:val="22"/>
                <w:color w:val="auto"/>
              </w:rPr>
            </w:pPr>
          </w:p>
        </w:tc>
        <w:tc>
          <w:tcPr>
            <w:tcW w:w="11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85,097</w:t>
            </w:r>
          </w:p>
        </w:tc>
        <w:tc>
          <w:tcPr>
            <w:tcW w:w="0" w:type="dxa"/>
            <w:vAlign w:val="bottom"/>
          </w:tcPr>
          <w:p>
            <w:pPr>
              <w:spacing w:after="0"/>
              <w:rPr>
                <w:sz w:val="1"/>
                <w:szCs w:val="1"/>
                <w:color w:val="auto"/>
              </w:rPr>
            </w:pPr>
          </w:p>
        </w:tc>
      </w:tr>
      <w:tr>
        <w:trPr>
          <w:trHeight w:val="257"/>
        </w:trPr>
        <w:tc>
          <w:tcPr>
            <w:tcW w:w="3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Treasury Securities</w:t>
            </w:r>
          </w:p>
        </w:tc>
        <w:tc>
          <w:tcPr>
            <w:tcW w:w="1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158,935</w:t>
            </w:r>
          </w:p>
        </w:tc>
        <w:tc>
          <w:tcPr>
            <w:tcW w:w="6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(3,652)</w:t>
            </w:r>
          </w:p>
        </w:tc>
        <w:tc>
          <w:tcPr>
            <w:tcW w:w="2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155,283</w:t>
            </w:r>
          </w:p>
        </w:tc>
        <w:tc>
          <w:tcPr>
            <w:tcW w:w="0" w:type="dxa"/>
            <w:vAlign w:val="bottom"/>
          </w:tcPr>
          <w:p>
            <w:pPr>
              <w:spacing w:after="0"/>
              <w:rPr>
                <w:sz w:val="1"/>
                <w:szCs w:val="1"/>
                <w:color w:val="auto"/>
              </w:rPr>
            </w:pPr>
          </w:p>
        </w:tc>
      </w:tr>
      <w:tr>
        <w:trPr>
          <w:trHeight w:val="211"/>
        </w:trPr>
        <w:tc>
          <w:tcPr>
            <w:tcW w:w="5320" w:type="dxa"/>
            <w:vAlign w:val="bottom"/>
            <w:gridSpan w:val="5"/>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Asset backed securities issued or guaranteed by U.S. government</w:t>
            </w:r>
          </w:p>
        </w:tc>
        <w:tc>
          <w:tcPr>
            <w:tcW w:w="440" w:type="dxa"/>
            <w:vAlign w:val="bottom"/>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520" w:type="dxa"/>
            <w:vAlign w:val="bottom"/>
            <w:shd w:val="clear" w:color="auto" w:fill="DBDBDB"/>
          </w:tcPr>
          <w:p>
            <w:pPr>
              <w:spacing w:after="0"/>
              <w:rPr>
                <w:sz w:val="18"/>
                <w:szCs w:val="18"/>
                <w:color w:val="auto"/>
              </w:rPr>
            </w:pPr>
          </w:p>
        </w:tc>
        <w:tc>
          <w:tcPr>
            <w:tcW w:w="600" w:type="dxa"/>
            <w:vAlign w:val="bottom"/>
            <w:shd w:val="clear" w:color="auto" w:fill="DBDBDB"/>
          </w:tcPr>
          <w:p>
            <w:pPr>
              <w:spacing w:after="0"/>
              <w:rPr>
                <w:sz w:val="18"/>
                <w:szCs w:val="18"/>
                <w:color w:val="auto"/>
              </w:rPr>
            </w:pPr>
          </w:p>
        </w:tc>
        <w:tc>
          <w:tcPr>
            <w:tcW w:w="740" w:type="dxa"/>
            <w:vAlign w:val="bottom"/>
            <w:shd w:val="clear" w:color="auto" w:fill="DBDBDB"/>
          </w:tcPr>
          <w:p>
            <w:pPr>
              <w:spacing w:after="0"/>
              <w:rPr>
                <w:sz w:val="18"/>
                <w:szCs w:val="18"/>
                <w:color w:val="auto"/>
              </w:rPr>
            </w:pPr>
          </w:p>
        </w:tc>
        <w:tc>
          <w:tcPr>
            <w:tcW w:w="340" w:type="dxa"/>
            <w:vAlign w:val="bottom"/>
            <w:shd w:val="clear" w:color="auto" w:fill="DBDBDB"/>
          </w:tcPr>
          <w:p>
            <w:pPr>
              <w:spacing w:after="0"/>
              <w:rPr>
                <w:sz w:val="18"/>
                <w:szCs w:val="18"/>
                <w:color w:val="auto"/>
              </w:rPr>
            </w:pPr>
          </w:p>
        </w:tc>
        <w:tc>
          <w:tcPr>
            <w:tcW w:w="320" w:type="dxa"/>
            <w:vAlign w:val="bottom"/>
            <w:shd w:val="clear" w:color="auto" w:fill="DBDBDB"/>
          </w:tcPr>
          <w:p>
            <w:pPr>
              <w:spacing w:after="0"/>
              <w:rPr>
                <w:sz w:val="18"/>
                <w:szCs w:val="18"/>
                <w:color w:val="auto"/>
              </w:rPr>
            </w:pPr>
          </w:p>
        </w:tc>
        <w:tc>
          <w:tcPr>
            <w:tcW w:w="220" w:type="dxa"/>
            <w:vAlign w:val="bottom"/>
            <w:shd w:val="clear" w:color="auto" w:fill="DBDBDB"/>
          </w:tcPr>
          <w:p>
            <w:pPr>
              <w:spacing w:after="0"/>
              <w:rPr>
                <w:sz w:val="18"/>
                <w:szCs w:val="18"/>
                <w:color w:val="auto"/>
              </w:rPr>
            </w:pPr>
          </w:p>
        </w:tc>
        <w:tc>
          <w:tcPr>
            <w:tcW w:w="1000" w:type="dxa"/>
            <w:vAlign w:val="bottom"/>
            <w:shd w:val="clear" w:color="auto" w:fill="DBDBDB"/>
          </w:tcPr>
          <w:p>
            <w:pPr>
              <w:spacing w:after="0"/>
              <w:rPr>
                <w:sz w:val="18"/>
                <w:szCs w:val="18"/>
                <w:color w:val="auto"/>
              </w:rPr>
            </w:pPr>
          </w:p>
        </w:tc>
        <w:tc>
          <w:tcPr>
            <w:tcW w:w="240" w:type="dxa"/>
            <w:vAlign w:val="bottom"/>
            <w:shd w:val="clear" w:color="auto" w:fill="DBDBDB"/>
          </w:tcPr>
          <w:p>
            <w:pPr>
              <w:spacing w:after="0"/>
              <w:rPr>
                <w:sz w:val="18"/>
                <w:szCs w:val="18"/>
                <w:color w:val="auto"/>
              </w:rPr>
            </w:pPr>
          </w:p>
        </w:tc>
        <w:tc>
          <w:tcPr>
            <w:tcW w:w="160" w:type="dxa"/>
            <w:vAlign w:val="bottom"/>
            <w:shd w:val="clear" w:color="auto" w:fill="DBDBDB"/>
          </w:tcPr>
          <w:p>
            <w:pPr>
              <w:spacing w:after="0"/>
              <w:rPr>
                <w:sz w:val="18"/>
                <w:szCs w:val="18"/>
                <w:color w:val="auto"/>
              </w:rPr>
            </w:pPr>
          </w:p>
        </w:tc>
        <w:tc>
          <w:tcPr>
            <w:tcW w:w="116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3040" w:type="dxa"/>
            <w:vAlign w:val="bottom"/>
            <w:tcBorders>
              <w:bottom w:val="single" w:sz="8" w:color="auto"/>
            </w:tcBorders>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agencies or sponsored enterprises</w:t>
            </w:r>
          </w:p>
        </w:tc>
        <w:tc>
          <w:tcPr>
            <w:tcW w:w="160" w:type="dxa"/>
            <w:vAlign w:val="bottom"/>
            <w:tcBorders>
              <w:bottom w:val="single" w:sz="8" w:color="auto"/>
            </w:tcBorders>
            <w:shd w:val="clear" w:color="auto" w:fill="DBDBDB"/>
          </w:tcPr>
          <w:p>
            <w:pPr>
              <w:spacing w:after="0"/>
              <w:rPr>
                <w:sz w:val="21"/>
                <w:szCs w:val="21"/>
                <w:color w:val="auto"/>
              </w:rPr>
            </w:pPr>
          </w:p>
        </w:tc>
        <w:tc>
          <w:tcPr>
            <w:tcW w:w="1140" w:type="dxa"/>
            <w:vAlign w:val="bottom"/>
            <w:tcBorders>
              <w:bottom w:val="single" w:sz="8" w:color="auto"/>
            </w:tcBorders>
            <w:shd w:val="clear" w:color="auto" w:fill="DBDBDB"/>
          </w:tcPr>
          <w:p>
            <w:pPr>
              <w:spacing w:after="0"/>
              <w:rPr>
                <w:sz w:val="21"/>
                <w:szCs w:val="21"/>
                <w:color w:val="auto"/>
              </w:rPr>
            </w:pPr>
          </w:p>
        </w:tc>
        <w:tc>
          <w:tcPr>
            <w:tcW w:w="680" w:type="dxa"/>
            <w:vAlign w:val="bottom"/>
            <w:tcBorders>
              <w:bottom w:val="single" w:sz="8" w:color="auto"/>
            </w:tcBorders>
            <w:shd w:val="clear" w:color="auto" w:fill="DBDBDB"/>
          </w:tcPr>
          <w:p>
            <w:pPr>
              <w:spacing w:after="0"/>
              <w:rPr>
                <w:sz w:val="21"/>
                <w:szCs w:val="21"/>
                <w:color w:val="auto"/>
              </w:rPr>
            </w:pPr>
          </w:p>
        </w:tc>
        <w:tc>
          <w:tcPr>
            <w:tcW w:w="300" w:type="dxa"/>
            <w:vAlign w:val="bottom"/>
            <w:tcBorders>
              <w:bottom w:val="single" w:sz="8" w:color="auto"/>
            </w:tcBorders>
            <w:shd w:val="clear" w:color="auto" w:fill="DBDBDB"/>
          </w:tcPr>
          <w:p>
            <w:pPr>
              <w:spacing w:after="0"/>
              <w:rPr>
                <w:sz w:val="21"/>
                <w:szCs w:val="21"/>
                <w:color w:val="auto"/>
              </w:rPr>
            </w:pPr>
          </w:p>
        </w:tc>
        <w:tc>
          <w:tcPr>
            <w:tcW w:w="440" w:type="dxa"/>
            <w:vAlign w:val="bottom"/>
            <w:tcBorders>
              <w:bottom w:val="single" w:sz="8" w:color="auto"/>
            </w:tcBorders>
            <w:shd w:val="clear" w:color="auto" w:fill="DBDBDB"/>
          </w:tcPr>
          <w:p>
            <w:pPr>
              <w:spacing w:after="0"/>
              <w:rPr>
                <w:sz w:val="21"/>
                <w:szCs w:val="21"/>
                <w:color w:val="auto"/>
              </w:rPr>
            </w:pPr>
          </w:p>
        </w:tc>
        <w:tc>
          <w:tcPr>
            <w:tcW w:w="180" w:type="dxa"/>
            <w:vAlign w:val="bottom"/>
            <w:tcBorders>
              <w:bottom w:val="single" w:sz="8" w:color="auto"/>
            </w:tcBorders>
            <w:shd w:val="clear" w:color="auto" w:fill="DBDBDB"/>
          </w:tcPr>
          <w:p>
            <w:pPr>
              <w:spacing w:after="0"/>
              <w:rPr>
                <w:sz w:val="21"/>
                <w:szCs w:val="21"/>
                <w:color w:val="auto"/>
              </w:rPr>
            </w:pPr>
          </w:p>
        </w:tc>
        <w:tc>
          <w:tcPr>
            <w:tcW w:w="52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w w:val="92"/>
              </w:rPr>
              <w:t>47,213</w:t>
            </w:r>
          </w:p>
        </w:tc>
        <w:tc>
          <w:tcPr>
            <w:tcW w:w="600" w:type="dxa"/>
            <w:vAlign w:val="bottom"/>
            <w:tcBorders>
              <w:bottom w:val="single" w:sz="8" w:color="auto"/>
            </w:tcBorders>
            <w:shd w:val="clear" w:color="auto" w:fill="DBDBDB"/>
          </w:tcPr>
          <w:p>
            <w:pPr>
              <w:spacing w:after="0"/>
              <w:rPr>
                <w:sz w:val="21"/>
                <w:szCs w:val="21"/>
                <w:color w:val="auto"/>
              </w:rPr>
            </w:pPr>
          </w:p>
        </w:tc>
        <w:tc>
          <w:tcPr>
            <w:tcW w:w="740" w:type="dxa"/>
            <w:vAlign w:val="bottom"/>
            <w:tcBorders>
              <w:bottom w:val="single" w:sz="8" w:color="auto"/>
            </w:tcBorders>
            <w:shd w:val="clear" w:color="auto" w:fill="DBDBDB"/>
          </w:tcPr>
          <w:p>
            <w:pPr>
              <w:spacing w:after="0"/>
              <w:rPr>
                <w:sz w:val="21"/>
                <w:szCs w:val="21"/>
                <w:color w:val="auto"/>
              </w:rPr>
            </w:pPr>
          </w:p>
        </w:tc>
        <w:tc>
          <w:tcPr>
            <w:tcW w:w="340" w:type="dxa"/>
            <w:vAlign w:val="bottom"/>
            <w:tcBorders>
              <w:bottom w:val="single" w:sz="8" w:color="auto"/>
            </w:tcBorders>
            <w:shd w:val="clear" w:color="auto" w:fill="DBDBDB"/>
          </w:tcPr>
          <w:p>
            <w:pPr>
              <w:jc w:val="right"/>
              <w:ind w:right="50"/>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tcBorders>
              <w:bottom w:val="single" w:sz="8" w:color="auto"/>
            </w:tcBorders>
            <w:shd w:val="clear" w:color="auto" w:fill="DBDBDB"/>
          </w:tcPr>
          <w:p>
            <w:pPr>
              <w:spacing w:after="0"/>
              <w:rPr>
                <w:sz w:val="21"/>
                <w:szCs w:val="21"/>
                <w:color w:val="auto"/>
              </w:rPr>
            </w:pPr>
          </w:p>
        </w:tc>
        <w:tc>
          <w:tcPr>
            <w:tcW w:w="220" w:type="dxa"/>
            <w:vAlign w:val="bottom"/>
            <w:tcBorders>
              <w:bottom w:val="single" w:sz="8" w:color="auto"/>
            </w:tcBorders>
            <w:shd w:val="clear" w:color="auto" w:fill="DBDBDB"/>
          </w:tcPr>
          <w:p>
            <w:pPr>
              <w:spacing w:after="0"/>
              <w:rPr>
                <w:sz w:val="21"/>
                <w:szCs w:val="21"/>
                <w:color w:val="auto"/>
              </w:rPr>
            </w:pPr>
          </w:p>
        </w:tc>
        <w:tc>
          <w:tcPr>
            <w:tcW w:w="100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(2,190)</w:t>
            </w:r>
          </w:p>
        </w:tc>
        <w:tc>
          <w:tcPr>
            <w:tcW w:w="240" w:type="dxa"/>
            <w:vAlign w:val="bottom"/>
            <w:tcBorders>
              <w:bottom w:val="single" w:sz="8" w:color="auto"/>
            </w:tcBorders>
            <w:shd w:val="clear" w:color="auto" w:fill="DBDBDB"/>
          </w:tcPr>
          <w:p>
            <w:pPr>
              <w:spacing w:after="0"/>
              <w:rPr>
                <w:sz w:val="21"/>
                <w:szCs w:val="21"/>
                <w:color w:val="auto"/>
              </w:rPr>
            </w:pPr>
          </w:p>
        </w:tc>
        <w:tc>
          <w:tcPr>
            <w:tcW w:w="160" w:type="dxa"/>
            <w:vAlign w:val="bottom"/>
            <w:tcBorders>
              <w:bottom w:val="single" w:sz="8" w:color="auto"/>
            </w:tcBorders>
            <w:shd w:val="clear" w:color="auto" w:fill="DBDBDB"/>
          </w:tcPr>
          <w:p>
            <w:pPr>
              <w:spacing w:after="0"/>
              <w:rPr>
                <w:sz w:val="21"/>
                <w:szCs w:val="21"/>
                <w:color w:val="auto"/>
              </w:rPr>
            </w:pPr>
          </w:p>
        </w:tc>
        <w:tc>
          <w:tcPr>
            <w:tcW w:w="116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45,023</w:t>
            </w:r>
          </w:p>
        </w:tc>
        <w:tc>
          <w:tcPr>
            <w:tcW w:w="0" w:type="dxa"/>
            <w:vAlign w:val="bottom"/>
          </w:tcPr>
          <w:p>
            <w:pPr>
              <w:spacing w:after="0"/>
              <w:rPr>
                <w:sz w:val="1"/>
                <w:szCs w:val="1"/>
                <w:color w:val="auto"/>
              </w:rPr>
            </w:pPr>
          </w:p>
        </w:tc>
      </w:tr>
      <w:tr>
        <w:trPr>
          <w:trHeight w:val="223"/>
        </w:trPr>
        <w:tc>
          <w:tcPr>
            <w:tcW w:w="304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825,047</w:t>
            </w:r>
          </w:p>
        </w:tc>
        <w:tc>
          <w:tcPr>
            <w:tcW w:w="6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99"/>
              </w:rPr>
              <w:t>54</w:t>
            </w:r>
          </w:p>
        </w:tc>
        <w:tc>
          <w:tcPr>
            <w:tcW w:w="3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(70,633)</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754,468</w:t>
            </w:r>
          </w:p>
        </w:tc>
        <w:tc>
          <w:tcPr>
            <w:tcW w:w="0" w:type="dxa"/>
            <w:vAlign w:val="bottom"/>
          </w:tcPr>
          <w:p>
            <w:pPr>
              <w:spacing w:after="0"/>
              <w:rPr>
                <w:sz w:val="1"/>
                <w:szCs w:val="1"/>
                <w:color w:val="auto"/>
              </w:rPr>
            </w:pPr>
          </w:p>
        </w:tc>
      </w:tr>
      <w:tr>
        <w:trPr>
          <w:trHeight w:val="507"/>
        </w:trPr>
        <w:tc>
          <w:tcPr>
            <w:tcW w:w="53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The fair values of securities with unrealized losses are as follows:</w:t>
            </w: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30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gridSpan w:val="4"/>
          </w:tcPr>
          <w:p>
            <w:pPr>
              <w:ind w:left="46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3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0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120" w:type="dxa"/>
            <w:vAlign w:val="bottom"/>
            <w:tcBorders>
              <w:bottom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Less than 12 months</w:t>
            </w:r>
          </w:p>
        </w:tc>
        <w:tc>
          <w:tcPr>
            <w:tcW w:w="44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2200" w:type="dxa"/>
            <w:vAlign w:val="bottom"/>
            <w:tcBorders>
              <w:bottom w:val="single" w:sz="8" w:color="auto"/>
            </w:tcBorders>
            <w:gridSpan w:val="4"/>
          </w:tcPr>
          <w:p>
            <w:pPr>
              <w:ind w:left="460"/>
              <w:spacing w:after="0"/>
              <w:rPr>
                <w:sz w:val="20"/>
                <w:szCs w:val="20"/>
                <w:color w:val="auto"/>
              </w:rPr>
            </w:pPr>
            <w:r>
              <w:rPr>
                <w:rFonts w:ascii="Times New Roman" w:cs="Times New Roman" w:eastAsia="Times New Roman" w:hAnsi="Times New Roman"/>
                <w:sz w:val="18"/>
                <w:szCs w:val="18"/>
                <w:b w:val="1"/>
                <w:bCs w:val="1"/>
                <w:color w:val="auto"/>
              </w:rPr>
              <w:t>12 months or more</w:t>
            </w:r>
          </w:p>
        </w:tc>
        <w:tc>
          <w:tcPr>
            <w:tcW w:w="3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gridSpan w:val="3"/>
          </w:tcPr>
          <w:p>
            <w:pPr>
              <w:jc w:val="right"/>
              <w:ind w:right="105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175"/>
        </w:trPr>
        <w:tc>
          <w:tcPr>
            <w:tcW w:w="30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160" w:type="dxa"/>
            <w:vAlign w:val="bottom"/>
          </w:tcPr>
          <w:p>
            <w:pPr>
              <w:spacing w:after="0"/>
              <w:rPr>
                <w:sz w:val="15"/>
                <w:szCs w:val="15"/>
                <w:color w:val="auto"/>
              </w:rPr>
            </w:pPr>
          </w:p>
        </w:tc>
        <w:tc>
          <w:tcPr>
            <w:tcW w:w="1140" w:type="dxa"/>
            <w:vAlign w:val="bottom"/>
          </w:tcPr>
          <w:p>
            <w:pPr>
              <w:jc w:val="right"/>
              <w:ind w:right="190"/>
              <w:spacing w:after="0" w:line="176" w:lineRule="exact"/>
              <w:rPr>
                <w:sz w:val="20"/>
                <w:szCs w:val="20"/>
                <w:color w:val="auto"/>
              </w:rPr>
            </w:pPr>
            <w:r>
              <w:rPr>
                <w:rFonts w:ascii="Times New Roman" w:cs="Times New Roman" w:eastAsia="Times New Roman" w:hAnsi="Times New Roman"/>
                <w:sz w:val="18"/>
                <w:szCs w:val="18"/>
                <w:b w:val="1"/>
                <w:bCs w:val="1"/>
                <w:color w:val="auto"/>
              </w:rPr>
              <w:t>Estimated</w:t>
            </w:r>
          </w:p>
        </w:tc>
        <w:tc>
          <w:tcPr>
            <w:tcW w:w="1420" w:type="dxa"/>
            <w:vAlign w:val="bottom"/>
            <w:gridSpan w:val="3"/>
          </w:tcPr>
          <w:p>
            <w:pPr>
              <w:jc w:val="right"/>
              <w:ind w:right="210"/>
              <w:spacing w:after="0" w:line="176" w:lineRule="exact"/>
              <w:rPr>
                <w:sz w:val="20"/>
                <w:szCs w:val="20"/>
                <w:color w:val="auto"/>
              </w:rPr>
            </w:pPr>
            <w:r>
              <w:rPr>
                <w:rFonts w:ascii="Times New Roman" w:cs="Times New Roman" w:eastAsia="Times New Roman" w:hAnsi="Times New Roman"/>
                <w:sz w:val="18"/>
                <w:szCs w:val="18"/>
                <w:b w:val="1"/>
                <w:bCs w:val="1"/>
                <w:color w:val="auto"/>
              </w:rPr>
              <w:t>Unrealized</w:t>
            </w:r>
          </w:p>
        </w:tc>
        <w:tc>
          <w:tcPr>
            <w:tcW w:w="180" w:type="dxa"/>
            <w:vAlign w:val="bottom"/>
          </w:tcPr>
          <w:p>
            <w:pPr>
              <w:spacing w:after="0"/>
              <w:rPr>
                <w:sz w:val="15"/>
                <w:szCs w:val="15"/>
                <w:color w:val="auto"/>
              </w:rPr>
            </w:pPr>
          </w:p>
        </w:tc>
        <w:tc>
          <w:tcPr>
            <w:tcW w:w="1120" w:type="dxa"/>
            <w:vAlign w:val="bottom"/>
            <w:gridSpan w:val="2"/>
          </w:tcPr>
          <w:p>
            <w:pPr>
              <w:jc w:val="right"/>
              <w:ind w:right="150"/>
              <w:spacing w:after="0" w:line="176" w:lineRule="exact"/>
              <w:rPr>
                <w:sz w:val="20"/>
                <w:szCs w:val="20"/>
                <w:color w:val="auto"/>
              </w:rPr>
            </w:pPr>
            <w:r>
              <w:rPr>
                <w:rFonts w:ascii="Times New Roman" w:cs="Times New Roman" w:eastAsia="Times New Roman" w:hAnsi="Times New Roman"/>
                <w:sz w:val="18"/>
                <w:szCs w:val="18"/>
                <w:b w:val="1"/>
                <w:bCs w:val="1"/>
                <w:color w:val="auto"/>
              </w:rPr>
              <w:t>Estimated</w:t>
            </w:r>
          </w:p>
        </w:tc>
        <w:tc>
          <w:tcPr>
            <w:tcW w:w="1400" w:type="dxa"/>
            <w:vAlign w:val="bottom"/>
            <w:gridSpan w:val="3"/>
          </w:tcPr>
          <w:p>
            <w:pPr>
              <w:ind w:left="340"/>
              <w:spacing w:after="0" w:line="176" w:lineRule="exact"/>
              <w:rPr>
                <w:sz w:val="20"/>
                <w:szCs w:val="20"/>
                <w:color w:val="auto"/>
              </w:rPr>
            </w:pPr>
            <w:r>
              <w:rPr>
                <w:rFonts w:ascii="Times New Roman" w:cs="Times New Roman" w:eastAsia="Times New Roman" w:hAnsi="Times New Roman"/>
                <w:sz w:val="18"/>
                <w:szCs w:val="18"/>
                <w:b w:val="1"/>
                <w:bCs w:val="1"/>
                <w:color w:val="auto"/>
              </w:rPr>
              <w:t>Unrealized</w:t>
            </w:r>
          </w:p>
        </w:tc>
        <w:tc>
          <w:tcPr>
            <w:tcW w:w="220" w:type="dxa"/>
            <w:vAlign w:val="bottom"/>
          </w:tcPr>
          <w:p>
            <w:pPr>
              <w:spacing w:after="0"/>
              <w:rPr>
                <w:sz w:val="15"/>
                <w:szCs w:val="15"/>
                <w:color w:val="auto"/>
              </w:rPr>
            </w:pPr>
          </w:p>
        </w:tc>
        <w:tc>
          <w:tcPr>
            <w:tcW w:w="10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auto"/>
              </w:rPr>
              <w:t>Estimated</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jc w:val="right"/>
              <w:ind w:right="130"/>
              <w:spacing w:after="0" w:line="176" w:lineRule="exact"/>
              <w:rPr>
                <w:sz w:val="20"/>
                <w:szCs w:val="20"/>
                <w:color w:val="auto"/>
              </w:rPr>
            </w:pPr>
            <w:r>
              <w:rPr>
                <w:rFonts w:ascii="Times New Roman" w:cs="Times New Roman" w:eastAsia="Times New Roman" w:hAnsi="Times New Roman"/>
                <w:sz w:val="18"/>
                <w:szCs w:val="18"/>
                <w:b w:val="1"/>
                <w:bCs w:val="1"/>
                <w:color w:val="auto"/>
              </w:rPr>
              <w:t>Unrealized</w:t>
            </w:r>
          </w:p>
        </w:tc>
        <w:tc>
          <w:tcPr>
            <w:tcW w:w="0" w:type="dxa"/>
            <w:vAlign w:val="bottom"/>
          </w:tcPr>
          <w:p>
            <w:pPr>
              <w:spacing w:after="0"/>
              <w:rPr>
                <w:sz w:val="1"/>
                <w:szCs w:val="1"/>
                <w:color w:val="auto"/>
              </w:rPr>
            </w:pPr>
          </w:p>
        </w:tc>
      </w:tr>
      <w:tr>
        <w:trPr>
          <w:trHeight w:val="241"/>
        </w:trPr>
        <w:tc>
          <w:tcPr>
            <w:tcW w:w="3040" w:type="dxa"/>
            <w:vAlign w:val="bottom"/>
            <w:tcBorders>
              <w:bottom w:val="single" w:sz="8" w:color="auto"/>
            </w:tcBorders>
            <w:vMerge w:val="continue"/>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9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4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2"/>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0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3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2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0" w:type="dxa"/>
            <w:vAlign w:val="bottom"/>
          </w:tcPr>
          <w:p>
            <w:pPr>
              <w:spacing w:after="0"/>
              <w:rPr>
                <w:sz w:val="1"/>
                <w:szCs w:val="1"/>
                <w:color w:val="auto"/>
              </w:rPr>
            </w:pPr>
          </w:p>
        </w:tc>
      </w:tr>
      <w:tr>
        <w:trPr>
          <w:trHeight w:val="252"/>
        </w:trPr>
        <w:tc>
          <w:tcPr>
            <w:tcW w:w="304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State and political subdivisions</w:t>
            </w:r>
          </w:p>
        </w:tc>
        <w:tc>
          <w:tcPr>
            <w:tcW w:w="1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DBDBDB"/>
          </w:tcPr>
          <w:p>
            <w:pPr>
              <w:jc w:val="right"/>
              <w:ind w:right="10"/>
              <w:spacing w:after="0"/>
              <w:rPr>
                <w:sz w:val="20"/>
                <w:szCs w:val="20"/>
                <w:color w:val="auto"/>
              </w:rPr>
            </w:pPr>
            <w:r>
              <w:rPr>
                <w:rFonts w:ascii="Times New Roman" w:cs="Times New Roman" w:eastAsia="Times New Roman" w:hAnsi="Times New Roman"/>
                <w:sz w:val="18"/>
                <w:szCs w:val="18"/>
                <w:color w:val="auto"/>
              </w:rPr>
              <w:t>63,198</w:t>
            </w:r>
          </w:p>
        </w:tc>
        <w:tc>
          <w:tcPr>
            <w:tcW w:w="680" w:type="dxa"/>
            <w:vAlign w:val="bottom"/>
            <w:shd w:val="clear" w:color="auto" w:fill="DBDBDB"/>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DBDBDB"/>
          </w:tcPr>
          <w:p>
            <w:pPr>
              <w:spacing w:after="0"/>
              <w:rPr>
                <w:sz w:val="21"/>
                <w:szCs w:val="21"/>
                <w:color w:val="auto"/>
              </w:rPr>
            </w:pPr>
          </w:p>
        </w:tc>
        <w:tc>
          <w:tcPr>
            <w:tcW w:w="440" w:type="dxa"/>
            <w:vAlign w:val="bottom"/>
            <w:shd w:val="clear" w:color="auto" w:fill="DBDBDB"/>
          </w:tcPr>
          <w:p>
            <w:pPr>
              <w:jc w:val="right"/>
              <w:ind w:right="50"/>
              <w:spacing w:after="0"/>
              <w:rPr>
                <w:sz w:val="20"/>
                <w:szCs w:val="20"/>
                <w:color w:val="auto"/>
              </w:rPr>
            </w:pPr>
            <w:r>
              <w:rPr>
                <w:rFonts w:ascii="Times New Roman" w:cs="Times New Roman" w:eastAsia="Times New Roman" w:hAnsi="Times New Roman"/>
                <w:sz w:val="18"/>
                <w:szCs w:val="18"/>
                <w:color w:val="auto"/>
              </w:rPr>
              <w:t>220</w:t>
            </w:r>
          </w:p>
        </w:tc>
        <w:tc>
          <w:tcPr>
            <w:tcW w:w="1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152,854</w:t>
            </w:r>
          </w:p>
        </w:tc>
        <w:tc>
          <w:tcPr>
            <w:tcW w:w="740" w:type="dxa"/>
            <w:vAlign w:val="bottom"/>
            <w:shd w:val="clear" w:color="auto" w:fill="DBDBDB"/>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16,046</w:t>
            </w:r>
          </w:p>
        </w:tc>
        <w:tc>
          <w:tcPr>
            <w:tcW w:w="2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DBDBDB"/>
          </w:tcPr>
          <w:p>
            <w:pPr>
              <w:jc w:val="right"/>
              <w:ind w:right="50"/>
              <w:spacing w:after="0"/>
              <w:rPr>
                <w:sz w:val="20"/>
                <w:szCs w:val="20"/>
                <w:color w:val="auto"/>
              </w:rPr>
            </w:pPr>
            <w:r>
              <w:rPr>
                <w:rFonts w:ascii="Times New Roman" w:cs="Times New Roman" w:eastAsia="Times New Roman" w:hAnsi="Times New Roman"/>
                <w:sz w:val="18"/>
                <w:szCs w:val="18"/>
                <w:color w:val="auto"/>
              </w:rPr>
              <w:t>216,052</w:t>
            </w:r>
          </w:p>
        </w:tc>
        <w:tc>
          <w:tcPr>
            <w:tcW w:w="1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16,266</w:t>
            </w:r>
          </w:p>
        </w:tc>
        <w:tc>
          <w:tcPr>
            <w:tcW w:w="0" w:type="dxa"/>
            <w:vAlign w:val="bottom"/>
          </w:tcPr>
          <w:p>
            <w:pPr>
              <w:spacing w:after="0"/>
              <w:rPr>
                <w:sz w:val="1"/>
                <w:szCs w:val="1"/>
                <w:color w:val="auto"/>
              </w:rPr>
            </w:pPr>
          </w:p>
        </w:tc>
      </w:tr>
      <w:tr>
        <w:trPr>
          <w:trHeight w:val="175"/>
        </w:trPr>
        <w:tc>
          <w:tcPr>
            <w:tcW w:w="30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Mortgage-backed securities issued or</w:t>
            </w: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guaranteed by U.S. government agencies</w:t>
            </w: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or sponsored enterprises</w:t>
            </w:r>
          </w:p>
        </w:tc>
        <w:tc>
          <w:tcPr>
            <w:tcW w:w="1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157,799</w:t>
            </w:r>
          </w:p>
        </w:tc>
        <w:tc>
          <w:tcPr>
            <w:tcW w:w="740" w:type="dxa"/>
            <w:vAlign w:val="bottom"/>
          </w:tcPr>
          <w:p>
            <w:pPr>
              <w:spacing w:after="0"/>
              <w:rPr>
                <w:sz w:val="21"/>
                <w:szCs w:val="21"/>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30,508</w:t>
            </w:r>
          </w:p>
        </w:tc>
        <w:tc>
          <w:tcPr>
            <w:tcW w:w="220" w:type="dxa"/>
            <w:vAlign w:val="bottom"/>
          </w:tcPr>
          <w:p>
            <w:pPr>
              <w:spacing w:after="0"/>
              <w:rPr>
                <w:sz w:val="21"/>
                <w:szCs w:val="21"/>
                <w:color w:val="auto"/>
              </w:rPr>
            </w:pPr>
          </w:p>
        </w:tc>
        <w:tc>
          <w:tcPr>
            <w:tcW w:w="12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157,799</w:t>
            </w: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30,508</w:t>
            </w:r>
          </w:p>
        </w:tc>
        <w:tc>
          <w:tcPr>
            <w:tcW w:w="0" w:type="dxa"/>
            <w:vAlign w:val="bottom"/>
          </w:tcPr>
          <w:p>
            <w:pPr>
              <w:spacing w:after="0"/>
              <w:rPr>
                <w:sz w:val="1"/>
                <w:szCs w:val="1"/>
                <w:color w:val="auto"/>
              </w:rPr>
            </w:pPr>
          </w:p>
        </w:tc>
      </w:tr>
      <w:tr>
        <w:trPr>
          <w:trHeight w:val="257"/>
        </w:trPr>
        <w:tc>
          <w:tcPr>
            <w:tcW w:w="304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Corporate bonds</w:t>
            </w:r>
          </w:p>
        </w:tc>
        <w:tc>
          <w:tcPr>
            <w:tcW w:w="160" w:type="dxa"/>
            <w:vAlign w:val="bottom"/>
            <w:shd w:val="clear" w:color="auto" w:fill="DBDBDB"/>
          </w:tcPr>
          <w:p>
            <w:pPr>
              <w:spacing w:after="0"/>
              <w:rPr>
                <w:sz w:val="22"/>
                <w:szCs w:val="22"/>
                <w:color w:val="auto"/>
              </w:rPr>
            </w:pPr>
          </w:p>
        </w:tc>
        <w:tc>
          <w:tcPr>
            <w:tcW w:w="1140" w:type="dxa"/>
            <w:vAlign w:val="bottom"/>
            <w:shd w:val="clear" w:color="auto" w:fill="DBDBDB"/>
          </w:tcPr>
          <w:p>
            <w:pPr>
              <w:jc w:val="right"/>
              <w:ind w:right="10"/>
              <w:spacing w:after="0"/>
              <w:rPr>
                <w:sz w:val="20"/>
                <w:szCs w:val="20"/>
                <w:color w:val="auto"/>
              </w:rPr>
            </w:pPr>
            <w:r>
              <w:rPr>
                <w:rFonts w:ascii="Times New Roman" w:cs="Times New Roman" w:eastAsia="Times New Roman" w:hAnsi="Times New Roman"/>
                <w:sz w:val="18"/>
                <w:szCs w:val="18"/>
                <w:color w:val="auto"/>
              </w:rPr>
              <w:t>19,545</w:t>
            </w:r>
          </w:p>
        </w:tc>
        <w:tc>
          <w:tcPr>
            <w:tcW w:w="680" w:type="dxa"/>
            <w:vAlign w:val="bottom"/>
            <w:shd w:val="clear" w:color="auto" w:fill="DBDBDB"/>
          </w:tcPr>
          <w:p>
            <w:pPr>
              <w:spacing w:after="0"/>
              <w:rPr>
                <w:sz w:val="22"/>
                <w:szCs w:val="22"/>
                <w:color w:val="auto"/>
              </w:rPr>
            </w:pPr>
          </w:p>
        </w:tc>
        <w:tc>
          <w:tcPr>
            <w:tcW w:w="300" w:type="dxa"/>
            <w:vAlign w:val="bottom"/>
            <w:shd w:val="clear" w:color="auto" w:fill="DBDBDB"/>
          </w:tcPr>
          <w:p>
            <w:pPr>
              <w:spacing w:after="0"/>
              <w:rPr>
                <w:sz w:val="22"/>
                <w:szCs w:val="22"/>
                <w:color w:val="auto"/>
              </w:rPr>
            </w:pPr>
          </w:p>
        </w:tc>
        <w:tc>
          <w:tcPr>
            <w:tcW w:w="440" w:type="dxa"/>
            <w:vAlign w:val="bottom"/>
            <w:shd w:val="clear" w:color="auto" w:fill="DBDBDB"/>
          </w:tcPr>
          <w:p>
            <w:pPr>
              <w:jc w:val="right"/>
              <w:ind w:right="50"/>
              <w:spacing w:after="0"/>
              <w:rPr>
                <w:sz w:val="20"/>
                <w:szCs w:val="20"/>
                <w:color w:val="auto"/>
              </w:rPr>
            </w:pPr>
            <w:r>
              <w:rPr>
                <w:rFonts w:ascii="Times New Roman" w:cs="Times New Roman" w:eastAsia="Times New Roman" w:hAnsi="Times New Roman"/>
                <w:sz w:val="18"/>
                <w:szCs w:val="18"/>
                <w:color w:val="auto"/>
              </w:rPr>
              <w:t>455</w:t>
            </w:r>
          </w:p>
        </w:tc>
        <w:tc>
          <w:tcPr>
            <w:tcW w:w="180" w:type="dxa"/>
            <w:vAlign w:val="bottom"/>
            <w:shd w:val="clear" w:color="auto" w:fill="DBDBDB"/>
          </w:tcPr>
          <w:p>
            <w:pPr>
              <w:spacing w:after="0"/>
              <w:rPr>
                <w:sz w:val="22"/>
                <w:szCs w:val="22"/>
                <w:color w:val="auto"/>
              </w:rPr>
            </w:pPr>
          </w:p>
        </w:tc>
        <w:tc>
          <w:tcPr>
            <w:tcW w:w="520" w:type="dxa"/>
            <w:vAlign w:val="bottom"/>
            <w:shd w:val="clear" w:color="auto" w:fill="DBDBDB"/>
          </w:tcPr>
          <w:p>
            <w:pPr>
              <w:spacing w:after="0"/>
              <w:rPr>
                <w:sz w:val="22"/>
                <w:szCs w:val="22"/>
                <w:color w:val="auto"/>
              </w:rPr>
            </w:pPr>
          </w:p>
        </w:tc>
        <w:tc>
          <w:tcPr>
            <w:tcW w:w="6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82,795</w:t>
            </w:r>
          </w:p>
        </w:tc>
        <w:tc>
          <w:tcPr>
            <w:tcW w:w="740" w:type="dxa"/>
            <w:vAlign w:val="bottom"/>
            <w:shd w:val="clear" w:color="auto" w:fill="DBDBDB"/>
          </w:tcPr>
          <w:p>
            <w:pPr>
              <w:spacing w:after="0"/>
              <w:rPr>
                <w:sz w:val="22"/>
                <w:szCs w:val="22"/>
                <w:color w:val="auto"/>
              </w:rPr>
            </w:pPr>
          </w:p>
        </w:tc>
        <w:tc>
          <w:tcPr>
            <w:tcW w:w="660" w:type="dxa"/>
            <w:vAlign w:val="bottom"/>
            <w:gridSpan w:val="2"/>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8,314</w:t>
            </w:r>
          </w:p>
        </w:tc>
        <w:tc>
          <w:tcPr>
            <w:tcW w:w="220" w:type="dxa"/>
            <w:vAlign w:val="bottom"/>
            <w:shd w:val="clear" w:color="auto" w:fill="DBDBDB"/>
          </w:tcPr>
          <w:p>
            <w:pPr>
              <w:spacing w:after="0"/>
              <w:rPr>
                <w:sz w:val="22"/>
                <w:szCs w:val="22"/>
                <w:color w:val="auto"/>
              </w:rPr>
            </w:pPr>
          </w:p>
        </w:tc>
        <w:tc>
          <w:tcPr>
            <w:tcW w:w="1240" w:type="dxa"/>
            <w:vAlign w:val="bottom"/>
            <w:gridSpan w:val="2"/>
            <w:shd w:val="clear" w:color="auto" w:fill="DBDBDB"/>
          </w:tcPr>
          <w:p>
            <w:pPr>
              <w:jc w:val="right"/>
              <w:ind w:right="50"/>
              <w:spacing w:after="0"/>
              <w:rPr>
                <w:sz w:val="20"/>
                <w:szCs w:val="20"/>
                <w:color w:val="auto"/>
              </w:rPr>
            </w:pPr>
            <w:r>
              <w:rPr>
                <w:rFonts w:ascii="Times New Roman" w:cs="Times New Roman" w:eastAsia="Times New Roman" w:hAnsi="Times New Roman"/>
                <w:sz w:val="18"/>
                <w:szCs w:val="18"/>
                <w:color w:val="auto"/>
              </w:rPr>
              <w:t>102,340</w:t>
            </w:r>
          </w:p>
        </w:tc>
        <w:tc>
          <w:tcPr>
            <w:tcW w:w="160" w:type="dxa"/>
            <w:vAlign w:val="bottom"/>
            <w:shd w:val="clear" w:color="auto" w:fill="DBDBDB"/>
          </w:tcPr>
          <w:p>
            <w:pPr>
              <w:spacing w:after="0"/>
              <w:rPr>
                <w:sz w:val="22"/>
                <w:szCs w:val="22"/>
                <w:color w:val="auto"/>
              </w:rPr>
            </w:pPr>
          </w:p>
        </w:tc>
        <w:tc>
          <w:tcPr>
            <w:tcW w:w="11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8,769</w:t>
            </w:r>
          </w:p>
        </w:tc>
        <w:tc>
          <w:tcPr>
            <w:tcW w:w="0" w:type="dxa"/>
            <w:vAlign w:val="bottom"/>
          </w:tcPr>
          <w:p>
            <w:pPr>
              <w:spacing w:after="0"/>
              <w:rPr>
                <w:sz w:val="1"/>
                <w:szCs w:val="1"/>
                <w:color w:val="auto"/>
              </w:rPr>
            </w:pPr>
          </w:p>
        </w:tc>
      </w:tr>
      <w:tr>
        <w:trPr>
          <w:trHeight w:val="256"/>
        </w:trPr>
        <w:tc>
          <w:tcPr>
            <w:tcW w:w="3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Treasury securities</w:t>
            </w:r>
          </w:p>
        </w:tc>
        <w:tc>
          <w:tcPr>
            <w:tcW w:w="160" w:type="dxa"/>
            <w:vAlign w:val="bottom"/>
          </w:tcPr>
          <w:p>
            <w:pPr>
              <w:spacing w:after="0"/>
              <w:rPr>
                <w:sz w:val="22"/>
                <w:szCs w:val="22"/>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2"/>
                <w:szCs w:val="22"/>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108,721</w:t>
            </w:r>
          </w:p>
        </w:tc>
        <w:tc>
          <w:tcPr>
            <w:tcW w:w="740" w:type="dxa"/>
            <w:vAlign w:val="bottom"/>
          </w:tcPr>
          <w:p>
            <w:pPr>
              <w:spacing w:after="0"/>
              <w:rPr>
                <w:sz w:val="22"/>
                <w:szCs w:val="22"/>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1,115</w:t>
            </w:r>
          </w:p>
        </w:tc>
        <w:tc>
          <w:tcPr>
            <w:tcW w:w="220" w:type="dxa"/>
            <w:vAlign w:val="bottom"/>
          </w:tcPr>
          <w:p>
            <w:pPr>
              <w:spacing w:after="0"/>
              <w:rPr>
                <w:sz w:val="22"/>
                <w:szCs w:val="22"/>
                <w:color w:val="auto"/>
              </w:rPr>
            </w:pPr>
          </w:p>
        </w:tc>
        <w:tc>
          <w:tcPr>
            <w:tcW w:w="12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108,721</w:t>
            </w:r>
          </w:p>
        </w:tc>
        <w:tc>
          <w:tcPr>
            <w:tcW w:w="16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1,115</w:t>
            </w:r>
          </w:p>
        </w:tc>
        <w:tc>
          <w:tcPr>
            <w:tcW w:w="0" w:type="dxa"/>
            <w:vAlign w:val="bottom"/>
          </w:tcPr>
          <w:p>
            <w:pPr>
              <w:spacing w:after="0"/>
              <w:rPr>
                <w:sz w:val="1"/>
                <w:szCs w:val="1"/>
                <w:color w:val="auto"/>
              </w:rPr>
            </w:pPr>
          </w:p>
        </w:tc>
      </w:tr>
      <w:tr>
        <w:trPr>
          <w:trHeight w:val="211"/>
        </w:trPr>
        <w:tc>
          <w:tcPr>
            <w:tcW w:w="304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Asset backed securities issued or</w:t>
            </w:r>
          </w:p>
        </w:tc>
        <w:tc>
          <w:tcPr>
            <w:tcW w:w="160" w:type="dxa"/>
            <w:vAlign w:val="bottom"/>
            <w:shd w:val="clear" w:color="auto" w:fill="DBDBDB"/>
          </w:tcPr>
          <w:p>
            <w:pPr>
              <w:spacing w:after="0"/>
              <w:rPr>
                <w:sz w:val="18"/>
                <w:szCs w:val="18"/>
                <w:color w:val="auto"/>
              </w:rPr>
            </w:pPr>
          </w:p>
        </w:tc>
        <w:tc>
          <w:tcPr>
            <w:tcW w:w="1140" w:type="dxa"/>
            <w:vAlign w:val="bottom"/>
            <w:shd w:val="clear" w:color="auto" w:fill="DBDBDB"/>
          </w:tcPr>
          <w:p>
            <w:pPr>
              <w:spacing w:after="0"/>
              <w:rPr>
                <w:sz w:val="18"/>
                <w:szCs w:val="18"/>
                <w:color w:val="auto"/>
              </w:rPr>
            </w:pPr>
          </w:p>
        </w:tc>
        <w:tc>
          <w:tcPr>
            <w:tcW w:w="680" w:type="dxa"/>
            <w:vAlign w:val="bottom"/>
            <w:shd w:val="clear" w:color="auto" w:fill="DBDBDB"/>
          </w:tcPr>
          <w:p>
            <w:pPr>
              <w:spacing w:after="0"/>
              <w:rPr>
                <w:sz w:val="18"/>
                <w:szCs w:val="18"/>
                <w:color w:val="auto"/>
              </w:rPr>
            </w:pPr>
          </w:p>
        </w:tc>
        <w:tc>
          <w:tcPr>
            <w:tcW w:w="300" w:type="dxa"/>
            <w:vAlign w:val="bottom"/>
            <w:shd w:val="clear" w:color="auto" w:fill="DBDBDB"/>
          </w:tcPr>
          <w:p>
            <w:pPr>
              <w:spacing w:after="0"/>
              <w:rPr>
                <w:sz w:val="18"/>
                <w:szCs w:val="18"/>
                <w:color w:val="auto"/>
              </w:rPr>
            </w:pPr>
          </w:p>
        </w:tc>
        <w:tc>
          <w:tcPr>
            <w:tcW w:w="440" w:type="dxa"/>
            <w:vAlign w:val="bottom"/>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520" w:type="dxa"/>
            <w:vAlign w:val="bottom"/>
            <w:shd w:val="clear" w:color="auto" w:fill="DBDBDB"/>
          </w:tcPr>
          <w:p>
            <w:pPr>
              <w:spacing w:after="0"/>
              <w:rPr>
                <w:sz w:val="18"/>
                <w:szCs w:val="18"/>
                <w:color w:val="auto"/>
              </w:rPr>
            </w:pPr>
          </w:p>
        </w:tc>
        <w:tc>
          <w:tcPr>
            <w:tcW w:w="600" w:type="dxa"/>
            <w:vAlign w:val="bottom"/>
            <w:shd w:val="clear" w:color="auto" w:fill="DBDBDB"/>
          </w:tcPr>
          <w:p>
            <w:pPr>
              <w:spacing w:after="0"/>
              <w:rPr>
                <w:sz w:val="18"/>
                <w:szCs w:val="18"/>
                <w:color w:val="auto"/>
              </w:rPr>
            </w:pPr>
          </w:p>
        </w:tc>
        <w:tc>
          <w:tcPr>
            <w:tcW w:w="740" w:type="dxa"/>
            <w:vAlign w:val="bottom"/>
            <w:shd w:val="clear" w:color="auto" w:fill="DBDBDB"/>
          </w:tcPr>
          <w:p>
            <w:pPr>
              <w:spacing w:after="0"/>
              <w:rPr>
                <w:sz w:val="18"/>
                <w:szCs w:val="18"/>
                <w:color w:val="auto"/>
              </w:rPr>
            </w:pPr>
          </w:p>
        </w:tc>
        <w:tc>
          <w:tcPr>
            <w:tcW w:w="340" w:type="dxa"/>
            <w:vAlign w:val="bottom"/>
            <w:shd w:val="clear" w:color="auto" w:fill="DBDBDB"/>
          </w:tcPr>
          <w:p>
            <w:pPr>
              <w:spacing w:after="0"/>
              <w:rPr>
                <w:sz w:val="18"/>
                <w:szCs w:val="18"/>
                <w:color w:val="auto"/>
              </w:rPr>
            </w:pPr>
          </w:p>
        </w:tc>
        <w:tc>
          <w:tcPr>
            <w:tcW w:w="320" w:type="dxa"/>
            <w:vAlign w:val="bottom"/>
            <w:shd w:val="clear" w:color="auto" w:fill="DBDBDB"/>
          </w:tcPr>
          <w:p>
            <w:pPr>
              <w:spacing w:after="0"/>
              <w:rPr>
                <w:sz w:val="18"/>
                <w:szCs w:val="18"/>
                <w:color w:val="auto"/>
              </w:rPr>
            </w:pPr>
          </w:p>
        </w:tc>
        <w:tc>
          <w:tcPr>
            <w:tcW w:w="220" w:type="dxa"/>
            <w:vAlign w:val="bottom"/>
            <w:shd w:val="clear" w:color="auto" w:fill="DBDBDB"/>
          </w:tcPr>
          <w:p>
            <w:pPr>
              <w:spacing w:after="0"/>
              <w:rPr>
                <w:sz w:val="18"/>
                <w:szCs w:val="18"/>
                <w:color w:val="auto"/>
              </w:rPr>
            </w:pPr>
          </w:p>
        </w:tc>
        <w:tc>
          <w:tcPr>
            <w:tcW w:w="1000" w:type="dxa"/>
            <w:vAlign w:val="bottom"/>
            <w:shd w:val="clear" w:color="auto" w:fill="DBDBDB"/>
          </w:tcPr>
          <w:p>
            <w:pPr>
              <w:spacing w:after="0"/>
              <w:rPr>
                <w:sz w:val="18"/>
                <w:szCs w:val="18"/>
                <w:color w:val="auto"/>
              </w:rPr>
            </w:pPr>
          </w:p>
        </w:tc>
        <w:tc>
          <w:tcPr>
            <w:tcW w:w="240" w:type="dxa"/>
            <w:vAlign w:val="bottom"/>
            <w:shd w:val="clear" w:color="auto" w:fill="DBDBDB"/>
          </w:tcPr>
          <w:p>
            <w:pPr>
              <w:spacing w:after="0"/>
              <w:rPr>
                <w:sz w:val="18"/>
                <w:szCs w:val="18"/>
                <w:color w:val="auto"/>
              </w:rPr>
            </w:pPr>
          </w:p>
        </w:tc>
        <w:tc>
          <w:tcPr>
            <w:tcW w:w="160" w:type="dxa"/>
            <w:vAlign w:val="bottom"/>
            <w:shd w:val="clear" w:color="auto" w:fill="DBDBDB"/>
          </w:tcPr>
          <w:p>
            <w:pPr>
              <w:spacing w:after="0"/>
              <w:rPr>
                <w:sz w:val="18"/>
                <w:szCs w:val="18"/>
                <w:color w:val="auto"/>
              </w:rPr>
            </w:pPr>
          </w:p>
        </w:tc>
        <w:tc>
          <w:tcPr>
            <w:tcW w:w="116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040" w:type="dxa"/>
            <w:vAlign w:val="bottom"/>
            <w:shd w:val="clear" w:color="auto" w:fill="DBDBDB"/>
          </w:tcPr>
          <w:p>
            <w:pPr>
              <w:ind w:left="20"/>
              <w:spacing w:after="0" w:line="202" w:lineRule="exact"/>
              <w:rPr>
                <w:sz w:val="20"/>
                <w:szCs w:val="20"/>
                <w:color w:val="auto"/>
              </w:rPr>
            </w:pPr>
            <w:r>
              <w:rPr>
                <w:rFonts w:ascii="Times New Roman" w:cs="Times New Roman" w:eastAsia="Times New Roman" w:hAnsi="Times New Roman"/>
                <w:sz w:val="18"/>
                <w:szCs w:val="18"/>
                <w:color w:val="auto"/>
              </w:rPr>
              <w:t>guaranteed by U.S. Government agencies</w:t>
            </w:r>
          </w:p>
        </w:tc>
        <w:tc>
          <w:tcPr>
            <w:tcW w:w="160" w:type="dxa"/>
            <w:vAlign w:val="bottom"/>
            <w:shd w:val="clear" w:color="auto" w:fill="DBDBDB"/>
          </w:tcPr>
          <w:p>
            <w:pPr>
              <w:spacing w:after="0"/>
              <w:rPr>
                <w:sz w:val="17"/>
                <w:szCs w:val="17"/>
                <w:color w:val="auto"/>
              </w:rPr>
            </w:pPr>
          </w:p>
        </w:tc>
        <w:tc>
          <w:tcPr>
            <w:tcW w:w="1140" w:type="dxa"/>
            <w:vAlign w:val="bottom"/>
            <w:shd w:val="clear" w:color="auto" w:fill="DBDBDB"/>
          </w:tcPr>
          <w:p>
            <w:pPr>
              <w:spacing w:after="0"/>
              <w:rPr>
                <w:sz w:val="17"/>
                <w:szCs w:val="17"/>
                <w:color w:val="auto"/>
              </w:rPr>
            </w:pPr>
          </w:p>
        </w:tc>
        <w:tc>
          <w:tcPr>
            <w:tcW w:w="680" w:type="dxa"/>
            <w:vAlign w:val="bottom"/>
            <w:shd w:val="clear" w:color="auto" w:fill="DBDBDB"/>
          </w:tcPr>
          <w:p>
            <w:pPr>
              <w:spacing w:after="0"/>
              <w:rPr>
                <w:sz w:val="17"/>
                <w:szCs w:val="17"/>
                <w:color w:val="auto"/>
              </w:rPr>
            </w:pPr>
          </w:p>
        </w:tc>
        <w:tc>
          <w:tcPr>
            <w:tcW w:w="300" w:type="dxa"/>
            <w:vAlign w:val="bottom"/>
            <w:shd w:val="clear" w:color="auto" w:fill="DBDBDB"/>
          </w:tcPr>
          <w:p>
            <w:pPr>
              <w:spacing w:after="0"/>
              <w:rPr>
                <w:sz w:val="17"/>
                <w:szCs w:val="17"/>
                <w:color w:val="auto"/>
              </w:rPr>
            </w:pPr>
          </w:p>
        </w:tc>
        <w:tc>
          <w:tcPr>
            <w:tcW w:w="440" w:type="dxa"/>
            <w:vAlign w:val="bottom"/>
            <w:shd w:val="clear" w:color="auto" w:fill="DBDBDB"/>
          </w:tcPr>
          <w:p>
            <w:pPr>
              <w:spacing w:after="0"/>
              <w:rPr>
                <w:sz w:val="17"/>
                <w:szCs w:val="17"/>
                <w:color w:val="auto"/>
              </w:rPr>
            </w:pPr>
          </w:p>
        </w:tc>
        <w:tc>
          <w:tcPr>
            <w:tcW w:w="180" w:type="dxa"/>
            <w:vAlign w:val="bottom"/>
            <w:shd w:val="clear" w:color="auto" w:fill="DBDBDB"/>
          </w:tcPr>
          <w:p>
            <w:pPr>
              <w:spacing w:after="0"/>
              <w:rPr>
                <w:sz w:val="17"/>
                <w:szCs w:val="17"/>
                <w:color w:val="auto"/>
              </w:rPr>
            </w:pPr>
          </w:p>
        </w:tc>
        <w:tc>
          <w:tcPr>
            <w:tcW w:w="520" w:type="dxa"/>
            <w:vAlign w:val="bottom"/>
            <w:shd w:val="clear" w:color="auto" w:fill="DBDBDB"/>
          </w:tcPr>
          <w:p>
            <w:pPr>
              <w:spacing w:after="0"/>
              <w:rPr>
                <w:sz w:val="17"/>
                <w:szCs w:val="17"/>
                <w:color w:val="auto"/>
              </w:rPr>
            </w:pPr>
          </w:p>
        </w:tc>
        <w:tc>
          <w:tcPr>
            <w:tcW w:w="600" w:type="dxa"/>
            <w:vAlign w:val="bottom"/>
            <w:shd w:val="clear" w:color="auto" w:fill="DBDBDB"/>
          </w:tcPr>
          <w:p>
            <w:pPr>
              <w:spacing w:after="0"/>
              <w:rPr>
                <w:sz w:val="17"/>
                <w:szCs w:val="17"/>
                <w:color w:val="auto"/>
              </w:rPr>
            </w:pPr>
          </w:p>
        </w:tc>
        <w:tc>
          <w:tcPr>
            <w:tcW w:w="740" w:type="dxa"/>
            <w:vAlign w:val="bottom"/>
            <w:shd w:val="clear" w:color="auto" w:fill="DBDBDB"/>
          </w:tcPr>
          <w:p>
            <w:pPr>
              <w:spacing w:after="0"/>
              <w:rPr>
                <w:sz w:val="17"/>
                <w:szCs w:val="17"/>
                <w:color w:val="auto"/>
              </w:rPr>
            </w:pPr>
          </w:p>
        </w:tc>
        <w:tc>
          <w:tcPr>
            <w:tcW w:w="340" w:type="dxa"/>
            <w:vAlign w:val="bottom"/>
            <w:shd w:val="clear" w:color="auto" w:fill="DBDBDB"/>
          </w:tcPr>
          <w:p>
            <w:pPr>
              <w:spacing w:after="0"/>
              <w:rPr>
                <w:sz w:val="17"/>
                <w:szCs w:val="17"/>
                <w:color w:val="auto"/>
              </w:rPr>
            </w:pPr>
          </w:p>
        </w:tc>
        <w:tc>
          <w:tcPr>
            <w:tcW w:w="320" w:type="dxa"/>
            <w:vAlign w:val="bottom"/>
            <w:shd w:val="clear" w:color="auto" w:fill="DBDBDB"/>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1000" w:type="dxa"/>
            <w:vAlign w:val="bottom"/>
            <w:shd w:val="clear" w:color="auto" w:fill="DBDBDB"/>
          </w:tcPr>
          <w:p>
            <w:pPr>
              <w:spacing w:after="0"/>
              <w:rPr>
                <w:sz w:val="17"/>
                <w:szCs w:val="17"/>
                <w:color w:val="auto"/>
              </w:rPr>
            </w:pPr>
          </w:p>
        </w:tc>
        <w:tc>
          <w:tcPr>
            <w:tcW w:w="240" w:type="dxa"/>
            <w:vAlign w:val="bottom"/>
            <w:shd w:val="clear" w:color="auto" w:fill="DBDBDB"/>
          </w:tcPr>
          <w:p>
            <w:pPr>
              <w:spacing w:after="0"/>
              <w:rPr>
                <w:sz w:val="17"/>
                <w:szCs w:val="17"/>
                <w:color w:val="auto"/>
              </w:rPr>
            </w:pPr>
          </w:p>
        </w:tc>
        <w:tc>
          <w:tcPr>
            <w:tcW w:w="160" w:type="dxa"/>
            <w:vAlign w:val="bottom"/>
            <w:shd w:val="clear" w:color="auto" w:fill="DBDBDB"/>
          </w:tcPr>
          <w:p>
            <w:pPr>
              <w:spacing w:after="0"/>
              <w:rPr>
                <w:sz w:val="17"/>
                <w:szCs w:val="17"/>
                <w:color w:val="auto"/>
              </w:rPr>
            </w:pPr>
          </w:p>
        </w:tc>
        <w:tc>
          <w:tcPr>
            <w:tcW w:w="116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3040" w:type="dxa"/>
            <w:vAlign w:val="bottom"/>
            <w:tcBorders>
              <w:bottom w:val="single" w:sz="8" w:color="auto"/>
            </w:tcBorders>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or sponsored enterprises</w:t>
            </w:r>
          </w:p>
        </w:tc>
        <w:tc>
          <w:tcPr>
            <w:tcW w:w="160" w:type="dxa"/>
            <w:vAlign w:val="bottom"/>
            <w:tcBorders>
              <w:bottom w:val="single" w:sz="8" w:color="auto"/>
            </w:tcBorders>
            <w:shd w:val="clear" w:color="auto" w:fill="DBDBDB"/>
          </w:tcPr>
          <w:p>
            <w:pPr>
              <w:spacing w:after="0"/>
              <w:rPr>
                <w:sz w:val="22"/>
                <w:szCs w:val="22"/>
                <w:color w:val="auto"/>
              </w:rPr>
            </w:pPr>
          </w:p>
        </w:tc>
        <w:tc>
          <w:tcPr>
            <w:tcW w:w="1140" w:type="dxa"/>
            <w:vAlign w:val="bottom"/>
            <w:tcBorders>
              <w:bottom w:val="single" w:sz="8" w:color="auto"/>
            </w:tcBorders>
            <w:shd w:val="clear" w:color="auto" w:fill="DBDBDB"/>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DBDBDB"/>
          </w:tcPr>
          <w:p>
            <w:pPr>
              <w:spacing w:after="0"/>
              <w:rPr>
                <w:sz w:val="22"/>
                <w:szCs w:val="22"/>
                <w:color w:val="auto"/>
              </w:rPr>
            </w:pPr>
          </w:p>
        </w:tc>
        <w:tc>
          <w:tcPr>
            <w:tcW w:w="300" w:type="dxa"/>
            <w:vAlign w:val="bottom"/>
            <w:tcBorders>
              <w:bottom w:val="single" w:sz="8" w:color="auto"/>
            </w:tcBorders>
            <w:shd w:val="clear" w:color="auto" w:fill="DBDBDB"/>
          </w:tcPr>
          <w:p>
            <w:pPr>
              <w:spacing w:after="0"/>
              <w:rPr>
                <w:sz w:val="22"/>
                <w:szCs w:val="22"/>
                <w:color w:val="auto"/>
              </w:rPr>
            </w:pPr>
          </w:p>
        </w:tc>
        <w:tc>
          <w:tcPr>
            <w:tcW w:w="440" w:type="dxa"/>
            <w:vAlign w:val="bottom"/>
            <w:tcBorders>
              <w:bottom w:val="single" w:sz="8" w:color="auto"/>
            </w:tcBorders>
            <w:shd w:val="clear" w:color="auto" w:fill="DBDBDB"/>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shd w:val="clear" w:color="auto" w:fill="DBDBDB"/>
          </w:tcPr>
          <w:p>
            <w:pPr>
              <w:spacing w:after="0"/>
              <w:rPr>
                <w:sz w:val="22"/>
                <w:szCs w:val="22"/>
                <w:color w:val="auto"/>
              </w:rPr>
            </w:pPr>
          </w:p>
        </w:tc>
        <w:tc>
          <w:tcPr>
            <w:tcW w:w="520" w:type="dxa"/>
            <w:vAlign w:val="bottom"/>
            <w:tcBorders>
              <w:bottom w:val="single" w:sz="8" w:color="auto"/>
            </w:tcBorders>
            <w:shd w:val="clear" w:color="auto" w:fill="DBDBDB"/>
          </w:tcPr>
          <w:p>
            <w:pPr>
              <w:spacing w:after="0"/>
              <w:rPr>
                <w:sz w:val="22"/>
                <w:szCs w:val="22"/>
                <w:color w:val="auto"/>
              </w:rPr>
            </w:pPr>
          </w:p>
        </w:tc>
        <w:tc>
          <w:tcPr>
            <w:tcW w:w="60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39,222</w:t>
            </w:r>
          </w:p>
        </w:tc>
        <w:tc>
          <w:tcPr>
            <w:tcW w:w="740" w:type="dxa"/>
            <w:vAlign w:val="bottom"/>
            <w:tcBorders>
              <w:bottom w:val="single" w:sz="8" w:color="auto"/>
            </w:tcBorders>
            <w:shd w:val="clear" w:color="auto" w:fill="DBDBDB"/>
          </w:tcPr>
          <w:p>
            <w:pPr>
              <w:spacing w:after="0"/>
              <w:rPr>
                <w:sz w:val="22"/>
                <w:szCs w:val="22"/>
                <w:color w:val="auto"/>
              </w:rPr>
            </w:pPr>
          </w:p>
        </w:tc>
        <w:tc>
          <w:tcPr>
            <w:tcW w:w="660" w:type="dxa"/>
            <w:vAlign w:val="bottom"/>
            <w:tcBorders>
              <w:bottom w:val="single" w:sz="8" w:color="auto"/>
            </w:tcBorders>
            <w:gridSpan w:val="2"/>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1,146</w:t>
            </w:r>
          </w:p>
        </w:tc>
        <w:tc>
          <w:tcPr>
            <w:tcW w:w="220" w:type="dxa"/>
            <w:vAlign w:val="bottom"/>
            <w:tcBorders>
              <w:bottom w:val="single" w:sz="8" w:color="auto"/>
            </w:tcBorders>
            <w:shd w:val="clear" w:color="auto" w:fill="DBDBDB"/>
          </w:tcPr>
          <w:p>
            <w:pPr>
              <w:spacing w:after="0"/>
              <w:rPr>
                <w:sz w:val="22"/>
                <w:szCs w:val="22"/>
                <w:color w:val="auto"/>
              </w:rPr>
            </w:pPr>
          </w:p>
        </w:tc>
        <w:tc>
          <w:tcPr>
            <w:tcW w:w="1240" w:type="dxa"/>
            <w:vAlign w:val="bottom"/>
            <w:tcBorders>
              <w:bottom w:val="single" w:sz="8" w:color="auto"/>
            </w:tcBorders>
            <w:gridSpan w:val="2"/>
            <w:shd w:val="clear" w:color="auto" w:fill="DBDBDB"/>
          </w:tcPr>
          <w:p>
            <w:pPr>
              <w:jc w:val="right"/>
              <w:ind w:right="50"/>
              <w:spacing w:after="0"/>
              <w:rPr>
                <w:sz w:val="20"/>
                <w:szCs w:val="20"/>
                <w:color w:val="auto"/>
              </w:rPr>
            </w:pPr>
            <w:r>
              <w:rPr>
                <w:rFonts w:ascii="Times New Roman" w:cs="Times New Roman" w:eastAsia="Times New Roman" w:hAnsi="Times New Roman"/>
                <w:sz w:val="18"/>
                <w:szCs w:val="18"/>
                <w:color w:val="auto"/>
              </w:rPr>
              <w:t>39,222</w:t>
            </w:r>
          </w:p>
        </w:tc>
        <w:tc>
          <w:tcPr>
            <w:tcW w:w="160" w:type="dxa"/>
            <w:vAlign w:val="bottom"/>
            <w:tcBorders>
              <w:bottom w:val="single" w:sz="8" w:color="auto"/>
            </w:tcBorders>
            <w:shd w:val="clear" w:color="auto" w:fill="DBDBDB"/>
          </w:tcPr>
          <w:p>
            <w:pPr>
              <w:spacing w:after="0"/>
              <w:rPr>
                <w:sz w:val="22"/>
                <w:szCs w:val="22"/>
                <w:color w:val="auto"/>
              </w:rPr>
            </w:pPr>
          </w:p>
        </w:tc>
        <w:tc>
          <w:tcPr>
            <w:tcW w:w="116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1,146</w:t>
            </w:r>
          </w:p>
        </w:tc>
        <w:tc>
          <w:tcPr>
            <w:tcW w:w="0" w:type="dxa"/>
            <w:vAlign w:val="bottom"/>
          </w:tcPr>
          <w:p>
            <w:pPr>
              <w:spacing w:after="0"/>
              <w:rPr>
                <w:sz w:val="1"/>
                <w:szCs w:val="1"/>
                <w:color w:val="auto"/>
              </w:rPr>
            </w:pPr>
          </w:p>
        </w:tc>
      </w:tr>
      <w:tr>
        <w:trPr>
          <w:trHeight w:val="250"/>
        </w:trPr>
        <w:tc>
          <w:tcPr>
            <w:tcW w:w="304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82,743</w:t>
            </w:r>
          </w:p>
        </w:tc>
        <w:tc>
          <w:tcPr>
            <w:tcW w:w="6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675</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541,391</w:t>
            </w:r>
          </w:p>
        </w:tc>
        <w:tc>
          <w:tcPr>
            <w:tcW w:w="7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57,129</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624,134</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57,804</w:t>
            </w:r>
          </w:p>
        </w:tc>
        <w:tc>
          <w:tcPr>
            <w:tcW w:w="0" w:type="dxa"/>
            <w:vAlign w:val="bottom"/>
          </w:tcPr>
          <w:p>
            <w:pPr>
              <w:spacing w:after="0"/>
              <w:rPr>
                <w:sz w:val="1"/>
                <w:szCs w:val="1"/>
                <w:color w:val="auto"/>
              </w:rPr>
            </w:pPr>
          </w:p>
        </w:tc>
      </w:tr>
      <w:tr>
        <w:trPr>
          <w:trHeight w:val="898"/>
        </w:trPr>
        <w:tc>
          <w:tcPr>
            <w:tcW w:w="3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304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68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44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520" w:type="dxa"/>
            <w:vAlign w:val="bottom"/>
            <w:tcBorders>
              <w:bottom w:val="single" w:sz="8" w:color="9A9A9A"/>
            </w:tcBorders>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74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00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16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0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gridSpan w:val="3"/>
          </w:tcPr>
          <w:p>
            <w:pPr>
              <w:ind w:left="44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0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520" w:type="dxa"/>
            <w:vAlign w:val="bottom"/>
            <w:tcBorders>
              <w:bottom w:val="single" w:sz="8" w:color="auto"/>
            </w:tcBorders>
            <w:gridSpan w:val="3"/>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Less than 12 months</w:t>
            </w:r>
          </w:p>
        </w:tc>
        <w:tc>
          <w:tcPr>
            <w:tcW w:w="240" w:type="dxa"/>
            <w:vAlign w:val="bottom"/>
            <w:tcBorders>
              <w:bottom w:val="single" w:sz="8" w:color="auto"/>
            </w:tcBorders>
          </w:tcPr>
          <w:p>
            <w:pPr>
              <w:spacing w:after="0"/>
              <w:rPr>
                <w:sz w:val="21"/>
                <w:szCs w:val="21"/>
                <w:color w:val="auto"/>
              </w:rPr>
            </w:pPr>
          </w:p>
        </w:tc>
        <w:tc>
          <w:tcPr>
            <w:tcW w:w="2540" w:type="dxa"/>
            <w:vAlign w:val="bottom"/>
            <w:tcBorders>
              <w:bottom w:val="single" w:sz="8" w:color="auto"/>
            </w:tcBorders>
            <w:gridSpan w:val="3"/>
          </w:tcPr>
          <w:p>
            <w:pPr>
              <w:ind w:left="440"/>
              <w:spacing w:after="0"/>
              <w:rPr>
                <w:sz w:val="20"/>
                <w:szCs w:val="20"/>
                <w:color w:val="auto"/>
              </w:rPr>
            </w:pPr>
            <w:r>
              <w:rPr>
                <w:rFonts w:ascii="Times New Roman" w:cs="Times New Roman" w:eastAsia="Times New Roman" w:hAnsi="Times New Roman"/>
                <w:sz w:val="18"/>
                <w:szCs w:val="18"/>
                <w:b w:val="1"/>
                <w:bCs w:val="1"/>
                <w:color w:val="auto"/>
              </w:rPr>
              <w:t>12 months or more</w:t>
            </w:r>
          </w:p>
        </w:tc>
        <w:tc>
          <w:tcPr>
            <w:tcW w:w="24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1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0"/>
        </w:trPr>
        <w:tc>
          <w:tcPr>
            <w:tcW w:w="30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160" w:type="dxa"/>
            <w:vAlign w:val="bottom"/>
          </w:tcPr>
          <w:p>
            <w:pPr>
              <w:spacing w:after="0"/>
              <w:rPr>
                <w:sz w:val="15"/>
                <w:szCs w:val="15"/>
                <w:color w:val="auto"/>
              </w:rPr>
            </w:pPr>
          </w:p>
        </w:tc>
        <w:tc>
          <w:tcPr>
            <w:tcW w:w="1140" w:type="dxa"/>
            <w:vAlign w:val="bottom"/>
          </w:tcPr>
          <w:p>
            <w:pPr>
              <w:jc w:val="right"/>
              <w:ind w:right="190"/>
              <w:spacing w:after="0" w:line="180" w:lineRule="exact"/>
              <w:rPr>
                <w:sz w:val="20"/>
                <w:szCs w:val="20"/>
                <w:color w:val="auto"/>
              </w:rPr>
            </w:pPr>
            <w:r>
              <w:rPr>
                <w:rFonts w:ascii="Times New Roman" w:cs="Times New Roman" w:eastAsia="Times New Roman" w:hAnsi="Times New Roman"/>
                <w:sz w:val="18"/>
                <w:szCs w:val="18"/>
                <w:b w:val="1"/>
                <w:bCs w:val="1"/>
                <w:color w:val="auto"/>
              </w:rPr>
              <w:t>Estimated</w:t>
            </w:r>
          </w:p>
        </w:tc>
        <w:tc>
          <w:tcPr>
            <w:tcW w:w="240" w:type="dxa"/>
            <w:vAlign w:val="bottom"/>
          </w:tcPr>
          <w:p>
            <w:pPr>
              <w:spacing w:after="0"/>
              <w:rPr>
                <w:sz w:val="15"/>
                <w:szCs w:val="15"/>
                <w:color w:val="auto"/>
              </w:rPr>
            </w:pPr>
          </w:p>
        </w:tc>
        <w:tc>
          <w:tcPr>
            <w:tcW w:w="1140" w:type="dxa"/>
            <w:vAlign w:val="bottom"/>
          </w:tcPr>
          <w:p>
            <w:pPr>
              <w:jc w:val="right"/>
              <w:ind w:right="170"/>
              <w:spacing w:after="0" w:line="180" w:lineRule="exact"/>
              <w:rPr>
                <w:sz w:val="20"/>
                <w:szCs w:val="20"/>
                <w:color w:val="auto"/>
              </w:rPr>
            </w:pPr>
            <w:r>
              <w:rPr>
                <w:rFonts w:ascii="Times New Roman" w:cs="Times New Roman" w:eastAsia="Times New Roman" w:hAnsi="Times New Roman"/>
                <w:sz w:val="18"/>
                <w:szCs w:val="18"/>
                <w:b w:val="1"/>
                <w:bCs w:val="1"/>
                <w:color w:val="auto"/>
              </w:rPr>
              <w:t>Unrealized</w:t>
            </w:r>
          </w:p>
        </w:tc>
        <w:tc>
          <w:tcPr>
            <w:tcW w:w="240" w:type="dxa"/>
            <w:vAlign w:val="bottom"/>
          </w:tcPr>
          <w:p>
            <w:pPr>
              <w:spacing w:after="0"/>
              <w:rPr>
                <w:sz w:val="15"/>
                <w:szCs w:val="15"/>
                <w:color w:val="auto"/>
              </w:rPr>
            </w:pPr>
          </w:p>
        </w:tc>
        <w:tc>
          <w:tcPr>
            <w:tcW w:w="1140" w:type="dxa"/>
            <w:vAlign w:val="bottom"/>
          </w:tcPr>
          <w:p>
            <w:pPr>
              <w:jc w:val="right"/>
              <w:ind w:right="190"/>
              <w:spacing w:after="0" w:line="180" w:lineRule="exact"/>
              <w:rPr>
                <w:sz w:val="20"/>
                <w:szCs w:val="20"/>
                <w:color w:val="auto"/>
              </w:rPr>
            </w:pPr>
            <w:r>
              <w:rPr>
                <w:rFonts w:ascii="Times New Roman" w:cs="Times New Roman" w:eastAsia="Times New Roman" w:hAnsi="Times New Roman"/>
                <w:sz w:val="18"/>
                <w:szCs w:val="18"/>
                <w:b w:val="1"/>
                <w:bCs w:val="1"/>
                <w:color w:val="auto"/>
              </w:rPr>
              <w:t>Estimated</w:t>
            </w:r>
          </w:p>
        </w:tc>
        <w:tc>
          <w:tcPr>
            <w:tcW w:w="240" w:type="dxa"/>
            <w:vAlign w:val="bottom"/>
          </w:tcPr>
          <w:p>
            <w:pPr>
              <w:spacing w:after="0"/>
              <w:rPr>
                <w:sz w:val="15"/>
                <w:szCs w:val="15"/>
                <w:color w:val="auto"/>
              </w:rPr>
            </w:pPr>
          </w:p>
        </w:tc>
        <w:tc>
          <w:tcPr>
            <w:tcW w:w="1160" w:type="dxa"/>
            <w:vAlign w:val="bottom"/>
          </w:tcPr>
          <w:p>
            <w:pPr>
              <w:jc w:val="right"/>
              <w:ind w:right="170"/>
              <w:spacing w:after="0" w:line="180" w:lineRule="exact"/>
              <w:rPr>
                <w:sz w:val="20"/>
                <w:szCs w:val="20"/>
                <w:color w:val="auto"/>
              </w:rPr>
            </w:pPr>
            <w:r>
              <w:rPr>
                <w:rFonts w:ascii="Times New Roman" w:cs="Times New Roman" w:eastAsia="Times New Roman" w:hAnsi="Times New Roman"/>
                <w:sz w:val="18"/>
                <w:szCs w:val="18"/>
                <w:b w:val="1"/>
                <w:bCs w:val="1"/>
                <w:color w:val="auto"/>
              </w:rPr>
              <w:t>Unrealized</w:t>
            </w:r>
          </w:p>
        </w:tc>
        <w:tc>
          <w:tcPr>
            <w:tcW w:w="240" w:type="dxa"/>
            <w:vAlign w:val="bottom"/>
          </w:tcPr>
          <w:p>
            <w:pPr>
              <w:spacing w:after="0"/>
              <w:rPr>
                <w:sz w:val="15"/>
                <w:szCs w:val="15"/>
                <w:color w:val="auto"/>
              </w:rPr>
            </w:pPr>
          </w:p>
        </w:tc>
        <w:tc>
          <w:tcPr>
            <w:tcW w:w="1120" w:type="dxa"/>
            <w:vAlign w:val="bottom"/>
          </w:tcPr>
          <w:p>
            <w:pPr>
              <w:jc w:val="right"/>
              <w:ind w:right="170"/>
              <w:spacing w:after="0" w:line="180" w:lineRule="exact"/>
              <w:rPr>
                <w:sz w:val="20"/>
                <w:szCs w:val="20"/>
                <w:color w:val="auto"/>
              </w:rPr>
            </w:pPr>
            <w:r>
              <w:rPr>
                <w:rFonts w:ascii="Times New Roman" w:cs="Times New Roman" w:eastAsia="Times New Roman" w:hAnsi="Times New Roman"/>
                <w:sz w:val="18"/>
                <w:szCs w:val="18"/>
                <w:b w:val="1"/>
                <w:bCs w:val="1"/>
                <w:color w:val="auto"/>
              </w:rPr>
              <w:t>Estimated</w:t>
            </w:r>
          </w:p>
        </w:tc>
        <w:tc>
          <w:tcPr>
            <w:tcW w:w="280" w:type="dxa"/>
            <w:vAlign w:val="bottom"/>
          </w:tcPr>
          <w:p>
            <w:pPr>
              <w:spacing w:after="0"/>
              <w:rPr>
                <w:sz w:val="15"/>
                <w:szCs w:val="15"/>
                <w:color w:val="auto"/>
              </w:rPr>
            </w:pPr>
          </w:p>
        </w:tc>
        <w:tc>
          <w:tcPr>
            <w:tcW w:w="1100" w:type="dxa"/>
            <w:vAlign w:val="bottom"/>
          </w:tcPr>
          <w:p>
            <w:pPr>
              <w:jc w:val="right"/>
              <w:ind w:right="130"/>
              <w:spacing w:after="0" w:line="180" w:lineRule="exact"/>
              <w:rPr>
                <w:sz w:val="20"/>
                <w:szCs w:val="20"/>
                <w:color w:val="auto"/>
              </w:rPr>
            </w:pPr>
            <w:r>
              <w:rPr>
                <w:rFonts w:ascii="Times New Roman" w:cs="Times New Roman" w:eastAsia="Times New Roman" w:hAnsi="Times New Roman"/>
                <w:sz w:val="18"/>
                <w:szCs w:val="18"/>
                <w:b w:val="1"/>
                <w:bCs w:val="1"/>
                <w:color w:val="auto"/>
              </w:rPr>
              <w:t>Unrealized</w:t>
            </w:r>
          </w:p>
        </w:tc>
        <w:tc>
          <w:tcPr>
            <w:tcW w:w="0" w:type="dxa"/>
            <w:vAlign w:val="bottom"/>
          </w:tcPr>
          <w:p>
            <w:pPr>
              <w:spacing w:after="0"/>
              <w:rPr>
                <w:sz w:val="1"/>
                <w:szCs w:val="1"/>
                <w:color w:val="auto"/>
              </w:rPr>
            </w:pPr>
          </w:p>
        </w:tc>
      </w:tr>
      <w:tr>
        <w:trPr>
          <w:trHeight w:val="238"/>
        </w:trPr>
        <w:tc>
          <w:tcPr>
            <w:tcW w:w="3040" w:type="dxa"/>
            <w:vAlign w:val="bottom"/>
            <w:tcBorders>
              <w:bottom w:val="single" w:sz="8" w:color="auto"/>
            </w:tcBorders>
            <w:vMerge w:val="continue"/>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2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2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0" w:type="dxa"/>
            <w:vAlign w:val="bottom"/>
          </w:tcPr>
          <w:p>
            <w:pPr>
              <w:spacing w:after="0"/>
              <w:rPr>
                <w:sz w:val="1"/>
                <w:szCs w:val="1"/>
                <w:color w:val="auto"/>
              </w:rPr>
            </w:pPr>
          </w:p>
        </w:tc>
      </w:tr>
      <w:tr>
        <w:trPr>
          <w:trHeight w:val="250"/>
        </w:trPr>
        <w:tc>
          <w:tcPr>
            <w:tcW w:w="304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State and political subdivisions</w:t>
            </w:r>
          </w:p>
        </w:tc>
        <w:tc>
          <w:tcPr>
            <w:tcW w:w="1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DBDBDB"/>
          </w:tcPr>
          <w:p>
            <w:pPr>
              <w:jc w:val="right"/>
              <w:ind w:right="10"/>
              <w:spacing w:after="0"/>
              <w:rPr>
                <w:sz w:val="20"/>
                <w:szCs w:val="20"/>
                <w:color w:val="auto"/>
              </w:rPr>
            </w:pPr>
            <w:r>
              <w:rPr>
                <w:rFonts w:ascii="Times New Roman" w:cs="Times New Roman" w:eastAsia="Times New Roman" w:hAnsi="Times New Roman"/>
                <w:sz w:val="18"/>
                <w:szCs w:val="18"/>
                <w:color w:val="auto"/>
              </w:rPr>
              <w:t>214,919</w:t>
            </w:r>
          </w:p>
        </w:tc>
        <w:tc>
          <w:tcPr>
            <w:tcW w:w="2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DBDBDB"/>
          </w:tcPr>
          <w:p>
            <w:pPr>
              <w:jc w:val="right"/>
              <w:ind w:right="10"/>
              <w:spacing w:after="0"/>
              <w:rPr>
                <w:sz w:val="20"/>
                <w:szCs w:val="20"/>
                <w:color w:val="auto"/>
              </w:rPr>
            </w:pPr>
            <w:r>
              <w:rPr>
                <w:rFonts w:ascii="Times New Roman" w:cs="Times New Roman" w:eastAsia="Times New Roman" w:hAnsi="Times New Roman"/>
                <w:sz w:val="18"/>
                <w:szCs w:val="18"/>
                <w:color w:val="auto"/>
              </w:rPr>
              <w:t>8,958</w:t>
            </w:r>
          </w:p>
        </w:tc>
        <w:tc>
          <w:tcPr>
            <w:tcW w:w="2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DBDBDB"/>
          </w:tcPr>
          <w:p>
            <w:pPr>
              <w:jc w:val="right"/>
              <w:ind w:right="10"/>
              <w:spacing w:after="0"/>
              <w:rPr>
                <w:sz w:val="20"/>
                <w:szCs w:val="20"/>
                <w:color w:val="auto"/>
              </w:rPr>
            </w:pPr>
            <w:r>
              <w:rPr>
                <w:rFonts w:ascii="Times New Roman" w:cs="Times New Roman" w:eastAsia="Times New Roman" w:hAnsi="Times New Roman"/>
                <w:sz w:val="18"/>
                <w:szCs w:val="18"/>
                <w:color w:val="auto"/>
              </w:rPr>
              <w:t>47,474</w:t>
            </w:r>
          </w:p>
        </w:tc>
        <w:tc>
          <w:tcPr>
            <w:tcW w:w="2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DBDBDB"/>
          </w:tcPr>
          <w:p>
            <w:pPr>
              <w:jc w:val="right"/>
              <w:ind w:right="10"/>
              <w:spacing w:after="0"/>
              <w:rPr>
                <w:sz w:val="20"/>
                <w:szCs w:val="20"/>
                <w:color w:val="auto"/>
              </w:rPr>
            </w:pPr>
            <w:r>
              <w:rPr>
                <w:rFonts w:ascii="Times New Roman" w:cs="Times New Roman" w:eastAsia="Times New Roman" w:hAnsi="Times New Roman"/>
                <w:sz w:val="18"/>
                <w:szCs w:val="18"/>
                <w:color w:val="auto"/>
              </w:rPr>
              <w:t>13,346</w:t>
            </w:r>
          </w:p>
        </w:tc>
        <w:tc>
          <w:tcPr>
            <w:tcW w:w="2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262,393</w:t>
            </w:r>
          </w:p>
        </w:tc>
        <w:tc>
          <w:tcPr>
            <w:tcW w:w="2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22,304</w:t>
            </w:r>
          </w:p>
        </w:tc>
        <w:tc>
          <w:tcPr>
            <w:tcW w:w="0" w:type="dxa"/>
            <w:vAlign w:val="bottom"/>
          </w:tcPr>
          <w:p>
            <w:pPr>
              <w:spacing w:after="0"/>
              <w:rPr>
                <w:sz w:val="1"/>
                <w:szCs w:val="1"/>
                <w:color w:val="auto"/>
              </w:rPr>
            </w:pPr>
          </w:p>
        </w:tc>
      </w:tr>
      <w:tr>
        <w:trPr>
          <w:trHeight w:val="184"/>
        </w:trPr>
        <w:tc>
          <w:tcPr>
            <w:tcW w:w="304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Mortgage-backed securities issued or</w:t>
            </w: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304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guaranteed by U.S. government agencies</w:t>
            </w:r>
          </w:p>
        </w:tc>
        <w:tc>
          <w:tcPr>
            <w:tcW w:w="160" w:type="dxa"/>
            <w:vAlign w:val="bottom"/>
          </w:tcPr>
          <w:p>
            <w:pPr>
              <w:spacing w:after="0"/>
              <w:rPr>
                <w:sz w:val="15"/>
                <w:szCs w:val="15"/>
                <w:color w:val="auto"/>
              </w:rPr>
            </w:pPr>
          </w:p>
        </w:tc>
        <w:tc>
          <w:tcPr>
            <w:tcW w:w="114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53,732</w:t>
            </w:r>
          </w:p>
        </w:tc>
        <w:tc>
          <w:tcPr>
            <w:tcW w:w="240" w:type="dxa"/>
            <w:vAlign w:val="bottom"/>
          </w:tcPr>
          <w:p>
            <w:pPr>
              <w:spacing w:after="0"/>
              <w:rPr>
                <w:sz w:val="15"/>
                <w:szCs w:val="15"/>
                <w:color w:val="auto"/>
              </w:rPr>
            </w:pPr>
          </w:p>
        </w:tc>
        <w:tc>
          <w:tcPr>
            <w:tcW w:w="114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6,135</w:t>
            </w:r>
          </w:p>
        </w:tc>
        <w:tc>
          <w:tcPr>
            <w:tcW w:w="240" w:type="dxa"/>
            <w:vAlign w:val="bottom"/>
          </w:tcPr>
          <w:p>
            <w:pPr>
              <w:spacing w:after="0"/>
              <w:rPr>
                <w:sz w:val="15"/>
                <w:szCs w:val="15"/>
                <w:color w:val="auto"/>
              </w:rPr>
            </w:pPr>
          </w:p>
        </w:tc>
        <w:tc>
          <w:tcPr>
            <w:tcW w:w="114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118,017</w:t>
            </w:r>
          </w:p>
        </w:tc>
        <w:tc>
          <w:tcPr>
            <w:tcW w:w="240" w:type="dxa"/>
            <w:vAlign w:val="bottom"/>
          </w:tcPr>
          <w:p>
            <w:pPr>
              <w:spacing w:after="0"/>
              <w:rPr>
                <w:sz w:val="15"/>
                <w:szCs w:val="15"/>
                <w:color w:val="auto"/>
              </w:rPr>
            </w:pPr>
          </w:p>
        </w:tc>
        <w:tc>
          <w:tcPr>
            <w:tcW w:w="116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25,101</w:t>
            </w:r>
          </w:p>
        </w:tc>
        <w:tc>
          <w:tcPr>
            <w:tcW w:w="24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171,749</w:t>
            </w:r>
          </w:p>
        </w:tc>
        <w:tc>
          <w:tcPr>
            <w:tcW w:w="28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31,236</w:t>
            </w:r>
          </w:p>
        </w:tc>
        <w:tc>
          <w:tcPr>
            <w:tcW w:w="0" w:type="dxa"/>
            <w:vAlign w:val="bottom"/>
          </w:tcPr>
          <w:p>
            <w:pPr>
              <w:spacing w:after="0"/>
              <w:rPr>
                <w:sz w:val="1"/>
                <w:szCs w:val="1"/>
                <w:color w:val="auto"/>
              </w:rPr>
            </w:pPr>
          </w:p>
        </w:tc>
      </w:tr>
      <w:tr>
        <w:trPr>
          <w:trHeight w:val="229"/>
        </w:trPr>
        <w:tc>
          <w:tcPr>
            <w:tcW w:w="3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or sponsored enterprises</w:t>
            </w:r>
          </w:p>
        </w:tc>
        <w:tc>
          <w:tcPr>
            <w:tcW w:w="16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04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Corporate bonds</w:t>
            </w:r>
          </w:p>
        </w:tc>
        <w:tc>
          <w:tcPr>
            <w:tcW w:w="160" w:type="dxa"/>
            <w:vAlign w:val="bottom"/>
            <w:shd w:val="clear" w:color="auto" w:fill="DBDBDB"/>
          </w:tcPr>
          <w:p>
            <w:pPr>
              <w:spacing w:after="0"/>
              <w:rPr>
                <w:sz w:val="22"/>
                <w:szCs w:val="22"/>
                <w:color w:val="auto"/>
              </w:rPr>
            </w:pPr>
          </w:p>
        </w:tc>
        <w:tc>
          <w:tcPr>
            <w:tcW w:w="1140" w:type="dxa"/>
            <w:vAlign w:val="bottom"/>
            <w:shd w:val="clear" w:color="auto" w:fill="DBDBDB"/>
          </w:tcPr>
          <w:p>
            <w:pPr>
              <w:jc w:val="right"/>
              <w:ind w:right="10"/>
              <w:spacing w:after="0"/>
              <w:rPr>
                <w:sz w:val="20"/>
                <w:szCs w:val="20"/>
                <w:color w:val="auto"/>
              </w:rPr>
            </w:pPr>
            <w:r>
              <w:rPr>
                <w:rFonts w:ascii="Times New Roman" w:cs="Times New Roman" w:eastAsia="Times New Roman" w:hAnsi="Times New Roman"/>
                <w:sz w:val="18"/>
                <w:szCs w:val="18"/>
                <w:color w:val="auto"/>
              </w:rPr>
              <w:t>32,517</w:t>
            </w:r>
          </w:p>
        </w:tc>
        <w:tc>
          <w:tcPr>
            <w:tcW w:w="240" w:type="dxa"/>
            <w:vAlign w:val="bottom"/>
            <w:shd w:val="clear" w:color="auto" w:fill="DBDBDB"/>
          </w:tcPr>
          <w:p>
            <w:pPr>
              <w:spacing w:after="0"/>
              <w:rPr>
                <w:sz w:val="22"/>
                <w:szCs w:val="22"/>
                <w:color w:val="auto"/>
              </w:rPr>
            </w:pPr>
          </w:p>
        </w:tc>
        <w:tc>
          <w:tcPr>
            <w:tcW w:w="1140" w:type="dxa"/>
            <w:vAlign w:val="bottom"/>
            <w:shd w:val="clear" w:color="auto" w:fill="DBDBDB"/>
          </w:tcPr>
          <w:p>
            <w:pPr>
              <w:jc w:val="right"/>
              <w:ind w:right="10"/>
              <w:spacing w:after="0"/>
              <w:rPr>
                <w:sz w:val="20"/>
                <w:szCs w:val="20"/>
                <w:color w:val="auto"/>
              </w:rPr>
            </w:pPr>
            <w:r>
              <w:rPr>
                <w:rFonts w:ascii="Times New Roman" w:cs="Times New Roman" w:eastAsia="Times New Roman" w:hAnsi="Times New Roman"/>
                <w:sz w:val="18"/>
                <w:szCs w:val="18"/>
                <w:color w:val="auto"/>
              </w:rPr>
              <w:t>3,629</w:t>
            </w:r>
          </w:p>
        </w:tc>
        <w:tc>
          <w:tcPr>
            <w:tcW w:w="240" w:type="dxa"/>
            <w:vAlign w:val="bottom"/>
            <w:shd w:val="clear" w:color="auto" w:fill="DBDBDB"/>
          </w:tcPr>
          <w:p>
            <w:pPr>
              <w:spacing w:after="0"/>
              <w:rPr>
                <w:sz w:val="22"/>
                <w:szCs w:val="22"/>
                <w:color w:val="auto"/>
              </w:rPr>
            </w:pPr>
          </w:p>
        </w:tc>
        <w:tc>
          <w:tcPr>
            <w:tcW w:w="1140" w:type="dxa"/>
            <w:vAlign w:val="bottom"/>
            <w:shd w:val="clear" w:color="auto" w:fill="DBDBDB"/>
          </w:tcPr>
          <w:p>
            <w:pPr>
              <w:jc w:val="right"/>
              <w:ind w:right="10"/>
              <w:spacing w:after="0"/>
              <w:rPr>
                <w:sz w:val="20"/>
                <w:szCs w:val="20"/>
                <w:color w:val="auto"/>
              </w:rPr>
            </w:pPr>
            <w:r>
              <w:rPr>
                <w:rFonts w:ascii="Times New Roman" w:cs="Times New Roman" w:eastAsia="Times New Roman" w:hAnsi="Times New Roman"/>
                <w:sz w:val="18"/>
                <w:szCs w:val="18"/>
                <w:color w:val="auto"/>
              </w:rPr>
              <w:t>47,580</w:t>
            </w:r>
          </w:p>
        </w:tc>
        <w:tc>
          <w:tcPr>
            <w:tcW w:w="240" w:type="dxa"/>
            <w:vAlign w:val="bottom"/>
            <w:shd w:val="clear" w:color="auto" w:fill="DBDBDB"/>
          </w:tcPr>
          <w:p>
            <w:pPr>
              <w:spacing w:after="0"/>
              <w:rPr>
                <w:sz w:val="22"/>
                <w:szCs w:val="22"/>
                <w:color w:val="auto"/>
              </w:rPr>
            </w:pPr>
          </w:p>
        </w:tc>
        <w:tc>
          <w:tcPr>
            <w:tcW w:w="1160" w:type="dxa"/>
            <w:vAlign w:val="bottom"/>
            <w:shd w:val="clear" w:color="auto" w:fill="DBDBDB"/>
          </w:tcPr>
          <w:p>
            <w:pPr>
              <w:jc w:val="right"/>
              <w:ind w:right="10"/>
              <w:spacing w:after="0"/>
              <w:rPr>
                <w:sz w:val="20"/>
                <w:szCs w:val="20"/>
                <w:color w:val="auto"/>
              </w:rPr>
            </w:pPr>
            <w:r>
              <w:rPr>
                <w:rFonts w:ascii="Times New Roman" w:cs="Times New Roman" w:eastAsia="Times New Roman" w:hAnsi="Times New Roman"/>
                <w:sz w:val="18"/>
                <w:szCs w:val="18"/>
                <w:color w:val="auto"/>
              </w:rPr>
              <w:t>7,622</w:t>
            </w:r>
          </w:p>
        </w:tc>
        <w:tc>
          <w:tcPr>
            <w:tcW w:w="240" w:type="dxa"/>
            <w:vAlign w:val="bottom"/>
            <w:shd w:val="clear" w:color="auto" w:fill="DBDBDB"/>
          </w:tcPr>
          <w:p>
            <w:pPr>
              <w:spacing w:after="0"/>
              <w:rPr>
                <w:sz w:val="22"/>
                <w:szCs w:val="22"/>
                <w:color w:val="auto"/>
              </w:rPr>
            </w:pPr>
          </w:p>
        </w:tc>
        <w:tc>
          <w:tcPr>
            <w:tcW w:w="11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80,097</w:t>
            </w:r>
          </w:p>
        </w:tc>
        <w:tc>
          <w:tcPr>
            <w:tcW w:w="280" w:type="dxa"/>
            <w:vAlign w:val="bottom"/>
            <w:shd w:val="clear" w:color="auto" w:fill="DBDBDB"/>
          </w:tcPr>
          <w:p>
            <w:pPr>
              <w:spacing w:after="0"/>
              <w:rPr>
                <w:sz w:val="22"/>
                <w:szCs w:val="22"/>
                <w:color w:val="auto"/>
              </w:rPr>
            </w:pPr>
          </w:p>
        </w:tc>
        <w:tc>
          <w:tcPr>
            <w:tcW w:w="11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11,251</w:t>
            </w:r>
          </w:p>
        </w:tc>
        <w:tc>
          <w:tcPr>
            <w:tcW w:w="0" w:type="dxa"/>
            <w:vAlign w:val="bottom"/>
          </w:tcPr>
          <w:p>
            <w:pPr>
              <w:spacing w:after="0"/>
              <w:rPr>
                <w:sz w:val="1"/>
                <w:szCs w:val="1"/>
                <w:color w:val="auto"/>
              </w:rPr>
            </w:pPr>
          </w:p>
        </w:tc>
      </w:tr>
      <w:tr>
        <w:trPr>
          <w:trHeight w:val="257"/>
        </w:trPr>
        <w:tc>
          <w:tcPr>
            <w:tcW w:w="3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Treasury securities</w:t>
            </w:r>
          </w:p>
        </w:tc>
        <w:tc>
          <w:tcPr>
            <w:tcW w:w="160" w:type="dxa"/>
            <w:vAlign w:val="bottom"/>
          </w:tcPr>
          <w:p>
            <w:pPr>
              <w:spacing w:after="0"/>
              <w:rPr>
                <w:sz w:val="22"/>
                <w:szCs w:val="22"/>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155,283</w:t>
            </w:r>
          </w:p>
        </w:tc>
        <w:tc>
          <w:tcPr>
            <w:tcW w:w="240" w:type="dxa"/>
            <w:vAlign w:val="bottom"/>
          </w:tcPr>
          <w:p>
            <w:pPr>
              <w:spacing w:after="0"/>
              <w:rPr>
                <w:sz w:val="22"/>
                <w:szCs w:val="22"/>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3,652</w:t>
            </w:r>
          </w:p>
        </w:tc>
        <w:tc>
          <w:tcPr>
            <w:tcW w:w="240" w:type="dxa"/>
            <w:vAlign w:val="bottom"/>
          </w:tcPr>
          <w:p>
            <w:pPr>
              <w:spacing w:after="0"/>
              <w:rPr>
                <w:sz w:val="22"/>
                <w:szCs w:val="22"/>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2"/>
                <w:szCs w:val="22"/>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155,283</w:t>
            </w:r>
          </w:p>
        </w:tc>
        <w:tc>
          <w:tcPr>
            <w:tcW w:w="28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3,652</w:t>
            </w:r>
          </w:p>
        </w:tc>
        <w:tc>
          <w:tcPr>
            <w:tcW w:w="0" w:type="dxa"/>
            <w:vAlign w:val="bottom"/>
          </w:tcPr>
          <w:p>
            <w:pPr>
              <w:spacing w:after="0"/>
              <w:rPr>
                <w:sz w:val="1"/>
                <w:szCs w:val="1"/>
                <w:color w:val="auto"/>
              </w:rPr>
            </w:pPr>
          </w:p>
        </w:tc>
      </w:tr>
      <w:tr>
        <w:trPr>
          <w:trHeight w:val="225"/>
        </w:trPr>
        <w:tc>
          <w:tcPr>
            <w:tcW w:w="304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Asset backed securities issued or</w:t>
            </w:r>
          </w:p>
        </w:tc>
        <w:tc>
          <w:tcPr>
            <w:tcW w:w="160" w:type="dxa"/>
            <w:vAlign w:val="bottom"/>
            <w:shd w:val="clear" w:color="auto" w:fill="DBDBDB"/>
          </w:tcPr>
          <w:p>
            <w:pPr>
              <w:spacing w:after="0"/>
              <w:rPr>
                <w:sz w:val="19"/>
                <w:szCs w:val="19"/>
                <w:color w:val="auto"/>
              </w:rPr>
            </w:pPr>
          </w:p>
        </w:tc>
        <w:tc>
          <w:tcPr>
            <w:tcW w:w="114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114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114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116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112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110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3040" w:type="dxa"/>
            <w:vAlign w:val="bottom"/>
            <w:shd w:val="clear" w:color="auto" w:fill="DBDBDB"/>
          </w:tcPr>
          <w:p>
            <w:pPr>
              <w:ind w:left="20"/>
              <w:spacing w:after="0" w:line="202" w:lineRule="exact"/>
              <w:rPr>
                <w:sz w:val="20"/>
                <w:szCs w:val="20"/>
                <w:color w:val="auto"/>
              </w:rPr>
            </w:pPr>
            <w:r>
              <w:rPr>
                <w:rFonts w:ascii="Times New Roman" w:cs="Times New Roman" w:eastAsia="Times New Roman" w:hAnsi="Times New Roman"/>
                <w:sz w:val="18"/>
                <w:szCs w:val="18"/>
                <w:color w:val="auto"/>
              </w:rPr>
              <w:t>guaranteed by U.S. Government agencies</w:t>
            </w:r>
          </w:p>
        </w:tc>
        <w:tc>
          <w:tcPr>
            <w:tcW w:w="160" w:type="dxa"/>
            <w:vAlign w:val="bottom"/>
            <w:shd w:val="clear" w:color="auto" w:fill="DBDBDB"/>
          </w:tcPr>
          <w:p>
            <w:pPr>
              <w:spacing w:after="0"/>
              <w:rPr>
                <w:sz w:val="17"/>
                <w:szCs w:val="17"/>
                <w:color w:val="auto"/>
              </w:rPr>
            </w:pPr>
          </w:p>
        </w:tc>
        <w:tc>
          <w:tcPr>
            <w:tcW w:w="1140" w:type="dxa"/>
            <w:vAlign w:val="bottom"/>
            <w:shd w:val="clear" w:color="auto" w:fill="DBDBDB"/>
          </w:tcPr>
          <w:p>
            <w:pPr>
              <w:spacing w:after="0"/>
              <w:rPr>
                <w:sz w:val="17"/>
                <w:szCs w:val="17"/>
                <w:color w:val="auto"/>
              </w:rPr>
            </w:pPr>
          </w:p>
        </w:tc>
        <w:tc>
          <w:tcPr>
            <w:tcW w:w="240" w:type="dxa"/>
            <w:vAlign w:val="bottom"/>
            <w:shd w:val="clear" w:color="auto" w:fill="DBDBDB"/>
          </w:tcPr>
          <w:p>
            <w:pPr>
              <w:spacing w:after="0"/>
              <w:rPr>
                <w:sz w:val="17"/>
                <w:szCs w:val="17"/>
                <w:color w:val="auto"/>
              </w:rPr>
            </w:pPr>
          </w:p>
        </w:tc>
        <w:tc>
          <w:tcPr>
            <w:tcW w:w="1140" w:type="dxa"/>
            <w:vAlign w:val="bottom"/>
            <w:shd w:val="clear" w:color="auto" w:fill="DBDBDB"/>
          </w:tcPr>
          <w:p>
            <w:pPr>
              <w:spacing w:after="0"/>
              <w:rPr>
                <w:sz w:val="17"/>
                <w:szCs w:val="17"/>
                <w:color w:val="auto"/>
              </w:rPr>
            </w:pPr>
          </w:p>
        </w:tc>
        <w:tc>
          <w:tcPr>
            <w:tcW w:w="240" w:type="dxa"/>
            <w:vAlign w:val="bottom"/>
            <w:shd w:val="clear" w:color="auto" w:fill="DBDBDB"/>
          </w:tcPr>
          <w:p>
            <w:pPr>
              <w:spacing w:after="0"/>
              <w:rPr>
                <w:sz w:val="17"/>
                <w:szCs w:val="17"/>
                <w:color w:val="auto"/>
              </w:rPr>
            </w:pPr>
          </w:p>
        </w:tc>
        <w:tc>
          <w:tcPr>
            <w:tcW w:w="1140" w:type="dxa"/>
            <w:vAlign w:val="bottom"/>
            <w:shd w:val="clear" w:color="auto" w:fill="DBDBDB"/>
          </w:tcPr>
          <w:p>
            <w:pPr>
              <w:spacing w:after="0"/>
              <w:rPr>
                <w:sz w:val="17"/>
                <w:szCs w:val="17"/>
                <w:color w:val="auto"/>
              </w:rPr>
            </w:pPr>
          </w:p>
        </w:tc>
        <w:tc>
          <w:tcPr>
            <w:tcW w:w="240" w:type="dxa"/>
            <w:vAlign w:val="bottom"/>
            <w:shd w:val="clear" w:color="auto" w:fill="DBDBDB"/>
          </w:tcPr>
          <w:p>
            <w:pPr>
              <w:spacing w:after="0"/>
              <w:rPr>
                <w:sz w:val="17"/>
                <w:szCs w:val="17"/>
                <w:color w:val="auto"/>
              </w:rPr>
            </w:pPr>
          </w:p>
        </w:tc>
        <w:tc>
          <w:tcPr>
            <w:tcW w:w="1160" w:type="dxa"/>
            <w:vAlign w:val="bottom"/>
            <w:shd w:val="clear" w:color="auto" w:fill="DBDBDB"/>
          </w:tcPr>
          <w:p>
            <w:pPr>
              <w:spacing w:after="0"/>
              <w:rPr>
                <w:sz w:val="17"/>
                <w:szCs w:val="17"/>
                <w:color w:val="auto"/>
              </w:rPr>
            </w:pPr>
          </w:p>
        </w:tc>
        <w:tc>
          <w:tcPr>
            <w:tcW w:w="240" w:type="dxa"/>
            <w:vAlign w:val="bottom"/>
            <w:shd w:val="clear" w:color="auto" w:fill="DBDBDB"/>
          </w:tcPr>
          <w:p>
            <w:pPr>
              <w:spacing w:after="0"/>
              <w:rPr>
                <w:sz w:val="17"/>
                <w:szCs w:val="17"/>
                <w:color w:val="auto"/>
              </w:rPr>
            </w:pPr>
          </w:p>
        </w:tc>
        <w:tc>
          <w:tcPr>
            <w:tcW w:w="1120" w:type="dxa"/>
            <w:vAlign w:val="bottom"/>
            <w:shd w:val="clear" w:color="auto" w:fill="DBDBDB"/>
          </w:tcPr>
          <w:p>
            <w:pPr>
              <w:spacing w:after="0"/>
              <w:rPr>
                <w:sz w:val="17"/>
                <w:szCs w:val="17"/>
                <w:color w:val="auto"/>
              </w:rPr>
            </w:pPr>
          </w:p>
        </w:tc>
        <w:tc>
          <w:tcPr>
            <w:tcW w:w="280" w:type="dxa"/>
            <w:vAlign w:val="bottom"/>
            <w:shd w:val="clear" w:color="auto" w:fill="DBDBDB"/>
          </w:tcPr>
          <w:p>
            <w:pPr>
              <w:spacing w:after="0"/>
              <w:rPr>
                <w:sz w:val="17"/>
                <w:szCs w:val="17"/>
                <w:color w:val="auto"/>
              </w:rPr>
            </w:pPr>
          </w:p>
        </w:tc>
        <w:tc>
          <w:tcPr>
            <w:tcW w:w="110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3040" w:type="dxa"/>
            <w:vAlign w:val="bottom"/>
            <w:tcBorders>
              <w:bottom w:val="single" w:sz="8" w:color="auto"/>
            </w:tcBorders>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or sponsored enterprises</w:t>
            </w:r>
          </w:p>
        </w:tc>
        <w:tc>
          <w:tcPr>
            <w:tcW w:w="160" w:type="dxa"/>
            <w:vAlign w:val="bottom"/>
            <w:tcBorders>
              <w:bottom w:val="single" w:sz="8" w:color="auto"/>
            </w:tcBorders>
            <w:shd w:val="clear" w:color="auto" w:fill="DBDBDB"/>
          </w:tcPr>
          <w:p>
            <w:pPr>
              <w:spacing w:after="0"/>
              <w:rPr>
                <w:sz w:val="21"/>
                <w:szCs w:val="21"/>
                <w:color w:val="auto"/>
              </w:rPr>
            </w:pPr>
          </w:p>
        </w:tc>
        <w:tc>
          <w:tcPr>
            <w:tcW w:w="1140" w:type="dxa"/>
            <w:vAlign w:val="bottom"/>
            <w:tcBorders>
              <w:bottom w:val="single" w:sz="8" w:color="auto"/>
            </w:tcBorders>
            <w:shd w:val="clear" w:color="auto" w:fill="DBDBDB"/>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shd w:val="clear" w:color="auto" w:fill="DBDBDB"/>
          </w:tcPr>
          <w:p>
            <w:pPr>
              <w:spacing w:after="0"/>
              <w:rPr>
                <w:sz w:val="21"/>
                <w:szCs w:val="21"/>
                <w:color w:val="auto"/>
              </w:rPr>
            </w:pPr>
          </w:p>
        </w:tc>
        <w:tc>
          <w:tcPr>
            <w:tcW w:w="1140" w:type="dxa"/>
            <w:vAlign w:val="bottom"/>
            <w:tcBorders>
              <w:bottom w:val="single" w:sz="8" w:color="auto"/>
            </w:tcBorders>
            <w:shd w:val="clear" w:color="auto" w:fill="DBDBDB"/>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shd w:val="clear" w:color="auto" w:fill="DBDBDB"/>
          </w:tcPr>
          <w:p>
            <w:pPr>
              <w:spacing w:after="0"/>
              <w:rPr>
                <w:sz w:val="21"/>
                <w:szCs w:val="21"/>
                <w:color w:val="auto"/>
              </w:rPr>
            </w:pPr>
          </w:p>
        </w:tc>
        <w:tc>
          <w:tcPr>
            <w:tcW w:w="1140" w:type="dxa"/>
            <w:vAlign w:val="bottom"/>
            <w:tcBorders>
              <w:bottom w:val="single" w:sz="8" w:color="auto"/>
            </w:tcBorders>
            <w:shd w:val="clear" w:color="auto" w:fill="DBDBDB"/>
          </w:tcPr>
          <w:p>
            <w:pPr>
              <w:jc w:val="right"/>
              <w:ind w:right="10"/>
              <w:spacing w:after="0"/>
              <w:rPr>
                <w:sz w:val="20"/>
                <w:szCs w:val="20"/>
                <w:color w:val="auto"/>
              </w:rPr>
            </w:pPr>
            <w:r>
              <w:rPr>
                <w:rFonts w:ascii="Times New Roman" w:cs="Times New Roman" w:eastAsia="Times New Roman" w:hAnsi="Times New Roman"/>
                <w:sz w:val="18"/>
                <w:szCs w:val="18"/>
                <w:color w:val="auto"/>
              </w:rPr>
              <w:t>47,213</w:t>
            </w:r>
          </w:p>
        </w:tc>
        <w:tc>
          <w:tcPr>
            <w:tcW w:w="240" w:type="dxa"/>
            <w:vAlign w:val="bottom"/>
            <w:tcBorders>
              <w:bottom w:val="single" w:sz="8" w:color="auto"/>
            </w:tcBorders>
            <w:shd w:val="clear" w:color="auto" w:fill="DBDBDB"/>
          </w:tcPr>
          <w:p>
            <w:pPr>
              <w:spacing w:after="0"/>
              <w:rPr>
                <w:sz w:val="21"/>
                <w:szCs w:val="21"/>
                <w:color w:val="auto"/>
              </w:rPr>
            </w:pPr>
          </w:p>
        </w:tc>
        <w:tc>
          <w:tcPr>
            <w:tcW w:w="1160" w:type="dxa"/>
            <w:vAlign w:val="bottom"/>
            <w:tcBorders>
              <w:bottom w:val="single" w:sz="8" w:color="auto"/>
            </w:tcBorders>
            <w:shd w:val="clear" w:color="auto" w:fill="DBDBDB"/>
          </w:tcPr>
          <w:p>
            <w:pPr>
              <w:jc w:val="right"/>
              <w:ind w:right="10"/>
              <w:spacing w:after="0"/>
              <w:rPr>
                <w:sz w:val="20"/>
                <w:szCs w:val="20"/>
                <w:color w:val="auto"/>
              </w:rPr>
            </w:pPr>
            <w:r>
              <w:rPr>
                <w:rFonts w:ascii="Times New Roman" w:cs="Times New Roman" w:eastAsia="Times New Roman" w:hAnsi="Times New Roman"/>
                <w:sz w:val="18"/>
                <w:szCs w:val="18"/>
                <w:color w:val="auto"/>
              </w:rPr>
              <w:t>2,190</w:t>
            </w:r>
          </w:p>
        </w:tc>
        <w:tc>
          <w:tcPr>
            <w:tcW w:w="240" w:type="dxa"/>
            <w:vAlign w:val="bottom"/>
            <w:tcBorders>
              <w:bottom w:val="single" w:sz="8" w:color="auto"/>
            </w:tcBorders>
            <w:shd w:val="clear" w:color="auto" w:fill="DBDBDB"/>
          </w:tcPr>
          <w:p>
            <w:pPr>
              <w:spacing w:after="0"/>
              <w:rPr>
                <w:sz w:val="21"/>
                <w:szCs w:val="21"/>
                <w:color w:val="auto"/>
              </w:rPr>
            </w:pPr>
          </w:p>
        </w:tc>
        <w:tc>
          <w:tcPr>
            <w:tcW w:w="112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47,213</w:t>
            </w:r>
          </w:p>
        </w:tc>
        <w:tc>
          <w:tcPr>
            <w:tcW w:w="280" w:type="dxa"/>
            <w:vAlign w:val="bottom"/>
            <w:tcBorders>
              <w:bottom w:val="single" w:sz="8" w:color="auto"/>
            </w:tcBorders>
            <w:shd w:val="clear" w:color="auto" w:fill="DBDBDB"/>
          </w:tcPr>
          <w:p>
            <w:pPr>
              <w:spacing w:after="0"/>
              <w:rPr>
                <w:sz w:val="21"/>
                <w:szCs w:val="21"/>
                <w:color w:val="auto"/>
              </w:rPr>
            </w:pPr>
          </w:p>
        </w:tc>
        <w:tc>
          <w:tcPr>
            <w:tcW w:w="110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2,190</w:t>
            </w:r>
          </w:p>
        </w:tc>
        <w:tc>
          <w:tcPr>
            <w:tcW w:w="0" w:type="dxa"/>
            <w:vAlign w:val="bottom"/>
          </w:tcPr>
          <w:p>
            <w:pPr>
              <w:spacing w:after="0"/>
              <w:rPr>
                <w:sz w:val="1"/>
                <w:szCs w:val="1"/>
                <w:color w:val="auto"/>
              </w:rPr>
            </w:pPr>
          </w:p>
        </w:tc>
      </w:tr>
      <w:tr>
        <w:trPr>
          <w:trHeight w:val="250"/>
        </w:trPr>
        <w:tc>
          <w:tcPr>
            <w:tcW w:w="304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456,451</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22,374</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260,284</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48,259</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716,735</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70,633</w:t>
            </w: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There were 275 securities, or 98.9%, in an unrealized loss position as of December 31, 2023 compared to 311 securities, or 91.7%, in an unrealized loss position as of December 31, 2022. The unrealized losses at December 31, 2023 were primarily attributable to changes in market interest rates after the securities were purchased. The Company does not currently intend to sell, and based on current conditions, the Company does not believe it will be required to sell these available-for-sale securities before the recovery of the amortized cost basis, which may be the maturity dates of the securities. Therefore, the unrealized losses are recorded in accumulated other comprehensive loss. Of these securities, 210, or 75.5%, were in an unrealized loss position for greater than 12 months at December 31, 2023. At December 31, 2023 and December 31, 2022, the Company had not recorded an allowance for credit losses on securities.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amortized cost and fair value of debt and equity securities by contractual maturity are shown in the following table. Expected maturities may differ from contractual maturities because borrowers have the right to prepay obligations with or without prepayment penalties.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gridSpan w:val="3"/>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23"/>
        </w:trPr>
        <w:tc>
          <w:tcPr>
            <w:tcW w:w="8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8"/>
              </w:rPr>
              <w:t>Amortized Cost</w:t>
            </w: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23"/>
        </w:trPr>
        <w:tc>
          <w:tcPr>
            <w:tcW w:w="818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Due in 1 year or less</w:t>
            </w:r>
          </w:p>
        </w:tc>
        <w:tc>
          <w:tcPr>
            <w:tcW w:w="1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DBDBDB"/>
          </w:tcPr>
          <w:p>
            <w:pPr>
              <w:jc w:val="right"/>
              <w:ind w:right="10"/>
              <w:spacing w:after="0"/>
              <w:rPr>
                <w:sz w:val="20"/>
                <w:szCs w:val="20"/>
                <w:color w:val="auto"/>
              </w:rPr>
            </w:pPr>
            <w:r>
              <w:rPr>
                <w:rFonts w:ascii="Times New Roman" w:cs="Times New Roman" w:eastAsia="Times New Roman" w:hAnsi="Times New Roman"/>
                <w:sz w:val="18"/>
                <w:szCs w:val="18"/>
                <w:color w:val="auto"/>
              </w:rPr>
              <w:t>130,388</w:t>
            </w:r>
          </w:p>
        </w:tc>
        <w:tc>
          <w:tcPr>
            <w:tcW w:w="300" w:type="dxa"/>
            <w:vAlign w:val="bottom"/>
            <w:shd w:val="clear" w:color="auto" w:fill="DBDBDB"/>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129,213</w:t>
            </w: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Due after 1 year through 5 years</w:t>
            </w:r>
          </w:p>
        </w:tc>
        <w:tc>
          <w:tcPr>
            <w:tcW w:w="120" w:type="dxa"/>
            <w:vAlign w:val="bottom"/>
          </w:tcPr>
          <w:p>
            <w:pPr>
              <w:spacing w:after="0"/>
              <w:rPr>
                <w:sz w:val="19"/>
                <w:szCs w:val="19"/>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136,710</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134,663</w:t>
            </w:r>
          </w:p>
        </w:tc>
      </w:tr>
      <w:tr>
        <w:trPr>
          <w:trHeight w:val="229"/>
        </w:trPr>
        <w:tc>
          <w:tcPr>
            <w:tcW w:w="818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Due after 5 years through 10 years</w:t>
            </w:r>
          </w:p>
        </w:tc>
        <w:tc>
          <w:tcPr>
            <w:tcW w:w="120" w:type="dxa"/>
            <w:vAlign w:val="bottom"/>
            <w:shd w:val="clear" w:color="auto" w:fill="DBDBDB"/>
          </w:tcPr>
          <w:p>
            <w:pPr>
              <w:spacing w:after="0"/>
              <w:rPr>
                <w:sz w:val="19"/>
                <w:szCs w:val="19"/>
                <w:color w:val="auto"/>
              </w:rPr>
            </w:pPr>
          </w:p>
        </w:tc>
        <w:tc>
          <w:tcPr>
            <w:tcW w:w="1380" w:type="dxa"/>
            <w:vAlign w:val="bottom"/>
            <w:shd w:val="clear" w:color="auto" w:fill="DBDBDB"/>
          </w:tcPr>
          <w:p>
            <w:pPr>
              <w:jc w:val="right"/>
              <w:ind w:right="10"/>
              <w:spacing w:after="0"/>
              <w:rPr>
                <w:sz w:val="20"/>
                <w:szCs w:val="20"/>
                <w:color w:val="auto"/>
              </w:rPr>
            </w:pPr>
            <w:r>
              <w:rPr>
                <w:rFonts w:ascii="Times New Roman" w:cs="Times New Roman" w:eastAsia="Times New Roman" w:hAnsi="Times New Roman"/>
                <w:sz w:val="18"/>
                <w:szCs w:val="18"/>
                <w:color w:val="auto"/>
              </w:rPr>
              <w:t>202,069</w:t>
            </w:r>
          </w:p>
        </w:tc>
        <w:tc>
          <w:tcPr>
            <w:tcW w:w="300" w:type="dxa"/>
            <w:vAlign w:val="bottom"/>
            <w:shd w:val="clear" w:color="auto" w:fill="DBDBDB"/>
          </w:tcPr>
          <w:p>
            <w:pPr>
              <w:spacing w:after="0"/>
              <w:rPr>
                <w:sz w:val="19"/>
                <w:szCs w:val="19"/>
                <w:color w:val="auto"/>
              </w:rPr>
            </w:pPr>
          </w:p>
        </w:tc>
        <w:tc>
          <w:tcPr>
            <w:tcW w:w="12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178,754</w:t>
            </w:r>
          </w:p>
        </w:tc>
      </w:tr>
      <w:tr>
        <w:trPr>
          <w:trHeight w:val="230"/>
        </w:trPr>
        <w:tc>
          <w:tcPr>
            <w:tcW w:w="8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Due after 10 years</w:t>
            </w:r>
          </w:p>
        </w:tc>
        <w:tc>
          <w:tcPr>
            <w:tcW w:w="1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215,750</w:t>
            </w: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184,487</w:t>
            </w:r>
          </w:p>
        </w:tc>
      </w:tr>
      <w:tr>
        <w:trPr>
          <w:trHeight w:val="223"/>
        </w:trPr>
        <w:tc>
          <w:tcPr>
            <w:tcW w:w="8180" w:type="dxa"/>
            <w:vAlign w:val="bottom"/>
            <w:tcBorders>
              <w:bottom w:val="single" w:sz="8" w:color="auto"/>
            </w:tcBorders>
            <w:shd w:val="clear" w:color="auto" w:fill="DBDBDB"/>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DBDBDB"/>
          </w:tcPr>
          <w:p>
            <w:pPr>
              <w:jc w:val="right"/>
              <w:ind w:right="10"/>
              <w:spacing w:after="0"/>
              <w:rPr>
                <w:sz w:val="20"/>
                <w:szCs w:val="20"/>
                <w:color w:val="auto"/>
              </w:rPr>
            </w:pPr>
            <w:r>
              <w:rPr>
                <w:rFonts w:ascii="Times New Roman" w:cs="Times New Roman" w:eastAsia="Times New Roman" w:hAnsi="Times New Roman"/>
                <w:sz w:val="18"/>
                <w:szCs w:val="18"/>
                <w:color w:val="auto"/>
              </w:rPr>
              <w:t>684,917</w:t>
            </w:r>
          </w:p>
        </w:tc>
        <w:tc>
          <w:tcPr>
            <w:tcW w:w="300" w:type="dxa"/>
            <w:vAlign w:val="bottom"/>
            <w:tcBorders>
              <w:bottom w:val="single" w:sz="8" w:color="auto"/>
            </w:tcBorders>
            <w:shd w:val="clear" w:color="auto" w:fill="DBDBDB"/>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627,117</w:t>
            </w: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securities pledged to secure public deposits or for other purposes at December 31, 2023.</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Proceeds from sales of investment securities classified as available-for-sale were $111.6 million in 2023, $3.8 million in 2022, and $63.8 million in 2021. Gross realized gains on the sales in 2023, 2022, and 2021 were $187,000, $15,000, and $55,000, respectively. Gross realized losses on the sales in 2023, 2022, and 2021 were $360,000, $0 and $4,000,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Loans</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originates commercial, industrial and real estate loans to businesses and faith-based ministries throughout the metropolitan St. Louis, Missouri area, Colorado Springs, Colorado and other selected cities in the United States. The Company does not have any particular concentration of credit in any one economic sector; however, a substantial portion of the commercial and industrial loans is extended to privately-held commercial companies and franchises in these market areas and are generally secured by the assets of the business. The Company also has a substantial portion of real estate</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loans secured by mortgages that are extended to faith-based ministries in its market area and selected cities in the United States.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loan categories is as follows: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4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2022</w:t>
            </w:r>
          </w:p>
        </w:tc>
        <w:tc>
          <w:tcPr>
            <w:tcW w:w="0" w:type="dxa"/>
            <w:vAlign w:val="bottom"/>
          </w:tcPr>
          <w:p>
            <w:pPr>
              <w:spacing w:after="0"/>
              <w:rPr>
                <w:sz w:val="1"/>
                <w:szCs w:val="1"/>
                <w:color w:val="auto"/>
              </w:rPr>
            </w:pPr>
          </w:p>
        </w:tc>
      </w:tr>
      <w:tr>
        <w:trPr>
          <w:trHeight w:val="257"/>
        </w:trPr>
        <w:tc>
          <w:tcPr>
            <w:tcW w:w="268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240" w:type="dxa"/>
            <w:vAlign w:val="bottom"/>
            <w:shd w:val="clear" w:color="auto" w:fill="DBDBDB"/>
          </w:tcPr>
          <w:p>
            <w:pPr>
              <w:spacing w:after="0"/>
              <w:rPr>
                <w:sz w:val="22"/>
                <w:szCs w:val="22"/>
                <w:color w:val="auto"/>
              </w:rPr>
            </w:pPr>
          </w:p>
        </w:tc>
        <w:tc>
          <w:tcPr>
            <w:tcW w:w="1140" w:type="dxa"/>
            <w:vAlign w:val="bottom"/>
            <w:shd w:val="clear" w:color="auto" w:fill="DBDBDB"/>
          </w:tcPr>
          <w:p>
            <w:pPr>
              <w:spacing w:after="0"/>
              <w:rPr>
                <w:sz w:val="22"/>
                <w:szCs w:val="22"/>
                <w:color w:val="auto"/>
              </w:rPr>
            </w:pPr>
          </w:p>
        </w:tc>
        <w:tc>
          <w:tcPr>
            <w:tcW w:w="220" w:type="dxa"/>
            <w:vAlign w:val="bottom"/>
            <w:shd w:val="clear" w:color="auto" w:fill="DBDBDB"/>
          </w:tcPr>
          <w:p>
            <w:pPr>
              <w:spacing w:after="0"/>
              <w:rPr>
                <w:sz w:val="22"/>
                <w:szCs w:val="22"/>
                <w:color w:val="auto"/>
              </w:rPr>
            </w:pPr>
          </w:p>
        </w:tc>
        <w:tc>
          <w:tcPr>
            <w:tcW w:w="1180" w:type="dxa"/>
            <w:vAlign w:val="bottom"/>
            <w:shd w:val="clear" w:color="auto" w:fill="DBDBDB"/>
          </w:tcPr>
          <w:p>
            <w:pPr>
              <w:spacing w:after="0"/>
              <w:rPr>
                <w:sz w:val="22"/>
                <w:szCs w:val="22"/>
                <w:color w:val="auto"/>
              </w:rPr>
            </w:pPr>
          </w:p>
        </w:tc>
        <w:tc>
          <w:tcPr>
            <w:tcW w:w="400" w:type="dxa"/>
            <w:vAlign w:val="bottom"/>
            <w:shd w:val="clear" w:color="auto" w:fill="DBDBDB"/>
          </w:tcPr>
          <w:p>
            <w:pPr>
              <w:spacing w:after="0"/>
              <w:rPr>
                <w:sz w:val="22"/>
                <w:szCs w:val="22"/>
                <w:color w:val="auto"/>
              </w:rPr>
            </w:pPr>
          </w:p>
        </w:tc>
        <w:tc>
          <w:tcPr>
            <w:tcW w:w="1040" w:type="dxa"/>
            <w:vAlign w:val="bottom"/>
            <w:shd w:val="clear" w:color="auto" w:fill="DBDBDB"/>
          </w:tcPr>
          <w:p>
            <w:pPr>
              <w:spacing w:after="0"/>
              <w:rPr>
                <w:sz w:val="22"/>
                <w:szCs w:val="22"/>
                <w:color w:val="auto"/>
              </w:rPr>
            </w:pPr>
          </w:p>
        </w:tc>
        <w:tc>
          <w:tcPr>
            <w:tcW w:w="80" w:type="dxa"/>
            <w:vAlign w:val="bottom"/>
            <w:shd w:val="clear" w:color="auto" w:fill="DBDBDB"/>
          </w:tcPr>
          <w:p>
            <w:pPr>
              <w:spacing w:after="0"/>
              <w:rPr>
                <w:sz w:val="22"/>
                <w:szCs w:val="22"/>
                <w:color w:val="auto"/>
              </w:rPr>
            </w:pPr>
          </w:p>
        </w:tc>
        <w:tc>
          <w:tcPr>
            <w:tcW w:w="240" w:type="dxa"/>
            <w:vAlign w:val="bottom"/>
            <w:shd w:val="clear" w:color="auto" w:fill="DBDBDB"/>
          </w:tcPr>
          <w:p>
            <w:pPr>
              <w:spacing w:after="0"/>
              <w:rPr>
                <w:sz w:val="22"/>
                <w:szCs w:val="22"/>
                <w:color w:val="auto"/>
              </w:rPr>
            </w:pPr>
          </w:p>
        </w:tc>
        <w:tc>
          <w:tcPr>
            <w:tcW w:w="1140" w:type="dxa"/>
            <w:vAlign w:val="bottom"/>
            <w:gridSpan w:val="2"/>
            <w:shd w:val="clear" w:color="auto" w:fill="DBDBDB"/>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DBDBDB"/>
          </w:tcPr>
          <w:p>
            <w:pPr>
              <w:spacing w:after="0"/>
              <w:rPr>
                <w:sz w:val="22"/>
                <w:szCs w:val="22"/>
                <w:color w:val="auto"/>
              </w:rPr>
            </w:pPr>
          </w:p>
        </w:tc>
        <w:tc>
          <w:tcPr>
            <w:tcW w:w="1100" w:type="dxa"/>
            <w:vAlign w:val="bottom"/>
            <w:shd w:val="clear" w:color="auto" w:fill="DBDBDB"/>
          </w:tcPr>
          <w:p>
            <w:pPr>
              <w:jc w:val="right"/>
              <w:ind w:right="70"/>
              <w:spacing w:after="0"/>
              <w:rPr>
                <w:sz w:val="20"/>
                <w:szCs w:val="20"/>
                <w:color w:val="auto"/>
              </w:rPr>
            </w:pPr>
            <w:r>
              <w:rPr>
                <w:rFonts w:ascii="Times New Roman" w:cs="Times New Roman" w:eastAsia="Times New Roman" w:hAnsi="Times New Roman"/>
                <w:sz w:val="18"/>
                <w:szCs w:val="18"/>
                <w:color w:val="auto"/>
              </w:rPr>
              <w:t>498,502</w:t>
            </w:r>
          </w:p>
        </w:tc>
        <w:tc>
          <w:tcPr>
            <w:tcW w:w="540" w:type="dxa"/>
            <w:vAlign w:val="bottom"/>
            <w:gridSpan w:val="2"/>
            <w:shd w:val="clear" w:color="auto" w:fill="DBDBDB"/>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561,616</w:t>
            </w:r>
          </w:p>
        </w:tc>
        <w:tc>
          <w:tcPr>
            <w:tcW w:w="0" w:type="dxa"/>
            <w:vAlign w:val="bottom"/>
          </w:tcPr>
          <w:p>
            <w:pPr>
              <w:spacing w:after="0"/>
              <w:rPr>
                <w:sz w:val="1"/>
                <w:szCs w:val="1"/>
                <w:color w:val="auto"/>
              </w:rPr>
            </w:pPr>
          </w:p>
        </w:tc>
      </w:tr>
      <w:tr>
        <w:trPr>
          <w:trHeight w:val="250"/>
        </w:trPr>
        <w:tc>
          <w:tcPr>
            <w:tcW w:w="2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Real estate:</w:t>
            </w: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2680" w:type="dxa"/>
            <w:vAlign w:val="bottom"/>
            <w:shd w:val="clear" w:color="auto" w:fill="DBDBDB"/>
          </w:tcPr>
          <w:p>
            <w:pPr>
              <w:ind w:left="300"/>
              <w:spacing w:after="0"/>
              <w:rPr>
                <w:sz w:val="20"/>
                <w:szCs w:val="20"/>
                <w:color w:val="auto"/>
              </w:rPr>
            </w:pPr>
            <w:r>
              <w:rPr>
                <w:rFonts w:ascii="Times New Roman" w:cs="Times New Roman" w:eastAsia="Times New Roman" w:hAnsi="Times New Roman"/>
                <w:sz w:val="18"/>
                <w:szCs w:val="18"/>
                <w:color w:val="auto"/>
              </w:rPr>
              <w:t>Commercial:</w:t>
            </w:r>
          </w:p>
        </w:tc>
        <w:tc>
          <w:tcPr>
            <w:tcW w:w="240" w:type="dxa"/>
            <w:vAlign w:val="bottom"/>
            <w:shd w:val="clear" w:color="auto" w:fill="DBDBDB"/>
          </w:tcPr>
          <w:p>
            <w:pPr>
              <w:spacing w:after="0"/>
              <w:rPr>
                <w:sz w:val="22"/>
                <w:szCs w:val="22"/>
                <w:color w:val="auto"/>
              </w:rPr>
            </w:pPr>
          </w:p>
        </w:tc>
        <w:tc>
          <w:tcPr>
            <w:tcW w:w="1140" w:type="dxa"/>
            <w:vAlign w:val="bottom"/>
            <w:shd w:val="clear" w:color="auto" w:fill="DBDBDB"/>
          </w:tcPr>
          <w:p>
            <w:pPr>
              <w:spacing w:after="0"/>
              <w:rPr>
                <w:sz w:val="22"/>
                <w:szCs w:val="22"/>
                <w:color w:val="auto"/>
              </w:rPr>
            </w:pPr>
          </w:p>
        </w:tc>
        <w:tc>
          <w:tcPr>
            <w:tcW w:w="220" w:type="dxa"/>
            <w:vAlign w:val="bottom"/>
            <w:shd w:val="clear" w:color="auto" w:fill="DBDBDB"/>
          </w:tcPr>
          <w:p>
            <w:pPr>
              <w:spacing w:after="0"/>
              <w:rPr>
                <w:sz w:val="22"/>
                <w:szCs w:val="22"/>
                <w:color w:val="auto"/>
              </w:rPr>
            </w:pPr>
          </w:p>
        </w:tc>
        <w:tc>
          <w:tcPr>
            <w:tcW w:w="1180" w:type="dxa"/>
            <w:vAlign w:val="bottom"/>
            <w:shd w:val="clear" w:color="auto" w:fill="DBDBDB"/>
          </w:tcPr>
          <w:p>
            <w:pPr>
              <w:spacing w:after="0"/>
              <w:rPr>
                <w:sz w:val="22"/>
                <w:szCs w:val="22"/>
                <w:color w:val="auto"/>
              </w:rPr>
            </w:pPr>
          </w:p>
        </w:tc>
        <w:tc>
          <w:tcPr>
            <w:tcW w:w="400" w:type="dxa"/>
            <w:vAlign w:val="bottom"/>
            <w:shd w:val="clear" w:color="auto" w:fill="DBDBDB"/>
          </w:tcPr>
          <w:p>
            <w:pPr>
              <w:spacing w:after="0"/>
              <w:rPr>
                <w:sz w:val="22"/>
                <w:szCs w:val="22"/>
                <w:color w:val="auto"/>
              </w:rPr>
            </w:pPr>
          </w:p>
        </w:tc>
        <w:tc>
          <w:tcPr>
            <w:tcW w:w="1040" w:type="dxa"/>
            <w:vAlign w:val="bottom"/>
            <w:shd w:val="clear" w:color="auto" w:fill="DBDBDB"/>
          </w:tcPr>
          <w:p>
            <w:pPr>
              <w:spacing w:after="0"/>
              <w:rPr>
                <w:sz w:val="22"/>
                <w:szCs w:val="22"/>
                <w:color w:val="auto"/>
              </w:rPr>
            </w:pPr>
          </w:p>
        </w:tc>
        <w:tc>
          <w:tcPr>
            <w:tcW w:w="80" w:type="dxa"/>
            <w:vAlign w:val="bottom"/>
            <w:shd w:val="clear" w:color="auto" w:fill="DBDBDB"/>
          </w:tcPr>
          <w:p>
            <w:pPr>
              <w:spacing w:after="0"/>
              <w:rPr>
                <w:sz w:val="22"/>
                <w:szCs w:val="22"/>
                <w:color w:val="auto"/>
              </w:rPr>
            </w:pPr>
          </w:p>
        </w:tc>
        <w:tc>
          <w:tcPr>
            <w:tcW w:w="240" w:type="dxa"/>
            <w:vAlign w:val="bottom"/>
            <w:shd w:val="clear" w:color="auto" w:fill="DBDBDB"/>
          </w:tcPr>
          <w:p>
            <w:pPr>
              <w:spacing w:after="0"/>
              <w:rPr>
                <w:sz w:val="22"/>
                <w:szCs w:val="22"/>
                <w:color w:val="auto"/>
              </w:rPr>
            </w:pPr>
          </w:p>
        </w:tc>
        <w:tc>
          <w:tcPr>
            <w:tcW w:w="960" w:type="dxa"/>
            <w:vAlign w:val="bottom"/>
            <w:shd w:val="clear" w:color="auto" w:fill="DBDBDB"/>
          </w:tcPr>
          <w:p>
            <w:pPr>
              <w:spacing w:after="0"/>
              <w:rPr>
                <w:sz w:val="22"/>
                <w:szCs w:val="22"/>
                <w:color w:val="auto"/>
              </w:rPr>
            </w:pPr>
          </w:p>
        </w:tc>
        <w:tc>
          <w:tcPr>
            <w:tcW w:w="180" w:type="dxa"/>
            <w:vAlign w:val="bottom"/>
            <w:shd w:val="clear" w:color="auto" w:fill="DBDBDB"/>
          </w:tcPr>
          <w:p>
            <w:pPr>
              <w:spacing w:after="0"/>
              <w:rPr>
                <w:sz w:val="22"/>
                <w:szCs w:val="22"/>
                <w:color w:val="auto"/>
              </w:rPr>
            </w:pPr>
          </w:p>
        </w:tc>
        <w:tc>
          <w:tcPr>
            <w:tcW w:w="280" w:type="dxa"/>
            <w:vAlign w:val="bottom"/>
            <w:shd w:val="clear" w:color="auto" w:fill="DBDBDB"/>
          </w:tcPr>
          <w:p>
            <w:pPr>
              <w:spacing w:after="0"/>
              <w:rPr>
                <w:sz w:val="22"/>
                <w:szCs w:val="22"/>
                <w:color w:val="auto"/>
              </w:rPr>
            </w:pPr>
          </w:p>
        </w:tc>
        <w:tc>
          <w:tcPr>
            <w:tcW w:w="1100" w:type="dxa"/>
            <w:vAlign w:val="bottom"/>
            <w:shd w:val="clear" w:color="auto" w:fill="DBDBDB"/>
          </w:tcPr>
          <w:p>
            <w:pPr>
              <w:spacing w:after="0"/>
              <w:rPr>
                <w:sz w:val="22"/>
                <w:szCs w:val="22"/>
                <w:color w:val="auto"/>
              </w:rPr>
            </w:pPr>
          </w:p>
        </w:tc>
        <w:tc>
          <w:tcPr>
            <w:tcW w:w="40" w:type="dxa"/>
            <w:vAlign w:val="bottom"/>
            <w:shd w:val="clear" w:color="auto" w:fill="DBDBDB"/>
          </w:tcPr>
          <w:p>
            <w:pPr>
              <w:spacing w:after="0"/>
              <w:rPr>
                <w:sz w:val="22"/>
                <w:szCs w:val="22"/>
                <w:color w:val="auto"/>
              </w:rPr>
            </w:pPr>
          </w:p>
        </w:tc>
        <w:tc>
          <w:tcPr>
            <w:tcW w:w="500" w:type="dxa"/>
            <w:vAlign w:val="bottom"/>
            <w:shd w:val="clear" w:color="auto" w:fill="DBDBDB"/>
          </w:tcPr>
          <w:p>
            <w:pPr>
              <w:spacing w:after="0"/>
              <w:rPr>
                <w:sz w:val="22"/>
                <w:szCs w:val="22"/>
                <w:color w:val="auto"/>
              </w:rPr>
            </w:pPr>
          </w:p>
        </w:tc>
        <w:tc>
          <w:tcPr>
            <w:tcW w:w="960" w:type="dxa"/>
            <w:vAlign w:val="bottom"/>
            <w:shd w:val="clear" w:color="auto" w:fill="DBDBDB"/>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68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Mortgage</w:t>
            </w: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118,371</w:t>
            </w:r>
          </w:p>
        </w:tc>
        <w:tc>
          <w:tcPr>
            <w:tcW w:w="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108,166</w:t>
            </w:r>
          </w:p>
        </w:tc>
        <w:tc>
          <w:tcPr>
            <w:tcW w:w="0" w:type="dxa"/>
            <w:vAlign w:val="bottom"/>
          </w:tcPr>
          <w:p>
            <w:pPr>
              <w:spacing w:after="0"/>
              <w:rPr>
                <w:sz w:val="1"/>
                <w:szCs w:val="1"/>
                <w:color w:val="auto"/>
              </w:rPr>
            </w:pPr>
          </w:p>
        </w:tc>
      </w:tr>
      <w:tr>
        <w:trPr>
          <w:trHeight w:val="263"/>
        </w:trPr>
        <w:tc>
          <w:tcPr>
            <w:tcW w:w="2680" w:type="dxa"/>
            <w:vAlign w:val="bottom"/>
            <w:shd w:val="clear" w:color="auto" w:fill="DBDBDB"/>
          </w:tcPr>
          <w:p>
            <w:pPr>
              <w:ind w:left="840"/>
              <w:spacing w:after="0"/>
              <w:rPr>
                <w:sz w:val="20"/>
                <w:szCs w:val="20"/>
                <w:color w:val="auto"/>
              </w:rPr>
            </w:pPr>
            <w:r>
              <w:rPr>
                <w:rFonts w:ascii="Times New Roman" w:cs="Times New Roman" w:eastAsia="Times New Roman" w:hAnsi="Times New Roman"/>
                <w:sz w:val="18"/>
                <w:szCs w:val="18"/>
                <w:color w:val="auto"/>
              </w:rPr>
              <w:t>Construction</w:t>
            </w:r>
          </w:p>
        </w:tc>
        <w:tc>
          <w:tcPr>
            <w:tcW w:w="240" w:type="dxa"/>
            <w:vAlign w:val="bottom"/>
            <w:shd w:val="clear" w:color="auto" w:fill="DBDBDB"/>
          </w:tcPr>
          <w:p>
            <w:pPr>
              <w:spacing w:after="0"/>
              <w:rPr>
                <w:sz w:val="22"/>
                <w:szCs w:val="22"/>
                <w:color w:val="auto"/>
              </w:rPr>
            </w:pPr>
          </w:p>
        </w:tc>
        <w:tc>
          <w:tcPr>
            <w:tcW w:w="1140" w:type="dxa"/>
            <w:vAlign w:val="bottom"/>
            <w:shd w:val="clear" w:color="auto" w:fill="DBDBDB"/>
          </w:tcPr>
          <w:p>
            <w:pPr>
              <w:spacing w:after="0"/>
              <w:rPr>
                <w:sz w:val="22"/>
                <w:szCs w:val="22"/>
                <w:color w:val="auto"/>
              </w:rPr>
            </w:pPr>
          </w:p>
        </w:tc>
        <w:tc>
          <w:tcPr>
            <w:tcW w:w="220" w:type="dxa"/>
            <w:vAlign w:val="bottom"/>
            <w:shd w:val="clear" w:color="auto" w:fill="DBDBDB"/>
          </w:tcPr>
          <w:p>
            <w:pPr>
              <w:spacing w:after="0"/>
              <w:rPr>
                <w:sz w:val="22"/>
                <w:szCs w:val="22"/>
                <w:color w:val="auto"/>
              </w:rPr>
            </w:pPr>
          </w:p>
        </w:tc>
        <w:tc>
          <w:tcPr>
            <w:tcW w:w="1180" w:type="dxa"/>
            <w:vAlign w:val="bottom"/>
            <w:shd w:val="clear" w:color="auto" w:fill="DBDBDB"/>
          </w:tcPr>
          <w:p>
            <w:pPr>
              <w:spacing w:after="0"/>
              <w:rPr>
                <w:sz w:val="22"/>
                <w:szCs w:val="22"/>
                <w:color w:val="auto"/>
              </w:rPr>
            </w:pPr>
          </w:p>
        </w:tc>
        <w:tc>
          <w:tcPr>
            <w:tcW w:w="400" w:type="dxa"/>
            <w:vAlign w:val="bottom"/>
            <w:shd w:val="clear" w:color="auto" w:fill="DBDBDB"/>
          </w:tcPr>
          <w:p>
            <w:pPr>
              <w:spacing w:after="0"/>
              <w:rPr>
                <w:sz w:val="22"/>
                <w:szCs w:val="22"/>
                <w:color w:val="auto"/>
              </w:rPr>
            </w:pPr>
          </w:p>
        </w:tc>
        <w:tc>
          <w:tcPr>
            <w:tcW w:w="1040" w:type="dxa"/>
            <w:vAlign w:val="bottom"/>
            <w:shd w:val="clear" w:color="auto" w:fill="DBDBDB"/>
          </w:tcPr>
          <w:p>
            <w:pPr>
              <w:spacing w:after="0"/>
              <w:rPr>
                <w:sz w:val="22"/>
                <w:szCs w:val="22"/>
                <w:color w:val="auto"/>
              </w:rPr>
            </w:pPr>
          </w:p>
        </w:tc>
        <w:tc>
          <w:tcPr>
            <w:tcW w:w="80" w:type="dxa"/>
            <w:vAlign w:val="bottom"/>
            <w:shd w:val="clear" w:color="auto" w:fill="DBDBDB"/>
          </w:tcPr>
          <w:p>
            <w:pPr>
              <w:spacing w:after="0"/>
              <w:rPr>
                <w:sz w:val="22"/>
                <w:szCs w:val="22"/>
                <w:color w:val="auto"/>
              </w:rPr>
            </w:pPr>
          </w:p>
        </w:tc>
        <w:tc>
          <w:tcPr>
            <w:tcW w:w="240" w:type="dxa"/>
            <w:vAlign w:val="bottom"/>
            <w:shd w:val="clear" w:color="auto" w:fill="DBDBDB"/>
          </w:tcPr>
          <w:p>
            <w:pPr>
              <w:spacing w:after="0"/>
              <w:rPr>
                <w:sz w:val="22"/>
                <w:szCs w:val="22"/>
                <w:color w:val="auto"/>
              </w:rPr>
            </w:pPr>
          </w:p>
        </w:tc>
        <w:tc>
          <w:tcPr>
            <w:tcW w:w="960" w:type="dxa"/>
            <w:vAlign w:val="bottom"/>
            <w:shd w:val="clear" w:color="auto" w:fill="DBDBDB"/>
          </w:tcPr>
          <w:p>
            <w:pPr>
              <w:spacing w:after="0"/>
              <w:rPr>
                <w:sz w:val="22"/>
                <w:szCs w:val="22"/>
                <w:color w:val="auto"/>
              </w:rPr>
            </w:pPr>
          </w:p>
        </w:tc>
        <w:tc>
          <w:tcPr>
            <w:tcW w:w="180" w:type="dxa"/>
            <w:vAlign w:val="bottom"/>
            <w:shd w:val="clear" w:color="auto" w:fill="DBDBDB"/>
          </w:tcPr>
          <w:p>
            <w:pPr>
              <w:spacing w:after="0"/>
              <w:rPr>
                <w:sz w:val="22"/>
                <w:szCs w:val="22"/>
                <w:color w:val="auto"/>
              </w:rPr>
            </w:pPr>
          </w:p>
        </w:tc>
        <w:tc>
          <w:tcPr>
            <w:tcW w:w="280" w:type="dxa"/>
            <w:vAlign w:val="bottom"/>
            <w:shd w:val="clear" w:color="auto" w:fill="DBDBDB"/>
          </w:tcPr>
          <w:p>
            <w:pPr>
              <w:spacing w:after="0"/>
              <w:rPr>
                <w:sz w:val="22"/>
                <w:szCs w:val="22"/>
                <w:color w:val="auto"/>
              </w:rPr>
            </w:pPr>
          </w:p>
        </w:tc>
        <w:tc>
          <w:tcPr>
            <w:tcW w:w="1100" w:type="dxa"/>
            <w:vAlign w:val="bottom"/>
            <w:shd w:val="clear" w:color="auto" w:fill="DBDBDB"/>
          </w:tcPr>
          <w:p>
            <w:pPr>
              <w:jc w:val="right"/>
              <w:ind w:right="70"/>
              <w:spacing w:after="0"/>
              <w:rPr>
                <w:sz w:val="20"/>
                <w:szCs w:val="20"/>
                <w:color w:val="auto"/>
              </w:rPr>
            </w:pPr>
            <w:r>
              <w:rPr>
                <w:rFonts w:ascii="Times New Roman" w:cs="Times New Roman" w:eastAsia="Times New Roman" w:hAnsi="Times New Roman"/>
                <w:sz w:val="18"/>
                <w:szCs w:val="18"/>
                <w:color w:val="auto"/>
              </w:rPr>
              <w:t>8,233</w:t>
            </w:r>
          </w:p>
        </w:tc>
        <w:tc>
          <w:tcPr>
            <w:tcW w:w="40" w:type="dxa"/>
            <w:vAlign w:val="bottom"/>
            <w:shd w:val="clear" w:color="auto" w:fill="DBDBDB"/>
          </w:tcPr>
          <w:p>
            <w:pPr>
              <w:spacing w:after="0"/>
              <w:rPr>
                <w:sz w:val="22"/>
                <w:szCs w:val="22"/>
                <w:color w:val="auto"/>
              </w:rPr>
            </w:pPr>
          </w:p>
        </w:tc>
        <w:tc>
          <w:tcPr>
            <w:tcW w:w="500" w:type="dxa"/>
            <w:vAlign w:val="bottom"/>
            <w:shd w:val="clear" w:color="auto" w:fill="DBDBDB"/>
          </w:tcPr>
          <w:p>
            <w:pPr>
              <w:spacing w:after="0"/>
              <w:rPr>
                <w:sz w:val="22"/>
                <w:szCs w:val="22"/>
                <w:color w:val="auto"/>
              </w:rPr>
            </w:pPr>
          </w:p>
        </w:tc>
        <w:tc>
          <w:tcPr>
            <w:tcW w:w="9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17,874</w:t>
            </w:r>
          </w:p>
        </w:tc>
        <w:tc>
          <w:tcPr>
            <w:tcW w:w="0" w:type="dxa"/>
            <w:vAlign w:val="bottom"/>
          </w:tcPr>
          <w:p>
            <w:pPr>
              <w:spacing w:after="0"/>
              <w:rPr>
                <w:sz w:val="1"/>
                <w:szCs w:val="1"/>
                <w:color w:val="auto"/>
              </w:rPr>
            </w:pPr>
          </w:p>
        </w:tc>
      </w:tr>
      <w:tr>
        <w:trPr>
          <w:trHeight w:val="250"/>
        </w:trPr>
        <w:tc>
          <w:tcPr>
            <w:tcW w:w="26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Faith-based:</w:t>
            </w: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2680" w:type="dxa"/>
            <w:vAlign w:val="bottom"/>
            <w:shd w:val="clear" w:color="auto" w:fill="DBDBDB"/>
          </w:tcPr>
          <w:p>
            <w:pPr>
              <w:ind w:left="840"/>
              <w:spacing w:after="0"/>
              <w:rPr>
                <w:sz w:val="20"/>
                <w:szCs w:val="20"/>
                <w:color w:val="auto"/>
              </w:rPr>
            </w:pPr>
            <w:r>
              <w:rPr>
                <w:rFonts w:ascii="Times New Roman" w:cs="Times New Roman" w:eastAsia="Times New Roman" w:hAnsi="Times New Roman"/>
                <w:sz w:val="18"/>
                <w:szCs w:val="18"/>
                <w:color w:val="auto"/>
              </w:rPr>
              <w:t>Mortgage</w:t>
            </w:r>
          </w:p>
        </w:tc>
        <w:tc>
          <w:tcPr>
            <w:tcW w:w="240" w:type="dxa"/>
            <w:vAlign w:val="bottom"/>
            <w:shd w:val="clear" w:color="auto" w:fill="DBDBDB"/>
          </w:tcPr>
          <w:p>
            <w:pPr>
              <w:spacing w:after="0"/>
              <w:rPr>
                <w:sz w:val="22"/>
                <w:szCs w:val="22"/>
                <w:color w:val="auto"/>
              </w:rPr>
            </w:pPr>
          </w:p>
        </w:tc>
        <w:tc>
          <w:tcPr>
            <w:tcW w:w="1140" w:type="dxa"/>
            <w:vAlign w:val="bottom"/>
            <w:shd w:val="clear" w:color="auto" w:fill="DBDBDB"/>
          </w:tcPr>
          <w:p>
            <w:pPr>
              <w:spacing w:after="0"/>
              <w:rPr>
                <w:sz w:val="22"/>
                <w:szCs w:val="22"/>
                <w:color w:val="auto"/>
              </w:rPr>
            </w:pPr>
          </w:p>
        </w:tc>
        <w:tc>
          <w:tcPr>
            <w:tcW w:w="220" w:type="dxa"/>
            <w:vAlign w:val="bottom"/>
            <w:shd w:val="clear" w:color="auto" w:fill="DBDBDB"/>
          </w:tcPr>
          <w:p>
            <w:pPr>
              <w:spacing w:after="0"/>
              <w:rPr>
                <w:sz w:val="22"/>
                <w:szCs w:val="22"/>
                <w:color w:val="auto"/>
              </w:rPr>
            </w:pPr>
          </w:p>
        </w:tc>
        <w:tc>
          <w:tcPr>
            <w:tcW w:w="1180" w:type="dxa"/>
            <w:vAlign w:val="bottom"/>
            <w:shd w:val="clear" w:color="auto" w:fill="DBDBDB"/>
          </w:tcPr>
          <w:p>
            <w:pPr>
              <w:spacing w:after="0"/>
              <w:rPr>
                <w:sz w:val="22"/>
                <w:szCs w:val="22"/>
                <w:color w:val="auto"/>
              </w:rPr>
            </w:pPr>
          </w:p>
        </w:tc>
        <w:tc>
          <w:tcPr>
            <w:tcW w:w="400" w:type="dxa"/>
            <w:vAlign w:val="bottom"/>
            <w:shd w:val="clear" w:color="auto" w:fill="DBDBDB"/>
          </w:tcPr>
          <w:p>
            <w:pPr>
              <w:spacing w:after="0"/>
              <w:rPr>
                <w:sz w:val="22"/>
                <w:szCs w:val="22"/>
                <w:color w:val="auto"/>
              </w:rPr>
            </w:pPr>
          </w:p>
        </w:tc>
        <w:tc>
          <w:tcPr>
            <w:tcW w:w="1040" w:type="dxa"/>
            <w:vAlign w:val="bottom"/>
            <w:shd w:val="clear" w:color="auto" w:fill="DBDBDB"/>
          </w:tcPr>
          <w:p>
            <w:pPr>
              <w:spacing w:after="0"/>
              <w:rPr>
                <w:sz w:val="22"/>
                <w:szCs w:val="22"/>
                <w:color w:val="auto"/>
              </w:rPr>
            </w:pPr>
          </w:p>
        </w:tc>
        <w:tc>
          <w:tcPr>
            <w:tcW w:w="80" w:type="dxa"/>
            <w:vAlign w:val="bottom"/>
            <w:shd w:val="clear" w:color="auto" w:fill="DBDBDB"/>
          </w:tcPr>
          <w:p>
            <w:pPr>
              <w:spacing w:after="0"/>
              <w:rPr>
                <w:sz w:val="22"/>
                <w:szCs w:val="22"/>
                <w:color w:val="auto"/>
              </w:rPr>
            </w:pPr>
          </w:p>
        </w:tc>
        <w:tc>
          <w:tcPr>
            <w:tcW w:w="240" w:type="dxa"/>
            <w:vAlign w:val="bottom"/>
            <w:shd w:val="clear" w:color="auto" w:fill="DBDBDB"/>
          </w:tcPr>
          <w:p>
            <w:pPr>
              <w:spacing w:after="0"/>
              <w:rPr>
                <w:sz w:val="22"/>
                <w:szCs w:val="22"/>
                <w:color w:val="auto"/>
              </w:rPr>
            </w:pPr>
          </w:p>
        </w:tc>
        <w:tc>
          <w:tcPr>
            <w:tcW w:w="960" w:type="dxa"/>
            <w:vAlign w:val="bottom"/>
            <w:shd w:val="clear" w:color="auto" w:fill="DBDBDB"/>
          </w:tcPr>
          <w:p>
            <w:pPr>
              <w:spacing w:after="0"/>
              <w:rPr>
                <w:sz w:val="22"/>
                <w:szCs w:val="22"/>
                <w:color w:val="auto"/>
              </w:rPr>
            </w:pPr>
          </w:p>
        </w:tc>
        <w:tc>
          <w:tcPr>
            <w:tcW w:w="180" w:type="dxa"/>
            <w:vAlign w:val="bottom"/>
            <w:shd w:val="clear" w:color="auto" w:fill="DBDBDB"/>
          </w:tcPr>
          <w:p>
            <w:pPr>
              <w:spacing w:after="0"/>
              <w:rPr>
                <w:sz w:val="22"/>
                <w:szCs w:val="22"/>
                <w:color w:val="auto"/>
              </w:rPr>
            </w:pPr>
          </w:p>
        </w:tc>
        <w:tc>
          <w:tcPr>
            <w:tcW w:w="280" w:type="dxa"/>
            <w:vAlign w:val="bottom"/>
            <w:shd w:val="clear" w:color="auto" w:fill="DBDBDB"/>
          </w:tcPr>
          <w:p>
            <w:pPr>
              <w:spacing w:after="0"/>
              <w:rPr>
                <w:sz w:val="22"/>
                <w:szCs w:val="22"/>
                <w:color w:val="auto"/>
              </w:rPr>
            </w:pPr>
          </w:p>
        </w:tc>
        <w:tc>
          <w:tcPr>
            <w:tcW w:w="1100" w:type="dxa"/>
            <w:vAlign w:val="bottom"/>
            <w:shd w:val="clear" w:color="auto" w:fill="DBDBDB"/>
          </w:tcPr>
          <w:p>
            <w:pPr>
              <w:jc w:val="right"/>
              <w:ind w:right="70"/>
              <w:spacing w:after="0"/>
              <w:rPr>
                <w:sz w:val="20"/>
                <w:szCs w:val="20"/>
                <w:color w:val="auto"/>
              </w:rPr>
            </w:pPr>
            <w:r>
              <w:rPr>
                <w:rFonts w:ascii="Times New Roman" w:cs="Times New Roman" w:eastAsia="Times New Roman" w:hAnsi="Times New Roman"/>
                <w:sz w:val="18"/>
                <w:szCs w:val="18"/>
                <w:color w:val="auto"/>
              </w:rPr>
              <w:t>381,368</w:t>
            </w:r>
          </w:p>
        </w:tc>
        <w:tc>
          <w:tcPr>
            <w:tcW w:w="40" w:type="dxa"/>
            <w:vAlign w:val="bottom"/>
            <w:shd w:val="clear" w:color="auto" w:fill="DBDBDB"/>
          </w:tcPr>
          <w:p>
            <w:pPr>
              <w:spacing w:after="0"/>
              <w:rPr>
                <w:sz w:val="22"/>
                <w:szCs w:val="22"/>
                <w:color w:val="auto"/>
              </w:rPr>
            </w:pPr>
          </w:p>
        </w:tc>
        <w:tc>
          <w:tcPr>
            <w:tcW w:w="500" w:type="dxa"/>
            <w:vAlign w:val="bottom"/>
            <w:shd w:val="clear" w:color="auto" w:fill="DBDBDB"/>
          </w:tcPr>
          <w:p>
            <w:pPr>
              <w:spacing w:after="0"/>
              <w:rPr>
                <w:sz w:val="22"/>
                <w:szCs w:val="22"/>
                <w:color w:val="auto"/>
              </w:rPr>
            </w:pPr>
          </w:p>
        </w:tc>
        <w:tc>
          <w:tcPr>
            <w:tcW w:w="9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387,114</w:t>
            </w:r>
          </w:p>
        </w:tc>
        <w:tc>
          <w:tcPr>
            <w:tcW w:w="0" w:type="dxa"/>
            <w:vAlign w:val="bottom"/>
          </w:tcPr>
          <w:p>
            <w:pPr>
              <w:spacing w:after="0"/>
              <w:rPr>
                <w:sz w:val="1"/>
                <w:szCs w:val="1"/>
                <w:color w:val="auto"/>
              </w:rPr>
            </w:pPr>
          </w:p>
        </w:tc>
      </w:tr>
      <w:tr>
        <w:trPr>
          <w:trHeight w:val="250"/>
        </w:trPr>
        <w:tc>
          <w:tcPr>
            <w:tcW w:w="268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Construction</w:t>
            </w: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7,790</w:t>
            </w:r>
          </w:p>
        </w:tc>
        <w:tc>
          <w:tcPr>
            <w:tcW w:w="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8,094</w:t>
            </w:r>
          </w:p>
        </w:tc>
        <w:tc>
          <w:tcPr>
            <w:tcW w:w="0" w:type="dxa"/>
            <w:vAlign w:val="bottom"/>
          </w:tcPr>
          <w:p>
            <w:pPr>
              <w:spacing w:after="0"/>
              <w:rPr>
                <w:sz w:val="1"/>
                <w:szCs w:val="1"/>
                <w:color w:val="auto"/>
              </w:rPr>
            </w:pPr>
          </w:p>
        </w:tc>
      </w:tr>
      <w:tr>
        <w:trPr>
          <w:trHeight w:val="257"/>
        </w:trPr>
        <w:tc>
          <w:tcPr>
            <w:tcW w:w="2680" w:type="dxa"/>
            <w:vAlign w:val="bottom"/>
            <w:tcBorders>
              <w:bottom w:val="single" w:sz="8" w:color="auto"/>
            </w:tcBorders>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auto"/>
            </w:tcBorders>
            <w:shd w:val="clear" w:color="auto" w:fill="DBDBDB"/>
          </w:tcPr>
          <w:p>
            <w:pPr>
              <w:spacing w:after="0"/>
              <w:rPr>
                <w:sz w:val="22"/>
                <w:szCs w:val="22"/>
                <w:color w:val="auto"/>
              </w:rPr>
            </w:pPr>
          </w:p>
        </w:tc>
        <w:tc>
          <w:tcPr>
            <w:tcW w:w="1140" w:type="dxa"/>
            <w:vAlign w:val="bottom"/>
            <w:tcBorders>
              <w:bottom w:val="single" w:sz="8" w:color="auto"/>
            </w:tcBorders>
            <w:shd w:val="clear" w:color="auto" w:fill="DBDBDB"/>
          </w:tcPr>
          <w:p>
            <w:pPr>
              <w:spacing w:after="0"/>
              <w:rPr>
                <w:sz w:val="22"/>
                <w:szCs w:val="22"/>
                <w:color w:val="auto"/>
              </w:rPr>
            </w:pPr>
          </w:p>
        </w:tc>
        <w:tc>
          <w:tcPr>
            <w:tcW w:w="220" w:type="dxa"/>
            <w:vAlign w:val="bottom"/>
            <w:tcBorders>
              <w:bottom w:val="single" w:sz="8" w:color="auto"/>
            </w:tcBorders>
            <w:shd w:val="clear" w:color="auto" w:fill="DBDBDB"/>
          </w:tcPr>
          <w:p>
            <w:pPr>
              <w:spacing w:after="0"/>
              <w:rPr>
                <w:sz w:val="22"/>
                <w:szCs w:val="22"/>
                <w:color w:val="auto"/>
              </w:rPr>
            </w:pPr>
          </w:p>
        </w:tc>
        <w:tc>
          <w:tcPr>
            <w:tcW w:w="1180" w:type="dxa"/>
            <w:vAlign w:val="bottom"/>
            <w:tcBorders>
              <w:bottom w:val="single" w:sz="8" w:color="auto"/>
            </w:tcBorders>
            <w:shd w:val="clear" w:color="auto" w:fill="DBDBDB"/>
          </w:tcPr>
          <w:p>
            <w:pPr>
              <w:spacing w:after="0"/>
              <w:rPr>
                <w:sz w:val="22"/>
                <w:szCs w:val="22"/>
                <w:color w:val="auto"/>
              </w:rPr>
            </w:pPr>
          </w:p>
        </w:tc>
        <w:tc>
          <w:tcPr>
            <w:tcW w:w="400" w:type="dxa"/>
            <w:vAlign w:val="bottom"/>
            <w:tcBorders>
              <w:bottom w:val="single" w:sz="8" w:color="auto"/>
            </w:tcBorders>
            <w:shd w:val="clear" w:color="auto" w:fill="DBDBDB"/>
          </w:tcPr>
          <w:p>
            <w:pPr>
              <w:spacing w:after="0"/>
              <w:rPr>
                <w:sz w:val="22"/>
                <w:szCs w:val="22"/>
                <w:color w:val="auto"/>
              </w:rPr>
            </w:pPr>
          </w:p>
        </w:tc>
        <w:tc>
          <w:tcPr>
            <w:tcW w:w="1040" w:type="dxa"/>
            <w:vAlign w:val="bottom"/>
            <w:tcBorders>
              <w:bottom w:val="single" w:sz="8" w:color="auto"/>
            </w:tcBorders>
            <w:shd w:val="clear" w:color="auto" w:fill="DBDBDB"/>
          </w:tcPr>
          <w:p>
            <w:pPr>
              <w:spacing w:after="0"/>
              <w:rPr>
                <w:sz w:val="22"/>
                <w:szCs w:val="22"/>
                <w:color w:val="auto"/>
              </w:rPr>
            </w:pPr>
          </w:p>
        </w:tc>
        <w:tc>
          <w:tcPr>
            <w:tcW w:w="80" w:type="dxa"/>
            <w:vAlign w:val="bottom"/>
            <w:tcBorders>
              <w:bottom w:val="single" w:sz="8" w:color="auto"/>
            </w:tcBorders>
            <w:shd w:val="clear" w:color="auto" w:fill="DBDBDB"/>
          </w:tcPr>
          <w:p>
            <w:pPr>
              <w:spacing w:after="0"/>
              <w:rPr>
                <w:sz w:val="22"/>
                <w:szCs w:val="22"/>
                <w:color w:val="auto"/>
              </w:rPr>
            </w:pPr>
          </w:p>
        </w:tc>
        <w:tc>
          <w:tcPr>
            <w:tcW w:w="240" w:type="dxa"/>
            <w:vAlign w:val="bottom"/>
            <w:tcBorders>
              <w:bottom w:val="single" w:sz="8" w:color="auto"/>
            </w:tcBorders>
            <w:shd w:val="clear" w:color="auto" w:fill="DBDBDB"/>
          </w:tcPr>
          <w:p>
            <w:pPr>
              <w:spacing w:after="0"/>
              <w:rPr>
                <w:sz w:val="22"/>
                <w:szCs w:val="22"/>
                <w:color w:val="auto"/>
              </w:rPr>
            </w:pPr>
          </w:p>
        </w:tc>
        <w:tc>
          <w:tcPr>
            <w:tcW w:w="960" w:type="dxa"/>
            <w:vAlign w:val="bottom"/>
            <w:tcBorders>
              <w:bottom w:val="single" w:sz="8" w:color="auto"/>
            </w:tcBorders>
            <w:shd w:val="clear" w:color="auto" w:fill="DBDBDB"/>
          </w:tcPr>
          <w:p>
            <w:pPr>
              <w:spacing w:after="0"/>
              <w:rPr>
                <w:sz w:val="22"/>
                <w:szCs w:val="22"/>
                <w:color w:val="auto"/>
              </w:rPr>
            </w:pPr>
          </w:p>
        </w:tc>
        <w:tc>
          <w:tcPr>
            <w:tcW w:w="180" w:type="dxa"/>
            <w:vAlign w:val="bottom"/>
            <w:tcBorders>
              <w:bottom w:val="single" w:sz="8" w:color="auto"/>
            </w:tcBorders>
            <w:shd w:val="clear" w:color="auto" w:fill="DBDBDB"/>
          </w:tcPr>
          <w:p>
            <w:pPr>
              <w:spacing w:after="0"/>
              <w:rPr>
                <w:sz w:val="22"/>
                <w:szCs w:val="22"/>
                <w:color w:val="auto"/>
              </w:rPr>
            </w:pPr>
          </w:p>
        </w:tc>
        <w:tc>
          <w:tcPr>
            <w:tcW w:w="280" w:type="dxa"/>
            <w:vAlign w:val="bottom"/>
            <w:tcBorders>
              <w:bottom w:val="single" w:sz="8" w:color="auto"/>
            </w:tcBorders>
            <w:shd w:val="clear" w:color="auto" w:fill="DBDBDB"/>
          </w:tcPr>
          <w:p>
            <w:pPr>
              <w:spacing w:after="0"/>
              <w:rPr>
                <w:sz w:val="22"/>
                <w:szCs w:val="22"/>
                <w:color w:val="auto"/>
              </w:rPr>
            </w:pPr>
          </w:p>
        </w:tc>
        <w:tc>
          <w:tcPr>
            <w:tcW w:w="1100" w:type="dxa"/>
            <w:vAlign w:val="bottom"/>
            <w:tcBorders>
              <w:bottom w:val="single" w:sz="8" w:color="auto"/>
            </w:tcBorders>
            <w:shd w:val="clear" w:color="auto" w:fill="DBDBDB"/>
          </w:tcPr>
          <w:p>
            <w:pPr>
              <w:jc w:val="right"/>
              <w:ind w:right="70"/>
              <w:spacing w:after="0"/>
              <w:rPr>
                <w:sz w:val="20"/>
                <w:szCs w:val="20"/>
                <w:color w:val="auto"/>
              </w:rPr>
            </w:pPr>
            <w:r>
              <w:rPr>
                <w:rFonts w:ascii="Times New Roman" w:cs="Times New Roman" w:eastAsia="Times New Roman" w:hAnsi="Times New Roman"/>
                <w:sz w:val="18"/>
                <w:szCs w:val="18"/>
                <w:color w:val="auto"/>
              </w:rPr>
              <w:t>54</w:t>
            </w:r>
          </w:p>
        </w:tc>
        <w:tc>
          <w:tcPr>
            <w:tcW w:w="40" w:type="dxa"/>
            <w:vAlign w:val="bottom"/>
            <w:tcBorders>
              <w:bottom w:val="single" w:sz="8" w:color="auto"/>
            </w:tcBorders>
            <w:shd w:val="clear" w:color="auto" w:fill="DBDBDB"/>
          </w:tcPr>
          <w:p>
            <w:pPr>
              <w:spacing w:after="0"/>
              <w:rPr>
                <w:sz w:val="22"/>
                <w:szCs w:val="22"/>
                <w:color w:val="auto"/>
              </w:rPr>
            </w:pPr>
          </w:p>
        </w:tc>
        <w:tc>
          <w:tcPr>
            <w:tcW w:w="500" w:type="dxa"/>
            <w:vAlign w:val="bottom"/>
            <w:tcBorders>
              <w:bottom w:val="single" w:sz="8" w:color="auto"/>
            </w:tcBorders>
            <w:shd w:val="clear" w:color="auto" w:fill="DBDBDB"/>
          </w:tcPr>
          <w:p>
            <w:pPr>
              <w:spacing w:after="0"/>
              <w:rPr>
                <w:sz w:val="22"/>
                <w:szCs w:val="22"/>
                <w:color w:val="auto"/>
              </w:rPr>
            </w:pPr>
          </w:p>
        </w:tc>
        <w:tc>
          <w:tcPr>
            <w:tcW w:w="96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50"/>
        </w:trPr>
        <w:tc>
          <w:tcPr>
            <w:tcW w:w="268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Total loans</w:t>
            </w:r>
          </w:p>
        </w:tc>
        <w:tc>
          <w:tcPr>
            <w:tcW w:w="2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1,014,318</w:t>
            </w:r>
          </w:p>
        </w:tc>
        <w:tc>
          <w:tcPr>
            <w:tcW w:w="540" w:type="dxa"/>
            <w:vAlign w:val="bottom"/>
            <w:tcBorders>
              <w:bottom w:val="single" w:sz="8" w:color="auto"/>
            </w:tcBorders>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1,082,906</w:t>
            </w:r>
          </w:p>
        </w:tc>
        <w:tc>
          <w:tcPr>
            <w:tcW w:w="0" w:type="dxa"/>
            <w:vAlign w:val="bottom"/>
          </w:tcPr>
          <w:p>
            <w:pPr>
              <w:spacing w:after="0"/>
              <w:rPr>
                <w:sz w:val="1"/>
                <w:szCs w:val="1"/>
                <w:color w:val="auto"/>
              </w:rPr>
            </w:pPr>
          </w:p>
        </w:tc>
      </w:tr>
      <w:tr>
        <w:trPr>
          <w:trHeight w:val="527"/>
        </w:trPr>
        <w:tc>
          <w:tcPr>
            <w:tcW w:w="69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The following table presents the aging of loans by loan categories at December 31, 2023:</w:t>
            </w: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3"/>
        </w:trPr>
        <w:tc>
          <w:tcPr>
            <w:tcW w:w="26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Performing</w:t>
            </w:r>
          </w:p>
        </w:tc>
        <w:tc>
          <w:tcPr>
            <w:tcW w:w="4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4"/>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Nonperforming</w:t>
            </w:r>
          </w:p>
        </w:tc>
        <w:tc>
          <w:tcPr>
            <w:tcW w:w="40" w:type="dxa"/>
            <w:vAlign w:val="bottom"/>
            <w:tcBorders>
              <w:bottom w:val="single" w:sz="8" w:color="auto"/>
            </w:tcBorders>
          </w:tcPr>
          <w:p>
            <w:pPr>
              <w:spacing w:after="0"/>
              <w:rPr>
                <w:sz w:val="24"/>
                <w:szCs w:val="24"/>
                <w:color w:val="auto"/>
              </w:rPr>
            </w:pPr>
          </w:p>
        </w:tc>
        <w:tc>
          <w:tcPr>
            <w:tcW w:w="5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2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vMerge w:val="restart"/>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30-59</w:t>
            </w:r>
          </w:p>
        </w:tc>
        <w:tc>
          <w:tcPr>
            <w:tcW w:w="400" w:type="dxa"/>
            <w:vAlign w:val="bottom"/>
          </w:tcPr>
          <w:p>
            <w:pPr>
              <w:spacing w:after="0"/>
              <w:rPr>
                <w:sz w:val="15"/>
                <w:szCs w:val="15"/>
                <w:color w:val="auto"/>
              </w:rPr>
            </w:pPr>
          </w:p>
        </w:tc>
        <w:tc>
          <w:tcPr>
            <w:tcW w:w="10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60-89</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gridSpan w:val="2"/>
          </w:tcPr>
          <w:p>
            <w:pPr>
              <w:jc w:val="center"/>
              <w:ind w:right="260"/>
              <w:spacing w:after="0" w:line="176" w:lineRule="exact"/>
              <w:rPr>
                <w:sz w:val="20"/>
                <w:szCs w:val="20"/>
                <w:color w:val="auto"/>
              </w:rPr>
            </w:pPr>
            <w:r>
              <w:rPr>
                <w:rFonts w:ascii="Times New Roman" w:cs="Times New Roman" w:eastAsia="Times New Roman" w:hAnsi="Times New Roman"/>
                <w:sz w:val="18"/>
                <w:szCs w:val="18"/>
                <w:b w:val="1"/>
                <w:bCs w:val="1"/>
                <w:color w:val="auto"/>
                <w:w w:val="99"/>
              </w:rPr>
              <w:t>90 Days</w:t>
            </w:r>
          </w:p>
        </w:tc>
        <w:tc>
          <w:tcPr>
            <w:tcW w:w="280" w:type="dxa"/>
            <w:vAlign w:val="bottom"/>
          </w:tcPr>
          <w:p>
            <w:pPr>
              <w:spacing w:after="0"/>
              <w:rPr>
                <w:sz w:val="15"/>
                <w:szCs w:val="15"/>
                <w:color w:val="auto"/>
              </w:rPr>
            </w:pPr>
          </w:p>
        </w:tc>
        <w:tc>
          <w:tcPr>
            <w:tcW w:w="1100" w:type="dxa"/>
            <w:vAlign w:val="bottom"/>
            <w:vMerge w:val="restart"/>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Non-</w:t>
            </w:r>
          </w:p>
        </w:tc>
        <w:tc>
          <w:tcPr>
            <w:tcW w:w="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60" w:type="dxa"/>
            <w:vAlign w:val="bottom"/>
            <w:vMerge w:val="restart"/>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175"/>
        </w:trPr>
        <w:tc>
          <w:tcPr>
            <w:tcW w:w="268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40" w:type="dxa"/>
            <w:vAlign w:val="bottom"/>
          </w:tcPr>
          <w:p>
            <w:pPr>
              <w:spacing w:after="0"/>
              <w:rPr>
                <w:sz w:val="15"/>
                <w:szCs w:val="15"/>
                <w:color w:val="auto"/>
              </w:rPr>
            </w:pPr>
          </w:p>
        </w:tc>
        <w:tc>
          <w:tcPr>
            <w:tcW w:w="1140" w:type="dxa"/>
            <w:vAlign w:val="bottom"/>
            <w:vMerge w:val="restart"/>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22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gridSpan w:val="2"/>
          </w:tcPr>
          <w:p>
            <w:pPr>
              <w:jc w:val="center"/>
              <w:ind w:right="260"/>
              <w:spacing w:after="0" w:line="176" w:lineRule="exact"/>
              <w:rPr>
                <w:sz w:val="20"/>
                <w:szCs w:val="20"/>
                <w:color w:val="auto"/>
              </w:rPr>
            </w:pPr>
            <w:r>
              <w:rPr>
                <w:rFonts w:ascii="Times New Roman" w:cs="Times New Roman" w:eastAsia="Times New Roman" w:hAnsi="Times New Roman"/>
                <w:sz w:val="18"/>
                <w:szCs w:val="18"/>
                <w:b w:val="1"/>
                <w:bCs w:val="1"/>
                <w:color w:val="auto"/>
                <w:w w:val="96"/>
              </w:rPr>
              <w:t>and</w:t>
            </w:r>
          </w:p>
        </w:tc>
        <w:tc>
          <w:tcPr>
            <w:tcW w:w="28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2680" w:type="dxa"/>
            <w:vAlign w:val="bottom"/>
            <w:tcBorders>
              <w:bottom w:val="single" w:sz="8" w:color="auto"/>
            </w:tcBorders>
            <w:vMerge w:val="continue"/>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vMerge w:val="continue"/>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Days</w:t>
            </w:r>
          </w:p>
        </w:tc>
        <w:tc>
          <w:tcPr>
            <w:tcW w:w="4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Days</w:t>
            </w: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Over</w:t>
            </w:r>
          </w:p>
        </w:tc>
        <w:tc>
          <w:tcPr>
            <w:tcW w:w="2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accrual</w:t>
            </w:r>
          </w:p>
        </w:tc>
        <w:tc>
          <w:tcPr>
            <w:tcW w:w="4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Loans</w:t>
            </w:r>
          </w:p>
        </w:tc>
        <w:tc>
          <w:tcPr>
            <w:tcW w:w="0" w:type="dxa"/>
            <w:vAlign w:val="bottom"/>
          </w:tcPr>
          <w:p>
            <w:pPr>
              <w:spacing w:after="0"/>
              <w:rPr>
                <w:sz w:val="1"/>
                <w:szCs w:val="1"/>
                <w:color w:val="auto"/>
              </w:rPr>
            </w:pPr>
          </w:p>
        </w:tc>
      </w:tr>
      <w:tr>
        <w:trPr>
          <w:trHeight w:val="252"/>
        </w:trPr>
        <w:tc>
          <w:tcPr>
            <w:tcW w:w="268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240" w:type="dxa"/>
            <w:vAlign w:val="bottom"/>
            <w:shd w:val="clear" w:color="auto" w:fill="DBDBDB"/>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DBDBDB"/>
          </w:tcPr>
          <w:p>
            <w:pPr>
              <w:jc w:val="right"/>
              <w:ind w:right="10"/>
              <w:spacing w:after="0"/>
              <w:rPr>
                <w:sz w:val="20"/>
                <w:szCs w:val="20"/>
                <w:color w:val="auto"/>
              </w:rPr>
            </w:pPr>
            <w:r>
              <w:rPr>
                <w:rFonts w:ascii="Times New Roman" w:cs="Times New Roman" w:eastAsia="Times New Roman" w:hAnsi="Times New Roman"/>
                <w:sz w:val="18"/>
                <w:szCs w:val="18"/>
                <w:color w:val="auto"/>
              </w:rPr>
              <w:t>498,502</w:t>
            </w:r>
          </w:p>
        </w:tc>
        <w:tc>
          <w:tcPr>
            <w:tcW w:w="2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DBDBDB"/>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DBDBDB"/>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DBDBDB"/>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DBDBDB"/>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DBDBDB"/>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DBDBDB"/>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498,502</w:t>
            </w:r>
          </w:p>
        </w:tc>
        <w:tc>
          <w:tcPr>
            <w:tcW w:w="0" w:type="dxa"/>
            <w:vAlign w:val="bottom"/>
          </w:tcPr>
          <w:p>
            <w:pPr>
              <w:spacing w:after="0"/>
              <w:rPr>
                <w:sz w:val="1"/>
                <w:szCs w:val="1"/>
                <w:color w:val="auto"/>
              </w:rPr>
            </w:pPr>
          </w:p>
        </w:tc>
      </w:tr>
      <w:tr>
        <w:trPr>
          <w:trHeight w:val="250"/>
        </w:trPr>
        <w:tc>
          <w:tcPr>
            <w:tcW w:w="2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Real estate</w:t>
            </w: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2680" w:type="dxa"/>
            <w:vAlign w:val="bottom"/>
            <w:shd w:val="clear" w:color="auto" w:fill="DBDBDB"/>
          </w:tcPr>
          <w:p>
            <w:pPr>
              <w:ind w:left="300"/>
              <w:spacing w:after="0"/>
              <w:rPr>
                <w:sz w:val="20"/>
                <w:szCs w:val="20"/>
                <w:color w:val="auto"/>
              </w:rPr>
            </w:pPr>
            <w:r>
              <w:rPr>
                <w:rFonts w:ascii="Times New Roman" w:cs="Times New Roman" w:eastAsia="Times New Roman" w:hAnsi="Times New Roman"/>
                <w:sz w:val="18"/>
                <w:szCs w:val="18"/>
                <w:color w:val="auto"/>
              </w:rPr>
              <w:t>Commercial:</w:t>
            </w:r>
          </w:p>
        </w:tc>
        <w:tc>
          <w:tcPr>
            <w:tcW w:w="240" w:type="dxa"/>
            <w:vAlign w:val="bottom"/>
            <w:shd w:val="clear" w:color="auto" w:fill="DBDBDB"/>
          </w:tcPr>
          <w:p>
            <w:pPr>
              <w:spacing w:after="0"/>
              <w:rPr>
                <w:sz w:val="22"/>
                <w:szCs w:val="22"/>
                <w:color w:val="auto"/>
              </w:rPr>
            </w:pPr>
          </w:p>
        </w:tc>
        <w:tc>
          <w:tcPr>
            <w:tcW w:w="1140" w:type="dxa"/>
            <w:vAlign w:val="bottom"/>
            <w:shd w:val="clear" w:color="auto" w:fill="DBDBDB"/>
          </w:tcPr>
          <w:p>
            <w:pPr>
              <w:spacing w:after="0"/>
              <w:rPr>
                <w:sz w:val="22"/>
                <w:szCs w:val="22"/>
                <w:color w:val="auto"/>
              </w:rPr>
            </w:pPr>
          </w:p>
        </w:tc>
        <w:tc>
          <w:tcPr>
            <w:tcW w:w="220" w:type="dxa"/>
            <w:vAlign w:val="bottom"/>
            <w:shd w:val="clear" w:color="auto" w:fill="DBDBDB"/>
          </w:tcPr>
          <w:p>
            <w:pPr>
              <w:spacing w:after="0"/>
              <w:rPr>
                <w:sz w:val="22"/>
                <w:szCs w:val="22"/>
                <w:color w:val="auto"/>
              </w:rPr>
            </w:pPr>
          </w:p>
        </w:tc>
        <w:tc>
          <w:tcPr>
            <w:tcW w:w="1180" w:type="dxa"/>
            <w:vAlign w:val="bottom"/>
            <w:shd w:val="clear" w:color="auto" w:fill="DBDBDB"/>
          </w:tcPr>
          <w:p>
            <w:pPr>
              <w:spacing w:after="0"/>
              <w:rPr>
                <w:sz w:val="22"/>
                <w:szCs w:val="22"/>
                <w:color w:val="auto"/>
              </w:rPr>
            </w:pPr>
          </w:p>
        </w:tc>
        <w:tc>
          <w:tcPr>
            <w:tcW w:w="400" w:type="dxa"/>
            <w:vAlign w:val="bottom"/>
            <w:shd w:val="clear" w:color="auto" w:fill="DBDBDB"/>
          </w:tcPr>
          <w:p>
            <w:pPr>
              <w:spacing w:after="0"/>
              <w:rPr>
                <w:sz w:val="22"/>
                <w:szCs w:val="22"/>
                <w:color w:val="auto"/>
              </w:rPr>
            </w:pPr>
          </w:p>
        </w:tc>
        <w:tc>
          <w:tcPr>
            <w:tcW w:w="1040" w:type="dxa"/>
            <w:vAlign w:val="bottom"/>
            <w:shd w:val="clear" w:color="auto" w:fill="DBDBDB"/>
          </w:tcPr>
          <w:p>
            <w:pPr>
              <w:spacing w:after="0"/>
              <w:rPr>
                <w:sz w:val="22"/>
                <w:szCs w:val="22"/>
                <w:color w:val="auto"/>
              </w:rPr>
            </w:pPr>
          </w:p>
        </w:tc>
        <w:tc>
          <w:tcPr>
            <w:tcW w:w="80" w:type="dxa"/>
            <w:vAlign w:val="bottom"/>
            <w:shd w:val="clear" w:color="auto" w:fill="DBDBDB"/>
          </w:tcPr>
          <w:p>
            <w:pPr>
              <w:spacing w:after="0"/>
              <w:rPr>
                <w:sz w:val="22"/>
                <w:szCs w:val="22"/>
                <w:color w:val="auto"/>
              </w:rPr>
            </w:pPr>
          </w:p>
        </w:tc>
        <w:tc>
          <w:tcPr>
            <w:tcW w:w="240" w:type="dxa"/>
            <w:vAlign w:val="bottom"/>
            <w:shd w:val="clear" w:color="auto" w:fill="DBDBDB"/>
          </w:tcPr>
          <w:p>
            <w:pPr>
              <w:spacing w:after="0"/>
              <w:rPr>
                <w:sz w:val="22"/>
                <w:szCs w:val="22"/>
                <w:color w:val="auto"/>
              </w:rPr>
            </w:pPr>
          </w:p>
        </w:tc>
        <w:tc>
          <w:tcPr>
            <w:tcW w:w="960" w:type="dxa"/>
            <w:vAlign w:val="bottom"/>
            <w:shd w:val="clear" w:color="auto" w:fill="DBDBDB"/>
          </w:tcPr>
          <w:p>
            <w:pPr>
              <w:spacing w:after="0"/>
              <w:rPr>
                <w:sz w:val="22"/>
                <w:szCs w:val="22"/>
                <w:color w:val="auto"/>
              </w:rPr>
            </w:pPr>
          </w:p>
        </w:tc>
        <w:tc>
          <w:tcPr>
            <w:tcW w:w="180" w:type="dxa"/>
            <w:vAlign w:val="bottom"/>
            <w:shd w:val="clear" w:color="auto" w:fill="DBDBDB"/>
          </w:tcPr>
          <w:p>
            <w:pPr>
              <w:spacing w:after="0"/>
              <w:rPr>
                <w:sz w:val="22"/>
                <w:szCs w:val="22"/>
                <w:color w:val="auto"/>
              </w:rPr>
            </w:pPr>
          </w:p>
        </w:tc>
        <w:tc>
          <w:tcPr>
            <w:tcW w:w="280" w:type="dxa"/>
            <w:vAlign w:val="bottom"/>
            <w:shd w:val="clear" w:color="auto" w:fill="DBDBDB"/>
          </w:tcPr>
          <w:p>
            <w:pPr>
              <w:spacing w:after="0"/>
              <w:rPr>
                <w:sz w:val="22"/>
                <w:szCs w:val="22"/>
                <w:color w:val="auto"/>
              </w:rPr>
            </w:pPr>
          </w:p>
        </w:tc>
        <w:tc>
          <w:tcPr>
            <w:tcW w:w="1100" w:type="dxa"/>
            <w:vAlign w:val="bottom"/>
            <w:shd w:val="clear" w:color="auto" w:fill="DBDBDB"/>
          </w:tcPr>
          <w:p>
            <w:pPr>
              <w:spacing w:after="0"/>
              <w:rPr>
                <w:sz w:val="22"/>
                <w:szCs w:val="22"/>
                <w:color w:val="auto"/>
              </w:rPr>
            </w:pPr>
          </w:p>
        </w:tc>
        <w:tc>
          <w:tcPr>
            <w:tcW w:w="40" w:type="dxa"/>
            <w:vAlign w:val="bottom"/>
            <w:shd w:val="clear" w:color="auto" w:fill="DBDBDB"/>
          </w:tcPr>
          <w:p>
            <w:pPr>
              <w:spacing w:after="0"/>
              <w:rPr>
                <w:sz w:val="22"/>
                <w:szCs w:val="22"/>
                <w:color w:val="auto"/>
              </w:rPr>
            </w:pPr>
          </w:p>
        </w:tc>
        <w:tc>
          <w:tcPr>
            <w:tcW w:w="500" w:type="dxa"/>
            <w:vAlign w:val="bottom"/>
            <w:shd w:val="clear" w:color="auto" w:fill="DBDBDB"/>
          </w:tcPr>
          <w:p>
            <w:pPr>
              <w:spacing w:after="0"/>
              <w:rPr>
                <w:sz w:val="22"/>
                <w:szCs w:val="22"/>
                <w:color w:val="auto"/>
              </w:rPr>
            </w:pPr>
          </w:p>
        </w:tc>
        <w:tc>
          <w:tcPr>
            <w:tcW w:w="960" w:type="dxa"/>
            <w:vAlign w:val="bottom"/>
            <w:shd w:val="clear" w:color="auto" w:fill="DBDBDB"/>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6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Mortgage</w:t>
            </w:r>
          </w:p>
        </w:tc>
        <w:tc>
          <w:tcPr>
            <w:tcW w:w="2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118,371</w:t>
            </w:r>
          </w:p>
        </w:tc>
        <w:tc>
          <w:tcPr>
            <w:tcW w:w="220" w:type="dxa"/>
            <w:vAlign w:val="bottom"/>
          </w:tcPr>
          <w:p>
            <w:pPr>
              <w:spacing w:after="0"/>
              <w:rPr>
                <w:sz w:val="21"/>
                <w:szCs w:val="21"/>
                <w:color w:val="auto"/>
              </w:rPr>
            </w:pPr>
          </w:p>
        </w:tc>
        <w:tc>
          <w:tcPr>
            <w:tcW w:w="118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1"/>
                <w:szCs w:val="21"/>
                <w:color w:val="auto"/>
              </w:rPr>
            </w:pPr>
          </w:p>
        </w:tc>
        <w:tc>
          <w:tcPr>
            <w:tcW w:w="112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118,371</w:t>
            </w:r>
          </w:p>
        </w:tc>
        <w:tc>
          <w:tcPr>
            <w:tcW w:w="0" w:type="dxa"/>
            <w:vAlign w:val="bottom"/>
          </w:tcPr>
          <w:p>
            <w:pPr>
              <w:spacing w:after="0"/>
              <w:rPr>
                <w:sz w:val="1"/>
                <w:szCs w:val="1"/>
                <w:color w:val="auto"/>
              </w:rPr>
            </w:pPr>
          </w:p>
        </w:tc>
      </w:tr>
      <w:tr>
        <w:trPr>
          <w:trHeight w:val="263"/>
        </w:trPr>
        <w:tc>
          <w:tcPr>
            <w:tcW w:w="2680" w:type="dxa"/>
            <w:vAlign w:val="bottom"/>
            <w:shd w:val="clear" w:color="auto" w:fill="DBDBDB"/>
          </w:tcPr>
          <w:p>
            <w:pPr>
              <w:ind w:left="560"/>
              <w:spacing w:after="0"/>
              <w:rPr>
                <w:sz w:val="20"/>
                <w:szCs w:val="20"/>
                <w:color w:val="auto"/>
              </w:rPr>
            </w:pPr>
            <w:r>
              <w:rPr>
                <w:rFonts w:ascii="Times New Roman" w:cs="Times New Roman" w:eastAsia="Times New Roman" w:hAnsi="Times New Roman"/>
                <w:sz w:val="18"/>
                <w:szCs w:val="18"/>
                <w:color w:val="auto"/>
              </w:rPr>
              <w:t>Construction</w:t>
            </w:r>
          </w:p>
        </w:tc>
        <w:tc>
          <w:tcPr>
            <w:tcW w:w="240" w:type="dxa"/>
            <w:vAlign w:val="bottom"/>
            <w:shd w:val="clear" w:color="auto" w:fill="DBDBDB"/>
          </w:tcPr>
          <w:p>
            <w:pPr>
              <w:spacing w:after="0"/>
              <w:rPr>
                <w:sz w:val="22"/>
                <w:szCs w:val="22"/>
                <w:color w:val="auto"/>
              </w:rPr>
            </w:pPr>
          </w:p>
        </w:tc>
        <w:tc>
          <w:tcPr>
            <w:tcW w:w="1140" w:type="dxa"/>
            <w:vAlign w:val="bottom"/>
            <w:shd w:val="clear" w:color="auto" w:fill="DBDBDB"/>
          </w:tcPr>
          <w:p>
            <w:pPr>
              <w:jc w:val="right"/>
              <w:ind w:right="10"/>
              <w:spacing w:after="0"/>
              <w:rPr>
                <w:sz w:val="20"/>
                <w:szCs w:val="20"/>
                <w:color w:val="auto"/>
              </w:rPr>
            </w:pPr>
            <w:r>
              <w:rPr>
                <w:rFonts w:ascii="Times New Roman" w:cs="Times New Roman" w:eastAsia="Times New Roman" w:hAnsi="Times New Roman"/>
                <w:sz w:val="18"/>
                <w:szCs w:val="18"/>
                <w:color w:val="auto"/>
              </w:rPr>
              <w:t>8,233</w:t>
            </w:r>
          </w:p>
        </w:tc>
        <w:tc>
          <w:tcPr>
            <w:tcW w:w="220" w:type="dxa"/>
            <w:vAlign w:val="bottom"/>
            <w:shd w:val="clear" w:color="auto" w:fill="DBDBDB"/>
          </w:tcPr>
          <w:p>
            <w:pPr>
              <w:spacing w:after="0"/>
              <w:rPr>
                <w:sz w:val="22"/>
                <w:szCs w:val="22"/>
                <w:color w:val="auto"/>
              </w:rPr>
            </w:pPr>
          </w:p>
        </w:tc>
        <w:tc>
          <w:tcPr>
            <w:tcW w:w="1180" w:type="dxa"/>
            <w:vAlign w:val="bottom"/>
            <w:shd w:val="clear" w:color="auto" w:fill="DBDBDB"/>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DBDBDB"/>
          </w:tcPr>
          <w:p>
            <w:pPr>
              <w:spacing w:after="0"/>
              <w:rPr>
                <w:sz w:val="22"/>
                <w:szCs w:val="22"/>
                <w:color w:val="auto"/>
              </w:rPr>
            </w:pPr>
          </w:p>
        </w:tc>
        <w:tc>
          <w:tcPr>
            <w:tcW w:w="1120" w:type="dxa"/>
            <w:vAlign w:val="bottom"/>
            <w:gridSpan w:val="2"/>
            <w:shd w:val="clear" w:color="auto" w:fill="DBDBDB"/>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DBDBDB"/>
          </w:tcPr>
          <w:p>
            <w:pPr>
              <w:spacing w:after="0"/>
              <w:rPr>
                <w:sz w:val="22"/>
                <w:szCs w:val="22"/>
                <w:color w:val="auto"/>
              </w:rPr>
            </w:pPr>
          </w:p>
        </w:tc>
        <w:tc>
          <w:tcPr>
            <w:tcW w:w="1140" w:type="dxa"/>
            <w:vAlign w:val="bottom"/>
            <w:gridSpan w:val="2"/>
            <w:shd w:val="clear" w:color="auto" w:fill="DBDBDB"/>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DBDBDB"/>
          </w:tcPr>
          <w:p>
            <w:pPr>
              <w:spacing w:after="0"/>
              <w:rPr>
                <w:sz w:val="22"/>
                <w:szCs w:val="22"/>
                <w:color w:val="auto"/>
              </w:rPr>
            </w:pPr>
          </w:p>
        </w:tc>
        <w:tc>
          <w:tcPr>
            <w:tcW w:w="11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DBDBDB"/>
          </w:tcPr>
          <w:p>
            <w:pPr>
              <w:spacing w:after="0"/>
              <w:rPr>
                <w:sz w:val="22"/>
                <w:szCs w:val="22"/>
                <w:color w:val="auto"/>
              </w:rPr>
            </w:pPr>
          </w:p>
        </w:tc>
        <w:tc>
          <w:tcPr>
            <w:tcW w:w="500" w:type="dxa"/>
            <w:vAlign w:val="bottom"/>
            <w:shd w:val="clear" w:color="auto" w:fill="DBDBDB"/>
          </w:tcPr>
          <w:p>
            <w:pPr>
              <w:spacing w:after="0"/>
              <w:rPr>
                <w:sz w:val="22"/>
                <w:szCs w:val="22"/>
                <w:color w:val="auto"/>
              </w:rPr>
            </w:pPr>
          </w:p>
        </w:tc>
        <w:tc>
          <w:tcPr>
            <w:tcW w:w="9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8,233</w:t>
            </w:r>
          </w:p>
        </w:tc>
        <w:tc>
          <w:tcPr>
            <w:tcW w:w="0" w:type="dxa"/>
            <w:vAlign w:val="bottom"/>
          </w:tcPr>
          <w:p>
            <w:pPr>
              <w:spacing w:after="0"/>
              <w:rPr>
                <w:sz w:val="1"/>
                <w:szCs w:val="1"/>
                <w:color w:val="auto"/>
              </w:rPr>
            </w:pPr>
          </w:p>
        </w:tc>
      </w:tr>
      <w:tr>
        <w:trPr>
          <w:trHeight w:val="250"/>
        </w:trPr>
        <w:tc>
          <w:tcPr>
            <w:tcW w:w="26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Faith-based:</w:t>
            </w: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2680" w:type="dxa"/>
            <w:vAlign w:val="bottom"/>
            <w:shd w:val="clear" w:color="auto" w:fill="DBDBDB"/>
          </w:tcPr>
          <w:p>
            <w:pPr>
              <w:ind w:left="560"/>
              <w:spacing w:after="0"/>
              <w:rPr>
                <w:sz w:val="20"/>
                <w:szCs w:val="20"/>
                <w:color w:val="auto"/>
              </w:rPr>
            </w:pPr>
            <w:r>
              <w:rPr>
                <w:rFonts w:ascii="Times New Roman" w:cs="Times New Roman" w:eastAsia="Times New Roman" w:hAnsi="Times New Roman"/>
                <w:sz w:val="18"/>
                <w:szCs w:val="18"/>
                <w:color w:val="auto"/>
              </w:rPr>
              <w:t>Mortgage</w:t>
            </w:r>
          </w:p>
        </w:tc>
        <w:tc>
          <w:tcPr>
            <w:tcW w:w="240" w:type="dxa"/>
            <w:vAlign w:val="bottom"/>
            <w:shd w:val="clear" w:color="auto" w:fill="DBDBDB"/>
          </w:tcPr>
          <w:p>
            <w:pPr>
              <w:spacing w:after="0"/>
              <w:rPr>
                <w:sz w:val="22"/>
                <w:szCs w:val="22"/>
                <w:color w:val="auto"/>
              </w:rPr>
            </w:pPr>
          </w:p>
        </w:tc>
        <w:tc>
          <w:tcPr>
            <w:tcW w:w="1140" w:type="dxa"/>
            <w:vAlign w:val="bottom"/>
            <w:shd w:val="clear" w:color="auto" w:fill="DBDBDB"/>
          </w:tcPr>
          <w:p>
            <w:pPr>
              <w:jc w:val="right"/>
              <w:ind w:right="10"/>
              <w:spacing w:after="0"/>
              <w:rPr>
                <w:sz w:val="20"/>
                <w:szCs w:val="20"/>
                <w:color w:val="auto"/>
              </w:rPr>
            </w:pPr>
            <w:r>
              <w:rPr>
                <w:rFonts w:ascii="Times New Roman" w:cs="Times New Roman" w:eastAsia="Times New Roman" w:hAnsi="Times New Roman"/>
                <w:sz w:val="18"/>
                <w:szCs w:val="18"/>
                <w:color w:val="auto"/>
              </w:rPr>
              <w:t>381,368</w:t>
            </w:r>
          </w:p>
        </w:tc>
        <w:tc>
          <w:tcPr>
            <w:tcW w:w="220" w:type="dxa"/>
            <w:vAlign w:val="bottom"/>
            <w:shd w:val="clear" w:color="auto" w:fill="DBDBDB"/>
          </w:tcPr>
          <w:p>
            <w:pPr>
              <w:spacing w:after="0"/>
              <w:rPr>
                <w:sz w:val="22"/>
                <w:szCs w:val="22"/>
                <w:color w:val="auto"/>
              </w:rPr>
            </w:pPr>
          </w:p>
        </w:tc>
        <w:tc>
          <w:tcPr>
            <w:tcW w:w="1180" w:type="dxa"/>
            <w:vAlign w:val="bottom"/>
            <w:shd w:val="clear" w:color="auto" w:fill="DBDBDB"/>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DBDBDB"/>
          </w:tcPr>
          <w:p>
            <w:pPr>
              <w:spacing w:after="0"/>
              <w:rPr>
                <w:sz w:val="22"/>
                <w:szCs w:val="22"/>
                <w:color w:val="auto"/>
              </w:rPr>
            </w:pPr>
          </w:p>
        </w:tc>
        <w:tc>
          <w:tcPr>
            <w:tcW w:w="1120" w:type="dxa"/>
            <w:vAlign w:val="bottom"/>
            <w:gridSpan w:val="2"/>
            <w:shd w:val="clear" w:color="auto" w:fill="DBDBDB"/>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DBDBDB"/>
          </w:tcPr>
          <w:p>
            <w:pPr>
              <w:spacing w:after="0"/>
              <w:rPr>
                <w:sz w:val="22"/>
                <w:szCs w:val="22"/>
                <w:color w:val="auto"/>
              </w:rPr>
            </w:pPr>
          </w:p>
        </w:tc>
        <w:tc>
          <w:tcPr>
            <w:tcW w:w="1140" w:type="dxa"/>
            <w:vAlign w:val="bottom"/>
            <w:gridSpan w:val="2"/>
            <w:shd w:val="clear" w:color="auto" w:fill="DBDBDB"/>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DBDBDB"/>
          </w:tcPr>
          <w:p>
            <w:pPr>
              <w:spacing w:after="0"/>
              <w:rPr>
                <w:sz w:val="22"/>
                <w:szCs w:val="22"/>
                <w:color w:val="auto"/>
              </w:rPr>
            </w:pPr>
          </w:p>
        </w:tc>
        <w:tc>
          <w:tcPr>
            <w:tcW w:w="11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DBDBDB"/>
          </w:tcPr>
          <w:p>
            <w:pPr>
              <w:spacing w:after="0"/>
              <w:rPr>
                <w:sz w:val="22"/>
                <w:szCs w:val="22"/>
                <w:color w:val="auto"/>
              </w:rPr>
            </w:pPr>
          </w:p>
        </w:tc>
        <w:tc>
          <w:tcPr>
            <w:tcW w:w="500" w:type="dxa"/>
            <w:vAlign w:val="bottom"/>
            <w:shd w:val="clear" w:color="auto" w:fill="DBDBDB"/>
          </w:tcPr>
          <w:p>
            <w:pPr>
              <w:spacing w:after="0"/>
              <w:rPr>
                <w:sz w:val="22"/>
                <w:szCs w:val="22"/>
                <w:color w:val="auto"/>
              </w:rPr>
            </w:pPr>
          </w:p>
        </w:tc>
        <w:tc>
          <w:tcPr>
            <w:tcW w:w="9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381,368</w:t>
            </w:r>
          </w:p>
        </w:tc>
        <w:tc>
          <w:tcPr>
            <w:tcW w:w="0" w:type="dxa"/>
            <w:vAlign w:val="bottom"/>
          </w:tcPr>
          <w:p>
            <w:pPr>
              <w:spacing w:after="0"/>
              <w:rPr>
                <w:sz w:val="1"/>
                <w:szCs w:val="1"/>
                <w:color w:val="auto"/>
              </w:rPr>
            </w:pPr>
          </w:p>
        </w:tc>
      </w:tr>
      <w:tr>
        <w:trPr>
          <w:trHeight w:val="250"/>
        </w:trPr>
        <w:tc>
          <w:tcPr>
            <w:tcW w:w="26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Construction</w:t>
            </w:r>
          </w:p>
        </w:tc>
        <w:tc>
          <w:tcPr>
            <w:tcW w:w="2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7,790</w:t>
            </w:r>
          </w:p>
        </w:tc>
        <w:tc>
          <w:tcPr>
            <w:tcW w:w="220" w:type="dxa"/>
            <w:vAlign w:val="bottom"/>
          </w:tcPr>
          <w:p>
            <w:pPr>
              <w:spacing w:after="0"/>
              <w:rPr>
                <w:sz w:val="21"/>
                <w:szCs w:val="21"/>
                <w:color w:val="auto"/>
              </w:rPr>
            </w:pPr>
          </w:p>
        </w:tc>
        <w:tc>
          <w:tcPr>
            <w:tcW w:w="118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1"/>
                <w:szCs w:val="21"/>
                <w:color w:val="auto"/>
              </w:rPr>
            </w:pPr>
          </w:p>
        </w:tc>
        <w:tc>
          <w:tcPr>
            <w:tcW w:w="112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7,790</w:t>
            </w:r>
          </w:p>
        </w:tc>
        <w:tc>
          <w:tcPr>
            <w:tcW w:w="0" w:type="dxa"/>
            <w:vAlign w:val="bottom"/>
          </w:tcPr>
          <w:p>
            <w:pPr>
              <w:spacing w:after="0"/>
              <w:rPr>
                <w:sz w:val="1"/>
                <w:szCs w:val="1"/>
                <w:color w:val="auto"/>
              </w:rPr>
            </w:pPr>
          </w:p>
        </w:tc>
      </w:tr>
      <w:tr>
        <w:trPr>
          <w:trHeight w:val="263"/>
        </w:trPr>
        <w:tc>
          <w:tcPr>
            <w:tcW w:w="268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PPP</w:t>
            </w:r>
          </w:p>
        </w:tc>
        <w:tc>
          <w:tcPr>
            <w:tcW w:w="240" w:type="dxa"/>
            <w:vAlign w:val="bottom"/>
            <w:shd w:val="clear" w:color="auto" w:fill="DBDBDB"/>
          </w:tcPr>
          <w:p>
            <w:pPr>
              <w:spacing w:after="0"/>
              <w:rPr>
                <w:sz w:val="22"/>
                <w:szCs w:val="22"/>
                <w:color w:val="auto"/>
              </w:rPr>
            </w:pPr>
          </w:p>
        </w:tc>
        <w:tc>
          <w:tcPr>
            <w:tcW w:w="1140" w:type="dxa"/>
            <w:vAlign w:val="bottom"/>
            <w:shd w:val="clear" w:color="auto" w:fill="DBDBDB"/>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DBDBDB"/>
          </w:tcPr>
          <w:p>
            <w:pPr>
              <w:spacing w:after="0"/>
              <w:rPr>
                <w:sz w:val="22"/>
                <w:szCs w:val="22"/>
                <w:color w:val="auto"/>
              </w:rPr>
            </w:pPr>
          </w:p>
        </w:tc>
        <w:tc>
          <w:tcPr>
            <w:tcW w:w="1180" w:type="dxa"/>
            <w:vAlign w:val="bottom"/>
            <w:shd w:val="clear" w:color="auto" w:fill="DBDBDB"/>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DBDBDB"/>
          </w:tcPr>
          <w:p>
            <w:pPr>
              <w:spacing w:after="0"/>
              <w:rPr>
                <w:sz w:val="22"/>
                <w:szCs w:val="22"/>
                <w:color w:val="auto"/>
              </w:rPr>
            </w:pPr>
          </w:p>
        </w:tc>
        <w:tc>
          <w:tcPr>
            <w:tcW w:w="1120" w:type="dxa"/>
            <w:vAlign w:val="bottom"/>
            <w:gridSpan w:val="2"/>
            <w:shd w:val="clear" w:color="auto" w:fill="DBDBDB"/>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DBDBDB"/>
          </w:tcPr>
          <w:p>
            <w:pPr>
              <w:spacing w:after="0"/>
              <w:rPr>
                <w:sz w:val="22"/>
                <w:szCs w:val="22"/>
                <w:color w:val="auto"/>
              </w:rPr>
            </w:pPr>
          </w:p>
        </w:tc>
        <w:tc>
          <w:tcPr>
            <w:tcW w:w="1140" w:type="dxa"/>
            <w:vAlign w:val="bottom"/>
            <w:gridSpan w:val="2"/>
            <w:shd w:val="clear" w:color="auto" w:fill="DBDBDB"/>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DBDBDB"/>
          </w:tcPr>
          <w:p>
            <w:pPr>
              <w:spacing w:after="0"/>
              <w:rPr>
                <w:sz w:val="22"/>
                <w:szCs w:val="22"/>
                <w:color w:val="auto"/>
              </w:rPr>
            </w:pPr>
          </w:p>
        </w:tc>
        <w:tc>
          <w:tcPr>
            <w:tcW w:w="11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DBDBDB"/>
          </w:tcPr>
          <w:p>
            <w:pPr>
              <w:spacing w:after="0"/>
              <w:rPr>
                <w:sz w:val="22"/>
                <w:szCs w:val="22"/>
                <w:color w:val="auto"/>
              </w:rPr>
            </w:pPr>
          </w:p>
        </w:tc>
        <w:tc>
          <w:tcPr>
            <w:tcW w:w="500" w:type="dxa"/>
            <w:vAlign w:val="bottom"/>
            <w:shd w:val="clear" w:color="auto" w:fill="DBDBDB"/>
          </w:tcPr>
          <w:p>
            <w:pPr>
              <w:spacing w:after="0"/>
              <w:rPr>
                <w:sz w:val="22"/>
                <w:szCs w:val="22"/>
                <w:color w:val="auto"/>
              </w:rPr>
            </w:pPr>
          </w:p>
        </w:tc>
        <w:tc>
          <w:tcPr>
            <w:tcW w:w="9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2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54</w:t>
            </w:r>
          </w:p>
        </w:tc>
        <w:tc>
          <w:tcPr>
            <w:tcW w:w="2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50"/>
        </w:trPr>
        <w:tc>
          <w:tcPr>
            <w:tcW w:w="2680" w:type="dxa"/>
            <w:vAlign w:val="bottom"/>
            <w:tcBorders>
              <w:bottom w:val="single" w:sz="8" w:color="auto"/>
            </w:tcBorders>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shd w:val="clear" w:color="auto" w:fill="DBDBDB"/>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DBDBDB"/>
          </w:tcPr>
          <w:p>
            <w:pPr>
              <w:jc w:val="right"/>
              <w:ind w:right="10"/>
              <w:spacing w:after="0"/>
              <w:rPr>
                <w:sz w:val="20"/>
                <w:szCs w:val="20"/>
                <w:color w:val="auto"/>
              </w:rPr>
            </w:pPr>
            <w:r>
              <w:rPr>
                <w:rFonts w:ascii="Times New Roman" w:cs="Times New Roman" w:eastAsia="Times New Roman" w:hAnsi="Times New Roman"/>
                <w:sz w:val="18"/>
                <w:szCs w:val="18"/>
                <w:color w:val="auto"/>
              </w:rPr>
              <w:t>1,014,318</w:t>
            </w:r>
          </w:p>
        </w:tc>
        <w:tc>
          <w:tcPr>
            <w:tcW w:w="22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DBDBDB"/>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shd w:val="clear" w:color="auto" w:fill="DBDBDB"/>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gridSpan w:val="2"/>
            <w:shd w:val="clear" w:color="auto" w:fill="DBDBDB"/>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shd w:val="clear" w:color="auto" w:fill="DBDBDB"/>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gridSpan w:val="2"/>
            <w:shd w:val="clear" w:color="auto" w:fill="DBDBDB"/>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shd w:val="clear" w:color="auto" w:fill="DBDBDB"/>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gridSpan w:val="2"/>
            <w:shd w:val="clear" w:color="auto" w:fill="DBDBDB"/>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1,014,318</w:t>
            </w:r>
          </w:p>
        </w:tc>
        <w:tc>
          <w:tcPr>
            <w:tcW w:w="0" w:type="dxa"/>
            <w:vAlign w:val="bottom"/>
          </w:tcPr>
          <w:p>
            <w:pPr>
              <w:spacing w:after="0"/>
              <w:rPr>
                <w:sz w:val="1"/>
                <w:szCs w:val="1"/>
                <w:color w:val="auto"/>
              </w:rPr>
            </w:pPr>
          </w:p>
        </w:tc>
      </w:tr>
      <w:tr>
        <w:trPr>
          <w:trHeight w:val="905"/>
        </w:trPr>
        <w:tc>
          <w:tcPr>
            <w:tcW w:w="2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54</w:t>
            </w: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268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10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96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10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500" w:type="dxa"/>
            <w:vAlign w:val="bottom"/>
            <w:tcBorders>
              <w:bottom w:val="single" w:sz="8" w:color="9A9A9A"/>
            </w:tcBorders>
          </w:tcPr>
          <w:p>
            <w:pPr>
              <w:spacing w:after="0"/>
              <w:rPr>
                <w:sz w:val="8"/>
                <w:szCs w:val="8"/>
                <w:color w:val="auto"/>
              </w:rPr>
            </w:pPr>
          </w:p>
        </w:tc>
        <w:tc>
          <w:tcPr>
            <w:tcW w:w="96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aging of loans by loan categories at December 31, 2022:</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6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Performing</w:t>
            </w:r>
          </w:p>
        </w:tc>
        <w:tc>
          <w:tcPr>
            <w:tcW w:w="3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560" w:type="dxa"/>
            <w:vAlign w:val="bottom"/>
            <w:tcBorders>
              <w:bottom w:val="single" w:sz="8" w:color="auto"/>
            </w:tcBorders>
            <w:gridSpan w:val="3"/>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Nonperforming</w:t>
            </w:r>
          </w:p>
        </w:tc>
        <w:tc>
          <w:tcPr>
            <w:tcW w:w="3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2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vMerge w:val="restart"/>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30-59</w:t>
            </w:r>
          </w:p>
        </w:tc>
        <w:tc>
          <w:tcPr>
            <w:tcW w:w="360" w:type="dxa"/>
            <w:vAlign w:val="bottom"/>
          </w:tcPr>
          <w:p>
            <w:pPr>
              <w:spacing w:after="0"/>
              <w:rPr>
                <w:sz w:val="15"/>
                <w:szCs w:val="15"/>
                <w:color w:val="auto"/>
              </w:rPr>
            </w:pPr>
          </w:p>
        </w:tc>
        <w:tc>
          <w:tcPr>
            <w:tcW w:w="1060" w:type="dxa"/>
            <w:vAlign w:val="bottom"/>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60-89</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jc w:val="center"/>
              <w:ind w:right="170"/>
              <w:spacing w:after="0" w:line="176" w:lineRule="exact"/>
              <w:rPr>
                <w:sz w:val="20"/>
                <w:szCs w:val="20"/>
                <w:color w:val="auto"/>
              </w:rPr>
            </w:pPr>
            <w:r>
              <w:rPr>
                <w:rFonts w:ascii="Times New Roman" w:cs="Times New Roman" w:eastAsia="Times New Roman" w:hAnsi="Times New Roman"/>
                <w:sz w:val="18"/>
                <w:szCs w:val="18"/>
                <w:b w:val="1"/>
                <w:bCs w:val="1"/>
                <w:color w:val="auto"/>
                <w:w w:val="99"/>
              </w:rPr>
              <w:t>90 Days</w:t>
            </w:r>
          </w:p>
        </w:tc>
        <w:tc>
          <w:tcPr>
            <w:tcW w:w="320" w:type="dxa"/>
            <w:vAlign w:val="bottom"/>
          </w:tcPr>
          <w:p>
            <w:pPr>
              <w:spacing w:after="0"/>
              <w:rPr>
                <w:sz w:val="15"/>
                <w:szCs w:val="15"/>
                <w:color w:val="auto"/>
              </w:rPr>
            </w:pPr>
          </w:p>
        </w:tc>
        <w:tc>
          <w:tcPr>
            <w:tcW w:w="1100" w:type="dxa"/>
            <w:vAlign w:val="bottom"/>
            <w:vMerge w:val="restart"/>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Non-</w:t>
            </w:r>
          </w:p>
        </w:tc>
        <w:tc>
          <w:tcPr>
            <w:tcW w:w="380" w:type="dxa"/>
            <w:vAlign w:val="bottom"/>
          </w:tcPr>
          <w:p>
            <w:pPr>
              <w:spacing w:after="0"/>
              <w:rPr>
                <w:sz w:val="15"/>
                <w:szCs w:val="15"/>
                <w:color w:val="auto"/>
              </w:rPr>
            </w:pPr>
          </w:p>
        </w:tc>
        <w:tc>
          <w:tcPr>
            <w:tcW w:w="1080" w:type="dxa"/>
            <w:vAlign w:val="bottom"/>
            <w:vMerge w:val="restart"/>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176"/>
        </w:trPr>
        <w:tc>
          <w:tcPr>
            <w:tcW w:w="268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40" w:type="dxa"/>
            <w:vAlign w:val="bottom"/>
          </w:tcPr>
          <w:p>
            <w:pPr>
              <w:spacing w:after="0"/>
              <w:rPr>
                <w:sz w:val="15"/>
                <w:szCs w:val="15"/>
                <w:color w:val="auto"/>
              </w:rPr>
            </w:pPr>
          </w:p>
        </w:tc>
        <w:tc>
          <w:tcPr>
            <w:tcW w:w="1140" w:type="dxa"/>
            <w:vAlign w:val="bottom"/>
            <w:vMerge w:val="restart"/>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220" w:type="dxa"/>
            <w:vAlign w:val="bottom"/>
          </w:tcPr>
          <w:p>
            <w:pPr>
              <w:spacing w:after="0"/>
              <w:rPr>
                <w:sz w:val="15"/>
                <w:szCs w:val="15"/>
                <w:color w:val="auto"/>
              </w:rPr>
            </w:pPr>
          </w:p>
        </w:tc>
        <w:tc>
          <w:tcPr>
            <w:tcW w:w="120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jc w:val="center"/>
              <w:ind w:right="170"/>
              <w:spacing w:after="0" w:line="176" w:lineRule="exact"/>
              <w:rPr>
                <w:sz w:val="20"/>
                <w:szCs w:val="20"/>
                <w:color w:val="auto"/>
              </w:rPr>
            </w:pPr>
            <w:r>
              <w:rPr>
                <w:rFonts w:ascii="Times New Roman" w:cs="Times New Roman" w:eastAsia="Times New Roman" w:hAnsi="Times New Roman"/>
                <w:sz w:val="18"/>
                <w:szCs w:val="18"/>
                <w:b w:val="1"/>
                <w:bCs w:val="1"/>
                <w:color w:val="auto"/>
                <w:w w:val="96"/>
              </w:rPr>
              <w:t>and</w:t>
            </w:r>
          </w:p>
        </w:tc>
        <w:tc>
          <w:tcPr>
            <w:tcW w:w="32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680" w:type="dxa"/>
            <w:vAlign w:val="bottom"/>
            <w:tcBorders>
              <w:bottom w:val="single" w:sz="8" w:color="auto"/>
            </w:tcBorders>
            <w:vMerge w:val="continue"/>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vMerge w:val="continue"/>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Days</w:t>
            </w: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Days</w:t>
            </w:r>
          </w:p>
        </w:tc>
        <w:tc>
          <w:tcPr>
            <w:tcW w:w="2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Over</w:t>
            </w:r>
          </w:p>
        </w:tc>
        <w:tc>
          <w:tcPr>
            <w:tcW w:w="3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accrual</w:t>
            </w:r>
          </w:p>
        </w:tc>
        <w:tc>
          <w:tcPr>
            <w:tcW w:w="3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Loans</w:t>
            </w:r>
          </w:p>
        </w:tc>
        <w:tc>
          <w:tcPr>
            <w:tcW w:w="0" w:type="dxa"/>
            <w:vAlign w:val="bottom"/>
          </w:tcPr>
          <w:p>
            <w:pPr>
              <w:spacing w:after="0"/>
              <w:rPr>
                <w:sz w:val="1"/>
                <w:szCs w:val="1"/>
                <w:color w:val="auto"/>
              </w:rPr>
            </w:pPr>
          </w:p>
        </w:tc>
      </w:tr>
      <w:tr>
        <w:trPr>
          <w:trHeight w:val="250"/>
        </w:trPr>
        <w:tc>
          <w:tcPr>
            <w:tcW w:w="268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240" w:type="dxa"/>
            <w:vAlign w:val="bottom"/>
            <w:shd w:val="clear" w:color="auto" w:fill="DBDBDB"/>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DBDBDB"/>
          </w:tcPr>
          <w:p>
            <w:pPr>
              <w:jc w:val="right"/>
              <w:ind w:right="10"/>
              <w:spacing w:after="0"/>
              <w:rPr>
                <w:sz w:val="20"/>
                <w:szCs w:val="20"/>
                <w:color w:val="auto"/>
              </w:rPr>
            </w:pPr>
            <w:r>
              <w:rPr>
                <w:rFonts w:ascii="Times New Roman" w:cs="Times New Roman" w:eastAsia="Times New Roman" w:hAnsi="Times New Roman"/>
                <w:sz w:val="18"/>
                <w:szCs w:val="18"/>
                <w:color w:val="auto"/>
              </w:rPr>
              <w:t>560,466</w:t>
            </w:r>
          </w:p>
        </w:tc>
        <w:tc>
          <w:tcPr>
            <w:tcW w:w="2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DBDBDB"/>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DBDBDB"/>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DBDBDB"/>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DBDBDB"/>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DBDBDB"/>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DBDBDB"/>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380" w:type="dxa"/>
            <w:vAlign w:val="bottom"/>
            <w:shd w:val="clear" w:color="auto" w:fill="DBDBDB"/>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561,616</w:t>
            </w:r>
          </w:p>
        </w:tc>
        <w:tc>
          <w:tcPr>
            <w:tcW w:w="0" w:type="dxa"/>
            <w:vAlign w:val="bottom"/>
          </w:tcPr>
          <w:p>
            <w:pPr>
              <w:spacing w:after="0"/>
              <w:rPr>
                <w:sz w:val="1"/>
                <w:szCs w:val="1"/>
                <w:color w:val="auto"/>
              </w:rPr>
            </w:pPr>
          </w:p>
        </w:tc>
      </w:tr>
      <w:tr>
        <w:trPr>
          <w:trHeight w:val="250"/>
        </w:trPr>
        <w:tc>
          <w:tcPr>
            <w:tcW w:w="2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Real estate</w:t>
            </w: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2680" w:type="dxa"/>
            <w:vAlign w:val="bottom"/>
            <w:shd w:val="clear" w:color="auto" w:fill="DBDBDB"/>
          </w:tcPr>
          <w:p>
            <w:pPr>
              <w:ind w:left="300"/>
              <w:spacing w:after="0"/>
              <w:rPr>
                <w:sz w:val="20"/>
                <w:szCs w:val="20"/>
                <w:color w:val="auto"/>
              </w:rPr>
            </w:pPr>
            <w:r>
              <w:rPr>
                <w:rFonts w:ascii="Times New Roman" w:cs="Times New Roman" w:eastAsia="Times New Roman" w:hAnsi="Times New Roman"/>
                <w:sz w:val="18"/>
                <w:szCs w:val="18"/>
                <w:color w:val="auto"/>
              </w:rPr>
              <w:t>Commercial:</w:t>
            </w:r>
          </w:p>
        </w:tc>
        <w:tc>
          <w:tcPr>
            <w:tcW w:w="240" w:type="dxa"/>
            <w:vAlign w:val="bottom"/>
            <w:shd w:val="clear" w:color="auto" w:fill="DBDBDB"/>
          </w:tcPr>
          <w:p>
            <w:pPr>
              <w:spacing w:after="0"/>
              <w:rPr>
                <w:sz w:val="22"/>
                <w:szCs w:val="22"/>
                <w:color w:val="auto"/>
              </w:rPr>
            </w:pPr>
          </w:p>
        </w:tc>
        <w:tc>
          <w:tcPr>
            <w:tcW w:w="1140" w:type="dxa"/>
            <w:vAlign w:val="bottom"/>
            <w:shd w:val="clear" w:color="auto" w:fill="DBDBDB"/>
          </w:tcPr>
          <w:p>
            <w:pPr>
              <w:spacing w:after="0"/>
              <w:rPr>
                <w:sz w:val="22"/>
                <w:szCs w:val="22"/>
                <w:color w:val="auto"/>
              </w:rPr>
            </w:pPr>
          </w:p>
        </w:tc>
        <w:tc>
          <w:tcPr>
            <w:tcW w:w="220" w:type="dxa"/>
            <w:vAlign w:val="bottom"/>
            <w:shd w:val="clear" w:color="auto" w:fill="DBDBDB"/>
          </w:tcPr>
          <w:p>
            <w:pPr>
              <w:spacing w:after="0"/>
              <w:rPr>
                <w:sz w:val="22"/>
                <w:szCs w:val="22"/>
                <w:color w:val="auto"/>
              </w:rPr>
            </w:pPr>
          </w:p>
        </w:tc>
        <w:tc>
          <w:tcPr>
            <w:tcW w:w="1200" w:type="dxa"/>
            <w:vAlign w:val="bottom"/>
            <w:shd w:val="clear" w:color="auto" w:fill="DBDBDB"/>
          </w:tcPr>
          <w:p>
            <w:pPr>
              <w:spacing w:after="0"/>
              <w:rPr>
                <w:sz w:val="22"/>
                <w:szCs w:val="22"/>
                <w:color w:val="auto"/>
              </w:rPr>
            </w:pPr>
          </w:p>
        </w:tc>
        <w:tc>
          <w:tcPr>
            <w:tcW w:w="360" w:type="dxa"/>
            <w:vAlign w:val="bottom"/>
            <w:shd w:val="clear" w:color="auto" w:fill="DBDBDB"/>
          </w:tcPr>
          <w:p>
            <w:pPr>
              <w:spacing w:after="0"/>
              <w:rPr>
                <w:sz w:val="22"/>
                <w:szCs w:val="22"/>
                <w:color w:val="auto"/>
              </w:rPr>
            </w:pPr>
          </w:p>
        </w:tc>
        <w:tc>
          <w:tcPr>
            <w:tcW w:w="1060" w:type="dxa"/>
            <w:vAlign w:val="bottom"/>
            <w:shd w:val="clear" w:color="auto" w:fill="DBDBDB"/>
          </w:tcPr>
          <w:p>
            <w:pPr>
              <w:spacing w:after="0"/>
              <w:rPr>
                <w:sz w:val="22"/>
                <w:szCs w:val="22"/>
                <w:color w:val="auto"/>
              </w:rPr>
            </w:pPr>
          </w:p>
        </w:tc>
        <w:tc>
          <w:tcPr>
            <w:tcW w:w="80" w:type="dxa"/>
            <w:vAlign w:val="bottom"/>
            <w:shd w:val="clear" w:color="auto" w:fill="DBDBDB"/>
          </w:tcPr>
          <w:p>
            <w:pPr>
              <w:spacing w:after="0"/>
              <w:rPr>
                <w:sz w:val="22"/>
                <w:szCs w:val="22"/>
                <w:color w:val="auto"/>
              </w:rPr>
            </w:pPr>
          </w:p>
        </w:tc>
        <w:tc>
          <w:tcPr>
            <w:tcW w:w="240" w:type="dxa"/>
            <w:vAlign w:val="bottom"/>
            <w:shd w:val="clear" w:color="auto" w:fill="DBDBDB"/>
          </w:tcPr>
          <w:p>
            <w:pPr>
              <w:spacing w:after="0"/>
              <w:rPr>
                <w:sz w:val="22"/>
                <w:szCs w:val="22"/>
                <w:color w:val="auto"/>
              </w:rPr>
            </w:pPr>
          </w:p>
        </w:tc>
        <w:tc>
          <w:tcPr>
            <w:tcW w:w="1140" w:type="dxa"/>
            <w:vAlign w:val="bottom"/>
            <w:shd w:val="clear" w:color="auto" w:fill="DBDBDB"/>
          </w:tcPr>
          <w:p>
            <w:pPr>
              <w:spacing w:after="0"/>
              <w:rPr>
                <w:sz w:val="22"/>
                <w:szCs w:val="22"/>
                <w:color w:val="auto"/>
              </w:rPr>
            </w:pPr>
          </w:p>
        </w:tc>
        <w:tc>
          <w:tcPr>
            <w:tcW w:w="320" w:type="dxa"/>
            <w:vAlign w:val="bottom"/>
            <w:shd w:val="clear" w:color="auto" w:fill="DBDBDB"/>
          </w:tcPr>
          <w:p>
            <w:pPr>
              <w:spacing w:after="0"/>
              <w:rPr>
                <w:sz w:val="22"/>
                <w:szCs w:val="22"/>
                <w:color w:val="auto"/>
              </w:rPr>
            </w:pPr>
          </w:p>
        </w:tc>
        <w:tc>
          <w:tcPr>
            <w:tcW w:w="1100" w:type="dxa"/>
            <w:vAlign w:val="bottom"/>
            <w:shd w:val="clear" w:color="auto" w:fill="DBDBDB"/>
          </w:tcPr>
          <w:p>
            <w:pPr>
              <w:spacing w:after="0"/>
              <w:rPr>
                <w:sz w:val="22"/>
                <w:szCs w:val="22"/>
                <w:color w:val="auto"/>
              </w:rPr>
            </w:pPr>
          </w:p>
        </w:tc>
        <w:tc>
          <w:tcPr>
            <w:tcW w:w="380" w:type="dxa"/>
            <w:vAlign w:val="bottom"/>
            <w:shd w:val="clear" w:color="auto" w:fill="DBDBDB"/>
          </w:tcPr>
          <w:p>
            <w:pPr>
              <w:spacing w:after="0"/>
              <w:rPr>
                <w:sz w:val="22"/>
                <w:szCs w:val="22"/>
                <w:color w:val="auto"/>
              </w:rPr>
            </w:pPr>
          </w:p>
        </w:tc>
        <w:tc>
          <w:tcPr>
            <w:tcW w:w="1080" w:type="dxa"/>
            <w:vAlign w:val="bottom"/>
            <w:shd w:val="clear" w:color="auto" w:fill="DBDBDB"/>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6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Mortgage</w:t>
            </w:r>
          </w:p>
        </w:tc>
        <w:tc>
          <w:tcPr>
            <w:tcW w:w="2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108,166</w:t>
            </w:r>
          </w:p>
        </w:tc>
        <w:tc>
          <w:tcPr>
            <w:tcW w:w="220" w:type="dxa"/>
            <w:vAlign w:val="bottom"/>
          </w:tcPr>
          <w:p>
            <w:pPr>
              <w:spacing w:after="0"/>
              <w:rPr>
                <w:sz w:val="21"/>
                <w:szCs w:val="21"/>
                <w:color w:val="auto"/>
              </w:rPr>
            </w:pPr>
          </w:p>
        </w:tc>
        <w:tc>
          <w:tcPr>
            <w:tcW w:w="120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14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14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108,166</w:t>
            </w:r>
          </w:p>
        </w:tc>
        <w:tc>
          <w:tcPr>
            <w:tcW w:w="0" w:type="dxa"/>
            <w:vAlign w:val="bottom"/>
          </w:tcPr>
          <w:p>
            <w:pPr>
              <w:spacing w:after="0"/>
              <w:rPr>
                <w:sz w:val="1"/>
                <w:szCs w:val="1"/>
                <w:color w:val="auto"/>
              </w:rPr>
            </w:pPr>
          </w:p>
        </w:tc>
      </w:tr>
      <w:tr>
        <w:trPr>
          <w:trHeight w:val="263"/>
        </w:trPr>
        <w:tc>
          <w:tcPr>
            <w:tcW w:w="2680" w:type="dxa"/>
            <w:vAlign w:val="bottom"/>
            <w:shd w:val="clear" w:color="auto" w:fill="DBDBDB"/>
          </w:tcPr>
          <w:p>
            <w:pPr>
              <w:ind w:left="560"/>
              <w:spacing w:after="0"/>
              <w:rPr>
                <w:sz w:val="20"/>
                <w:szCs w:val="20"/>
                <w:color w:val="auto"/>
              </w:rPr>
            </w:pPr>
            <w:r>
              <w:rPr>
                <w:rFonts w:ascii="Times New Roman" w:cs="Times New Roman" w:eastAsia="Times New Roman" w:hAnsi="Times New Roman"/>
                <w:sz w:val="18"/>
                <w:szCs w:val="18"/>
                <w:color w:val="auto"/>
              </w:rPr>
              <w:t>Construction</w:t>
            </w:r>
          </w:p>
        </w:tc>
        <w:tc>
          <w:tcPr>
            <w:tcW w:w="240" w:type="dxa"/>
            <w:vAlign w:val="bottom"/>
            <w:shd w:val="clear" w:color="auto" w:fill="DBDBDB"/>
          </w:tcPr>
          <w:p>
            <w:pPr>
              <w:spacing w:after="0"/>
              <w:rPr>
                <w:sz w:val="22"/>
                <w:szCs w:val="22"/>
                <w:color w:val="auto"/>
              </w:rPr>
            </w:pPr>
          </w:p>
        </w:tc>
        <w:tc>
          <w:tcPr>
            <w:tcW w:w="1140" w:type="dxa"/>
            <w:vAlign w:val="bottom"/>
            <w:shd w:val="clear" w:color="auto" w:fill="DBDBDB"/>
          </w:tcPr>
          <w:p>
            <w:pPr>
              <w:jc w:val="right"/>
              <w:ind w:right="10"/>
              <w:spacing w:after="0"/>
              <w:rPr>
                <w:sz w:val="20"/>
                <w:szCs w:val="20"/>
                <w:color w:val="auto"/>
              </w:rPr>
            </w:pPr>
            <w:r>
              <w:rPr>
                <w:rFonts w:ascii="Times New Roman" w:cs="Times New Roman" w:eastAsia="Times New Roman" w:hAnsi="Times New Roman"/>
                <w:sz w:val="18"/>
                <w:szCs w:val="18"/>
                <w:color w:val="auto"/>
              </w:rPr>
              <w:t>17,874</w:t>
            </w:r>
          </w:p>
        </w:tc>
        <w:tc>
          <w:tcPr>
            <w:tcW w:w="220" w:type="dxa"/>
            <w:vAlign w:val="bottom"/>
            <w:shd w:val="clear" w:color="auto" w:fill="DBDBDB"/>
          </w:tcPr>
          <w:p>
            <w:pPr>
              <w:spacing w:after="0"/>
              <w:rPr>
                <w:sz w:val="22"/>
                <w:szCs w:val="22"/>
                <w:color w:val="auto"/>
              </w:rPr>
            </w:pPr>
          </w:p>
        </w:tc>
        <w:tc>
          <w:tcPr>
            <w:tcW w:w="1200" w:type="dxa"/>
            <w:vAlign w:val="bottom"/>
            <w:shd w:val="clear" w:color="auto" w:fill="DBDBDB"/>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DBDBDB"/>
          </w:tcPr>
          <w:p>
            <w:pPr>
              <w:spacing w:after="0"/>
              <w:rPr>
                <w:sz w:val="22"/>
                <w:szCs w:val="22"/>
                <w:color w:val="auto"/>
              </w:rPr>
            </w:pPr>
          </w:p>
        </w:tc>
        <w:tc>
          <w:tcPr>
            <w:tcW w:w="1140" w:type="dxa"/>
            <w:vAlign w:val="bottom"/>
            <w:gridSpan w:val="2"/>
            <w:shd w:val="clear" w:color="auto" w:fill="DBDBDB"/>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DBDBDB"/>
          </w:tcPr>
          <w:p>
            <w:pPr>
              <w:spacing w:after="0"/>
              <w:rPr>
                <w:sz w:val="22"/>
                <w:szCs w:val="22"/>
                <w:color w:val="auto"/>
              </w:rPr>
            </w:pPr>
          </w:p>
        </w:tc>
        <w:tc>
          <w:tcPr>
            <w:tcW w:w="1140" w:type="dxa"/>
            <w:vAlign w:val="bottom"/>
            <w:shd w:val="clear" w:color="auto" w:fill="DBDBDB"/>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DBDBDB"/>
          </w:tcPr>
          <w:p>
            <w:pPr>
              <w:spacing w:after="0"/>
              <w:rPr>
                <w:sz w:val="22"/>
                <w:szCs w:val="22"/>
                <w:color w:val="auto"/>
              </w:rPr>
            </w:pPr>
          </w:p>
        </w:tc>
        <w:tc>
          <w:tcPr>
            <w:tcW w:w="11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DBDBDB"/>
          </w:tcPr>
          <w:p>
            <w:pPr>
              <w:spacing w:after="0"/>
              <w:rPr>
                <w:sz w:val="22"/>
                <w:szCs w:val="22"/>
                <w:color w:val="auto"/>
              </w:rPr>
            </w:pPr>
          </w:p>
        </w:tc>
        <w:tc>
          <w:tcPr>
            <w:tcW w:w="10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17,874</w:t>
            </w:r>
          </w:p>
        </w:tc>
        <w:tc>
          <w:tcPr>
            <w:tcW w:w="0" w:type="dxa"/>
            <w:vAlign w:val="bottom"/>
          </w:tcPr>
          <w:p>
            <w:pPr>
              <w:spacing w:after="0"/>
              <w:rPr>
                <w:sz w:val="1"/>
                <w:szCs w:val="1"/>
                <w:color w:val="auto"/>
              </w:rPr>
            </w:pPr>
          </w:p>
        </w:tc>
      </w:tr>
      <w:tr>
        <w:trPr>
          <w:trHeight w:val="250"/>
        </w:trPr>
        <w:tc>
          <w:tcPr>
            <w:tcW w:w="26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Faith-based:</w:t>
            </w: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2680" w:type="dxa"/>
            <w:vAlign w:val="bottom"/>
            <w:shd w:val="clear" w:color="auto" w:fill="DBDBDB"/>
          </w:tcPr>
          <w:p>
            <w:pPr>
              <w:ind w:left="560"/>
              <w:spacing w:after="0"/>
              <w:rPr>
                <w:sz w:val="20"/>
                <w:szCs w:val="20"/>
                <w:color w:val="auto"/>
              </w:rPr>
            </w:pPr>
            <w:r>
              <w:rPr>
                <w:rFonts w:ascii="Times New Roman" w:cs="Times New Roman" w:eastAsia="Times New Roman" w:hAnsi="Times New Roman"/>
                <w:sz w:val="18"/>
                <w:szCs w:val="18"/>
                <w:color w:val="auto"/>
              </w:rPr>
              <w:t>Mortgage</w:t>
            </w:r>
          </w:p>
        </w:tc>
        <w:tc>
          <w:tcPr>
            <w:tcW w:w="240" w:type="dxa"/>
            <w:vAlign w:val="bottom"/>
            <w:shd w:val="clear" w:color="auto" w:fill="DBDBDB"/>
          </w:tcPr>
          <w:p>
            <w:pPr>
              <w:spacing w:after="0"/>
              <w:rPr>
                <w:sz w:val="22"/>
                <w:szCs w:val="22"/>
                <w:color w:val="auto"/>
              </w:rPr>
            </w:pPr>
          </w:p>
        </w:tc>
        <w:tc>
          <w:tcPr>
            <w:tcW w:w="1140" w:type="dxa"/>
            <w:vAlign w:val="bottom"/>
            <w:shd w:val="clear" w:color="auto" w:fill="DBDBDB"/>
          </w:tcPr>
          <w:p>
            <w:pPr>
              <w:jc w:val="right"/>
              <w:ind w:right="10"/>
              <w:spacing w:after="0"/>
              <w:rPr>
                <w:sz w:val="20"/>
                <w:szCs w:val="20"/>
                <w:color w:val="auto"/>
              </w:rPr>
            </w:pPr>
            <w:r>
              <w:rPr>
                <w:rFonts w:ascii="Times New Roman" w:cs="Times New Roman" w:eastAsia="Times New Roman" w:hAnsi="Times New Roman"/>
                <w:sz w:val="18"/>
                <w:szCs w:val="18"/>
                <w:color w:val="auto"/>
              </w:rPr>
              <w:t>387,114</w:t>
            </w:r>
          </w:p>
        </w:tc>
        <w:tc>
          <w:tcPr>
            <w:tcW w:w="220" w:type="dxa"/>
            <w:vAlign w:val="bottom"/>
            <w:shd w:val="clear" w:color="auto" w:fill="DBDBDB"/>
          </w:tcPr>
          <w:p>
            <w:pPr>
              <w:spacing w:after="0"/>
              <w:rPr>
                <w:sz w:val="22"/>
                <w:szCs w:val="22"/>
                <w:color w:val="auto"/>
              </w:rPr>
            </w:pPr>
          </w:p>
        </w:tc>
        <w:tc>
          <w:tcPr>
            <w:tcW w:w="1200" w:type="dxa"/>
            <w:vAlign w:val="bottom"/>
            <w:shd w:val="clear" w:color="auto" w:fill="DBDBDB"/>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DBDBDB"/>
          </w:tcPr>
          <w:p>
            <w:pPr>
              <w:spacing w:after="0"/>
              <w:rPr>
                <w:sz w:val="22"/>
                <w:szCs w:val="22"/>
                <w:color w:val="auto"/>
              </w:rPr>
            </w:pPr>
          </w:p>
        </w:tc>
        <w:tc>
          <w:tcPr>
            <w:tcW w:w="1140" w:type="dxa"/>
            <w:vAlign w:val="bottom"/>
            <w:gridSpan w:val="2"/>
            <w:shd w:val="clear" w:color="auto" w:fill="DBDBDB"/>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DBDBDB"/>
          </w:tcPr>
          <w:p>
            <w:pPr>
              <w:spacing w:after="0"/>
              <w:rPr>
                <w:sz w:val="22"/>
                <w:szCs w:val="22"/>
                <w:color w:val="auto"/>
              </w:rPr>
            </w:pPr>
          </w:p>
        </w:tc>
        <w:tc>
          <w:tcPr>
            <w:tcW w:w="1140" w:type="dxa"/>
            <w:vAlign w:val="bottom"/>
            <w:shd w:val="clear" w:color="auto" w:fill="DBDBDB"/>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DBDBDB"/>
          </w:tcPr>
          <w:p>
            <w:pPr>
              <w:spacing w:after="0"/>
              <w:rPr>
                <w:sz w:val="22"/>
                <w:szCs w:val="22"/>
                <w:color w:val="auto"/>
              </w:rPr>
            </w:pPr>
          </w:p>
        </w:tc>
        <w:tc>
          <w:tcPr>
            <w:tcW w:w="11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DBDBDB"/>
          </w:tcPr>
          <w:p>
            <w:pPr>
              <w:spacing w:after="0"/>
              <w:rPr>
                <w:sz w:val="22"/>
                <w:szCs w:val="22"/>
                <w:color w:val="auto"/>
              </w:rPr>
            </w:pPr>
          </w:p>
        </w:tc>
        <w:tc>
          <w:tcPr>
            <w:tcW w:w="10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387,114</w:t>
            </w:r>
          </w:p>
        </w:tc>
        <w:tc>
          <w:tcPr>
            <w:tcW w:w="0" w:type="dxa"/>
            <w:vAlign w:val="bottom"/>
          </w:tcPr>
          <w:p>
            <w:pPr>
              <w:spacing w:after="0"/>
              <w:rPr>
                <w:sz w:val="1"/>
                <w:szCs w:val="1"/>
                <w:color w:val="auto"/>
              </w:rPr>
            </w:pPr>
          </w:p>
        </w:tc>
      </w:tr>
      <w:tr>
        <w:trPr>
          <w:trHeight w:val="250"/>
        </w:trPr>
        <w:tc>
          <w:tcPr>
            <w:tcW w:w="26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Construction</w:t>
            </w:r>
          </w:p>
        </w:tc>
        <w:tc>
          <w:tcPr>
            <w:tcW w:w="2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8,094</w:t>
            </w:r>
          </w:p>
        </w:tc>
        <w:tc>
          <w:tcPr>
            <w:tcW w:w="220" w:type="dxa"/>
            <w:vAlign w:val="bottom"/>
          </w:tcPr>
          <w:p>
            <w:pPr>
              <w:spacing w:after="0"/>
              <w:rPr>
                <w:sz w:val="21"/>
                <w:szCs w:val="21"/>
                <w:color w:val="auto"/>
              </w:rPr>
            </w:pPr>
          </w:p>
        </w:tc>
        <w:tc>
          <w:tcPr>
            <w:tcW w:w="120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14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14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8,094</w:t>
            </w:r>
          </w:p>
        </w:tc>
        <w:tc>
          <w:tcPr>
            <w:tcW w:w="0" w:type="dxa"/>
            <w:vAlign w:val="bottom"/>
          </w:tcPr>
          <w:p>
            <w:pPr>
              <w:spacing w:after="0"/>
              <w:rPr>
                <w:sz w:val="1"/>
                <w:szCs w:val="1"/>
                <w:color w:val="auto"/>
              </w:rPr>
            </w:pPr>
          </w:p>
        </w:tc>
      </w:tr>
      <w:tr>
        <w:trPr>
          <w:trHeight w:val="263"/>
        </w:trPr>
        <w:tc>
          <w:tcPr>
            <w:tcW w:w="268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PPP</w:t>
            </w:r>
          </w:p>
        </w:tc>
        <w:tc>
          <w:tcPr>
            <w:tcW w:w="240" w:type="dxa"/>
            <w:vAlign w:val="bottom"/>
            <w:shd w:val="clear" w:color="auto" w:fill="DBDBDB"/>
          </w:tcPr>
          <w:p>
            <w:pPr>
              <w:spacing w:after="0"/>
              <w:rPr>
                <w:sz w:val="22"/>
                <w:szCs w:val="22"/>
                <w:color w:val="auto"/>
              </w:rPr>
            </w:pPr>
          </w:p>
        </w:tc>
        <w:tc>
          <w:tcPr>
            <w:tcW w:w="1140" w:type="dxa"/>
            <w:vAlign w:val="bottom"/>
            <w:shd w:val="clear" w:color="auto" w:fill="DBDBDB"/>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DBDBDB"/>
          </w:tcPr>
          <w:p>
            <w:pPr>
              <w:spacing w:after="0"/>
              <w:rPr>
                <w:sz w:val="22"/>
                <w:szCs w:val="22"/>
                <w:color w:val="auto"/>
              </w:rPr>
            </w:pPr>
          </w:p>
        </w:tc>
        <w:tc>
          <w:tcPr>
            <w:tcW w:w="1200" w:type="dxa"/>
            <w:vAlign w:val="bottom"/>
            <w:shd w:val="clear" w:color="auto" w:fill="DBDBDB"/>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DBDBDB"/>
          </w:tcPr>
          <w:p>
            <w:pPr>
              <w:spacing w:after="0"/>
              <w:rPr>
                <w:sz w:val="22"/>
                <w:szCs w:val="22"/>
                <w:color w:val="auto"/>
              </w:rPr>
            </w:pPr>
          </w:p>
        </w:tc>
        <w:tc>
          <w:tcPr>
            <w:tcW w:w="1140" w:type="dxa"/>
            <w:vAlign w:val="bottom"/>
            <w:gridSpan w:val="2"/>
            <w:shd w:val="clear" w:color="auto" w:fill="DBDBDB"/>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DBDBDB"/>
          </w:tcPr>
          <w:p>
            <w:pPr>
              <w:spacing w:after="0"/>
              <w:rPr>
                <w:sz w:val="22"/>
                <w:szCs w:val="22"/>
                <w:color w:val="auto"/>
              </w:rPr>
            </w:pPr>
          </w:p>
        </w:tc>
        <w:tc>
          <w:tcPr>
            <w:tcW w:w="1140" w:type="dxa"/>
            <w:vAlign w:val="bottom"/>
            <w:shd w:val="clear" w:color="auto" w:fill="DBDBDB"/>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DBDBDB"/>
          </w:tcPr>
          <w:p>
            <w:pPr>
              <w:spacing w:after="0"/>
              <w:rPr>
                <w:sz w:val="22"/>
                <w:szCs w:val="22"/>
                <w:color w:val="auto"/>
              </w:rPr>
            </w:pPr>
          </w:p>
        </w:tc>
        <w:tc>
          <w:tcPr>
            <w:tcW w:w="11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DBDBDB"/>
          </w:tcPr>
          <w:p>
            <w:pPr>
              <w:spacing w:after="0"/>
              <w:rPr>
                <w:sz w:val="22"/>
                <w:szCs w:val="22"/>
                <w:color w:val="auto"/>
              </w:rPr>
            </w:pPr>
          </w:p>
        </w:tc>
        <w:tc>
          <w:tcPr>
            <w:tcW w:w="10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2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42</w:t>
            </w:r>
          </w:p>
        </w:tc>
        <w:tc>
          <w:tcPr>
            <w:tcW w:w="2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50"/>
        </w:trPr>
        <w:tc>
          <w:tcPr>
            <w:tcW w:w="2680" w:type="dxa"/>
            <w:vAlign w:val="bottom"/>
            <w:tcBorders>
              <w:bottom w:val="single" w:sz="8" w:color="auto"/>
            </w:tcBorders>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shd w:val="clear" w:color="auto" w:fill="DBDBDB"/>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DBDBDB"/>
          </w:tcPr>
          <w:p>
            <w:pPr>
              <w:jc w:val="right"/>
              <w:ind w:right="10"/>
              <w:spacing w:after="0"/>
              <w:rPr>
                <w:sz w:val="20"/>
                <w:szCs w:val="20"/>
                <w:color w:val="auto"/>
              </w:rPr>
            </w:pPr>
            <w:r>
              <w:rPr>
                <w:rFonts w:ascii="Times New Roman" w:cs="Times New Roman" w:eastAsia="Times New Roman" w:hAnsi="Times New Roman"/>
                <w:sz w:val="18"/>
                <w:szCs w:val="18"/>
                <w:color w:val="auto"/>
              </w:rPr>
              <w:t>1,081,756</w:t>
            </w:r>
          </w:p>
        </w:tc>
        <w:tc>
          <w:tcPr>
            <w:tcW w:w="22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DBDBDB"/>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shd w:val="clear" w:color="auto" w:fill="DBDBDB"/>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gridSpan w:val="2"/>
            <w:shd w:val="clear" w:color="auto" w:fill="DBDBDB"/>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shd w:val="clear" w:color="auto" w:fill="DBDBDB"/>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DBDBDB"/>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shd w:val="clear" w:color="auto" w:fill="DBDBDB"/>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380" w:type="dxa"/>
            <w:vAlign w:val="bottom"/>
            <w:tcBorders>
              <w:bottom w:val="single" w:sz="8" w:color="auto"/>
            </w:tcBorders>
            <w:shd w:val="clear" w:color="auto" w:fill="DBDBDB"/>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1,082,906</w:t>
            </w:r>
          </w:p>
        </w:tc>
        <w:tc>
          <w:tcPr>
            <w:tcW w:w="0" w:type="dxa"/>
            <w:vAlign w:val="bottom"/>
          </w:tcPr>
          <w:p>
            <w:pPr>
              <w:spacing w:after="0"/>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credit exposure of the loan portfolio by internally assigned credit grade as of December 31, 2023:</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Loans</w:t>
            </w:r>
          </w:p>
        </w:tc>
        <w:tc>
          <w:tcPr>
            <w:tcW w:w="260" w:type="dxa"/>
            <w:vAlign w:val="bottom"/>
          </w:tcPr>
          <w:p>
            <w:pPr>
              <w:spacing w:after="0"/>
              <w:rPr>
                <w:sz w:val="17"/>
                <w:szCs w:val="17"/>
                <w:color w:val="auto"/>
              </w:rPr>
            </w:pPr>
          </w:p>
        </w:tc>
        <w:tc>
          <w:tcPr>
            <w:tcW w:w="164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8"/>
              </w:rPr>
              <w:t>Performing</w:t>
            </w:r>
          </w:p>
        </w:tc>
        <w:tc>
          <w:tcPr>
            <w:tcW w:w="280" w:type="dxa"/>
            <w:vAlign w:val="bottom"/>
          </w:tcPr>
          <w:p>
            <w:pPr>
              <w:spacing w:after="0"/>
              <w:rPr>
                <w:sz w:val="17"/>
                <w:szCs w:val="17"/>
                <w:color w:val="auto"/>
              </w:rPr>
            </w:pPr>
          </w:p>
        </w:tc>
        <w:tc>
          <w:tcPr>
            <w:tcW w:w="164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Nonperforming</w:t>
            </w:r>
          </w:p>
        </w:tc>
        <w:tc>
          <w:tcPr>
            <w:tcW w:w="2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3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40" w:type="dxa"/>
            <w:vAlign w:val="bottom"/>
          </w:tcPr>
          <w:p>
            <w:pPr>
              <w:jc w:val="center"/>
              <w:ind w:right="90"/>
              <w:spacing w:after="0" w:line="202" w:lineRule="exact"/>
              <w:rPr>
                <w:sz w:val="20"/>
                <w:szCs w:val="20"/>
                <w:color w:val="auto"/>
              </w:rPr>
            </w:pPr>
            <w:r>
              <w:rPr>
                <w:rFonts w:ascii="Times New Roman" w:cs="Times New Roman" w:eastAsia="Times New Roman" w:hAnsi="Times New Roman"/>
                <w:sz w:val="18"/>
                <w:szCs w:val="18"/>
                <w:b w:val="1"/>
                <w:bCs w:val="1"/>
                <w:color w:val="auto"/>
                <w:w w:val="98"/>
              </w:rPr>
              <w:t>Subject to</w:t>
            </w:r>
          </w:p>
        </w:tc>
        <w:tc>
          <w:tcPr>
            <w:tcW w:w="260" w:type="dxa"/>
            <w:vAlign w:val="bottom"/>
          </w:tcPr>
          <w:p>
            <w:pPr>
              <w:spacing w:after="0"/>
              <w:rPr>
                <w:sz w:val="17"/>
                <w:szCs w:val="17"/>
                <w:color w:val="auto"/>
              </w:rPr>
            </w:pPr>
          </w:p>
        </w:tc>
        <w:tc>
          <w:tcPr>
            <w:tcW w:w="1640" w:type="dxa"/>
            <w:vAlign w:val="bottom"/>
          </w:tcPr>
          <w:p>
            <w:pPr>
              <w:jc w:val="center"/>
              <w:ind w:right="110"/>
              <w:spacing w:after="0" w:line="202" w:lineRule="exact"/>
              <w:rPr>
                <w:sz w:val="20"/>
                <w:szCs w:val="20"/>
                <w:color w:val="auto"/>
              </w:rPr>
            </w:pPr>
            <w:r>
              <w:rPr>
                <w:rFonts w:ascii="Times New Roman" w:cs="Times New Roman" w:eastAsia="Times New Roman" w:hAnsi="Times New Roman"/>
                <w:sz w:val="18"/>
                <w:szCs w:val="18"/>
                <w:b w:val="1"/>
                <w:bCs w:val="1"/>
                <w:color w:val="auto"/>
                <w:w w:val="99"/>
              </w:rPr>
              <w:t>Loans Subject to</w:t>
            </w:r>
          </w:p>
        </w:tc>
        <w:tc>
          <w:tcPr>
            <w:tcW w:w="280" w:type="dxa"/>
            <w:vAlign w:val="bottom"/>
          </w:tcPr>
          <w:p>
            <w:pPr>
              <w:spacing w:after="0"/>
              <w:rPr>
                <w:sz w:val="17"/>
                <w:szCs w:val="17"/>
                <w:color w:val="auto"/>
              </w:rPr>
            </w:pPr>
          </w:p>
        </w:tc>
        <w:tc>
          <w:tcPr>
            <w:tcW w:w="1640" w:type="dxa"/>
            <w:vAlign w:val="bottom"/>
          </w:tcPr>
          <w:p>
            <w:pPr>
              <w:jc w:val="center"/>
              <w:ind w:right="130"/>
              <w:spacing w:after="0" w:line="202" w:lineRule="exact"/>
              <w:rPr>
                <w:sz w:val="20"/>
                <w:szCs w:val="20"/>
                <w:color w:val="auto"/>
              </w:rPr>
            </w:pPr>
            <w:r>
              <w:rPr>
                <w:rFonts w:ascii="Times New Roman" w:cs="Times New Roman" w:eastAsia="Times New Roman" w:hAnsi="Times New Roman"/>
                <w:sz w:val="18"/>
                <w:szCs w:val="18"/>
                <w:b w:val="1"/>
                <w:bCs w:val="1"/>
                <w:color w:val="auto"/>
              </w:rPr>
              <w:t>Loans Subject</w:t>
            </w:r>
          </w:p>
        </w:tc>
        <w:tc>
          <w:tcPr>
            <w:tcW w:w="2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15"/>
        </w:trPr>
        <w:tc>
          <w:tcPr>
            <w:tcW w:w="3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3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Normal</w:t>
            </w:r>
          </w:p>
        </w:tc>
        <w:tc>
          <w:tcPr>
            <w:tcW w:w="260" w:type="dxa"/>
            <w:vAlign w:val="bottom"/>
          </w:tcPr>
          <w:p>
            <w:pPr>
              <w:spacing w:after="0"/>
              <w:rPr>
                <w:sz w:val="18"/>
                <w:szCs w:val="18"/>
                <w:color w:val="auto"/>
              </w:rPr>
            </w:pPr>
          </w:p>
        </w:tc>
        <w:tc>
          <w:tcPr>
            <w:tcW w:w="164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Special</w:t>
            </w:r>
          </w:p>
        </w:tc>
        <w:tc>
          <w:tcPr>
            <w:tcW w:w="280" w:type="dxa"/>
            <w:vAlign w:val="bottom"/>
          </w:tcPr>
          <w:p>
            <w:pPr>
              <w:spacing w:after="0"/>
              <w:rPr>
                <w:sz w:val="18"/>
                <w:szCs w:val="18"/>
                <w:color w:val="auto"/>
              </w:rPr>
            </w:pPr>
          </w:p>
        </w:tc>
        <w:tc>
          <w:tcPr>
            <w:tcW w:w="164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to Special</w:t>
            </w: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53"/>
        </w:trPr>
        <w:tc>
          <w:tcPr>
            <w:tcW w:w="3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3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center"/>
              <w:ind w:right="110"/>
              <w:spacing w:after="0" w:line="253" w:lineRule="exact"/>
              <w:rPr>
                <w:sz w:val="20"/>
                <w:szCs w:val="20"/>
                <w:color w:val="auto"/>
              </w:rPr>
            </w:pPr>
            <w:r>
              <w:rPr>
                <w:rFonts w:ascii="Times New Roman" w:cs="Times New Roman" w:eastAsia="Times New Roman" w:hAnsi="Times New Roman"/>
                <w:sz w:val="18"/>
                <w:szCs w:val="18"/>
                <w:b w:val="1"/>
                <w:bCs w:val="1"/>
                <w:color w:val="auto"/>
                <w:w w:val="96"/>
              </w:rPr>
              <w:t>Monitoring</w:t>
            </w:r>
            <w:r>
              <w:rPr>
                <w:rFonts w:ascii="Times New Roman" w:cs="Times New Roman" w:eastAsia="Times New Roman" w:hAnsi="Times New Roman"/>
                <w:sz w:val="23"/>
                <w:szCs w:val="23"/>
                <w:b w:val="1"/>
                <w:bCs w:val="1"/>
                <w:color w:val="auto"/>
                <w:w w:val="96"/>
                <w:vertAlign w:val="superscript"/>
              </w:rPr>
              <w:t>(1)</w:t>
            </w:r>
          </w:p>
        </w:tc>
        <w:tc>
          <w:tcPr>
            <w:tcW w:w="26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center"/>
              <w:ind w:right="110"/>
              <w:spacing w:after="0" w:line="253" w:lineRule="exact"/>
              <w:rPr>
                <w:sz w:val="20"/>
                <w:szCs w:val="20"/>
                <w:color w:val="auto"/>
              </w:rPr>
            </w:pPr>
            <w:r>
              <w:rPr>
                <w:rFonts w:ascii="Times New Roman" w:cs="Times New Roman" w:eastAsia="Times New Roman" w:hAnsi="Times New Roman"/>
                <w:sz w:val="18"/>
                <w:szCs w:val="18"/>
                <w:b w:val="1"/>
                <w:bCs w:val="1"/>
                <w:color w:val="auto"/>
                <w:w w:val="94"/>
              </w:rPr>
              <w:t>Monitoring</w:t>
            </w:r>
            <w:r>
              <w:rPr>
                <w:rFonts w:ascii="Times New Roman" w:cs="Times New Roman" w:eastAsia="Times New Roman" w:hAnsi="Times New Roman"/>
                <w:sz w:val="23"/>
                <w:szCs w:val="23"/>
                <w:b w:val="1"/>
                <w:bCs w:val="1"/>
                <w:color w:val="auto"/>
                <w:w w:val="94"/>
                <w:vertAlign w:val="superscript"/>
              </w:rPr>
              <w:t>(2)</w:t>
            </w:r>
          </w:p>
        </w:tc>
        <w:tc>
          <w:tcPr>
            <w:tcW w:w="28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center"/>
              <w:ind w:right="130"/>
              <w:spacing w:after="0" w:line="253" w:lineRule="exact"/>
              <w:rPr>
                <w:sz w:val="20"/>
                <w:szCs w:val="20"/>
                <w:color w:val="auto"/>
              </w:rPr>
            </w:pPr>
            <w:r>
              <w:rPr>
                <w:rFonts w:ascii="Times New Roman" w:cs="Times New Roman" w:eastAsia="Times New Roman" w:hAnsi="Times New Roman"/>
                <w:sz w:val="18"/>
                <w:szCs w:val="18"/>
                <w:b w:val="1"/>
                <w:bCs w:val="1"/>
                <w:color w:val="auto"/>
                <w:w w:val="96"/>
              </w:rPr>
              <w:t>Monitoring</w:t>
            </w:r>
            <w:r>
              <w:rPr>
                <w:rFonts w:ascii="Times New Roman" w:cs="Times New Roman" w:eastAsia="Times New Roman" w:hAnsi="Times New Roman"/>
                <w:sz w:val="23"/>
                <w:szCs w:val="23"/>
                <w:b w:val="1"/>
                <w:bCs w:val="1"/>
                <w:color w:val="auto"/>
                <w:w w:val="96"/>
                <w:vertAlign w:val="superscript"/>
              </w:rPr>
              <w:t>(2)</w:t>
            </w:r>
          </w:p>
        </w:tc>
        <w:tc>
          <w:tcPr>
            <w:tcW w:w="2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Total Loans</w:t>
            </w:r>
          </w:p>
        </w:tc>
      </w:tr>
      <w:tr>
        <w:trPr>
          <w:trHeight w:val="250"/>
        </w:trPr>
        <w:tc>
          <w:tcPr>
            <w:tcW w:w="316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3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DBDBDB"/>
          </w:tcPr>
          <w:p>
            <w:pPr>
              <w:jc w:val="right"/>
              <w:ind w:right="10"/>
              <w:spacing w:after="0"/>
              <w:rPr>
                <w:sz w:val="20"/>
                <w:szCs w:val="20"/>
                <w:color w:val="auto"/>
              </w:rPr>
            </w:pPr>
            <w:r>
              <w:rPr>
                <w:rFonts w:ascii="Times New Roman" w:cs="Times New Roman" w:eastAsia="Times New Roman" w:hAnsi="Times New Roman"/>
                <w:sz w:val="18"/>
                <w:szCs w:val="18"/>
                <w:color w:val="auto"/>
              </w:rPr>
              <w:t>498,502</w:t>
            </w:r>
          </w:p>
        </w:tc>
        <w:tc>
          <w:tcPr>
            <w:tcW w:w="2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DBDBDB"/>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DBDBDB"/>
          </w:tcPr>
          <w:p>
            <w:pPr>
              <w:ind w:left="13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DBDBDB"/>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498,502</w:t>
            </w:r>
          </w:p>
        </w:tc>
      </w:tr>
      <w:tr>
        <w:trPr>
          <w:trHeight w:val="250"/>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Real estate</w:t>
            </w:r>
          </w:p>
        </w:tc>
        <w:tc>
          <w:tcPr>
            <w:tcW w:w="13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63"/>
        </w:trPr>
        <w:tc>
          <w:tcPr>
            <w:tcW w:w="3160" w:type="dxa"/>
            <w:vAlign w:val="bottom"/>
            <w:shd w:val="clear" w:color="auto" w:fill="DBDBDB"/>
          </w:tcPr>
          <w:p>
            <w:pPr>
              <w:ind w:left="300"/>
              <w:spacing w:after="0"/>
              <w:rPr>
                <w:sz w:val="20"/>
                <w:szCs w:val="20"/>
                <w:color w:val="auto"/>
              </w:rPr>
            </w:pPr>
            <w:r>
              <w:rPr>
                <w:rFonts w:ascii="Times New Roman" w:cs="Times New Roman" w:eastAsia="Times New Roman" w:hAnsi="Times New Roman"/>
                <w:sz w:val="18"/>
                <w:szCs w:val="18"/>
                <w:color w:val="auto"/>
              </w:rPr>
              <w:t>Commercial:</w:t>
            </w:r>
          </w:p>
        </w:tc>
        <w:tc>
          <w:tcPr>
            <w:tcW w:w="1360" w:type="dxa"/>
            <w:vAlign w:val="bottom"/>
            <w:shd w:val="clear" w:color="auto" w:fill="DBDBDB"/>
          </w:tcPr>
          <w:p>
            <w:pPr>
              <w:spacing w:after="0"/>
              <w:rPr>
                <w:sz w:val="22"/>
                <w:szCs w:val="22"/>
                <w:color w:val="auto"/>
              </w:rPr>
            </w:pPr>
          </w:p>
        </w:tc>
        <w:tc>
          <w:tcPr>
            <w:tcW w:w="1340" w:type="dxa"/>
            <w:vAlign w:val="bottom"/>
            <w:shd w:val="clear" w:color="auto" w:fill="DBDBDB"/>
          </w:tcPr>
          <w:p>
            <w:pPr>
              <w:spacing w:after="0"/>
              <w:rPr>
                <w:sz w:val="22"/>
                <w:szCs w:val="22"/>
                <w:color w:val="auto"/>
              </w:rPr>
            </w:pPr>
          </w:p>
        </w:tc>
        <w:tc>
          <w:tcPr>
            <w:tcW w:w="260" w:type="dxa"/>
            <w:vAlign w:val="bottom"/>
            <w:shd w:val="clear" w:color="auto" w:fill="DBDBDB"/>
          </w:tcPr>
          <w:p>
            <w:pPr>
              <w:spacing w:after="0"/>
              <w:rPr>
                <w:sz w:val="22"/>
                <w:szCs w:val="22"/>
                <w:color w:val="auto"/>
              </w:rPr>
            </w:pPr>
          </w:p>
        </w:tc>
        <w:tc>
          <w:tcPr>
            <w:tcW w:w="1640" w:type="dxa"/>
            <w:vAlign w:val="bottom"/>
            <w:shd w:val="clear" w:color="auto" w:fill="DBDBDB"/>
          </w:tcPr>
          <w:p>
            <w:pPr>
              <w:spacing w:after="0"/>
              <w:rPr>
                <w:sz w:val="22"/>
                <w:szCs w:val="22"/>
                <w:color w:val="auto"/>
              </w:rPr>
            </w:pPr>
          </w:p>
        </w:tc>
        <w:tc>
          <w:tcPr>
            <w:tcW w:w="280" w:type="dxa"/>
            <w:vAlign w:val="bottom"/>
            <w:shd w:val="clear" w:color="auto" w:fill="DBDBDB"/>
          </w:tcPr>
          <w:p>
            <w:pPr>
              <w:spacing w:after="0"/>
              <w:rPr>
                <w:sz w:val="22"/>
                <w:szCs w:val="22"/>
                <w:color w:val="auto"/>
              </w:rPr>
            </w:pPr>
          </w:p>
        </w:tc>
        <w:tc>
          <w:tcPr>
            <w:tcW w:w="1640" w:type="dxa"/>
            <w:vAlign w:val="bottom"/>
            <w:shd w:val="clear" w:color="auto" w:fill="DBDBDB"/>
          </w:tcPr>
          <w:p>
            <w:pPr>
              <w:spacing w:after="0"/>
              <w:rPr>
                <w:sz w:val="22"/>
                <w:szCs w:val="22"/>
                <w:color w:val="auto"/>
              </w:rPr>
            </w:pPr>
          </w:p>
        </w:tc>
        <w:tc>
          <w:tcPr>
            <w:tcW w:w="280" w:type="dxa"/>
            <w:vAlign w:val="bottom"/>
            <w:shd w:val="clear" w:color="auto" w:fill="DBDBDB"/>
          </w:tcPr>
          <w:p>
            <w:pPr>
              <w:spacing w:after="0"/>
              <w:rPr>
                <w:sz w:val="22"/>
                <w:szCs w:val="22"/>
                <w:color w:val="auto"/>
              </w:rPr>
            </w:pPr>
          </w:p>
        </w:tc>
        <w:tc>
          <w:tcPr>
            <w:tcW w:w="1280" w:type="dxa"/>
            <w:vAlign w:val="bottom"/>
            <w:shd w:val="clear" w:color="auto" w:fill="DBDBDB"/>
          </w:tcPr>
          <w:p>
            <w:pPr>
              <w:spacing w:after="0"/>
              <w:rPr>
                <w:sz w:val="22"/>
                <w:szCs w:val="22"/>
                <w:color w:val="auto"/>
              </w:rPr>
            </w:pPr>
          </w:p>
        </w:tc>
      </w:tr>
      <w:tr>
        <w:trPr>
          <w:trHeight w:val="250"/>
        </w:trPr>
        <w:tc>
          <w:tcPr>
            <w:tcW w:w="31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Mortgage</w:t>
            </w:r>
          </w:p>
        </w:tc>
        <w:tc>
          <w:tcPr>
            <w:tcW w:w="13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118,371</w:t>
            </w:r>
          </w:p>
        </w:tc>
        <w:tc>
          <w:tcPr>
            <w:tcW w:w="26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64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118,371</w:t>
            </w:r>
          </w:p>
        </w:tc>
      </w:tr>
      <w:tr>
        <w:trPr>
          <w:trHeight w:val="263"/>
        </w:trPr>
        <w:tc>
          <w:tcPr>
            <w:tcW w:w="3160" w:type="dxa"/>
            <w:vAlign w:val="bottom"/>
            <w:shd w:val="clear" w:color="auto" w:fill="DBDBDB"/>
          </w:tcPr>
          <w:p>
            <w:pPr>
              <w:ind w:left="560"/>
              <w:spacing w:after="0"/>
              <w:rPr>
                <w:sz w:val="20"/>
                <w:szCs w:val="20"/>
                <w:color w:val="auto"/>
              </w:rPr>
            </w:pPr>
            <w:r>
              <w:rPr>
                <w:rFonts w:ascii="Times New Roman" w:cs="Times New Roman" w:eastAsia="Times New Roman" w:hAnsi="Times New Roman"/>
                <w:sz w:val="18"/>
                <w:szCs w:val="18"/>
                <w:color w:val="auto"/>
              </w:rPr>
              <w:t>Construction</w:t>
            </w:r>
          </w:p>
        </w:tc>
        <w:tc>
          <w:tcPr>
            <w:tcW w:w="1360" w:type="dxa"/>
            <w:vAlign w:val="bottom"/>
            <w:shd w:val="clear" w:color="auto" w:fill="DBDBDB"/>
          </w:tcPr>
          <w:p>
            <w:pPr>
              <w:spacing w:after="0"/>
              <w:rPr>
                <w:sz w:val="22"/>
                <w:szCs w:val="22"/>
                <w:color w:val="auto"/>
              </w:rPr>
            </w:pPr>
          </w:p>
        </w:tc>
        <w:tc>
          <w:tcPr>
            <w:tcW w:w="1340" w:type="dxa"/>
            <w:vAlign w:val="bottom"/>
            <w:shd w:val="clear" w:color="auto" w:fill="DBDBDB"/>
          </w:tcPr>
          <w:p>
            <w:pPr>
              <w:jc w:val="right"/>
              <w:ind w:right="10"/>
              <w:spacing w:after="0"/>
              <w:rPr>
                <w:sz w:val="20"/>
                <w:szCs w:val="20"/>
                <w:color w:val="auto"/>
              </w:rPr>
            </w:pPr>
            <w:r>
              <w:rPr>
                <w:rFonts w:ascii="Times New Roman" w:cs="Times New Roman" w:eastAsia="Times New Roman" w:hAnsi="Times New Roman"/>
                <w:sz w:val="18"/>
                <w:szCs w:val="18"/>
                <w:color w:val="auto"/>
              </w:rPr>
              <w:t>8,233</w:t>
            </w:r>
          </w:p>
        </w:tc>
        <w:tc>
          <w:tcPr>
            <w:tcW w:w="260" w:type="dxa"/>
            <w:vAlign w:val="bottom"/>
            <w:shd w:val="clear" w:color="auto" w:fill="DBDBDB"/>
          </w:tcPr>
          <w:p>
            <w:pPr>
              <w:spacing w:after="0"/>
              <w:rPr>
                <w:sz w:val="22"/>
                <w:szCs w:val="22"/>
                <w:color w:val="auto"/>
              </w:rPr>
            </w:pPr>
          </w:p>
        </w:tc>
        <w:tc>
          <w:tcPr>
            <w:tcW w:w="16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DBDBDB"/>
          </w:tcPr>
          <w:p>
            <w:pPr>
              <w:spacing w:after="0"/>
              <w:rPr>
                <w:sz w:val="22"/>
                <w:szCs w:val="22"/>
                <w:color w:val="auto"/>
              </w:rPr>
            </w:pPr>
          </w:p>
        </w:tc>
        <w:tc>
          <w:tcPr>
            <w:tcW w:w="1640" w:type="dxa"/>
            <w:vAlign w:val="bottom"/>
            <w:shd w:val="clear" w:color="auto" w:fill="DBDBDB"/>
          </w:tcPr>
          <w:p>
            <w:pPr>
              <w:ind w:left="13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DBDBDB"/>
          </w:tcPr>
          <w:p>
            <w:pPr>
              <w:spacing w:after="0"/>
              <w:rPr>
                <w:sz w:val="22"/>
                <w:szCs w:val="22"/>
                <w:color w:val="auto"/>
              </w:rPr>
            </w:pPr>
          </w:p>
        </w:tc>
        <w:tc>
          <w:tcPr>
            <w:tcW w:w="12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8,233</w:t>
            </w:r>
          </w:p>
        </w:tc>
      </w:tr>
      <w:tr>
        <w:trPr>
          <w:trHeight w:val="250"/>
        </w:trPr>
        <w:tc>
          <w:tcPr>
            <w:tcW w:w="31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Faith-based:</w:t>
            </w:r>
          </w:p>
        </w:tc>
        <w:tc>
          <w:tcPr>
            <w:tcW w:w="13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63"/>
        </w:trPr>
        <w:tc>
          <w:tcPr>
            <w:tcW w:w="3160" w:type="dxa"/>
            <w:vAlign w:val="bottom"/>
            <w:shd w:val="clear" w:color="auto" w:fill="DBDBDB"/>
          </w:tcPr>
          <w:p>
            <w:pPr>
              <w:ind w:left="560"/>
              <w:spacing w:after="0"/>
              <w:rPr>
                <w:sz w:val="20"/>
                <w:szCs w:val="20"/>
                <w:color w:val="auto"/>
              </w:rPr>
            </w:pPr>
            <w:r>
              <w:rPr>
                <w:rFonts w:ascii="Times New Roman" w:cs="Times New Roman" w:eastAsia="Times New Roman" w:hAnsi="Times New Roman"/>
                <w:sz w:val="18"/>
                <w:szCs w:val="18"/>
                <w:color w:val="auto"/>
              </w:rPr>
              <w:t>Mortgage</w:t>
            </w:r>
          </w:p>
        </w:tc>
        <w:tc>
          <w:tcPr>
            <w:tcW w:w="1360" w:type="dxa"/>
            <w:vAlign w:val="bottom"/>
            <w:shd w:val="clear" w:color="auto" w:fill="DBDBDB"/>
          </w:tcPr>
          <w:p>
            <w:pPr>
              <w:spacing w:after="0"/>
              <w:rPr>
                <w:sz w:val="22"/>
                <w:szCs w:val="22"/>
                <w:color w:val="auto"/>
              </w:rPr>
            </w:pPr>
          </w:p>
        </w:tc>
        <w:tc>
          <w:tcPr>
            <w:tcW w:w="1340" w:type="dxa"/>
            <w:vAlign w:val="bottom"/>
            <w:shd w:val="clear" w:color="auto" w:fill="DBDBDB"/>
          </w:tcPr>
          <w:p>
            <w:pPr>
              <w:jc w:val="right"/>
              <w:ind w:right="10"/>
              <w:spacing w:after="0"/>
              <w:rPr>
                <w:sz w:val="20"/>
                <w:szCs w:val="20"/>
                <w:color w:val="auto"/>
              </w:rPr>
            </w:pPr>
            <w:r>
              <w:rPr>
                <w:rFonts w:ascii="Times New Roman" w:cs="Times New Roman" w:eastAsia="Times New Roman" w:hAnsi="Times New Roman"/>
                <w:sz w:val="18"/>
                <w:szCs w:val="18"/>
                <w:color w:val="auto"/>
              </w:rPr>
              <w:t>375,865</w:t>
            </w:r>
          </w:p>
        </w:tc>
        <w:tc>
          <w:tcPr>
            <w:tcW w:w="260" w:type="dxa"/>
            <w:vAlign w:val="bottom"/>
            <w:shd w:val="clear" w:color="auto" w:fill="DBDBDB"/>
          </w:tcPr>
          <w:p>
            <w:pPr>
              <w:spacing w:after="0"/>
              <w:rPr>
                <w:sz w:val="22"/>
                <w:szCs w:val="22"/>
                <w:color w:val="auto"/>
              </w:rPr>
            </w:pPr>
          </w:p>
        </w:tc>
        <w:tc>
          <w:tcPr>
            <w:tcW w:w="16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5,503</w:t>
            </w:r>
          </w:p>
        </w:tc>
        <w:tc>
          <w:tcPr>
            <w:tcW w:w="280" w:type="dxa"/>
            <w:vAlign w:val="bottom"/>
            <w:shd w:val="clear" w:color="auto" w:fill="DBDBDB"/>
          </w:tcPr>
          <w:p>
            <w:pPr>
              <w:spacing w:after="0"/>
              <w:rPr>
                <w:sz w:val="22"/>
                <w:szCs w:val="22"/>
                <w:color w:val="auto"/>
              </w:rPr>
            </w:pPr>
          </w:p>
        </w:tc>
        <w:tc>
          <w:tcPr>
            <w:tcW w:w="1640" w:type="dxa"/>
            <w:vAlign w:val="bottom"/>
            <w:shd w:val="clear" w:color="auto" w:fill="DBDBDB"/>
          </w:tcPr>
          <w:p>
            <w:pPr>
              <w:ind w:left="13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DBDBDB"/>
          </w:tcPr>
          <w:p>
            <w:pPr>
              <w:spacing w:after="0"/>
              <w:rPr>
                <w:sz w:val="22"/>
                <w:szCs w:val="22"/>
                <w:color w:val="auto"/>
              </w:rPr>
            </w:pPr>
          </w:p>
        </w:tc>
        <w:tc>
          <w:tcPr>
            <w:tcW w:w="12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381,368</w:t>
            </w:r>
          </w:p>
        </w:tc>
      </w:tr>
      <w:tr>
        <w:trPr>
          <w:trHeight w:val="250"/>
        </w:trPr>
        <w:tc>
          <w:tcPr>
            <w:tcW w:w="31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Construction</w:t>
            </w:r>
          </w:p>
        </w:tc>
        <w:tc>
          <w:tcPr>
            <w:tcW w:w="13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7,790</w:t>
            </w:r>
          </w:p>
        </w:tc>
        <w:tc>
          <w:tcPr>
            <w:tcW w:w="26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64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7,790</w:t>
            </w:r>
          </w:p>
        </w:tc>
      </w:tr>
      <w:tr>
        <w:trPr>
          <w:trHeight w:val="263"/>
        </w:trPr>
        <w:tc>
          <w:tcPr>
            <w:tcW w:w="316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PPP</w:t>
            </w:r>
          </w:p>
        </w:tc>
        <w:tc>
          <w:tcPr>
            <w:tcW w:w="1360" w:type="dxa"/>
            <w:vAlign w:val="bottom"/>
            <w:shd w:val="clear" w:color="auto" w:fill="DBDBDB"/>
          </w:tcPr>
          <w:p>
            <w:pPr>
              <w:spacing w:after="0"/>
              <w:rPr>
                <w:sz w:val="22"/>
                <w:szCs w:val="22"/>
                <w:color w:val="auto"/>
              </w:rPr>
            </w:pPr>
          </w:p>
        </w:tc>
        <w:tc>
          <w:tcPr>
            <w:tcW w:w="1340" w:type="dxa"/>
            <w:vAlign w:val="bottom"/>
            <w:shd w:val="clear" w:color="auto" w:fill="DBDBDB"/>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DBDBDB"/>
          </w:tcPr>
          <w:p>
            <w:pPr>
              <w:spacing w:after="0"/>
              <w:rPr>
                <w:sz w:val="22"/>
                <w:szCs w:val="22"/>
                <w:color w:val="auto"/>
              </w:rPr>
            </w:pPr>
          </w:p>
        </w:tc>
        <w:tc>
          <w:tcPr>
            <w:tcW w:w="16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DBDBDB"/>
          </w:tcPr>
          <w:p>
            <w:pPr>
              <w:spacing w:after="0"/>
              <w:rPr>
                <w:sz w:val="22"/>
                <w:szCs w:val="22"/>
                <w:color w:val="auto"/>
              </w:rPr>
            </w:pPr>
          </w:p>
        </w:tc>
        <w:tc>
          <w:tcPr>
            <w:tcW w:w="1640" w:type="dxa"/>
            <w:vAlign w:val="bottom"/>
            <w:shd w:val="clear" w:color="auto" w:fill="DBDBDB"/>
          </w:tcPr>
          <w:p>
            <w:pPr>
              <w:ind w:left="13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DBDBDB"/>
          </w:tcPr>
          <w:p>
            <w:pPr>
              <w:spacing w:after="0"/>
              <w:rPr>
                <w:sz w:val="22"/>
                <w:szCs w:val="22"/>
                <w:color w:val="auto"/>
              </w:rPr>
            </w:pPr>
          </w:p>
        </w:tc>
        <w:tc>
          <w:tcPr>
            <w:tcW w:w="12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3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3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54</w:t>
            </w:r>
          </w:p>
        </w:tc>
        <w:tc>
          <w:tcPr>
            <w:tcW w:w="26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ind w:left="13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50"/>
        </w:trPr>
        <w:tc>
          <w:tcPr>
            <w:tcW w:w="3160" w:type="dxa"/>
            <w:vAlign w:val="bottom"/>
            <w:tcBorders>
              <w:bottom w:val="single" w:sz="8" w:color="auto"/>
            </w:tcBorders>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36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DBDBDB"/>
          </w:tcPr>
          <w:p>
            <w:pPr>
              <w:jc w:val="right"/>
              <w:ind w:right="10"/>
              <w:spacing w:after="0"/>
              <w:rPr>
                <w:sz w:val="20"/>
                <w:szCs w:val="20"/>
                <w:color w:val="auto"/>
              </w:rPr>
            </w:pPr>
            <w:r>
              <w:rPr>
                <w:rFonts w:ascii="Times New Roman" w:cs="Times New Roman" w:eastAsia="Times New Roman" w:hAnsi="Times New Roman"/>
                <w:sz w:val="18"/>
                <w:szCs w:val="18"/>
                <w:color w:val="auto"/>
              </w:rPr>
              <w:t>1,008,815</w:t>
            </w:r>
          </w:p>
        </w:tc>
        <w:tc>
          <w:tcPr>
            <w:tcW w:w="26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5,503</w:t>
            </w:r>
          </w:p>
        </w:tc>
        <w:tc>
          <w:tcPr>
            <w:tcW w:w="280" w:type="dxa"/>
            <w:vAlign w:val="bottom"/>
            <w:tcBorders>
              <w:bottom w:val="single" w:sz="8" w:color="auto"/>
            </w:tcBorders>
            <w:shd w:val="clear" w:color="auto" w:fill="DBDBDB"/>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auto"/>
            </w:tcBorders>
            <w:shd w:val="clear" w:color="auto" w:fill="DBDBDB"/>
          </w:tcPr>
          <w:p>
            <w:pPr>
              <w:ind w:left="13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shd w:val="clear" w:color="auto" w:fill="DBDBDB"/>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1,014,318</w:t>
            </w:r>
          </w:p>
        </w:tc>
      </w:tr>
    </w:tbl>
    <w:p>
      <w:pPr>
        <w:spacing w:after="0" w:line="117" w:lineRule="exact"/>
        <w:rPr>
          <w:sz w:val="20"/>
          <w:szCs w:val="20"/>
          <w:color w:val="auto"/>
        </w:rPr>
      </w:pPr>
    </w:p>
    <w:p>
      <w:pPr>
        <w:ind w:left="980" w:right="40" w:hanging="941"/>
        <w:spacing w:after="0" w:line="263" w:lineRule="auto"/>
        <w:tabs>
          <w:tab w:leader="none" w:pos="98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Loans subject to normal monitoring involve borrowers of acceptable-to-strong credit quality and risk and have the apparent ability to satisfy their loan obligation.</w:t>
      </w:r>
    </w:p>
    <w:p>
      <w:pPr>
        <w:spacing w:after="0" w:line="5" w:lineRule="exact"/>
        <w:rPr>
          <w:rFonts w:ascii="Times New Roman" w:cs="Times New Roman" w:eastAsia="Times New Roman" w:hAnsi="Times New Roman"/>
          <w:sz w:val="18"/>
          <w:szCs w:val="18"/>
          <w:b w:val="1"/>
          <w:bCs w:val="1"/>
          <w:color w:val="auto"/>
        </w:rPr>
      </w:pPr>
    </w:p>
    <w:p>
      <w:pPr>
        <w:ind w:left="980" w:right="40" w:hanging="941"/>
        <w:spacing w:after="0" w:line="282" w:lineRule="auto"/>
        <w:tabs>
          <w:tab w:leader="none" w:pos="98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Loans subject to special monitoring possess some credit deficiency or potential weakness which requires a higher level of management attention.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credit exposure of the loan portfolio by internally assigned credit grade as of December 31, 2022:</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Loans</w:t>
            </w:r>
          </w:p>
        </w:tc>
        <w:tc>
          <w:tcPr>
            <w:tcW w:w="260" w:type="dxa"/>
            <w:vAlign w:val="bottom"/>
          </w:tcPr>
          <w:p>
            <w:pPr>
              <w:spacing w:after="0"/>
              <w:rPr>
                <w:sz w:val="17"/>
                <w:szCs w:val="17"/>
                <w:color w:val="auto"/>
              </w:rPr>
            </w:pPr>
          </w:p>
        </w:tc>
        <w:tc>
          <w:tcPr>
            <w:tcW w:w="164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8"/>
              </w:rPr>
              <w:t>Performing</w:t>
            </w:r>
          </w:p>
        </w:tc>
        <w:tc>
          <w:tcPr>
            <w:tcW w:w="280" w:type="dxa"/>
            <w:vAlign w:val="bottom"/>
          </w:tcPr>
          <w:p>
            <w:pPr>
              <w:spacing w:after="0"/>
              <w:rPr>
                <w:sz w:val="17"/>
                <w:szCs w:val="17"/>
                <w:color w:val="auto"/>
              </w:rPr>
            </w:pPr>
          </w:p>
        </w:tc>
        <w:tc>
          <w:tcPr>
            <w:tcW w:w="164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Nonperforming</w:t>
            </w:r>
          </w:p>
        </w:tc>
        <w:tc>
          <w:tcPr>
            <w:tcW w:w="2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16"/>
        </w:trPr>
        <w:tc>
          <w:tcPr>
            <w:tcW w:w="3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3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8"/>
              </w:rPr>
              <w:t>Subject to</w:t>
            </w:r>
          </w:p>
        </w:tc>
        <w:tc>
          <w:tcPr>
            <w:tcW w:w="260" w:type="dxa"/>
            <w:vAlign w:val="bottom"/>
          </w:tcPr>
          <w:p>
            <w:pPr>
              <w:spacing w:after="0"/>
              <w:rPr>
                <w:sz w:val="18"/>
                <w:szCs w:val="18"/>
                <w:color w:val="auto"/>
              </w:rPr>
            </w:pPr>
          </w:p>
        </w:tc>
        <w:tc>
          <w:tcPr>
            <w:tcW w:w="164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Loans Subject to</w:t>
            </w:r>
          </w:p>
        </w:tc>
        <w:tc>
          <w:tcPr>
            <w:tcW w:w="280" w:type="dxa"/>
            <w:vAlign w:val="bottom"/>
          </w:tcPr>
          <w:p>
            <w:pPr>
              <w:spacing w:after="0"/>
              <w:rPr>
                <w:sz w:val="18"/>
                <w:szCs w:val="18"/>
                <w:color w:val="auto"/>
              </w:rPr>
            </w:pPr>
          </w:p>
        </w:tc>
        <w:tc>
          <w:tcPr>
            <w:tcW w:w="164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Loans Subject</w:t>
            </w: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01"/>
        </w:trPr>
        <w:tc>
          <w:tcPr>
            <w:tcW w:w="3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40" w:type="dxa"/>
            <w:vAlign w:val="bottom"/>
          </w:tcPr>
          <w:p>
            <w:pPr>
              <w:jc w:val="center"/>
              <w:ind w:right="90"/>
              <w:spacing w:after="0" w:line="201" w:lineRule="exact"/>
              <w:rPr>
                <w:sz w:val="20"/>
                <w:szCs w:val="20"/>
                <w:color w:val="auto"/>
              </w:rPr>
            </w:pPr>
            <w:r>
              <w:rPr>
                <w:rFonts w:ascii="Times New Roman" w:cs="Times New Roman" w:eastAsia="Times New Roman" w:hAnsi="Times New Roman"/>
                <w:sz w:val="18"/>
                <w:szCs w:val="18"/>
                <w:b w:val="1"/>
                <w:bCs w:val="1"/>
                <w:color w:val="auto"/>
              </w:rPr>
              <w:t>Normal</w:t>
            </w:r>
          </w:p>
        </w:tc>
        <w:tc>
          <w:tcPr>
            <w:tcW w:w="260" w:type="dxa"/>
            <w:vAlign w:val="bottom"/>
          </w:tcPr>
          <w:p>
            <w:pPr>
              <w:spacing w:after="0"/>
              <w:rPr>
                <w:sz w:val="17"/>
                <w:szCs w:val="17"/>
                <w:color w:val="auto"/>
              </w:rPr>
            </w:pPr>
          </w:p>
        </w:tc>
        <w:tc>
          <w:tcPr>
            <w:tcW w:w="1640" w:type="dxa"/>
            <w:vAlign w:val="bottom"/>
          </w:tcPr>
          <w:p>
            <w:pPr>
              <w:jc w:val="center"/>
              <w:ind w:right="110"/>
              <w:spacing w:after="0" w:line="201" w:lineRule="exact"/>
              <w:rPr>
                <w:sz w:val="20"/>
                <w:szCs w:val="20"/>
                <w:color w:val="auto"/>
              </w:rPr>
            </w:pPr>
            <w:r>
              <w:rPr>
                <w:rFonts w:ascii="Times New Roman" w:cs="Times New Roman" w:eastAsia="Times New Roman" w:hAnsi="Times New Roman"/>
                <w:sz w:val="18"/>
                <w:szCs w:val="18"/>
                <w:b w:val="1"/>
                <w:bCs w:val="1"/>
                <w:color w:val="auto"/>
              </w:rPr>
              <w:t>Special</w:t>
            </w:r>
          </w:p>
        </w:tc>
        <w:tc>
          <w:tcPr>
            <w:tcW w:w="280" w:type="dxa"/>
            <w:vAlign w:val="bottom"/>
          </w:tcPr>
          <w:p>
            <w:pPr>
              <w:spacing w:after="0"/>
              <w:rPr>
                <w:sz w:val="17"/>
                <w:szCs w:val="17"/>
                <w:color w:val="auto"/>
              </w:rPr>
            </w:pPr>
          </w:p>
        </w:tc>
        <w:tc>
          <w:tcPr>
            <w:tcW w:w="1640" w:type="dxa"/>
            <w:vAlign w:val="bottom"/>
          </w:tcPr>
          <w:p>
            <w:pPr>
              <w:jc w:val="center"/>
              <w:ind w:right="130"/>
              <w:spacing w:after="0" w:line="201" w:lineRule="exact"/>
              <w:rPr>
                <w:sz w:val="20"/>
                <w:szCs w:val="20"/>
                <w:color w:val="auto"/>
              </w:rPr>
            </w:pPr>
            <w:r>
              <w:rPr>
                <w:rFonts w:ascii="Times New Roman" w:cs="Times New Roman" w:eastAsia="Times New Roman" w:hAnsi="Times New Roman"/>
                <w:sz w:val="18"/>
                <w:szCs w:val="18"/>
                <w:b w:val="1"/>
                <w:bCs w:val="1"/>
                <w:color w:val="auto"/>
                <w:w w:val="99"/>
              </w:rPr>
              <w:t>to Special</w:t>
            </w:r>
          </w:p>
        </w:tc>
        <w:tc>
          <w:tcPr>
            <w:tcW w:w="2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53"/>
        </w:trPr>
        <w:tc>
          <w:tcPr>
            <w:tcW w:w="3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3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center"/>
              <w:ind w:right="110"/>
              <w:spacing w:after="0" w:line="253" w:lineRule="exact"/>
              <w:rPr>
                <w:sz w:val="20"/>
                <w:szCs w:val="20"/>
                <w:color w:val="auto"/>
              </w:rPr>
            </w:pPr>
            <w:r>
              <w:rPr>
                <w:rFonts w:ascii="Times New Roman" w:cs="Times New Roman" w:eastAsia="Times New Roman" w:hAnsi="Times New Roman"/>
                <w:sz w:val="18"/>
                <w:szCs w:val="18"/>
                <w:b w:val="1"/>
                <w:bCs w:val="1"/>
                <w:color w:val="auto"/>
                <w:w w:val="96"/>
              </w:rPr>
              <w:t>Monitoring</w:t>
            </w:r>
            <w:r>
              <w:rPr>
                <w:rFonts w:ascii="Times New Roman" w:cs="Times New Roman" w:eastAsia="Times New Roman" w:hAnsi="Times New Roman"/>
                <w:sz w:val="23"/>
                <w:szCs w:val="23"/>
                <w:b w:val="1"/>
                <w:bCs w:val="1"/>
                <w:color w:val="auto"/>
                <w:w w:val="96"/>
                <w:vertAlign w:val="superscript"/>
              </w:rPr>
              <w:t>(1)</w:t>
            </w:r>
          </w:p>
        </w:tc>
        <w:tc>
          <w:tcPr>
            <w:tcW w:w="26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center"/>
              <w:ind w:right="110"/>
              <w:spacing w:after="0" w:line="253" w:lineRule="exact"/>
              <w:rPr>
                <w:sz w:val="20"/>
                <w:szCs w:val="20"/>
                <w:color w:val="auto"/>
              </w:rPr>
            </w:pPr>
            <w:r>
              <w:rPr>
                <w:rFonts w:ascii="Times New Roman" w:cs="Times New Roman" w:eastAsia="Times New Roman" w:hAnsi="Times New Roman"/>
                <w:sz w:val="18"/>
                <w:szCs w:val="18"/>
                <w:b w:val="1"/>
                <w:bCs w:val="1"/>
                <w:color w:val="auto"/>
                <w:w w:val="94"/>
              </w:rPr>
              <w:t>Monitoring</w:t>
            </w:r>
            <w:r>
              <w:rPr>
                <w:rFonts w:ascii="Times New Roman" w:cs="Times New Roman" w:eastAsia="Times New Roman" w:hAnsi="Times New Roman"/>
                <w:sz w:val="23"/>
                <w:szCs w:val="23"/>
                <w:b w:val="1"/>
                <w:bCs w:val="1"/>
                <w:color w:val="auto"/>
                <w:w w:val="94"/>
                <w:vertAlign w:val="superscript"/>
              </w:rPr>
              <w:t>(2)</w:t>
            </w:r>
          </w:p>
        </w:tc>
        <w:tc>
          <w:tcPr>
            <w:tcW w:w="28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center"/>
              <w:ind w:right="130"/>
              <w:spacing w:after="0" w:line="253" w:lineRule="exact"/>
              <w:rPr>
                <w:sz w:val="20"/>
                <w:szCs w:val="20"/>
                <w:color w:val="auto"/>
              </w:rPr>
            </w:pPr>
            <w:r>
              <w:rPr>
                <w:rFonts w:ascii="Times New Roman" w:cs="Times New Roman" w:eastAsia="Times New Roman" w:hAnsi="Times New Roman"/>
                <w:sz w:val="18"/>
                <w:szCs w:val="18"/>
                <w:b w:val="1"/>
                <w:bCs w:val="1"/>
                <w:color w:val="auto"/>
                <w:w w:val="96"/>
              </w:rPr>
              <w:t>Monitoring</w:t>
            </w:r>
            <w:r>
              <w:rPr>
                <w:rFonts w:ascii="Times New Roman" w:cs="Times New Roman" w:eastAsia="Times New Roman" w:hAnsi="Times New Roman"/>
                <w:sz w:val="23"/>
                <w:szCs w:val="23"/>
                <w:b w:val="1"/>
                <w:bCs w:val="1"/>
                <w:color w:val="auto"/>
                <w:w w:val="96"/>
                <w:vertAlign w:val="superscript"/>
              </w:rPr>
              <w:t>(2)</w:t>
            </w:r>
          </w:p>
        </w:tc>
        <w:tc>
          <w:tcPr>
            <w:tcW w:w="2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Total Loans</w:t>
            </w:r>
          </w:p>
        </w:tc>
      </w:tr>
      <w:tr>
        <w:trPr>
          <w:trHeight w:val="250"/>
        </w:trPr>
        <w:tc>
          <w:tcPr>
            <w:tcW w:w="316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3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DBDBDB"/>
          </w:tcPr>
          <w:p>
            <w:pPr>
              <w:jc w:val="right"/>
              <w:ind w:right="10"/>
              <w:spacing w:after="0"/>
              <w:rPr>
                <w:sz w:val="20"/>
                <w:szCs w:val="20"/>
                <w:color w:val="auto"/>
              </w:rPr>
            </w:pPr>
            <w:r>
              <w:rPr>
                <w:rFonts w:ascii="Times New Roman" w:cs="Times New Roman" w:eastAsia="Times New Roman" w:hAnsi="Times New Roman"/>
                <w:sz w:val="18"/>
                <w:szCs w:val="18"/>
                <w:color w:val="auto"/>
              </w:rPr>
              <w:t>549,241</w:t>
            </w:r>
          </w:p>
        </w:tc>
        <w:tc>
          <w:tcPr>
            <w:tcW w:w="2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11,225</w:t>
            </w:r>
          </w:p>
        </w:tc>
        <w:tc>
          <w:tcPr>
            <w:tcW w:w="280" w:type="dxa"/>
            <w:vAlign w:val="bottom"/>
            <w:shd w:val="clear" w:color="auto" w:fill="DBDBDB"/>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DBDBDB"/>
          </w:tcPr>
          <w:p>
            <w:pPr>
              <w:jc w:val="right"/>
              <w:ind w:right="10"/>
              <w:spacing w:after="0"/>
              <w:rPr>
                <w:sz w:val="20"/>
                <w:szCs w:val="20"/>
                <w:color w:val="auto"/>
              </w:rPr>
            </w:pPr>
            <w:r>
              <w:rPr>
                <w:rFonts w:ascii="Times New Roman" w:cs="Times New Roman" w:eastAsia="Times New Roman" w:hAnsi="Times New Roman"/>
                <w:sz w:val="18"/>
                <w:szCs w:val="18"/>
                <w:color w:val="auto"/>
              </w:rPr>
              <w:t>1,150</w:t>
            </w:r>
          </w:p>
        </w:tc>
        <w:tc>
          <w:tcPr>
            <w:tcW w:w="280" w:type="dxa"/>
            <w:vAlign w:val="bottom"/>
            <w:shd w:val="clear" w:color="auto" w:fill="DBDBDB"/>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561,616</w:t>
            </w:r>
          </w:p>
        </w:tc>
      </w:tr>
      <w:tr>
        <w:trPr>
          <w:trHeight w:val="250"/>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Real estate</w:t>
            </w:r>
          </w:p>
        </w:tc>
        <w:tc>
          <w:tcPr>
            <w:tcW w:w="13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63"/>
        </w:trPr>
        <w:tc>
          <w:tcPr>
            <w:tcW w:w="3160" w:type="dxa"/>
            <w:vAlign w:val="bottom"/>
            <w:shd w:val="clear" w:color="auto" w:fill="DBDBDB"/>
          </w:tcPr>
          <w:p>
            <w:pPr>
              <w:ind w:left="300"/>
              <w:spacing w:after="0"/>
              <w:rPr>
                <w:sz w:val="20"/>
                <w:szCs w:val="20"/>
                <w:color w:val="auto"/>
              </w:rPr>
            </w:pPr>
            <w:r>
              <w:rPr>
                <w:rFonts w:ascii="Times New Roman" w:cs="Times New Roman" w:eastAsia="Times New Roman" w:hAnsi="Times New Roman"/>
                <w:sz w:val="18"/>
                <w:szCs w:val="18"/>
                <w:color w:val="auto"/>
              </w:rPr>
              <w:t>Commercial:</w:t>
            </w:r>
          </w:p>
        </w:tc>
        <w:tc>
          <w:tcPr>
            <w:tcW w:w="1360" w:type="dxa"/>
            <w:vAlign w:val="bottom"/>
            <w:shd w:val="clear" w:color="auto" w:fill="DBDBDB"/>
          </w:tcPr>
          <w:p>
            <w:pPr>
              <w:spacing w:after="0"/>
              <w:rPr>
                <w:sz w:val="22"/>
                <w:szCs w:val="22"/>
                <w:color w:val="auto"/>
              </w:rPr>
            </w:pPr>
          </w:p>
        </w:tc>
        <w:tc>
          <w:tcPr>
            <w:tcW w:w="1340" w:type="dxa"/>
            <w:vAlign w:val="bottom"/>
            <w:shd w:val="clear" w:color="auto" w:fill="DBDBDB"/>
          </w:tcPr>
          <w:p>
            <w:pPr>
              <w:spacing w:after="0"/>
              <w:rPr>
                <w:sz w:val="22"/>
                <w:szCs w:val="22"/>
                <w:color w:val="auto"/>
              </w:rPr>
            </w:pPr>
          </w:p>
        </w:tc>
        <w:tc>
          <w:tcPr>
            <w:tcW w:w="260" w:type="dxa"/>
            <w:vAlign w:val="bottom"/>
            <w:shd w:val="clear" w:color="auto" w:fill="DBDBDB"/>
          </w:tcPr>
          <w:p>
            <w:pPr>
              <w:spacing w:after="0"/>
              <w:rPr>
                <w:sz w:val="22"/>
                <w:szCs w:val="22"/>
                <w:color w:val="auto"/>
              </w:rPr>
            </w:pPr>
          </w:p>
        </w:tc>
        <w:tc>
          <w:tcPr>
            <w:tcW w:w="1640" w:type="dxa"/>
            <w:vAlign w:val="bottom"/>
            <w:shd w:val="clear" w:color="auto" w:fill="DBDBDB"/>
          </w:tcPr>
          <w:p>
            <w:pPr>
              <w:spacing w:after="0"/>
              <w:rPr>
                <w:sz w:val="22"/>
                <w:szCs w:val="22"/>
                <w:color w:val="auto"/>
              </w:rPr>
            </w:pPr>
          </w:p>
        </w:tc>
        <w:tc>
          <w:tcPr>
            <w:tcW w:w="280" w:type="dxa"/>
            <w:vAlign w:val="bottom"/>
            <w:shd w:val="clear" w:color="auto" w:fill="DBDBDB"/>
          </w:tcPr>
          <w:p>
            <w:pPr>
              <w:spacing w:after="0"/>
              <w:rPr>
                <w:sz w:val="22"/>
                <w:szCs w:val="22"/>
                <w:color w:val="auto"/>
              </w:rPr>
            </w:pPr>
          </w:p>
        </w:tc>
        <w:tc>
          <w:tcPr>
            <w:tcW w:w="1640" w:type="dxa"/>
            <w:vAlign w:val="bottom"/>
            <w:shd w:val="clear" w:color="auto" w:fill="DBDBDB"/>
          </w:tcPr>
          <w:p>
            <w:pPr>
              <w:spacing w:after="0"/>
              <w:rPr>
                <w:sz w:val="22"/>
                <w:szCs w:val="22"/>
                <w:color w:val="auto"/>
              </w:rPr>
            </w:pPr>
          </w:p>
        </w:tc>
        <w:tc>
          <w:tcPr>
            <w:tcW w:w="280" w:type="dxa"/>
            <w:vAlign w:val="bottom"/>
            <w:shd w:val="clear" w:color="auto" w:fill="DBDBDB"/>
          </w:tcPr>
          <w:p>
            <w:pPr>
              <w:spacing w:after="0"/>
              <w:rPr>
                <w:sz w:val="22"/>
                <w:szCs w:val="22"/>
                <w:color w:val="auto"/>
              </w:rPr>
            </w:pPr>
          </w:p>
        </w:tc>
        <w:tc>
          <w:tcPr>
            <w:tcW w:w="1280" w:type="dxa"/>
            <w:vAlign w:val="bottom"/>
            <w:shd w:val="clear" w:color="auto" w:fill="DBDBDB"/>
          </w:tcPr>
          <w:p>
            <w:pPr>
              <w:spacing w:after="0"/>
              <w:rPr>
                <w:sz w:val="22"/>
                <w:szCs w:val="22"/>
                <w:color w:val="auto"/>
              </w:rPr>
            </w:pPr>
          </w:p>
        </w:tc>
      </w:tr>
      <w:tr>
        <w:trPr>
          <w:trHeight w:val="250"/>
        </w:trPr>
        <w:tc>
          <w:tcPr>
            <w:tcW w:w="31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Mortgage</w:t>
            </w:r>
          </w:p>
        </w:tc>
        <w:tc>
          <w:tcPr>
            <w:tcW w:w="13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108,166</w:t>
            </w:r>
          </w:p>
        </w:tc>
        <w:tc>
          <w:tcPr>
            <w:tcW w:w="26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108,166</w:t>
            </w:r>
          </w:p>
        </w:tc>
      </w:tr>
      <w:tr>
        <w:trPr>
          <w:trHeight w:val="263"/>
        </w:trPr>
        <w:tc>
          <w:tcPr>
            <w:tcW w:w="3160" w:type="dxa"/>
            <w:vAlign w:val="bottom"/>
            <w:shd w:val="clear" w:color="auto" w:fill="DBDBDB"/>
          </w:tcPr>
          <w:p>
            <w:pPr>
              <w:ind w:left="560"/>
              <w:spacing w:after="0"/>
              <w:rPr>
                <w:sz w:val="20"/>
                <w:szCs w:val="20"/>
                <w:color w:val="auto"/>
              </w:rPr>
            </w:pPr>
            <w:r>
              <w:rPr>
                <w:rFonts w:ascii="Times New Roman" w:cs="Times New Roman" w:eastAsia="Times New Roman" w:hAnsi="Times New Roman"/>
                <w:sz w:val="18"/>
                <w:szCs w:val="18"/>
                <w:color w:val="auto"/>
              </w:rPr>
              <w:t>Construction</w:t>
            </w:r>
          </w:p>
        </w:tc>
        <w:tc>
          <w:tcPr>
            <w:tcW w:w="1360" w:type="dxa"/>
            <w:vAlign w:val="bottom"/>
            <w:shd w:val="clear" w:color="auto" w:fill="DBDBDB"/>
          </w:tcPr>
          <w:p>
            <w:pPr>
              <w:spacing w:after="0"/>
              <w:rPr>
                <w:sz w:val="22"/>
                <w:szCs w:val="22"/>
                <w:color w:val="auto"/>
              </w:rPr>
            </w:pPr>
          </w:p>
        </w:tc>
        <w:tc>
          <w:tcPr>
            <w:tcW w:w="1340" w:type="dxa"/>
            <w:vAlign w:val="bottom"/>
            <w:shd w:val="clear" w:color="auto" w:fill="DBDBDB"/>
          </w:tcPr>
          <w:p>
            <w:pPr>
              <w:jc w:val="right"/>
              <w:ind w:right="10"/>
              <w:spacing w:after="0"/>
              <w:rPr>
                <w:sz w:val="20"/>
                <w:szCs w:val="20"/>
                <w:color w:val="auto"/>
              </w:rPr>
            </w:pPr>
            <w:r>
              <w:rPr>
                <w:rFonts w:ascii="Times New Roman" w:cs="Times New Roman" w:eastAsia="Times New Roman" w:hAnsi="Times New Roman"/>
                <w:sz w:val="18"/>
                <w:szCs w:val="18"/>
                <w:color w:val="auto"/>
              </w:rPr>
              <w:t>17,874</w:t>
            </w:r>
          </w:p>
        </w:tc>
        <w:tc>
          <w:tcPr>
            <w:tcW w:w="260" w:type="dxa"/>
            <w:vAlign w:val="bottom"/>
            <w:shd w:val="clear" w:color="auto" w:fill="DBDBDB"/>
          </w:tcPr>
          <w:p>
            <w:pPr>
              <w:spacing w:after="0"/>
              <w:rPr>
                <w:sz w:val="22"/>
                <w:szCs w:val="22"/>
                <w:color w:val="auto"/>
              </w:rPr>
            </w:pPr>
          </w:p>
        </w:tc>
        <w:tc>
          <w:tcPr>
            <w:tcW w:w="16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DBDBDB"/>
          </w:tcPr>
          <w:p>
            <w:pPr>
              <w:spacing w:after="0"/>
              <w:rPr>
                <w:sz w:val="22"/>
                <w:szCs w:val="22"/>
                <w:color w:val="auto"/>
              </w:rPr>
            </w:pPr>
          </w:p>
        </w:tc>
        <w:tc>
          <w:tcPr>
            <w:tcW w:w="1640" w:type="dxa"/>
            <w:vAlign w:val="bottom"/>
            <w:shd w:val="clear" w:color="auto" w:fill="DBDBDB"/>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DBDBDB"/>
          </w:tcPr>
          <w:p>
            <w:pPr>
              <w:spacing w:after="0"/>
              <w:rPr>
                <w:sz w:val="22"/>
                <w:szCs w:val="22"/>
                <w:color w:val="auto"/>
              </w:rPr>
            </w:pPr>
          </w:p>
        </w:tc>
        <w:tc>
          <w:tcPr>
            <w:tcW w:w="12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17,874</w:t>
            </w:r>
          </w:p>
        </w:tc>
      </w:tr>
      <w:tr>
        <w:trPr>
          <w:trHeight w:val="250"/>
        </w:trPr>
        <w:tc>
          <w:tcPr>
            <w:tcW w:w="31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Faith-based:</w:t>
            </w:r>
          </w:p>
        </w:tc>
        <w:tc>
          <w:tcPr>
            <w:tcW w:w="13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63"/>
        </w:trPr>
        <w:tc>
          <w:tcPr>
            <w:tcW w:w="3160" w:type="dxa"/>
            <w:vAlign w:val="bottom"/>
            <w:shd w:val="clear" w:color="auto" w:fill="DBDBDB"/>
          </w:tcPr>
          <w:p>
            <w:pPr>
              <w:ind w:left="560"/>
              <w:spacing w:after="0"/>
              <w:rPr>
                <w:sz w:val="20"/>
                <w:szCs w:val="20"/>
                <w:color w:val="auto"/>
              </w:rPr>
            </w:pPr>
            <w:r>
              <w:rPr>
                <w:rFonts w:ascii="Times New Roman" w:cs="Times New Roman" w:eastAsia="Times New Roman" w:hAnsi="Times New Roman"/>
                <w:sz w:val="18"/>
                <w:szCs w:val="18"/>
                <w:color w:val="auto"/>
              </w:rPr>
              <w:t>Mortgage</w:t>
            </w:r>
          </w:p>
        </w:tc>
        <w:tc>
          <w:tcPr>
            <w:tcW w:w="1360" w:type="dxa"/>
            <w:vAlign w:val="bottom"/>
            <w:shd w:val="clear" w:color="auto" w:fill="DBDBDB"/>
          </w:tcPr>
          <w:p>
            <w:pPr>
              <w:spacing w:after="0"/>
              <w:rPr>
                <w:sz w:val="22"/>
                <w:szCs w:val="22"/>
                <w:color w:val="auto"/>
              </w:rPr>
            </w:pPr>
          </w:p>
        </w:tc>
        <w:tc>
          <w:tcPr>
            <w:tcW w:w="1340" w:type="dxa"/>
            <w:vAlign w:val="bottom"/>
            <w:shd w:val="clear" w:color="auto" w:fill="DBDBDB"/>
          </w:tcPr>
          <w:p>
            <w:pPr>
              <w:jc w:val="right"/>
              <w:ind w:right="10"/>
              <w:spacing w:after="0"/>
              <w:rPr>
                <w:sz w:val="20"/>
                <w:szCs w:val="20"/>
                <w:color w:val="auto"/>
              </w:rPr>
            </w:pPr>
            <w:r>
              <w:rPr>
                <w:rFonts w:ascii="Times New Roman" w:cs="Times New Roman" w:eastAsia="Times New Roman" w:hAnsi="Times New Roman"/>
                <w:sz w:val="18"/>
                <w:szCs w:val="18"/>
                <w:color w:val="auto"/>
              </w:rPr>
              <w:t>386,169</w:t>
            </w:r>
          </w:p>
        </w:tc>
        <w:tc>
          <w:tcPr>
            <w:tcW w:w="260" w:type="dxa"/>
            <w:vAlign w:val="bottom"/>
            <w:shd w:val="clear" w:color="auto" w:fill="DBDBDB"/>
          </w:tcPr>
          <w:p>
            <w:pPr>
              <w:spacing w:after="0"/>
              <w:rPr>
                <w:sz w:val="22"/>
                <w:szCs w:val="22"/>
                <w:color w:val="auto"/>
              </w:rPr>
            </w:pPr>
          </w:p>
        </w:tc>
        <w:tc>
          <w:tcPr>
            <w:tcW w:w="16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945</w:t>
            </w:r>
          </w:p>
        </w:tc>
        <w:tc>
          <w:tcPr>
            <w:tcW w:w="280" w:type="dxa"/>
            <w:vAlign w:val="bottom"/>
            <w:shd w:val="clear" w:color="auto" w:fill="DBDBDB"/>
          </w:tcPr>
          <w:p>
            <w:pPr>
              <w:spacing w:after="0"/>
              <w:rPr>
                <w:sz w:val="22"/>
                <w:szCs w:val="22"/>
                <w:color w:val="auto"/>
              </w:rPr>
            </w:pPr>
          </w:p>
        </w:tc>
        <w:tc>
          <w:tcPr>
            <w:tcW w:w="1640" w:type="dxa"/>
            <w:vAlign w:val="bottom"/>
            <w:shd w:val="clear" w:color="auto" w:fill="DBDBDB"/>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DBDBDB"/>
          </w:tcPr>
          <w:p>
            <w:pPr>
              <w:spacing w:after="0"/>
              <w:rPr>
                <w:sz w:val="22"/>
                <w:szCs w:val="22"/>
                <w:color w:val="auto"/>
              </w:rPr>
            </w:pPr>
          </w:p>
        </w:tc>
        <w:tc>
          <w:tcPr>
            <w:tcW w:w="12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387,114</w:t>
            </w:r>
          </w:p>
        </w:tc>
      </w:tr>
      <w:tr>
        <w:trPr>
          <w:trHeight w:val="250"/>
        </w:trPr>
        <w:tc>
          <w:tcPr>
            <w:tcW w:w="31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Construction</w:t>
            </w:r>
          </w:p>
        </w:tc>
        <w:tc>
          <w:tcPr>
            <w:tcW w:w="13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8,094</w:t>
            </w:r>
          </w:p>
        </w:tc>
        <w:tc>
          <w:tcPr>
            <w:tcW w:w="26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8,094</w:t>
            </w:r>
          </w:p>
        </w:tc>
      </w:tr>
      <w:tr>
        <w:trPr>
          <w:trHeight w:val="263"/>
        </w:trPr>
        <w:tc>
          <w:tcPr>
            <w:tcW w:w="316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PPP</w:t>
            </w:r>
          </w:p>
        </w:tc>
        <w:tc>
          <w:tcPr>
            <w:tcW w:w="1360" w:type="dxa"/>
            <w:vAlign w:val="bottom"/>
            <w:shd w:val="clear" w:color="auto" w:fill="DBDBDB"/>
          </w:tcPr>
          <w:p>
            <w:pPr>
              <w:spacing w:after="0"/>
              <w:rPr>
                <w:sz w:val="22"/>
                <w:szCs w:val="22"/>
                <w:color w:val="auto"/>
              </w:rPr>
            </w:pPr>
          </w:p>
        </w:tc>
        <w:tc>
          <w:tcPr>
            <w:tcW w:w="1340" w:type="dxa"/>
            <w:vAlign w:val="bottom"/>
            <w:shd w:val="clear" w:color="auto" w:fill="DBDBDB"/>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DBDBDB"/>
          </w:tcPr>
          <w:p>
            <w:pPr>
              <w:spacing w:after="0"/>
              <w:rPr>
                <w:sz w:val="22"/>
                <w:szCs w:val="22"/>
                <w:color w:val="auto"/>
              </w:rPr>
            </w:pPr>
          </w:p>
        </w:tc>
        <w:tc>
          <w:tcPr>
            <w:tcW w:w="16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DBDBDB"/>
          </w:tcPr>
          <w:p>
            <w:pPr>
              <w:spacing w:after="0"/>
              <w:rPr>
                <w:sz w:val="22"/>
                <w:szCs w:val="22"/>
                <w:color w:val="auto"/>
              </w:rPr>
            </w:pPr>
          </w:p>
        </w:tc>
        <w:tc>
          <w:tcPr>
            <w:tcW w:w="1640" w:type="dxa"/>
            <w:vAlign w:val="bottom"/>
            <w:shd w:val="clear" w:color="auto" w:fill="DBDBDB"/>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DBDBDB"/>
          </w:tcPr>
          <w:p>
            <w:pPr>
              <w:spacing w:after="0"/>
              <w:rPr>
                <w:sz w:val="22"/>
                <w:szCs w:val="22"/>
                <w:color w:val="auto"/>
              </w:rPr>
            </w:pPr>
          </w:p>
        </w:tc>
        <w:tc>
          <w:tcPr>
            <w:tcW w:w="12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3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3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42</w:t>
            </w:r>
          </w:p>
        </w:tc>
        <w:tc>
          <w:tcPr>
            <w:tcW w:w="26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50"/>
        </w:trPr>
        <w:tc>
          <w:tcPr>
            <w:tcW w:w="3160" w:type="dxa"/>
            <w:vAlign w:val="bottom"/>
            <w:tcBorders>
              <w:bottom w:val="single" w:sz="8" w:color="auto"/>
            </w:tcBorders>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36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DBDBDB"/>
          </w:tcPr>
          <w:p>
            <w:pPr>
              <w:jc w:val="right"/>
              <w:ind w:right="10"/>
              <w:spacing w:after="0"/>
              <w:rPr>
                <w:sz w:val="20"/>
                <w:szCs w:val="20"/>
                <w:color w:val="auto"/>
              </w:rPr>
            </w:pPr>
            <w:r>
              <w:rPr>
                <w:rFonts w:ascii="Times New Roman" w:cs="Times New Roman" w:eastAsia="Times New Roman" w:hAnsi="Times New Roman"/>
                <w:sz w:val="18"/>
                <w:szCs w:val="18"/>
                <w:color w:val="auto"/>
              </w:rPr>
              <w:t>1,069,586</w:t>
            </w:r>
          </w:p>
        </w:tc>
        <w:tc>
          <w:tcPr>
            <w:tcW w:w="26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12,170</w:t>
            </w:r>
          </w:p>
        </w:tc>
        <w:tc>
          <w:tcPr>
            <w:tcW w:w="280" w:type="dxa"/>
            <w:vAlign w:val="bottom"/>
            <w:tcBorders>
              <w:bottom w:val="single" w:sz="8" w:color="auto"/>
            </w:tcBorders>
            <w:shd w:val="clear" w:color="auto" w:fill="DBDBDB"/>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auto"/>
            </w:tcBorders>
            <w:shd w:val="clear" w:color="auto" w:fill="DBDBDB"/>
          </w:tcPr>
          <w:p>
            <w:pPr>
              <w:jc w:val="right"/>
              <w:ind w:right="10"/>
              <w:spacing w:after="0"/>
              <w:rPr>
                <w:sz w:val="20"/>
                <w:szCs w:val="20"/>
                <w:color w:val="auto"/>
              </w:rPr>
            </w:pPr>
            <w:r>
              <w:rPr>
                <w:rFonts w:ascii="Times New Roman" w:cs="Times New Roman" w:eastAsia="Times New Roman" w:hAnsi="Times New Roman"/>
                <w:sz w:val="18"/>
                <w:szCs w:val="18"/>
                <w:color w:val="auto"/>
              </w:rPr>
              <w:t>1,150</w:t>
            </w:r>
          </w:p>
        </w:tc>
        <w:tc>
          <w:tcPr>
            <w:tcW w:w="280" w:type="dxa"/>
            <w:vAlign w:val="bottom"/>
            <w:tcBorders>
              <w:bottom w:val="single" w:sz="8" w:color="auto"/>
            </w:tcBorders>
            <w:shd w:val="clear" w:color="auto" w:fill="DBDBDB"/>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1,082,906</w:t>
            </w:r>
          </w:p>
        </w:tc>
      </w:tr>
    </w:tbl>
    <w:p>
      <w:pPr>
        <w:spacing w:after="0" w:line="130" w:lineRule="exact"/>
        <w:rPr>
          <w:sz w:val="20"/>
          <w:szCs w:val="20"/>
          <w:color w:val="auto"/>
        </w:rPr>
      </w:pPr>
    </w:p>
    <w:p>
      <w:pPr>
        <w:ind w:left="980" w:right="20" w:hanging="954"/>
        <w:spacing w:after="0" w:line="263" w:lineRule="auto"/>
        <w:tabs>
          <w:tab w:leader="none" w:pos="98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Loans subject to normal monitoring involve borrowers of acceptable-to-strong credit quality and risk and have the apparent ability to satisfy their loan obligation.</w:t>
      </w:r>
    </w:p>
    <w:p>
      <w:pPr>
        <w:spacing w:after="0" w:line="5" w:lineRule="exact"/>
        <w:rPr>
          <w:rFonts w:ascii="Times New Roman" w:cs="Times New Roman" w:eastAsia="Times New Roman" w:hAnsi="Times New Roman"/>
          <w:sz w:val="18"/>
          <w:szCs w:val="18"/>
          <w:b w:val="1"/>
          <w:bCs w:val="1"/>
          <w:color w:val="auto"/>
        </w:rPr>
      </w:pPr>
    </w:p>
    <w:p>
      <w:pPr>
        <w:ind w:left="980" w:right="20" w:hanging="954"/>
        <w:spacing w:after="0" w:line="266" w:lineRule="auto"/>
        <w:tabs>
          <w:tab w:leader="none" w:pos="98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Loans subject to special monitoring possess some credit deficiency or potential weakness which requires a higher level of management attention.</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adopted Accounting Standards Update ASU 2022-02, effective January 1, 2023. The amendments in ASU 2022-02 eliminated the recognition and measure of troubled debt restructurings and enhanced disclosures for loan modifications to borrowers experiencing financial difficulty. In some cases, these modifications may result in new loans. Loan modifications to borrowers experiencing financial difficulty may be in the form of principal forgiveness, an interest rate reduction, an other-than-insignificant payment delay, a term extension, or a combination thereof, among other things.</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shows the amortized cost of loans at December 31, 2023 that were both experiencing financial difficulty and modified during the year ended December 31, 2023, segregated by category and type of modification.</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2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8"/>
              </w:rPr>
              <w:t>Combination Term</w:t>
            </w: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Percentage of Total</w:t>
            </w:r>
          </w:p>
        </w:tc>
      </w:tr>
      <w:tr>
        <w:trPr>
          <w:trHeight w:val="203"/>
        </w:trPr>
        <w:tc>
          <w:tcPr>
            <w:tcW w:w="2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Pr>
          <w:p>
            <w:pPr>
              <w:jc w:val="center"/>
              <w:ind w:right="110"/>
              <w:spacing w:after="0" w:line="202" w:lineRule="exact"/>
              <w:rPr>
                <w:sz w:val="20"/>
                <w:szCs w:val="20"/>
                <w:color w:val="auto"/>
              </w:rPr>
            </w:pPr>
            <w:r>
              <w:rPr>
                <w:rFonts w:ascii="Times New Roman" w:cs="Times New Roman" w:eastAsia="Times New Roman" w:hAnsi="Times New Roman"/>
                <w:sz w:val="18"/>
                <w:szCs w:val="18"/>
                <w:b w:val="1"/>
                <w:bCs w:val="1"/>
                <w:color w:val="auto"/>
                <w:w w:val="99"/>
              </w:rPr>
              <w:t>Interest Rate</w:t>
            </w:r>
          </w:p>
        </w:tc>
        <w:tc>
          <w:tcPr>
            <w:tcW w:w="2020" w:type="dxa"/>
            <w:vAlign w:val="bottom"/>
            <w:gridSpan w:val="2"/>
          </w:tcPr>
          <w:p>
            <w:pPr>
              <w:ind w:left="100"/>
              <w:spacing w:after="0" w:line="202" w:lineRule="exact"/>
              <w:rPr>
                <w:sz w:val="20"/>
                <w:szCs w:val="20"/>
                <w:color w:val="auto"/>
              </w:rPr>
            </w:pPr>
            <w:r>
              <w:rPr>
                <w:rFonts w:ascii="Times New Roman" w:cs="Times New Roman" w:eastAsia="Times New Roman" w:hAnsi="Times New Roman"/>
                <w:sz w:val="18"/>
                <w:szCs w:val="18"/>
                <w:b w:val="1"/>
                <w:bCs w:val="1"/>
                <w:color w:val="auto"/>
              </w:rPr>
              <w:t>Extension and Interest</w:t>
            </w:r>
          </w:p>
        </w:tc>
        <w:tc>
          <w:tcPr>
            <w:tcW w:w="190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w w:val="99"/>
              </w:rPr>
              <w:t>Loans Held for</w:t>
            </w:r>
          </w:p>
        </w:tc>
      </w:tr>
      <w:tr>
        <w:trPr>
          <w:trHeight w:val="252"/>
        </w:trPr>
        <w:tc>
          <w:tcPr>
            <w:tcW w:w="2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42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Payment Delay</w:t>
            </w:r>
          </w:p>
        </w:tc>
        <w:tc>
          <w:tcPr>
            <w:tcW w:w="24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98"/>
              </w:rPr>
              <w:t>Term Extension</w:t>
            </w:r>
          </w:p>
        </w:tc>
        <w:tc>
          <w:tcPr>
            <w:tcW w:w="2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Reduction</w:t>
            </w:r>
          </w:p>
        </w:tc>
        <w:tc>
          <w:tcPr>
            <w:tcW w:w="200" w:type="dxa"/>
            <w:vAlign w:val="bottom"/>
            <w:tcBorders>
              <w:bottom w:val="single" w:sz="8" w:color="auto"/>
            </w:tcBorders>
          </w:tcPr>
          <w:p>
            <w:pPr>
              <w:spacing w:after="0"/>
              <w:rPr>
                <w:sz w:val="21"/>
                <w:szCs w:val="21"/>
                <w:color w:val="auto"/>
              </w:rPr>
            </w:pPr>
          </w:p>
        </w:tc>
        <w:tc>
          <w:tcPr>
            <w:tcW w:w="182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8"/>
              </w:rPr>
              <w:t>Rate Reduction</w:t>
            </w:r>
          </w:p>
        </w:tc>
        <w:tc>
          <w:tcPr>
            <w:tcW w:w="1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Investment</w:t>
            </w:r>
          </w:p>
        </w:tc>
      </w:tr>
      <w:tr>
        <w:trPr>
          <w:trHeight w:val="243"/>
        </w:trPr>
        <w:tc>
          <w:tcPr>
            <w:tcW w:w="2260" w:type="dxa"/>
            <w:vAlign w:val="bottom"/>
            <w:tcBorders>
              <w:bottom w:val="single" w:sz="8" w:color="auto"/>
            </w:tcBorders>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42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DBDBDB"/>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22,354</w:t>
            </w:r>
          </w:p>
        </w:tc>
        <w:tc>
          <w:tcPr>
            <w:tcW w:w="24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DBDBDB"/>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shd w:val="clear" w:color="auto" w:fill="DBDBDB"/>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bottom w:val="single" w:sz="8" w:color="auto"/>
            </w:tcBorders>
            <w:shd w:val="clear" w:color="auto" w:fill="DBDBDB"/>
          </w:tcPr>
          <w:p>
            <w:pPr>
              <w:ind w:left="142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4.48 %</w:t>
            </w:r>
          </w:p>
        </w:tc>
      </w:tr>
      <w:tr>
        <w:trPr>
          <w:trHeight w:val="250"/>
        </w:trPr>
        <w:tc>
          <w:tcPr>
            <w:tcW w:w="2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22,354</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bottom w:val="single" w:sz="8" w:color="auto"/>
            </w:tcBorders>
          </w:tcPr>
          <w:p>
            <w:pPr>
              <w:ind w:left="142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2.20 %</w:t>
            </w:r>
          </w:p>
        </w:tc>
      </w:tr>
    </w:tbl>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were three loans modified during the year ended December 31, 2023. The terms were extended by periods of two to four years, and there was not an interest rate reduction associated with the modifications. There were no commitments to lend additional funds to these borrowers at December 31, 2023.</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shows the performance of loans that have been modified to borrowers experiencing financial difficulty during the year ended December 31, 2023.</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7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5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30-59 Days Past</w:t>
            </w:r>
          </w:p>
        </w:tc>
        <w:tc>
          <w:tcPr>
            <w:tcW w:w="15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60-89 Days Past</w:t>
            </w:r>
          </w:p>
        </w:tc>
        <w:tc>
          <w:tcPr>
            <w:tcW w:w="200" w:type="dxa"/>
            <w:vAlign w:val="bottom"/>
          </w:tcPr>
          <w:p>
            <w:pPr>
              <w:spacing w:after="0"/>
              <w:rPr>
                <w:sz w:val="17"/>
                <w:szCs w:val="17"/>
                <w:color w:val="auto"/>
              </w:rPr>
            </w:pPr>
          </w:p>
        </w:tc>
        <w:tc>
          <w:tcPr>
            <w:tcW w:w="14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90 Days or More</w:t>
            </w:r>
          </w:p>
        </w:tc>
        <w:tc>
          <w:tcPr>
            <w:tcW w:w="28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45"/>
        </w:trPr>
        <w:tc>
          <w:tcPr>
            <w:tcW w:w="2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10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4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6"/>
              </w:rPr>
              <w:t>Due</w:t>
            </w:r>
          </w:p>
        </w:tc>
        <w:tc>
          <w:tcPr>
            <w:tcW w:w="4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rPr>
              <w:t>Due</w:t>
            </w:r>
          </w:p>
        </w:tc>
        <w:tc>
          <w:tcPr>
            <w:tcW w:w="20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Past Due</w:t>
            </w:r>
          </w:p>
        </w:tc>
        <w:tc>
          <w:tcPr>
            <w:tcW w:w="28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Total Past Due</w:t>
            </w:r>
          </w:p>
        </w:tc>
      </w:tr>
      <w:tr>
        <w:trPr>
          <w:trHeight w:val="250"/>
        </w:trPr>
        <w:tc>
          <w:tcPr>
            <w:tcW w:w="2740" w:type="dxa"/>
            <w:vAlign w:val="bottom"/>
            <w:tcBorders>
              <w:bottom w:val="single" w:sz="8" w:color="auto"/>
            </w:tcBorders>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020" w:type="dxa"/>
            <w:vAlign w:val="bottom"/>
            <w:tcBorders>
              <w:bottom w:val="single" w:sz="8" w:color="auto"/>
            </w:tcBorders>
            <w:shd w:val="clear" w:color="auto" w:fill="DBDBDB"/>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DBDBDB"/>
          </w:tcPr>
          <w:p>
            <w:pPr>
              <w:jc w:val="right"/>
              <w:ind w:right="10"/>
              <w:spacing w:after="0"/>
              <w:rPr>
                <w:sz w:val="20"/>
                <w:szCs w:val="20"/>
                <w:color w:val="auto"/>
              </w:rPr>
            </w:pPr>
            <w:r>
              <w:rPr>
                <w:rFonts w:ascii="Times New Roman" w:cs="Times New Roman" w:eastAsia="Times New Roman" w:hAnsi="Times New Roman"/>
                <w:sz w:val="18"/>
                <w:szCs w:val="18"/>
                <w:color w:val="auto"/>
              </w:rPr>
              <w:t>22,354</w:t>
            </w:r>
          </w:p>
        </w:tc>
        <w:tc>
          <w:tcPr>
            <w:tcW w:w="400" w:type="dxa"/>
            <w:vAlign w:val="bottom"/>
            <w:tcBorders>
              <w:bottom w:val="single" w:sz="8" w:color="auto"/>
            </w:tcBorders>
            <w:shd w:val="clear" w:color="auto" w:fill="DBDBDB"/>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DBDBDB"/>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shd w:val="clear" w:color="auto" w:fill="DBDBDB"/>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DBDBDB"/>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DBDBDB"/>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shd w:val="clear" w:color="auto" w:fill="DBDBDB"/>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DBDBDB"/>
          </w:tcPr>
          <w:p>
            <w:pPr>
              <w:ind w:left="108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2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0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22,354</w:t>
            </w:r>
          </w:p>
        </w:tc>
        <w:tc>
          <w:tcPr>
            <w:tcW w:w="4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w:t>
            </w:r>
          </w:p>
        </w:tc>
      </w:tr>
    </w:tbl>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were no modified loans that had a payment default during the year ended December 31, 2023 and that had been modified due to the borrower experiencing financial difficulty within the 12 previous months preceding the default.</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Upon the Company's determination that a modified loan has subsequently been deemed uncollectible, the loan is written off. There were no loans written off during the year ended December 31, 2023.</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Prior to the adoption of ASU 2022-02, there were no loans considered troubled debt restructurings as of December 31, 2022.</w:t>
      </w:r>
    </w:p>
    <w:p>
      <w:pPr>
        <w:spacing w:after="0" w:line="18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had no loans evaluated for expected credit losses on an individual basis as of December 31, 2023. The Company had one loan that was considered an individually evaluated credit at December 31, 2022, with no specific allowance. This loan was paid off in full in January 2023. There were no foreclosed loans recorded as other real estate owned as of December 31, 2023 or December 31, 2022.</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ACL by category for the period ended December 31, 2023 is as follows: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Faith-based</w:t>
            </w: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45"/>
        </w:trPr>
        <w:tc>
          <w:tcPr>
            <w:tcW w:w="3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8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C&amp;I</w:t>
            </w:r>
          </w:p>
        </w:tc>
        <w:tc>
          <w:tcPr>
            <w:tcW w:w="3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CRE</w:t>
            </w:r>
          </w:p>
        </w:tc>
        <w:tc>
          <w:tcPr>
            <w:tcW w:w="2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CRE</w:t>
            </w:r>
          </w:p>
        </w:tc>
        <w:tc>
          <w:tcPr>
            <w:tcW w:w="24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Construction</w:t>
            </w:r>
          </w:p>
        </w:tc>
        <w:tc>
          <w:tcPr>
            <w:tcW w:w="3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56"/>
        </w:trPr>
        <w:tc>
          <w:tcPr>
            <w:tcW w:w="384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Allowance for credit losses on loans:</w:t>
            </w:r>
          </w:p>
        </w:tc>
        <w:tc>
          <w:tcPr>
            <w:tcW w:w="800" w:type="dxa"/>
            <w:vAlign w:val="bottom"/>
            <w:shd w:val="clear" w:color="auto" w:fill="DBDBDB"/>
          </w:tcPr>
          <w:p>
            <w:pPr>
              <w:spacing w:after="0"/>
              <w:rPr>
                <w:sz w:val="22"/>
                <w:szCs w:val="22"/>
                <w:color w:val="auto"/>
              </w:rPr>
            </w:pPr>
          </w:p>
        </w:tc>
        <w:tc>
          <w:tcPr>
            <w:tcW w:w="940" w:type="dxa"/>
            <w:vAlign w:val="bottom"/>
            <w:shd w:val="clear" w:color="auto" w:fill="DBDBDB"/>
          </w:tcPr>
          <w:p>
            <w:pPr>
              <w:spacing w:after="0"/>
              <w:rPr>
                <w:sz w:val="22"/>
                <w:szCs w:val="22"/>
                <w:color w:val="auto"/>
              </w:rPr>
            </w:pPr>
          </w:p>
        </w:tc>
        <w:tc>
          <w:tcPr>
            <w:tcW w:w="300" w:type="dxa"/>
            <w:vAlign w:val="bottom"/>
            <w:shd w:val="clear" w:color="auto" w:fill="DBDBDB"/>
          </w:tcPr>
          <w:p>
            <w:pPr>
              <w:spacing w:after="0"/>
              <w:rPr>
                <w:sz w:val="22"/>
                <w:szCs w:val="22"/>
                <w:color w:val="auto"/>
              </w:rPr>
            </w:pPr>
          </w:p>
        </w:tc>
        <w:tc>
          <w:tcPr>
            <w:tcW w:w="920" w:type="dxa"/>
            <w:vAlign w:val="bottom"/>
            <w:shd w:val="clear" w:color="auto" w:fill="DBDBDB"/>
          </w:tcPr>
          <w:p>
            <w:pPr>
              <w:spacing w:after="0"/>
              <w:rPr>
                <w:sz w:val="22"/>
                <w:szCs w:val="22"/>
                <w:color w:val="auto"/>
              </w:rPr>
            </w:pPr>
          </w:p>
        </w:tc>
        <w:tc>
          <w:tcPr>
            <w:tcW w:w="240" w:type="dxa"/>
            <w:vAlign w:val="bottom"/>
            <w:shd w:val="clear" w:color="auto" w:fill="DBDBDB"/>
          </w:tcPr>
          <w:p>
            <w:pPr>
              <w:spacing w:after="0"/>
              <w:rPr>
                <w:sz w:val="22"/>
                <w:szCs w:val="22"/>
                <w:color w:val="auto"/>
              </w:rPr>
            </w:pPr>
          </w:p>
        </w:tc>
        <w:tc>
          <w:tcPr>
            <w:tcW w:w="1200" w:type="dxa"/>
            <w:vAlign w:val="bottom"/>
            <w:shd w:val="clear" w:color="auto" w:fill="DBDBDB"/>
          </w:tcPr>
          <w:p>
            <w:pPr>
              <w:spacing w:after="0"/>
              <w:rPr>
                <w:sz w:val="22"/>
                <w:szCs w:val="22"/>
                <w:color w:val="auto"/>
              </w:rPr>
            </w:pPr>
          </w:p>
        </w:tc>
        <w:tc>
          <w:tcPr>
            <w:tcW w:w="240" w:type="dxa"/>
            <w:vAlign w:val="bottom"/>
            <w:shd w:val="clear" w:color="auto" w:fill="DBDBDB"/>
          </w:tcPr>
          <w:p>
            <w:pPr>
              <w:spacing w:after="0"/>
              <w:rPr>
                <w:sz w:val="22"/>
                <w:szCs w:val="22"/>
                <w:color w:val="auto"/>
              </w:rPr>
            </w:pPr>
          </w:p>
        </w:tc>
        <w:tc>
          <w:tcPr>
            <w:tcW w:w="1360" w:type="dxa"/>
            <w:vAlign w:val="bottom"/>
            <w:shd w:val="clear" w:color="auto" w:fill="DBDBDB"/>
          </w:tcPr>
          <w:p>
            <w:pPr>
              <w:spacing w:after="0"/>
              <w:rPr>
                <w:sz w:val="22"/>
                <w:szCs w:val="22"/>
                <w:color w:val="auto"/>
              </w:rPr>
            </w:pPr>
          </w:p>
        </w:tc>
        <w:tc>
          <w:tcPr>
            <w:tcW w:w="340" w:type="dxa"/>
            <w:vAlign w:val="bottom"/>
            <w:shd w:val="clear" w:color="auto" w:fill="DBDBDB"/>
          </w:tcPr>
          <w:p>
            <w:pPr>
              <w:spacing w:after="0"/>
              <w:rPr>
                <w:sz w:val="22"/>
                <w:szCs w:val="22"/>
                <w:color w:val="auto"/>
              </w:rPr>
            </w:pPr>
          </w:p>
        </w:tc>
        <w:tc>
          <w:tcPr>
            <w:tcW w:w="1060" w:type="dxa"/>
            <w:vAlign w:val="bottom"/>
            <w:shd w:val="clear" w:color="auto" w:fill="DBDBDB"/>
          </w:tcPr>
          <w:p>
            <w:pPr>
              <w:spacing w:after="0"/>
              <w:rPr>
                <w:sz w:val="22"/>
                <w:szCs w:val="22"/>
                <w:color w:val="auto"/>
              </w:rPr>
            </w:pPr>
          </w:p>
        </w:tc>
      </w:tr>
      <w:tr>
        <w:trPr>
          <w:trHeight w:val="250"/>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8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5,978</w:t>
            </w:r>
          </w:p>
        </w:tc>
        <w:tc>
          <w:tcPr>
            <w:tcW w:w="3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940</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6,437</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184</w:t>
            </w:r>
          </w:p>
        </w:tc>
        <w:tc>
          <w:tcPr>
            <w:tcW w:w="3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13,539</w:t>
            </w:r>
          </w:p>
        </w:tc>
      </w:tr>
      <w:tr>
        <w:trPr>
          <w:trHeight w:val="263"/>
        </w:trPr>
        <w:tc>
          <w:tcPr>
            <w:tcW w:w="3840" w:type="dxa"/>
            <w:vAlign w:val="bottom"/>
            <w:tcBorders>
              <w:bottom w:val="single" w:sz="8" w:color="auto"/>
            </w:tcBorders>
            <w:shd w:val="clear" w:color="auto" w:fill="DBDBDB"/>
          </w:tcPr>
          <w:p>
            <w:pPr>
              <w:ind w:left="300"/>
              <w:spacing w:after="0" w:line="263" w:lineRule="exact"/>
              <w:rPr>
                <w:sz w:val="20"/>
                <w:szCs w:val="20"/>
                <w:color w:val="auto"/>
              </w:rPr>
            </w:pPr>
            <w:r>
              <w:rPr>
                <w:rFonts w:ascii="Times New Roman" w:cs="Times New Roman" w:eastAsia="Times New Roman" w:hAnsi="Times New Roman"/>
                <w:sz w:val="18"/>
                <w:szCs w:val="18"/>
                <w:color w:val="auto"/>
              </w:rPr>
              <w:t xml:space="preserve">(Release of) provision for credit losses </w:t>
            </w:r>
            <w:r>
              <w:rPr>
                <w:rFonts w:ascii="Times New Roman" w:cs="Times New Roman" w:eastAsia="Times New Roman" w:hAnsi="Times New Roman"/>
                <w:sz w:val="23"/>
                <w:szCs w:val="23"/>
                <w:color w:val="auto"/>
                <w:vertAlign w:val="superscript"/>
              </w:rPr>
              <w:t>(1)</w:t>
            </w:r>
          </w:p>
        </w:tc>
        <w:tc>
          <w:tcPr>
            <w:tcW w:w="800" w:type="dxa"/>
            <w:vAlign w:val="bottom"/>
            <w:tcBorders>
              <w:bottom w:val="single" w:sz="8" w:color="auto"/>
            </w:tcBorders>
            <w:shd w:val="clear" w:color="auto" w:fill="DBDBDB"/>
          </w:tcPr>
          <w:p>
            <w:pPr>
              <w:spacing w:after="0"/>
              <w:rPr>
                <w:sz w:val="22"/>
                <w:szCs w:val="22"/>
                <w:color w:val="auto"/>
              </w:rPr>
            </w:pPr>
          </w:p>
        </w:tc>
        <w:tc>
          <w:tcPr>
            <w:tcW w:w="94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(566)</w:t>
            </w:r>
          </w:p>
        </w:tc>
        <w:tc>
          <w:tcPr>
            <w:tcW w:w="300" w:type="dxa"/>
            <w:vAlign w:val="bottom"/>
            <w:tcBorders>
              <w:bottom w:val="single" w:sz="8" w:color="auto"/>
            </w:tcBorders>
            <w:shd w:val="clear" w:color="auto" w:fill="DBDBDB"/>
          </w:tcPr>
          <w:p>
            <w:pPr>
              <w:spacing w:after="0"/>
              <w:rPr>
                <w:sz w:val="22"/>
                <w:szCs w:val="22"/>
                <w:color w:val="auto"/>
              </w:rPr>
            </w:pPr>
          </w:p>
        </w:tc>
        <w:tc>
          <w:tcPr>
            <w:tcW w:w="920" w:type="dxa"/>
            <w:vAlign w:val="bottom"/>
            <w:tcBorders>
              <w:bottom w:val="single" w:sz="8" w:color="auto"/>
            </w:tcBorders>
            <w:shd w:val="clear" w:color="auto" w:fill="DBDBDB"/>
          </w:tcPr>
          <w:p>
            <w:pPr>
              <w:jc w:val="right"/>
              <w:ind w:right="10"/>
              <w:spacing w:after="0"/>
              <w:rPr>
                <w:sz w:val="20"/>
                <w:szCs w:val="20"/>
                <w:color w:val="auto"/>
              </w:rPr>
            </w:pPr>
            <w:r>
              <w:rPr>
                <w:rFonts w:ascii="Times New Roman" w:cs="Times New Roman" w:eastAsia="Times New Roman" w:hAnsi="Times New Roman"/>
                <w:sz w:val="18"/>
                <w:szCs w:val="18"/>
                <w:color w:val="auto"/>
              </w:rPr>
              <w:t>153</w:t>
            </w:r>
          </w:p>
        </w:tc>
        <w:tc>
          <w:tcPr>
            <w:tcW w:w="240" w:type="dxa"/>
            <w:vAlign w:val="bottom"/>
            <w:tcBorders>
              <w:bottom w:val="single" w:sz="8" w:color="auto"/>
            </w:tcBorders>
            <w:shd w:val="clear" w:color="auto" w:fill="DBDBDB"/>
          </w:tcPr>
          <w:p>
            <w:pPr>
              <w:spacing w:after="0"/>
              <w:rPr>
                <w:sz w:val="22"/>
                <w:szCs w:val="22"/>
                <w:color w:val="auto"/>
              </w:rPr>
            </w:pPr>
          </w:p>
        </w:tc>
        <w:tc>
          <w:tcPr>
            <w:tcW w:w="1200" w:type="dxa"/>
            <w:vAlign w:val="bottom"/>
            <w:tcBorders>
              <w:bottom w:val="single" w:sz="8" w:color="auto"/>
            </w:tcBorders>
            <w:shd w:val="clear" w:color="auto" w:fill="DBDBDB"/>
          </w:tcPr>
          <w:p>
            <w:pPr>
              <w:jc w:val="right"/>
              <w:ind w:right="10"/>
              <w:spacing w:after="0"/>
              <w:rPr>
                <w:sz w:val="20"/>
                <w:szCs w:val="20"/>
                <w:color w:val="auto"/>
              </w:rPr>
            </w:pPr>
            <w:r>
              <w:rPr>
                <w:rFonts w:ascii="Times New Roman" w:cs="Times New Roman" w:eastAsia="Times New Roman" w:hAnsi="Times New Roman"/>
                <w:sz w:val="18"/>
                <w:szCs w:val="18"/>
                <w:color w:val="auto"/>
              </w:rPr>
              <w:t>39</w:t>
            </w:r>
          </w:p>
        </w:tc>
        <w:tc>
          <w:tcPr>
            <w:tcW w:w="240" w:type="dxa"/>
            <w:vAlign w:val="bottom"/>
            <w:tcBorders>
              <w:bottom w:val="single" w:sz="8" w:color="auto"/>
            </w:tcBorders>
            <w:shd w:val="clear" w:color="auto" w:fill="DBDBDB"/>
          </w:tcPr>
          <w:p>
            <w:pPr>
              <w:spacing w:after="0"/>
              <w:rPr>
                <w:sz w:val="22"/>
                <w:szCs w:val="22"/>
                <w:color w:val="auto"/>
              </w:rPr>
            </w:pPr>
          </w:p>
        </w:tc>
        <w:tc>
          <w:tcPr>
            <w:tcW w:w="1360" w:type="dxa"/>
            <w:vAlign w:val="bottom"/>
            <w:tcBorders>
              <w:bottom w:val="single" w:sz="8" w:color="auto"/>
            </w:tcBorders>
            <w:shd w:val="clear" w:color="auto" w:fill="DBDBDB"/>
          </w:tcPr>
          <w:p>
            <w:pPr>
              <w:ind w:left="980"/>
              <w:spacing w:after="0"/>
              <w:rPr>
                <w:sz w:val="20"/>
                <w:szCs w:val="20"/>
                <w:color w:val="auto"/>
              </w:rPr>
            </w:pPr>
            <w:r>
              <w:rPr>
                <w:rFonts w:ascii="Times New Roman" w:cs="Times New Roman" w:eastAsia="Times New Roman" w:hAnsi="Times New Roman"/>
                <w:sz w:val="18"/>
                <w:szCs w:val="18"/>
                <w:color w:val="auto"/>
              </w:rPr>
              <w:t>(76)</w:t>
            </w:r>
          </w:p>
        </w:tc>
        <w:tc>
          <w:tcPr>
            <w:tcW w:w="340" w:type="dxa"/>
            <w:vAlign w:val="bottom"/>
            <w:tcBorders>
              <w:bottom w:val="single" w:sz="8" w:color="auto"/>
            </w:tcBorders>
            <w:shd w:val="clear" w:color="auto" w:fill="DBDBDB"/>
          </w:tcPr>
          <w:p>
            <w:pPr>
              <w:spacing w:after="0"/>
              <w:rPr>
                <w:sz w:val="22"/>
                <w:szCs w:val="22"/>
                <w:color w:val="auto"/>
              </w:rPr>
            </w:pPr>
          </w:p>
        </w:tc>
        <w:tc>
          <w:tcPr>
            <w:tcW w:w="106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(450)</w:t>
            </w:r>
          </w:p>
        </w:tc>
      </w:tr>
      <w:tr>
        <w:trPr>
          <w:trHeight w:val="244"/>
        </w:trPr>
        <w:tc>
          <w:tcPr>
            <w:tcW w:w="3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8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5,412</w:t>
            </w:r>
          </w:p>
        </w:tc>
        <w:tc>
          <w:tcPr>
            <w:tcW w:w="3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1,093</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6,476</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108</w:t>
            </w:r>
          </w:p>
        </w:tc>
        <w:tc>
          <w:tcPr>
            <w:tcW w:w="3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13,089</w:t>
            </w:r>
          </w:p>
        </w:tc>
      </w:tr>
    </w:tbl>
    <w:p>
      <w:pPr>
        <w:spacing w:after="0" w:line="130" w:lineRule="exact"/>
        <w:rPr>
          <w:sz w:val="20"/>
          <w:szCs w:val="20"/>
          <w:color w:val="auto"/>
        </w:rPr>
      </w:pPr>
    </w:p>
    <w:p>
      <w:pPr>
        <w:ind w:left="980" w:hanging="954"/>
        <w:spacing w:after="0"/>
        <w:tabs>
          <w:tab w:leader="none" w:pos="98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For the period ended December 31, 2023, there was a release of credit losses of $100,000 for unfunded commitments.</w:t>
      </w:r>
    </w:p>
    <w:p>
      <w:pPr>
        <w:spacing w:after="0" w:line="200" w:lineRule="exact"/>
        <w:rPr>
          <w:rFonts w:ascii="Times New Roman" w:cs="Times New Roman" w:eastAsia="Times New Roman" w:hAnsi="Times New Roman"/>
          <w:sz w:val="18"/>
          <w:szCs w:val="18"/>
          <w:b w:val="1"/>
          <w:bCs w:val="1"/>
          <w:color w:val="auto"/>
        </w:rPr>
      </w:pPr>
    </w:p>
    <w:p>
      <w:pPr>
        <w:spacing w:after="0" w:line="200" w:lineRule="exact"/>
        <w:rPr>
          <w:rFonts w:ascii="Times New Roman" w:cs="Times New Roman" w:eastAsia="Times New Roman" w:hAnsi="Times New Roman"/>
          <w:sz w:val="18"/>
          <w:szCs w:val="18"/>
          <w:b w:val="1"/>
          <w:bCs w:val="1"/>
          <w:color w:val="auto"/>
        </w:rPr>
      </w:pPr>
    </w:p>
    <w:p>
      <w:pPr>
        <w:spacing w:after="0" w:line="200" w:lineRule="exact"/>
        <w:rPr>
          <w:rFonts w:ascii="Times New Roman" w:cs="Times New Roman" w:eastAsia="Times New Roman" w:hAnsi="Times New Roman"/>
          <w:sz w:val="18"/>
          <w:szCs w:val="18"/>
          <w:b w:val="1"/>
          <w:bCs w:val="1"/>
          <w:color w:val="auto"/>
        </w:rPr>
      </w:pPr>
    </w:p>
    <w:p>
      <w:pPr>
        <w:spacing w:after="0" w:line="354" w:lineRule="exact"/>
        <w:rPr>
          <w:rFonts w:ascii="Times New Roman" w:cs="Times New Roman" w:eastAsia="Times New Roman" w:hAnsi="Times New Roman"/>
          <w:sz w:val="18"/>
          <w:szCs w:val="18"/>
          <w:b w:val="1"/>
          <w:bCs w:val="1"/>
          <w:color w:val="auto"/>
        </w:rPr>
      </w:pPr>
    </w:p>
    <w:p>
      <w:pPr>
        <w:ind w:left="55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ACL by category for the period ended December 31, 2022 is as follows: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Faith-based</w:t>
            </w:r>
          </w:p>
        </w:tc>
        <w:tc>
          <w:tcPr>
            <w:tcW w:w="2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45"/>
        </w:trPr>
        <w:tc>
          <w:tcPr>
            <w:tcW w:w="3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8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C&amp;I</w:t>
            </w:r>
          </w:p>
        </w:tc>
        <w:tc>
          <w:tcPr>
            <w:tcW w:w="3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CRE</w:t>
            </w:r>
          </w:p>
        </w:tc>
        <w:tc>
          <w:tcPr>
            <w:tcW w:w="2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CRE</w:t>
            </w:r>
          </w:p>
        </w:tc>
        <w:tc>
          <w:tcPr>
            <w:tcW w:w="24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Construction</w:t>
            </w:r>
          </w:p>
        </w:tc>
        <w:tc>
          <w:tcPr>
            <w:tcW w:w="3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56"/>
        </w:trPr>
        <w:tc>
          <w:tcPr>
            <w:tcW w:w="382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Allowance for credit losses on loans:</w:t>
            </w:r>
          </w:p>
        </w:tc>
        <w:tc>
          <w:tcPr>
            <w:tcW w:w="820" w:type="dxa"/>
            <w:vAlign w:val="bottom"/>
            <w:shd w:val="clear" w:color="auto" w:fill="DBDBDB"/>
          </w:tcPr>
          <w:p>
            <w:pPr>
              <w:spacing w:after="0"/>
              <w:rPr>
                <w:sz w:val="22"/>
                <w:szCs w:val="22"/>
                <w:color w:val="auto"/>
              </w:rPr>
            </w:pPr>
          </w:p>
        </w:tc>
        <w:tc>
          <w:tcPr>
            <w:tcW w:w="900" w:type="dxa"/>
            <w:vAlign w:val="bottom"/>
            <w:shd w:val="clear" w:color="auto" w:fill="DBDBDB"/>
          </w:tcPr>
          <w:p>
            <w:pPr>
              <w:spacing w:after="0"/>
              <w:rPr>
                <w:sz w:val="22"/>
                <w:szCs w:val="22"/>
                <w:color w:val="auto"/>
              </w:rPr>
            </w:pPr>
          </w:p>
        </w:tc>
        <w:tc>
          <w:tcPr>
            <w:tcW w:w="340" w:type="dxa"/>
            <w:vAlign w:val="bottom"/>
            <w:shd w:val="clear" w:color="auto" w:fill="DBDBDB"/>
          </w:tcPr>
          <w:p>
            <w:pPr>
              <w:spacing w:after="0"/>
              <w:rPr>
                <w:sz w:val="22"/>
                <w:szCs w:val="22"/>
                <w:color w:val="auto"/>
              </w:rPr>
            </w:pPr>
          </w:p>
        </w:tc>
        <w:tc>
          <w:tcPr>
            <w:tcW w:w="940" w:type="dxa"/>
            <w:vAlign w:val="bottom"/>
            <w:shd w:val="clear" w:color="auto" w:fill="DBDBDB"/>
          </w:tcPr>
          <w:p>
            <w:pPr>
              <w:spacing w:after="0"/>
              <w:rPr>
                <w:sz w:val="22"/>
                <w:szCs w:val="22"/>
                <w:color w:val="auto"/>
              </w:rPr>
            </w:pPr>
          </w:p>
        </w:tc>
        <w:tc>
          <w:tcPr>
            <w:tcW w:w="220" w:type="dxa"/>
            <w:vAlign w:val="bottom"/>
            <w:shd w:val="clear" w:color="auto" w:fill="DBDBDB"/>
          </w:tcPr>
          <w:p>
            <w:pPr>
              <w:spacing w:after="0"/>
              <w:rPr>
                <w:sz w:val="22"/>
                <w:szCs w:val="22"/>
                <w:color w:val="auto"/>
              </w:rPr>
            </w:pPr>
          </w:p>
        </w:tc>
        <w:tc>
          <w:tcPr>
            <w:tcW w:w="1200" w:type="dxa"/>
            <w:vAlign w:val="bottom"/>
            <w:shd w:val="clear" w:color="auto" w:fill="DBDBDB"/>
          </w:tcPr>
          <w:p>
            <w:pPr>
              <w:spacing w:after="0"/>
              <w:rPr>
                <w:sz w:val="22"/>
                <w:szCs w:val="22"/>
                <w:color w:val="auto"/>
              </w:rPr>
            </w:pPr>
          </w:p>
        </w:tc>
        <w:tc>
          <w:tcPr>
            <w:tcW w:w="240" w:type="dxa"/>
            <w:vAlign w:val="bottom"/>
            <w:shd w:val="clear" w:color="auto" w:fill="DBDBDB"/>
          </w:tcPr>
          <w:p>
            <w:pPr>
              <w:spacing w:after="0"/>
              <w:rPr>
                <w:sz w:val="22"/>
                <w:szCs w:val="22"/>
                <w:color w:val="auto"/>
              </w:rPr>
            </w:pPr>
          </w:p>
        </w:tc>
        <w:tc>
          <w:tcPr>
            <w:tcW w:w="1360" w:type="dxa"/>
            <w:vAlign w:val="bottom"/>
            <w:shd w:val="clear" w:color="auto" w:fill="DBDBDB"/>
          </w:tcPr>
          <w:p>
            <w:pPr>
              <w:spacing w:after="0"/>
              <w:rPr>
                <w:sz w:val="22"/>
                <w:szCs w:val="22"/>
                <w:color w:val="auto"/>
              </w:rPr>
            </w:pPr>
          </w:p>
        </w:tc>
        <w:tc>
          <w:tcPr>
            <w:tcW w:w="340" w:type="dxa"/>
            <w:vAlign w:val="bottom"/>
            <w:shd w:val="clear" w:color="auto" w:fill="DBDBDB"/>
          </w:tcPr>
          <w:p>
            <w:pPr>
              <w:spacing w:after="0"/>
              <w:rPr>
                <w:sz w:val="22"/>
                <w:szCs w:val="22"/>
                <w:color w:val="auto"/>
              </w:rPr>
            </w:pPr>
          </w:p>
        </w:tc>
        <w:tc>
          <w:tcPr>
            <w:tcW w:w="1060" w:type="dxa"/>
            <w:vAlign w:val="bottom"/>
            <w:shd w:val="clear" w:color="auto" w:fill="DBDBDB"/>
          </w:tcPr>
          <w:p>
            <w:pPr>
              <w:spacing w:after="0"/>
              <w:rPr>
                <w:sz w:val="22"/>
                <w:szCs w:val="22"/>
                <w:color w:val="auto"/>
              </w:rPr>
            </w:pPr>
          </w:p>
        </w:tc>
      </w:tr>
      <w:tr>
        <w:trPr>
          <w:trHeight w:val="250"/>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January 1, 2021</w:t>
            </w:r>
          </w:p>
        </w:tc>
        <w:tc>
          <w:tcPr>
            <w:tcW w:w="8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5,034</w:t>
            </w:r>
          </w:p>
        </w:tc>
        <w:tc>
          <w:tcPr>
            <w:tcW w:w="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1,031</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5,684</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292</w:t>
            </w:r>
          </w:p>
        </w:tc>
        <w:tc>
          <w:tcPr>
            <w:tcW w:w="3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12,041</w:t>
            </w:r>
          </w:p>
        </w:tc>
      </w:tr>
      <w:tr>
        <w:trPr>
          <w:trHeight w:val="263"/>
        </w:trPr>
        <w:tc>
          <w:tcPr>
            <w:tcW w:w="3820" w:type="dxa"/>
            <w:vAlign w:val="bottom"/>
            <w:shd w:val="clear" w:color="auto" w:fill="DBDBDB"/>
          </w:tcPr>
          <w:p>
            <w:pPr>
              <w:ind w:left="300"/>
              <w:spacing w:after="0" w:line="263" w:lineRule="exact"/>
              <w:rPr>
                <w:sz w:val="20"/>
                <w:szCs w:val="20"/>
                <w:color w:val="auto"/>
              </w:rPr>
            </w:pPr>
            <w:r>
              <w:rPr>
                <w:rFonts w:ascii="Times New Roman" w:cs="Times New Roman" w:eastAsia="Times New Roman" w:hAnsi="Times New Roman"/>
                <w:sz w:val="18"/>
                <w:szCs w:val="18"/>
                <w:color w:val="auto"/>
              </w:rPr>
              <w:t xml:space="preserve">Provision for (release of) credit losses </w:t>
            </w:r>
            <w:r>
              <w:rPr>
                <w:rFonts w:ascii="Times New Roman" w:cs="Times New Roman" w:eastAsia="Times New Roman" w:hAnsi="Times New Roman"/>
                <w:sz w:val="23"/>
                <w:szCs w:val="23"/>
                <w:color w:val="auto"/>
                <w:vertAlign w:val="superscript"/>
              </w:rPr>
              <w:t>(1)</w:t>
            </w:r>
          </w:p>
        </w:tc>
        <w:tc>
          <w:tcPr>
            <w:tcW w:w="820" w:type="dxa"/>
            <w:vAlign w:val="bottom"/>
            <w:shd w:val="clear" w:color="auto" w:fill="DBDBDB"/>
          </w:tcPr>
          <w:p>
            <w:pPr>
              <w:spacing w:after="0"/>
              <w:rPr>
                <w:sz w:val="22"/>
                <w:szCs w:val="22"/>
                <w:color w:val="auto"/>
              </w:rPr>
            </w:pPr>
          </w:p>
        </w:tc>
        <w:tc>
          <w:tcPr>
            <w:tcW w:w="9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931</w:t>
            </w:r>
          </w:p>
        </w:tc>
        <w:tc>
          <w:tcPr>
            <w:tcW w:w="340" w:type="dxa"/>
            <w:vAlign w:val="bottom"/>
            <w:shd w:val="clear" w:color="auto" w:fill="DBDBDB"/>
          </w:tcPr>
          <w:p>
            <w:pPr>
              <w:spacing w:after="0"/>
              <w:rPr>
                <w:sz w:val="22"/>
                <w:szCs w:val="22"/>
                <w:color w:val="auto"/>
              </w:rPr>
            </w:pPr>
          </w:p>
        </w:tc>
        <w:tc>
          <w:tcPr>
            <w:tcW w:w="9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220" w:type="dxa"/>
            <w:vAlign w:val="bottom"/>
            <w:shd w:val="clear" w:color="auto" w:fill="DBDBDB"/>
          </w:tcPr>
          <w:p>
            <w:pPr>
              <w:spacing w:after="0"/>
              <w:rPr>
                <w:sz w:val="22"/>
                <w:szCs w:val="22"/>
                <w:color w:val="auto"/>
              </w:rPr>
            </w:pPr>
          </w:p>
        </w:tc>
        <w:tc>
          <w:tcPr>
            <w:tcW w:w="1200" w:type="dxa"/>
            <w:vAlign w:val="bottom"/>
            <w:shd w:val="clear" w:color="auto" w:fill="DBDBDB"/>
          </w:tcPr>
          <w:p>
            <w:pPr>
              <w:jc w:val="right"/>
              <w:ind w:right="10"/>
              <w:spacing w:after="0"/>
              <w:rPr>
                <w:sz w:val="20"/>
                <w:szCs w:val="20"/>
                <w:color w:val="auto"/>
              </w:rPr>
            </w:pPr>
            <w:r>
              <w:rPr>
                <w:rFonts w:ascii="Times New Roman" w:cs="Times New Roman" w:eastAsia="Times New Roman" w:hAnsi="Times New Roman"/>
                <w:sz w:val="18"/>
                <w:szCs w:val="18"/>
                <w:color w:val="auto"/>
              </w:rPr>
              <w:t>753</w:t>
            </w:r>
          </w:p>
        </w:tc>
        <w:tc>
          <w:tcPr>
            <w:tcW w:w="240" w:type="dxa"/>
            <w:vAlign w:val="bottom"/>
            <w:shd w:val="clear" w:color="auto" w:fill="DBDBDB"/>
          </w:tcPr>
          <w:p>
            <w:pPr>
              <w:spacing w:after="0"/>
              <w:rPr>
                <w:sz w:val="22"/>
                <w:szCs w:val="22"/>
                <w:color w:val="auto"/>
              </w:rPr>
            </w:pPr>
          </w:p>
        </w:tc>
        <w:tc>
          <w:tcPr>
            <w:tcW w:w="13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340" w:type="dxa"/>
            <w:vAlign w:val="bottom"/>
            <w:shd w:val="clear" w:color="auto" w:fill="DBDBDB"/>
          </w:tcPr>
          <w:p>
            <w:pPr>
              <w:spacing w:after="0"/>
              <w:rPr>
                <w:sz w:val="22"/>
                <w:szCs w:val="22"/>
                <w:color w:val="auto"/>
              </w:rPr>
            </w:pPr>
          </w:p>
        </w:tc>
        <w:tc>
          <w:tcPr>
            <w:tcW w:w="10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1,485</w:t>
            </w:r>
          </w:p>
        </w:tc>
      </w:tr>
      <w:tr>
        <w:trPr>
          <w:trHeight w:val="250"/>
        </w:trPr>
        <w:tc>
          <w:tcPr>
            <w:tcW w:w="382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Recoveries</w:t>
            </w:r>
          </w:p>
        </w:tc>
        <w:tc>
          <w:tcPr>
            <w:tcW w:w="8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3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50"/>
        </w:trPr>
        <w:tc>
          <w:tcPr>
            <w:tcW w:w="3820" w:type="dxa"/>
            <w:vAlign w:val="bottom"/>
            <w:tcBorders>
              <w:bottom w:val="single" w:sz="8" w:color="auto"/>
            </w:tcBorders>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820" w:type="dxa"/>
            <w:vAlign w:val="bottom"/>
            <w:tcBorders>
              <w:bottom w:val="single" w:sz="8" w:color="auto"/>
            </w:tcBorders>
            <w:shd w:val="clear" w:color="auto" w:fill="DBDBDB"/>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5,978</w:t>
            </w:r>
          </w:p>
        </w:tc>
        <w:tc>
          <w:tcPr>
            <w:tcW w:w="340" w:type="dxa"/>
            <w:vAlign w:val="bottom"/>
            <w:tcBorders>
              <w:bottom w:val="single" w:sz="8" w:color="auto"/>
            </w:tcBorders>
            <w:shd w:val="clear" w:color="auto" w:fill="DBDBDB"/>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DBDBDB"/>
          </w:tcPr>
          <w:p>
            <w:pPr>
              <w:jc w:val="right"/>
              <w:ind w:right="30"/>
              <w:spacing w:after="0"/>
              <w:rPr>
                <w:sz w:val="20"/>
                <w:szCs w:val="20"/>
                <w:color w:val="auto"/>
              </w:rPr>
            </w:pPr>
            <w:r>
              <w:rPr>
                <w:rFonts w:ascii="Times New Roman" w:cs="Times New Roman" w:eastAsia="Times New Roman" w:hAnsi="Times New Roman"/>
                <w:sz w:val="18"/>
                <w:szCs w:val="18"/>
                <w:color w:val="auto"/>
              </w:rPr>
              <w:t>940</w:t>
            </w:r>
          </w:p>
        </w:tc>
        <w:tc>
          <w:tcPr>
            <w:tcW w:w="22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DBDBDB"/>
          </w:tcPr>
          <w:p>
            <w:pPr>
              <w:jc w:val="right"/>
              <w:ind w:right="10"/>
              <w:spacing w:after="0"/>
              <w:rPr>
                <w:sz w:val="20"/>
                <w:szCs w:val="20"/>
                <w:color w:val="auto"/>
              </w:rPr>
            </w:pPr>
            <w:r>
              <w:rPr>
                <w:rFonts w:ascii="Times New Roman" w:cs="Times New Roman" w:eastAsia="Times New Roman" w:hAnsi="Times New Roman"/>
                <w:sz w:val="18"/>
                <w:szCs w:val="18"/>
                <w:color w:val="auto"/>
              </w:rPr>
              <w:t>6,437</w:t>
            </w:r>
          </w:p>
        </w:tc>
        <w:tc>
          <w:tcPr>
            <w:tcW w:w="24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DBDBDB"/>
          </w:tcPr>
          <w:p>
            <w:pPr>
              <w:jc w:val="right"/>
              <w:ind w:right="30"/>
              <w:spacing w:after="0"/>
              <w:rPr>
                <w:sz w:val="20"/>
                <w:szCs w:val="20"/>
                <w:color w:val="auto"/>
              </w:rPr>
            </w:pPr>
            <w:r>
              <w:rPr>
                <w:rFonts w:ascii="Times New Roman" w:cs="Times New Roman" w:eastAsia="Times New Roman" w:hAnsi="Times New Roman"/>
                <w:sz w:val="18"/>
                <w:szCs w:val="18"/>
                <w:color w:val="auto"/>
              </w:rPr>
              <w:t>184</w:t>
            </w:r>
          </w:p>
        </w:tc>
        <w:tc>
          <w:tcPr>
            <w:tcW w:w="340" w:type="dxa"/>
            <w:vAlign w:val="bottom"/>
            <w:tcBorders>
              <w:bottom w:val="single" w:sz="8" w:color="auto"/>
            </w:tcBorders>
            <w:shd w:val="clear" w:color="auto" w:fill="DBDBDB"/>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13,539</w:t>
            </w:r>
          </w:p>
        </w:tc>
      </w:tr>
    </w:tbl>
    <w:p>
      <w:pPr>
        <w:spacing w:after="0" w:line="130" w:lineRule="exact"/>
        <w:rPr>
          <w:sz w:val="20"/>
          <w:szCs w:val="20"/>
          <w:color w:val="auto"/>
        </w:rPr>
      </w:pPr>
    </w:p>
    <w:p>
      <w:pPr>
        <w:ind w:left="980" w:hanging="954"/>
        <w:spacing w:after="0"/>
        <w:tabs>
          <w:tab w:leader="none" w:pos="98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For the period ended December 31, 2022, there was a release of credit losses of $135,000 for unfunded commitments.</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80" w:type="dxa"/>
            <w:vAlign w:val="bottom"/>
          </w:tcPr>
          <w:p>
            <w:pPr>
              <w:spacing w:after="0"/>
              <w:rPr>
                <w:sz w:val="20"/>
                <w:szCs w:val="20"/>
                <w:color w:val="auto"/>
              </w:rPr>
            </w:pPr>
            <w:r>
              <w:rPr>
                <w:rFonts w:ascii="Times New Roman" w:cs="Times New Roman" w:eastAsia="Times New Roman" w:hAnsi="Times New Roman"/>
                <w:sz w:val="18"/>
                <w:szCs w:val="18"/>
                <w:color w:val="auto"/>
              </w:rPr>
              <w:t>As of December 31, 2023 and 2022, there were no loans to executive officers or directors, or their affiliates.</w:t>
            </w: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410"/>
        </w:trPr>
        <w:tc>
          <w:tcPr>
            <w:tcW w:w="8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5</w:t>
            </w: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38"/>
        </w:trPr>
        <w:tc>
          <w:tcPr>
            <w:tcW w:w="8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Premises and Equipment</w:t>
            </w: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432"/>
        </w:trPr>
        <w:tc>
          <w:tcPr>
            <w:tcW w:w="8180" w:type="dxa"/>
            <w:vAlign w:val="bottom"/>
          </w:tcPr>
          <w:p>
            <w:pPr>
              <w:spacing w:after="0"/>
              <w:rPr>
                <w:sz w:val="20"/>
                <w:szCs w:val="20"/>
                <w:color w:val="auto"/>
              </w:rPr>
            </w:pPr>
            <w:r>
              <w:rPr>
                <w:rFonts w:ascii="Times New Roman" w:cs="Times New Roman" w:eastAsia="Times New Roman" w:hAnsi="Times New Roman"/>
                <w:sz w:val="18"/>
                <w:szCs w:val="18"/>
                <w:color w:val="auto"/>
              </w:rPr>
              <w:t>A summary of premises and equipment is as follows:</w:t>
            </w: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493"/>
        </w:trPr>
        <w:tc>
          <w:tcPr>
            <w:tcW w:w="81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60" w:type="dxa"/>
            <w:vAlign w:val="bottom"/>
            <w:tcBorders>
              <w:bottom w:val="single" w:sz="8" w:color="auto"/>
            </w:tcBorders>
          </w:tcPr>
          <w:p>
            <w:pPr>
              <w:spacing w:after="0"/>
              <w:rPr>
                <w:sz w:val="24"/>
                <w:szCs w:val="24"/>
                <w:color w:val="auto"/>
              </w:rPr>
            </w:pPr>
          </w:p>
        </w:tc>
      </w:tr>
      <w:tr>
        <w:trPr>
          <w:trHeight w:val="250"/>
        </w:trPr>
        <w:tc>
          <w:tcPr>
            <w:tcW w:w="8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6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56"/>
        </w:trPr>
        <w:tc>
          <w:tcPr>
            <w:tcW w:w="818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340" w:type="dxa"/>
            <w:vAlign w:val="bottom"/>
            <w:shd w:val="clear" w:color="auto" w:fill="DBDBDB"/>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DBDBDB"/>
          </w:tcPr>
          <w:p>
            <w:pPr>
              <w:jc w:val="right"/>
              <w:ind w:right="10"/>
              <w:spacing w:after="0"/>
              <w:rPr>
                <w:sz w:val="20"/>
                <w:szCs w:val="20"/>
                <w:color w:val="auto"/>
              </w:rPr>
            </w:pPr>
            <w:r>
              <w:rPr>
                <w:rFonts w:ascii="Times New Roman" w:cs="Times New Roman" w:eastAsia="Times New Roman" w:hAnsi="Times New Roman"/>
                <w:sz w:val="18"/>
                <w:szCs w:val="18"/>
                <w:color w:val="auto"/>
              </w:rPr>
              <w:t>873</w:t>
            </w:r>
          </w:p>
        </w:tc>
        <w:tc>
          <w:tcPr>
            <w:tcW w:w="600" w:type="dxa"/>
            <w:vAlign w:val="bottom"/>
            <w:shd w:val="clear" w:color="auto" w:fill="DBDBDB"/>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873</w:t>
            </w: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15,176</w:t>
            </w:r>
          </w:p>
        </w:tc>
        <w:tc>
          <w:tcPr>
            <w:tcW w:w="6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14,903</w:t>
            </w:r>
          </w:p>
        </w:tc>
      </w:tr>
      <w:tr>
        <w:trPr>
          <w:trHeight w:val="263"/>
        </w:trPr>
        <w:tc>
          <w:tcPr>
            <w:tcW w:w="818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340" w:type="dxa"/>
            <w:vAlign w:val="bottom"/>
            <w:shd w:val="clear" w:color="auto" w:fill="DBDBDB"/>
          </w:tcPr>
          <w:p>
            <w:pPr>
              <w:spacing w:after="0"/>
              <w:rPr>
                <w:sz w:val="22"/>
                <w:szCs w:val="22"/>
                <w:color w:val="auto"/>
              </w:rPr>
            </w:pPr>
          </w:p>
        </w:tc>
        <w:tc>
          <w:tcPr>
            <w:tcW w:w="1160" w:type="dxa"/>
            <w:vAlign w:val="bottom"/>
            <w:shd w:val="clear" w:color="auto" w:fill="DBDBDB"/>
          </w:tcPr>
          <w:p>
            <w:pPr>
              <w:jc w:val="right"/>
              <w:ind w:right="10"/>
              <w:spacing w:after="0"/>
              <w:rPr>
                <w:sz w:val="20"/>
                <w:szCs w:val="20"/>
                <w:color w:val="auto"/>
              </w:rPr>
            </w:pPr>
            <w:r>
              <w:rPr>
                <w:rFonts w:ascii="Times New Roman" w:cs="Times New Roman" w:eastAsia="Times New Roman" w:hAnsi="Times New Roman"/>
                <w:sz w:val="18"/>
                <w:szCs w:val="18"/>
                <w:color w:val="auto"/>
              </w:rPr>
              <w:t>2,052</w:t>
            </w:r>
          </w:p>
        </w:tc>
        <w:tc>
          <w:tcPr>
            <w:tcW w:w="600" w:type="dxa"/>
            <w:vAlign w:val="bottom"/>
            <w:shd w:val="clear" w:color="auto" w:fill="DBDBDB"/>
          </w:tcPr>
          <w:p>
            <w:pPr>
              <w:spacing w:after="0"/>
              <w:rPr>
                <w:sz w:val="22"/>
                <w:szCs w:val="22"/>
                <w:color w:val="auto"/>
              </w:rPr>
            </w:pPr>
          </w:p>
        </w:tc>
        <w:tc>
          <w:tcPr>
            <w:tcW w:w="9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2,044</w:t>
            </w: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Furniture, fixtures and equipment</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16,333</w:t>
            </w:r>
          </w:p>
        </w:tc>
        <w:tc>
          <w:tcPr>
            <w:tcW w:w="6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14,668</w:t>
            </w:r>
          </w:p>
        </w:tc>
      </w:tr>
      <w:tr>
        <w:trPr>
          <w:trHeight w:val="257"/>
        </w:trPr>
        <w:tc>
          <w:tcPr>
            <w:tcW w:w="8180" w:type="dxa"/>
            <w:vAlign w:val="bottom"/>
            <w:tcBorders>
              <w:bottom w:val="single" w:sz="8" w:color="auto"/>
            </w:tcBorders>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Software</w:t>
            </w:r>
          </w:p>
        </w:tc>
        <w:tc>
          <w:tcPr>
            <w:tcW w:w="340" w:type="dxa"/>
            <w:vAlign w:val="bottom"/>
            <w:tcBorders>
              <w:bottom w:val="single" w:sz="8" w:color="auto"/>
            </w:tcBorders>
            <w:shd w:val="clear" w:color="auto" w:fill="DBDBDB"/>
          </w:tcPr>
          <w:p>
            <w:pPr>
              <w:spacing w:after="0"/>
              <w:rPr>
                <w:sz w:val="22"/>
                <w:szCs w:val="22"/>
                <w:color w:val="auto"/>
              </w:rPr>
            </w:pPr>
          </w:p>
        </w:tc>
        <w:tc>
          <w:tcPr>
            <w:tcW w:w="1160" w:type="dxa"/>
            <w:vAlign w:val="bottom"/>
            <w:tcBorders>
              <w:bottom w:val="single" w:sz="8" w:color="auto"/>
            </w:tcBorders>
            <w:shd w:val="clear" w:color="auto" w:fill="DBDBDB"/>
          </w:tcPr>
          <w:p>
            <w:pPr>
              <w:jc w:val="right"/>
              <w:ind w:right="10"/>
              <w:spacing w:after="0"/>
              <w:rPr>
                <w:sz w:val="20"/>
                <w:szCs w:val="20"/>
                <w:color w:val="auto"/>
              </w:rPr>
            </w:pPr>
            <w:r>
              <w:rPr>
                <w:rFonts w:ascii="Times New Roman" w:cs="Times New Roman" w:eastAsia="Times New Roman" w:hAnsi="Times New Roman"/>
                <w:sz w:val="18"/>
                <w:szCs w:val="18"/>
                <w:color w:val="auto"/>
              </w:rPr>
              <w:t>44,345</w:t>
            </w:r>
          </w:p>
        </w:tc>
        <w:tc>
          <w:tcPr>
            <w:tcW w:w="600" w:type="dxa"/>
            <w:vAlign w:val="bottom"/>
            <w:tcBorders>
              <w:bottom w:val="single" w:sz="8" w:color="auto"/>
            </w:tcBorders>
            <w:shd w:val="clear" w:color="auto" w:fill="DBDBDB"/>
          </w:tcPr>
          <w:p>
            <w:pPr>
              <w:spacing w:after="0"/>
              <w:rPr>
                <w:sz w:val="22"/>
                <w:szCs w:val="22"/>
                <w:color w:val="auto"/>
              </w:rPr>
            </w:pPr>
          </w:p>
        </w:tc>
        <w:tc>
          <w:tcPr>
            <w:tcW w:w="96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31,956</w:t>
            </w: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78,779</w:t>
            </w:r>
          </w:p>
        </w:tc>
        <w:tc>
          <w:tcPr>
            <w:tcW w:w="6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64,444</w:t>
            </w:r>
          </w:p>
        </w:tc>
      </w:tr>
      <w:tr>
        <w:trPr>
          <w:trHeight w:val="257"/>
        </w:trPr>
        <w:tc>
          <w:tcPr>
            <w:tcW w:w="8180" w:type="dxa"/>
            <w:vAlign w:val="bottom"/>
            <w:tcBorders>
              <w:bottom w:val="single" w:sz="8" w:color="auto"/>
            </w:tcBorders>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340" w:type="dxa"/>
            <w:vAlign w:val="bottom"/>
            <w:tcBorders>
              <w:bottom w:val="single" w:sz="8" w:color="auto"/>
            </w:tcBorders>
            <w:shd w:val="clear" w:color="auto" w:fill="DBDBDB"/>
          </w:tcPr>
          <w:p>
            <w:pPr>
              <w:spacing w:after="0"/>
              <w:rPr>
                <w:sz w:val="22"/>
                <w:szCs w:val="22"/>
                <w:color w:val="auto"/>
              </w:rPr>
            </w:pPr>
          </w:p>
        </w:tc>
        <w:tc>
          <w:tcPr>
            <w:tcW w:w="1160" w:type="dxa"/>
            <w:vAlign w:val="bottom"/>
            <w:tcBorders>
              <w:bottom w:val="single" w:sz="8" w:color="auto"/>
            </w:tcBorders>
            <w:shd w:val="clear" w:color="auto" w:fill="DBDBDB"/>
          </w:tcPr>
          <w:p>
            <w:pPr>
              <w:jc w:val="right"/>
              <w:ind w:right="10"/>
              <w:spacing w:after="0"/>
              <w:rPr>
                <w:sz w:val="20"/>
                <w:szCs w:val="20"/>
                <w:color w:val="auto"/>
              </w:rPr>
            </w:pPr>
            <w:r>
              <w:rPr>
                <w:rFonts w:ascii="Times New Roman" w:cs="Times New Roman" w:eastAsia="Times New Roman" w:hAnsi="Times New Roman"/>
                <w:sz w:val="18"/>
                <w:szCs w:val="18"/>
                <w:color w:val="auto"/>
              </w:rPr>
              <w:t>48,686</w:t>
            </w:r>
          </w:p>
        </w:tc>
        <w:tc>
          <w:tcPr>
            <w:tcW w:w="600" w:type="dxa"/>
            <w:vAlign w:val="bottom"/>
            <w:tcBorders>
              <w:bottom w:val="single" w:sz="8" w:color="auto"/>
            </w:tcBorders>
            <w:shd w:val="clear" w:color="auto" w:fill="DBDBDB"/>
          </w:tcPr>
          <w:p>
            <w:pPr>
              <w:spacing w:after="0"/>
              <w:rPr>
                <w:sz w:val="22"/>
                <w:szCs w:val="22"/>
                <w:color w:val="auto"/>
              </w:rPr>
            </w:pPr>
          </w:p>
        </w:tc>
        <w:tc>
          <w:tcPr>
            <w:tcW w:w="96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44,486</w:t>
            </w:r>
          </w:p>
        </w:tc>
      </w:tr>
      <w:tr>
        <w:trPr>
          <w:trHeight w:val="250"/>
        </w:trPr>
        <w:tc>
          <w:tcPr>
            <w:tcW w:w="8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premises and equipment, net</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30,093</w:t>
            </w:r>
          </w:p>
        </w:tc>
        <w:tc>
          <w:tcPr>
            <w:tcW w:w="6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19,958</w:t>
            </w: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depreciation charged to expense in 2023, 2022 and 2021 amounted to $4.2 million, $4.0 million, and $4.3 million, respectively.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Acquired Intangible Assets</w:t>
      </w:r>
    </w:p>
    <w:p>
      <w:pPr>
        <w:spacing w:after="0" w:line="16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The Company accounts for intangible assets in accordance with FASB ASC 350, </w:t>
      </w:r>
      <w:r>
        <w:rPr>
          <w:rFonts w:ascii="Times New Roman" w:cs="Times New Roman" w:eastAsia="Times New Roman" w:hAnsi="Times New Roman"/>
          <w:sz w:val="18"/>
          <w:szCs w:val="18"/>
          <w:i w:val="1"/>
          <w:iCs w:val="1"/>
          <w:color w:val="auto"/>
        </w:rPr>
        <w:t>Goodwill and Other Intangible Assets</w:t>
      </w:r>
      <w:r>
        <w:rPr>
          <w:rFonts w:ascii="Times New Roman" w:cs="Times New Roman" w:eastAsia="Times New Roman" w:hAnsi="Times New Roman"/>
          <w:sz w:val="18"/>
          <w:szCs w:val="18"/>
          <w:color w:val="auto"/>
        </w:rPr>
        <w:t>, which requires that intangibles with indefinite useful lives be tested annually for impairment, or when management deems there is a triggering event, and those with finite useful lives be amortized over their useful lives.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Details of the Company’s intangible assets are as follows: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0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20" w:type="dxa"/>
            <w:vAlign w:val="bottom"/>
            <w:gridSpan w:val="4"/>
          </w:tcPr>
          <w:p>
            <w:pPr>
              <w:ind w:left="66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20" w:type="dxa"/>
            <w:vAlign w:val="bottom"/>
          </w:tcPr>
          <w:p>
            <w:pPr>
              <w:spacing w:after="0"/>
              <w:rPr>
                <w:sz w:val="21"/>
                <w:szCs w:val="21"/>
                <w:color w:val="auto"/>
              </w:rPr>
            </w:pPr>
          </w:p>
        </w:tc>
        <w:tc>
          <w:tcPr>
            <w:tcW w:w="2940" w:type="dxa"/>
            <w:vAlign w:val="bottom"/>
            <w:gridSpan w:val="3"/>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0" w:type="dxa"/>
            <w:vAlign w:val="bottom"/>
          </w:tcPr>
          <w:p>
            <w:pPr>
              <w:spacing w:after="0"/>
              <w:rPr>
                <w:sz w:val="1"/>
                <w:szCs w:val="1"/>
                <w:color w:val="auto"/>
              </w:rPr>
            </w:pPr>
          </w:p>
        </w:tc>
      </w:tr>
      <w:tr>
        <w:trPr>
          <w:trHeight w:val="175"/>
        </w:trPr>
        <w:tc>
          <w:tcPr>
            <w:tcW w:w="502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4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tcPr>
          <w:p>
            <w:pPr>
              <w:jc w:val="right"/>
              <w:ind w:right="70"/>
              <w:spacing w:after="0" w:line="176" w:lineRule="exact"/>
              <w:rPr>
                <w:sz w:val="20"/>
                <w:szCs w:val="20"/>
                <w:color w:val="auto"/>
              </w:rPr>
            </w:pPr>
            <w:r>
              <w:rPr>
                <w:rFonts w:ascii="Times New Roman" w:cs="Times New Roman" w:eastAsia="Times New Roman" w:hAnsi="Times New Roman"/>
                <w:sz w:val="18"/>
                <w:szCs w:val="18"/>
                <w:b w:val="1"/>
                <w:bCs w:val="1"/>
                <w:color w:val="auto"/>
                <w:w w:val="97"/>
              </w:rPr>
              <w:t>Gross Carrying</w:t>
            </w:r>
          </w:p>
        </w:tc>
        <w:tc>
          <w:tcPr>
            <w:tcW w:w="24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tcPr>
          <w:p>
            <w:pPr>
              <w:jc w:val="right"/>
              <w:ind w:right="150"/>
              <w:spacing w:after="0" w:line="176" w:lineRule="exact"/>
              <w:rPr>
                <w:sz w:val="20"/>
                <w:szCs w:val="20"/>
                <w:color w:val="auto"/>
              </w:rPr>
            </w:pPr>
            <w:r>
              <w:rPr>
                <w:rFonts w:ascii="Times New Roman" w:cs="Times New Roman" w:eastAsia="Times New Roman" w:hAnsi="Times New Roman"/>
                <w:sz w:val="18"/>
                <w:szCs w:val="18"/>
                <w:b w:val="1"/>
                <w:bCs w:val="1"/>
                <w:color w:val="auto"/>
              </w:rPr>
              <w:t>Accumulated</w:t>
            </w: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380" w:type="dxa"/>
            <w:vAlign w:val="bottom"/>
            <w:tcBorders>
              <w:top w:val="single" w:sz="8" w:color="auto"/>
            </w:tcBorders>
          </w:tcPr>
          <w:p>
            <w:pPr>
              <w:jc w:val="right"/>
              <w:ind w:right="70"/>
              <w:spacing w:after="0" w:line="176" w:lineRule="exact"/>
              <w:rPr>
                <w:sz w:val="20"/>
                <w:szCs w:val="20"/>
                <w:color w:val="auto"/>
              </w:rPr>
            </w:pPr>
            <w:r>
              <w:rPr>
                <w:rFonts w:ascii="Times New Roman" w:cs="Times New Roman" w:eastAsia="Times New Roman" w:hAnsi="Times New Roman"/>
                <w:sz w:val="18"/>
                <w:szCs w:val="18"/>
                <w:b w:val="1"/>
                <w:bCs w:val="1"/>
                <w:color w:val="auto"/>
                <w:w w:val="99"/>
              </w:rPr>
              <w:t>Gross Carrying</w:t>
            </w:r>
          </w:p>
        </w:tc>
        <w:tc>
          <w:tcPr>
            <w:tcW w:w="24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tcPr>
          <w:p>
            <w:pPr>
              <w:jc w:val="right"/>
              <w:ind w:right="150"/>
              <w:spacing w:after="0" w:line="176" w:lineRule="exact"/>
              <w:rPr>
                <w:sz w:val="20"/>
                <w:szCs w:val="20"/>
                <w:color w:val="auto"/>
              </w:rPr>
            </w:pPr>
            <w:r>
              <w:rPr>
                <w:rFonts w:ascii="Times New Roman" w:cs="Times New Roman" w:eastAsia="Times New Roman" w:hAnsi="Times New Roman"/>
                <w:sz w:val="18"/>
                <w:szCs w:val="18"/>
                <w:b w:val="1"/>
                <w:bCs w:val="1"/>
                <w:color w:val="auto"/>
              </w:rPr>
              <w:t>Accumulated</w:t>
            </w:r>
          </w:p>
        </w:tc>
        <w:tc>
          <w:tcPr>
            <w:tcW w:w="0" w:type="dxa"/>
            <w:vAlign w:val="bottom"/>
          </w:tcPr>
          <w:p>
            <w:pPr>
              <w:spacing w:after="0"/>
              <w:rPr>
                <w:sz w:val="1"/>
                <w:szCs w:val="1"/>
                <w:color w:val="auto"/>
              </w:rPr>
            </w:pPr>
          </w:p>
        </w:tc>
      </w:tr>
      <w:tr>
        <w:trPr>
          <w:trHeight w:val="241"/>
        </w:trPr>
        <w:tc>
          <w:tcPr>
            <w:tcW w:w="5020" w:type="dxa"/>
            <w:vAlign w:val="bottom"/>
            <w:tcBorders>
              <w:bottom w:val="single" w:sz="8" w:color="auto"/>
            </w:tcBorders>
            <w:vMerge w:val="continue"/>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1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0" w:type="dxa"/>
            <w:vAlign w:val="bottom"/>
          </w:tcPr>
          <w:p>
            <w:pPr>
              <w:spacing w:after="0"/>
              <w:rPr>
                <w:sz w:val="1"/>
                <w:szCs w:val="1"/>
                <w:color w:val="auto"/>
              </w:rPr>
            </w:pPr>
          </w:p>
        </w:tc>
      </w:tr>
      <w:tr>
        <w:trPr>
          <w:trHeight w:val="252"/>
        </w:trPr>
        <w:tc>
          <w:tcPr>
            <w:tcW w:w="502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Assets eligible for amortization:</w:t>
            </w:r>
          </w:p>
        </w:tc>
        <w:tc>
          <w:tcPr>
            <w:tcW w:w="140" w:type="dxa"/>
            <w:vAlign w:val="bottom"/>
            <w:shd w:val="clear" w:color="auto" w:fill="DBDBDB"/>
          </w:tcPr>
          <w:p>
            <w:pPr>
              <w:spacing w:after="0"/>
              <w:rPr>
                <w:sz w:val="21"/>
                <w:szCs w:val="21"/>
                <w:color w:val="auto"/>
              </w:rPr>
            </w:pPr>
          </w:p>
        </w:tc>
        <w:tc>
          <w:tcPr>
            <w:tcW w:w="1360" w:type="dxa"/>
            <w:vAlign w:val="bottom"/>
            <w:shd w:val="clear" w:color="auto" w:fill="DBDBDB"/>
          </w:tcPr>
          <w:p>
            <w:pPr>
              <w:spacing w:after="0"/>
              <w:rPr>
                <w:sz w:val="21"/>
                <w:szCs w:val="21"/>
                <w:color w:val="auto"/>
              </w:rPr>
            </w:pPr>
          </w:p>
        </w:tc>
        <w:tc>
          <w:tcPr>
            <w:tcW w:w="240" w:type="dxa"/>
            <w:vAlign w:val="bottom"/>
            <w:shd w:val="clear" w:color="auto" w:fill="DBDBDB"/>
          </w:tcPr>
          <w:p>
            <w:pPr>
              <w:spacing w:after="0"/>
              <w:rPr>
                <w:sz w:val="21"/>
                <w:szCs w:val="21"/>
                <w:color w:val="auto"/>
              </w:rPr>
            </w:pPr>
          </w:p>
        </w:tc>
        <w:tc>
          <w:tcPr>
            <w:tcW w:w="1320" w:type="dxa"/>
            <w:vAlign w:val="bottom"/>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120" w:type="dxa"/>
            <w:vAlign w:val="bottom"/>
            <w:shd w:val="clear" w:color="auto" w:fill="DBDBDB"/>
          </w:tcPr>
          <w:p>
            <w:pPr>
              <w:spacing w:after="0"/>
              <w:rPr>
                <w:sz w:val="21"/>
                <w:szCs w:val="21"/>
                <w:color w:val="auto"/>
              </w:rPr>
            </w:pPr>
          </w:p>
        </w:tc>
        <w:tc>
          <w:tcPr>
            <w:tcW w:w="1380" w:type="dxa"/>
            <w:vAlign w:val="bottom"/>
            <w:shd w:val="clear" w:color="auto" w:fill="DBDBDB"/>
          </w:tcPr>
          <w:p>
            <w:pPr>
              <w:spacing w:after="0"/>
              <w:rPr>
                <w:sz w:val="21"/>
                <w:szCs w:val="21"/>
                <w:color w:val="auto"/>
              </w:rPr>
            </w:pPr>
          </w:p>
        </w:tc>
        <w:tc>
          <w:tcPr>
            <w:tcW w:w="240" w:type="dxa"/>
            <w:vAlign w:val="bottom"/>
            <w:shd w:val="clear" w:color="auto" w:fill="DBDBDB"/>
          </w:tcPr>
          <w:p>
            <w:pPr>
              <w:spacing w:after="0"/>
              <w:rPr>
                <w:sz w:val="21"/>
                <w:szCs w:val="21"/>
                <w:color w:val="auto"/>
              </w:rPr>
            </w:pPr>
          </w:p>
        </w:tc>
        <w:tc>
          <w:tcPr>
            <w:tcW w:w="1320" w:type="dxa"/>
            <w:vAlign w:val="bottom"/>
            <w:shd w:val="clear" w:color="auto" w:fill="DBDBDB"/>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0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Customer lists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6,470</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(4,851)</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6,470</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(4,561)</w:t>
            </w:r>
          </w:p>
        </w:tc>
        <w:tc>
          <w:tcPr>
            <w:tcW w:w="0" w:type="dxa"/>
            <w:vAlign w:val="bottom"/>
          </w:tcPr>
          <w:p>
            <w:pPr>
              <w:spacing w:after="0"/>
              <w:rPr>
                <w:sz w:val="1"/>
                <w:szCs w:val="1"/>
                <w:color w:val="auto"/>
              </w:rPr>
            </w:pPr>
          </w:p>
        </w:tc>
      </w:tr>
      <w:tr>
        <w:trPr>
          <w:trHeight w:val="263"/>
        </w:trPr>
        <w:tc>
          <w:tcPr>
            <w:tcW w:w="5020" w:type="dxa"/>
            <w:vAlign w:val="bottom"/>
            <w:shd w:val="clear" w:color="auto" w:fill="DBDBDB"/>
          </w:tcPr>
          <w:p>
            <w:pPr>
              <w:ind w:left="300"/>
              <w:spacing w:after="0"/>
              <w:rPr>
                <w:sz w:val="20"/>
                <w:szCs w:val="20"/>
                <w:color w:val="auto"/>
              </w:rPr>
            </w:pPr>
            <w:r>
              <w:rPr>
                <w:rFonts w:ascii="Times New Roman" w:cs="Times New Roman" w:eastAsia="Times New Roman" w:hAnsi="Times New Roman"/>
                <w:sz w:val="18"/>
                <w:szCs w:val="18"/>
                <w:color w:val="auto"/>
              </w:rPr>
              <w:t>Patent</w:t>
            </w:r>
          </w:p>
        </w:tc>
        <w:tc>
          <w:tcPr>
            <w:tcW w:w="140" w:type="dxa"/>
            <w:vAlign w:val="bottom"/>
            <w:shd w:val="clear" w:color="auto" w:fill="DBDBDB"/>
          </w:tcPr>
          <w:p>
            <w:pPr>
              <w:spacing w:after="0"/>
              <w:rPr>
                <w:sz w:val="22"/>
                <w:szCs w:val="22"/>
                <w:color w:val="auto"/>
              </w:rPr>
            </w:pPr>
          </w:p>
        </w:tc>
        <w:tc>
          <w:tcPr>
            <w:tcW w:w="1360" w:type="dxa"/>
            <w:vAlign w:val="bottom"/>
            <w:shd w:val="clear" w:color="auto" w:fill="DBDBDB"/>
          </w:tcPr>
          <w:p>
            <w:pPr>
              <w:jc w:val="right"/>
              <w:ind w:right="10"/>
              <w:spacing w:after="0"/>
              <w:rPr>
                <w:sz w:val="20"/>
                <w:szCs w:val="20"/>
                <w:color w:val="auto"/>
              </w:rPr>
            </w:pPr>
            <w:r>
              <w:rPr>
                <w:rFonts w:ascii="Times New Roman" w:cs="Times New Roman" w:eastAsia="Times New Roman" w:hAnsi="Times New Roman"/>
                <w:sz w:val="18"/>
                <w:szCs w:val="18"/>
                <w:color w:val="auto"/>
              </w:rPr>
              <w:t>72</w:t>
            </w:r>
          </w:p>
        </w:tc>
        <w:tc>
          <w:tcPr>
            <w:tcW w:w="240" w:type="dxa"/>
            <w:vAlign w:val="bottom"/>
            <w:shd w:val="clear" w:color="auto" w:fill="DBDBDB"/>
          </w:tcPr>
          <w:p>
            <w:pPr>
              <w:spacing w:after="0"/>
              <w:rPr>
                <w:sz w:val="22"/>
                <w:szCs w:val="22"/>
                <w:color w:val="auto"/>
              </w:rPr>
            </w:pPr>
          </w:p>
        </w:tc>
        <w:tc>
          <w:tcPr>
            <w:tcW w:w="13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shd w:val="clear" w:color="auto" w:fill="DBDBDB"/>
          </w:tcPr>
          <w:p>
            <w:pPr>
              <w:spacing w:after="0"/>
              <w:rPr>
                <w:sz w:val="22"/>
                <w:szCs w:val="22"/>
                <w:color w:val="auto"/>
              </w:rPr>
            </w:pPr>
          </w:p>
        </w:tc>
        <w:tc>
          <w:tcPr>
            <w:tcW w:w="120" w:type="dxa"/>
            <w:vAlign w:val="bottom"/>
            <w:shd w:val="clear" w:color="auto" w:fill="DBDBDB"/>
          </w:tcPr>
          <w:p>
            <w:pPr>
              <w:spacing w:after="0"/>
              <w:rPr>
                <w:sz w:val="22"/>
                <w:szCs w:val="22"/>
                <w:color w:val="auto"/>
              </w:rPr>
            </w:pPr>
          </w:p>
        </w:tc>
        <w:tc>
          <w:tcPr>
            <w:tcW w:w="1380" w:type="dxa"/>
            <w:vAlign w:val="bottom"/>
            <w:shd w:val="clear" w:color="auto" w:fill="DBDBDB"/>
          </w:tcPr>
          <w:p>
            <w:pPr>
              <w:jc w:val="right"/>
              <w:ind w:right="10"/>
              <w:spacing w:after="0"/>
              <w:rPr>
                <w:sz w:val="20"/>
                <w:szCs w:val="20"/>
                <w:color w:val="auto"/>
              </w:rPr>
            </w:pPr>
            <w:r>
              <w:rPr>
                <w:rFonts w:ascii="Times New Roman" w:cs="Times New Roman" w:eastAsia="Times New Roman" w:hAnsi="Times New Roman"/>
                <w:sz w:val="18"/>
                <w:szCs w:val="18"/>
                <w:color w:val="auto"/>
              </w:rPr>
              <w:t>72</w:t>
            </w:r>
          </w:p>
        </w:tc>
        <w:tc>
          <w:tcPr>
            <w:tcW w:w="240" w:type="dxa"/>
            <w:vAlign w:val="bottom"/>
            <w:shd w:val="clear" w:color="auto" w:fill="DBDBDB"/>
          </w:tcPr>
          <w:p>
            <w:pPr>
              <w:spacing w:after="0"/>
              <w:rPr>
                <w:sz w:val="22"/>
                <w:szCs w:val="22"/>
                <w:color w:val="auto"/>
              </w:rPr>
            </w:pPr>
          </w:p>
        </w:tc>
        <w:tc>
          <w:tcPr>
            <w:tcW w:w="13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50"/>
        </w:trPr>
        <w:tc>
          <w:tcPr>
            <w:tcW w:w="50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Software</w:t>
            </w:r>
          </w:p>
        </w:tc>
        <w:tc>
          <w:tcPr>
            <w:tcW w:w="1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3,212</w:t>
            </w:r>
          </w:p>
        </w:tc>
        <w:tc>
          <w:tcPr>
            <w:tcW w:w="2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3,212</w:t>
            </w:r>
          </w:p>
        </w:tc>
        <w:tc>
          <w:tcPr>
            <w:tcW w:w="2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(1,508)</w:t>
            </w:r>
          </w:p>
        </w:tc>
        <w:tc>
          <w:tcPr>
            <w:tcW w:w="0" w:type="dxa"/>
            <w:vAlign w:val="bottom"/>
          </w:tcPr>
          <w:p>
            <w:pPr>
              <w:spacing w:after="0"/>
              <w:rPr>
                <w:sz w:val="1"/>
                <w:szCs w:val="1"/>
                <w:color w:val="auto"/>
              </w:rPr>
            </w:pPr>
          </w:p>
        </w:tc>
      </w:tr>
      <w:tr>
        <w:trPr>
          <w:trHeight w:val="263"/>
        </w:trPr>
        <w:tc>
          <w:tcPr>
            <w:tcW w:w="5020" w:type="dxa"/>
            <w:vAlign w:val="bottom"/>
            <w:shd w:val="clear" w:color="auto" w:fill="DBDBDB"/>
          </w:tcPr>
          <w:p>
            <w:pPr>
              <w:ind w:left="300"/>
              <w:spacing w:after="0"/>
              <w:rPr>
                <w:sz w:val="20"/>
                <w:szCs w:val="20"/>
                <w:color w:val="auto"/>
              </w:rPr>
            </w:pPr>
            <w:r>
              <w:rPr>
                <w:rFonts w:ascii="Times New Roman" w:cs="Times New Roman" w:eastAsia="Times New Roman" w:hAnsi="Times New Roman"/>
                <w:sz w:val="18"/>
                <w:szCs w:val="18"/>
                <w:color w:val="auto"/>
              </w:rPr>
              <w:t>Trade Name</w:t>
            </w:r>
          </w:p>
        </w:tc>
        <w:tc>
          <w:tcPr>
            <w:tcW w:w="140" w:type="dxa"/>
            <w:vAlign w:val="bottom"/>
            <w:shd w:val="clear" w:color="auto" w:fill="DBDBDB"/>
          </w:tcPr>
          <w:p>
            <w:pPr>
              <w:spacing w:after="0"/>
              <w:rPr>
                <w:sz w:val="22"/>
                <w:szCs w:val="22"/>
                <w:color w:val="auto"/>
              </w:rPr>
            </w:pPr>
          </w:p>
        </w:tc>
        <w:tc>
          <w:tcPr>
            <w:tcW w:w="1360" w:type="dxa"/>
            <w:vAlign w:val="bottom"/>
            <w:shd w:val="clear" w:color="auto" w:fill="DBDBDB"/>
          </w:tcPr>
          <w:p>
            <w:pPr>
              <w:jc w:val="right"/>
              <w:ind w:right="10"/>
              <w:spacing w:after="0"/>
              <w:rPr>
                <w:sz w:val="20"/>
                <w:szCs w:val="20"/>
                <w:color w:val="auto"/>
              </w:rPr>
            </w:pPr>
            <w:r>
              <w:rPr>
                <w:rFonts w:ascii="Times New Roman" w:cs="Times New Roman" w:eastAsia="Times New Roman" w:hAnsi="Times New Roman"/>
                <w:sz w:val="18"/>
                <w:szCs w:val="18"/>
                <w:color w:val="auto"/>
              </w:rPr>
              <w:t>373</w:t>
            </w:r>
          </w:p>
        </w:tc>
        <w:tc>
          <w:tcPr>
            <w:tcW w:w="240" w:type="dxa"/>
            <w:vAlign w:val="bottom"/>
            <w:shd w:val="clear" w:color="auto" w:fill="DBDBDB"/>
          </w:tcPr>
          <w:p>
            <w:pPr>
              <w:spacing w:after="0"/>
              <w:rPr>
                <w:sz w:val="22"/>
                <w:szCs w:val="22"/>
                <w:color w:val="auto"/>
              </w:rPr>
            </w:pPr>
          </w:p>
        </w:tc>
        <w:tc>
          <w:tcPr>
            <w:tcW w:w="13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shd w:val="clear" w:color="auto" w:fill="DBDBDB"/>
          </w:tcPr>
          <w:p>
            <w:pPr>
              <w:spacing w:after="0"/>
              <w:rPr>
                <w:sz w:val="22"/>
                <w:szCs w:val="22"/>
                <w:color w:val="auto"/>
              </w:rPr>
            </w:pPr>
          </w:p>
        </w:tc>
        <w:tc>
          <w:tcPr>
            <w:tcW w:w="120" w:type="dxa"/>
            <w:vAlign w:val="bottom"/>
            <w:shd w:val="clear" w:color="auto" w:fill="DBDBDB"/>
          </w:tcPr>
          <w:p>
            <w:pPr>
              <w:spacing w:after="0"/>
              <w:rPr>
                <w:sz w:val="22"/>
                <w:szCs w:val="22"/>
                <w:color w:val="auto"/>
              </w:rPr>
            </w:pPr>
          </w:p>
        </w:tc>
        <w:tc>
          <w:tcPr>
            <w:tcW w:w="1380" w:type="dxa"/>
            <w:vAlign w:val="bottom"/>
            <w:shd w:val="clear" w:color="auto" w:fill="DBDBDB"/>
          </w:tcPr>
          <w:p>
            <w:pPr>
              <w:jc w:val="right"/>
              <w:ind w:right="10"/>
              <w:spacing w:after="0"/>
              <w:rPr>
                <w:sz w:val="20"/>
                <w:szCs w:val="20"/>
                <w:color w:val="auto"/>
              </w:rPr>
            </w:pPr>
            <w:r>
              <w:rPr>
                <w:rFonts w:ascii="Times New Roman" w:cs="Times New Roman" w:eastAsia="Times New Roman" w:hAnsi="Times New Roman"/>
                <w:sz w:val="18"/>
                <w:szCs w:val="18"/>
                <w:color w:val="auto"/>
              </w:rPr>
              <w:t>373</w:t>
            </w:r>
          </w:p>
        </w:tc>
        <w:tc>
          <w:tcPr>
            <w:tcW w:w="240" w:type="dxa"/>
            <w:vAlign w:val="bottom"/>
            <w:shd w:val="clear" w:color="auto" w:fill="DBDBDB"/>
          </w:tcPr>
          <w:p>
            <w:pPr>
              <w:spacing w:after="0"/>
              <w:rPr>
                <w:sz w:val="22"/>
                <w:szCs w:val="22"/>
                <w:color w:val="auto"/>
              </w:rPr>
            </w:pPr>
          </w:p>
        </w:tc>
        <w:tc>
          <w:tcPr>
            <w:tcW w:w="13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50"/>
        </w:trPr>
        <w:tc>
          <w:tcPr>
            <w:tcW w:w="50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500</w:t>
            </w:r>
          </w:p>
        </w:tc>
        <w:tc>
          <w:tcPr>
            <w:tcW w:w="2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500</w:t>
            </w:r>
          </w:p>
        </w:tc>
        <w:tc>
          <w:tcPr>
            <w:tcW w:w="2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0" w:type="dxa"/>
            <w:vAlign w:val="bottom"/>
          </w:tcPr>
          <w:p>
            <w:pPr>
              <w:spacing w:after="0"/>
              <w:rPr>
                <w:sz w:val="1"/>
                <w:szCs w:val="1"/>
                <w:color w:val="auto"/>
              </w:rPr>
            </w:pPr>
          </w:p>
        </w:tc>
      </w:tr>
      <w:tr>
        <w:trPr>
          <w:trHeight w:val="263"/>
        </w:trPr>
        <w:tc>
          <w:tcPr>
            <w:tcW w:w="502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Unamortized intangible assets:</w:t>
            </w:r>
          </w:p>
        </w:tc>
        <w:tc>
          <w:tcPr>
            <w:tcW w:w="140" w:type="dxa"/>
            <w:vAlign w:val="bottom"/>
            <w:shd w:val="clear" w:color="auto" w:fill="DBDBDB"/>
          </w:tcPr>
          <w:p>
            <w:pPr>
              <w:spacing w:after="0"/>
              <w:rPr>
                <w:sz w:val="22"/>
                <w:szCs w:val="22"/>
                <w:color w:val="auto"/>
              </w:rPr>
            </w:pPr>
          </w:p>
        </w:tc>
        <w:tc>
          <w:tcPr>
            <w:tcW w:w="1360" w:type="dxa"/>
            <w:vAlign w:val="bottom"/>
            <w:shd w:val="clear" w:color="auto" w:fill="DBDBDB"/>
          </w:tcPr>
          <w:p>
            <w:pPr>
              <w:spacing w:after="0"/>
              <w:rPr>
                <w:sz w:val="22"/>
                <w:szCs w:val="22"/>
                <w:color w:val="auto"/>
              </w:rPr>
            </w:pPr>
          </w:p>
        </w:tc>
        <w:tc>
          <w:tcPr>
            <w:tcW w:w="240" w:type="dxa"/>
            <w:vAlign w:val="bottom"/>
            <w:shd w:val="clear" w:color="auto" w:fill="DBDBDB"/>
          </w:tcPr>
          <w:p>
            <w:pPr>
              <w:spacing w:after="0"/>
              <w:rPr>
                <w:sz w:val="22"/>
                <w:szCs w:val="22"/>
                <w:color w:val="auto"/>
              </w:rPr>
            </w:pPr>
          </w:p>
        </w:tc>
        <w:tc>
          <w:tcPr>
            <w:tcW w:w="1320" w:type="dxa"/>
            <w:vAlign w:val="bottom"/>
            <w:shd w:val="clear" w:color="auto" w:fill="DBDBDB"/>
          </w:tcPr>
          <w:p>
            <w:pPr>
              <w:spacing w:after="0"/>
              <w:rPr>
                <w:sz w:val="22"/>
                <w:szCs w:val="22"/>
                <w:color w:val="auto"/>
              </w:rPr>
            </w:pPr>
          </w:p>
        </w:tc>
        <w:tc>
          <w:tcPr>
            <w:tcW w:w="100" w:type="dxa"/>
            <w:vAlign w:val="bottom"/>
            <w:shd w:val="clear" w:color="auto" w:fill="DBDBDB"/>
          </w:tcPr>
          <w:p>
            <w:pPr>
              <w:spacing w:after="0"/>
              <w:rPr>
                <w:sz w:val="22"/>
                <w:szCs w:val="22"/>
                <w:color w:val="auto"/>
              </w:rPr>
            </w:pPr>
          </w:p>
        </w:tc>
        <w:tc>
          <w:tcPr>
            <w:tcW w:w="120" w:type="dxa"/>
            <w:vAlign w:val="bottom"/>
            <w:shd w:val="clear" w:color="auto" w:fill="DBDBDB"/>
          </w:tcPr>
          <w:p>
            <w:pPr>
              <w:spacing w:after="0"/>
              <w:rPr>
                <w:sz w:val="22"/>
                <w:szCs w:val="22"/>
                <w:color w:val="auto"/>
              </w:rPr>
            </w:pPr>
          </w:p>
        </w:tc>
        <w:tc>
          <w:tcPr>
            <w:tcW w:w="1380" w:type="dxa"/>
            <w:vAlign w:val="bottom"/>
            <w:shd w:val="clear" w:color="auto" w:fill="DBDBDB"/>
          </w:tcPr>
          <w:p>
            <w:pPr>
              <w:spacing w:after="0"/>
              <w:rPr>
                <w:sz w:val="22"/>
                <w:szCs w:val="22"/>
                <w:color w:val="auto"/>
              </w:rPr>
            </w:pPr>
          </w:p>
        </w:tc>
        <w:tc>
          <w:tcPr>
            <w:tcW w:w="240" w:type="dxa"/>
            <w:vAlign w:val="bottom"/>
            <w:shd w:val="clear" w:color="auto" w:fill="DBDBDB"/>
          </w:tcPr>
          <w:p>
            <w:pPr>
              <w:spacing w:after="0"/>
              <w:rPr>
                <w:sz w:val="22"/>
                <w:szCs w:val="22"/>
                <w:color w:val="auto"/>
              </w:rPr>
            </w:pPr>
          </w:p>
        </w:tc>
        <w:tc>
          <w:tcPr>
            <w:tcW w:w="1320" w:type="dxa"/>
            <w:vAlign w:val="bottom"/>
            <w:shd w:val="clear" w:color="auto" w:fill="DBDBDB"/>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02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Goodwill</w:t>
            </w:r>
          </w:p>
        </w:tc>
        <w:tc>
          <w:tcPr>
            <w:tcW w:w="14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17,309</w:t>
            </w:r>
          </w:p>
        </w:tc>
        <w:tc>
          <w:tcPr>
            <w:tcW w:w="2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17,309</w:t>
            </w:r>
          </w:p>
        </w:tc>
        <w:tc>
          <w:tcPr>
            <w:tcW w:w="2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5020" w:type="dxa"/>
            <w:vAlign w:val="bottom"/>
            <w:tcBorders>
              <w:bottom w:val="single" w:sz="8" w:color="auto"/>
            </w:tcBorders>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Total intangible assets</w:t>
            </w:r>
          </w:p>
        </w:tc>
        <w:tc>
          <w:tcPr>
            <w:tcW w:w="14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DBDBDB"/>
          </w:tcPr>
          <w:p>
            <w:pPr>
              <w:jc w:val="right"/>
              <w:ind w:right="10"/>
              <w:spacing w:after="0"/>
              <w:rPr>
                <w:sz w:val="20"/>
                <w:szCs w:val="20"/>
                <w:color w:val="auto"/>
              </w:rPr>
            </w:pPr>
            <w:r>
              <w:rPr>
                <w:rFonts w:ascii="Times New Roman" w:cs="Times New Roman" w:eastAsia="Times New Roman" w:hAnsi="Times New Roman"/>
                <w:sz w:val="18"/>
                <w:szCs w:val="18"/>
                <w:color w:val="auto"/>
              </w:rPr>
              <w:t>27,936</w:t>
            </w:r>
          </w:p>
        </w:tc>
        <w:tc>
          <w:tcPr>
            <w:tcW w:w="24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(7,282)</w:t>
            </w:r>
          </w:p>
        </w:tc>
        <w:tc>
          <w:tcPr>
            <w:tcW w:w="100" w:type="dxa"/>
            <w:vAlign w:val="bottom"/>
            <w:tcBorders>
              <w:bottom w:val="single" w:sz="8" w:color="auto"/>
            </w:tcBorders>
            <w:shd w:val="clear" w:color="auto" w:fill="DBDBDB"/>
          </w:tcPr>
          <w:p>
            <w:pPr>
              <w:spacing w:after="0"/>
              <w:rPr>
                <w:sz w:val="21"/>
                <w:szCs w:val="21"/>
                <w:color w:val="auto"/>
              </w:rPr>
            </w:pPr>
          </w:p>
        </w:tc>
        <w:tc>
          <w:tcPr>
            <w:tcW w:w="12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DBDBDB"/>
          </w:tcPr>
          <w:p>
            <w:pPr>
              <w:jc w:val="right"/>
              <w:ind w:right="10"/>
              <w:spacing w:after="0"/>
              <w:rPr>
                <w:sz w:val="20"/>
                <w:szCs w:val="20"/>
                <w:color w:val="auto"/>
              </w:rPr>
            </w:pPr>
            <w:r>
              <w:rPr>
                <w:rFonts w:ascii="Times New Roman" w:cs="Times New Roman" w:eastAsia="Times New Roman" w:hAnsi="Times New Roman"/>
                <w:sz w:val="18"/>
                <w:szCs w:val="18"/>
                <w:color w:val="auto"/>
              </w:rPr>
              <w:t>27,936</w:t>
            </w:r>
          </w:p>
        </w:tc>
        <w:tc>
          <w:tcPr>
            <w:tcW w:w="24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(6,501)</w:t>
            </w: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Customer lists are amortized over 7 to 10 years; patents over 18 years, software over 3 years to 7 years, trade name over 10 years to 20 years and other intangible assets over 15 years. Amortization of intangible assets amounted to $780,000 and $680,000 for the years ended December 31, 2023, and 2022, respectively. Estimated future amortization of intangibles is $738,000 in 2024, $730,000 in 2025, $582,000 in 2026, $262,000 in 2027, and $253,000 in 2028.</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Interest-Bearing Deposits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Interest-bearing deposits consist of the following:</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94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8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60" w:type="dxa"/>
            <w:vAlign w:val="bottom"/>
            <w:tcBorders>
              <w:bottom w:val="single" w:sz="8" w:color="auto"/>
            </w:tcBorders>
          </w:tcPr>
          <w:p>
            <w:pPr>
              <w:spacing w:after="0"/>
              <w:rPr>
                <w:sz w:val="21"/>
                <w:szCs w:val="21"/>
                <w:color w:val="auto"/>
              </w:rPr>
            </w:pPr>
          </w:p>
        </w:tc>
      </w:tr>
      <w:tr>
        <w:trPr>
          <w:trHeight w:val="250"/>
        </w:trPr>
        <w:tc>
          <w:tcPr>
            <w:tcW w:w="7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6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56"/>
        </w:trPr>
        <w:tc>
          <w:tcPr>
            <w:tcW w:w="794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Interest-bearing demand deposits</w:t>
            </w:r>
          </w:p>
        </w:tc>
        <w:tc>
          <w:tcPr>
            <w:tcW w:w="360" w:type="dxa"/>
            <w:vAlign w:val="bottom"/>
            <w:shd w:val="clear" w:color="auto" w:fill="DBDBDB"/>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DBDBDB"/>
          </w:tcPr>
          <w:p>
            <w:pPr>
              <w:jc w:val="right"/>
              <w:ind w:right="170"/>
              <w:spacing w:after="0"/>
              <w:rPr>
                <w:sz w:val="20"/>
                <w:szCs w:val="20"/>
                <w:color w:val="auto"/>
              </w:rPr>
            </w:pPr>
            <w:r>
              <w:rPr>
                <w:rFonts w:ascii="Times New Roman" w:cs="Times New Roman" w:eastAsia="Times New Roman" w:hAnsi="Times New Roman"/>
                <w:sz w:val="18"/>
                <w:szCs w:val="18"/>
                <w:color w:val="auto"/>
              </w:rPr>
              <w:t>532,507</w:t>
            </w:r>
          </w:p>
        </w:tc>
        <w:tc>
          <w:tcPr>
            <w:tcW w:w="600" w:type="dxa"/>
            <w:vAlign w:val="bottom"/>
            <w:shd w:val="clear" w:color="auto" w:fill="DBDBDB"/>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DBDBDB"/>
          </w:tcPr>
          <w:p>
            <w:pPr>
              <w:jc w:val="right"/>
              <w:ind w:right="130"/>
              <w:spacing w:after="0"/>
              <w:rPr>
                <w:sz w:val="20"/>
                <w:szCs w:val="20"/>
                <w:color w:val="auto"/>
              </w:rPr>
            </w:pPr>
            <w:r>
              <w:rPr>
                <w:rFonts w:ascii="Times New Roman" w:cs="Times New Roman" w:eastAsia="Times New Roman" w:hAnsi="Times New Roman"/>
                <w:sz w:val="18"/>
                <w:szCs w:val="18"/>
                <w:color w:val="auto"/>
              </w:rPr>
              <w:t>567,426</w:t>
            </w:r>
          </w:p>
        </w:tc>
      </w:tr>
      <w:tr>
        <w:trPr>
          <w:trHeight w:val="250"/>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Savings deposits</w:t>
            </w:r>
          </w:p>
        </w:tc>
        <w:tc>
          <w:tcPr>
            <w:tcW w:w="360" w:type="dxa"/>
            <w:vAlign w:val="bottom"/>
          </w:tcPr>
          <w:p>
            <w:pPr>
              <w:spacing w:after="0"/>
              <w:rPr>
                <w:sz w:val="21"/>
                <w:szCs w:val="21"/>
                <w:color w:val="auto"/>
              </w:rPr>
            </w:pPr>
          </w:p>
        </w:tc>
        <w:tc>
          <w:tcPr>
            <w:tcW w:w="12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7,226</w:t>
            </w:r>
          </w:p>
        </w:tc>
        <w:tc>
          <w:tcPr>
            <w:tcW w:w="600" w:type="dxa"/>
            <w:vAlign w:val="bottom"/>
          </w:tcPr>
          <w:p>
            <w:pPr>
              <w:spacing w:after="0"/>
              <w:rPr>
                <w:sz w:val="21"/>
                <w:szCs w:val="21"/>
                <w:color w:val="auto"/>
              </w:rPr>
            </w:pPr>
          </w:p>
        </w:tc>
        <w:tc>
          <w:tcPr>
            <w:tcW w:w="10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6,413</w:t>
            </w:r>
          </w:p>
        </w:tc>
      </w:tr>
      <w:tr>
        <w:trPr>
          <w:trHeight w:val="263"/>
        </w:trPr>
        <w:tc>
          <w:tcPr>
            <w:tcW w:w="794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Time deposits:</w:t>
            </w:r>
          </w:p>
        </w:tc>
        <w:tc>
          <w:tcPr>
            <w:tcW w:w="360" w:type="dxa"/>
            <w:vAlign w:val="bottom"/>
            <w:shd w:val="clear" w:color="auto" w:fill="DBDBDB"/>
          </w:tcPr>
          <w:p>
            <w:pPr>
              <w:spacing w:after="0"/>
              <w:rPr>
                <w:sz w:val="22"/>
                <w:szCs w:val="22"/>
                <w:color w:val="auto"/>
              </w:rPr>
            </w:pPr>
          </w:p>
        </w:tc>
        <w:tc>
          <w:tcPr>
            <w:tcW w:w="1280" w:type="dxa"/>
            <w:vAlign w:val="bottom"/>
            <w:shd w:val="clear" w:color="auto" w:fill="DBDBDB"/>
          </w:tcPr>
          <w:p>
            <w:pPr>
              <w:spacing w:after="0"/>
              <w:rPr>
                <w:sz w:val="22"/>
                <w:szCs w:val="22"/>
                <w:color w:val="auto"/>
              </w:rPr>
            </w:pPr>
          </w:p>
        </w:tc>
        <w:tc>
          <w:tcPr>
            <w:tcW w:w="600" w:type="dxa"/>
            <w:vAlign w:val="bottom"/>
            <w:shd w:val="clear" w:color="auto" w:fill="DBDBDB"/>
          </w:tcPr>
          <w:p>
            <w:pPr>
              <w:spacing w:after="0"/>
              <w:rPr>
                <w:sz w:val="22"/>
                <w:szCs w:val="22"/>
                <w:color w:val="auto"/>
              </w:rPr>
            </w:pPr>
          </w:p>
        </w:tc>
        <w:tc>
          <w:tcPr>
            <w:tcW w:w="1060" w:type="dxa"/>
            <w:vAlign w:val="bottom"/>
            <w:shd w:val="clear" w:color="auto" w:fill="DBDBDB"/>
          </w:tcPr>
          <w:p>
            <w:pPr>
              <w:spacing w:after="0"/>
              <w:rPr>
                <w:sz w:val="22"/>
                <w:szCs w:val="22"/>
                <w:color w:val="auto"/>
              </w:rPr>
            </w:pPr>
          </w:p>
        </w:tc>
      </w:tr>
      <w:tr>
        <w:trPr>
          <w:trHeight w:val="250"/>
        </w:trPr>
        <w:tc>
          <w:tcPr>
            <w:tcW w:w="79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Less than $100</w:t>
            </w:r>
          </w:p>
        </w:tc>
        <w:tc>
          <w:tcPr>
            <w:tcW w:w="360" w:type="dxa"/>
            <w:vAlign w:val="bottom"/>
          </w:tcPr>
          <w:p>
            <w:pPr>
              <w:spacing w:after="0"/>
              <w:rPr>
                <w:sz w:val="21"/>
                <w:szCs w:val="21"/>
                <w:color w:val="auto"/>
              </w:rPr>
            </w:pPr>
          </w:p>
        </w:tc>
        <w:tc>
          <w:tcPr>
            <w:tcW w:w="12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5,266</w:t>
            </w:r>
          </w:p>
        </w:tc>
        <w:tc>
          <w:tcPr>
            <w:tcW w:w="600" w:type="dxa"/>
            <w:vAlign w:val="bottom"/>
          </w:tcPr>
          <w:p>
            <w:pPr>
              <w:spacing w:after="0"/>
              <w:rPr>
                <w:sz w:val="21"/>
                <w:szCs w:val="21"/>
                <w:color w:val="auto"/>
              </w:rPr>
            </w:pPr>
          </w:p>
        </w:tc>
        <w:tc>
          <w:tcPr>
            <w:tcW w:w="10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2,526</w:t>
            </w:r>
          </w:p>
        </w:tc>
      </w:tr>
      <w:tr>
        <w:trPr>
          <w:trHeight w:val="263"/>
        </w:trPr>
        <w:tc>
          <w:tcPr>
            <w:tcW w:w="7940" w:type="dxa"/>
            <w:vAlign w:val="bottom"/>
            <w:shd w:val="clear" w:color="auto" w:fill="DBDBDB"/>
          </w:tcPr>
          <w:p>
            <w:pPr>
              <w:ind w:left="300"/>
              <w:spacing w:after="0"/>
              <w:rPr>
                <w:sz w:val="20"/>
                <w:szCs w:val="20"/>
                <w:color w:val="auto"/>
              </w:rPr>
            </w:pPr>
            <w:r>
              <w:rPr>
                <w:rFonts w:ascii="Times New Roman" w:cs="Times New Roman" w:eastAsia="Times New Roman" w:hAnsi="Times New Roman"/>
                <w:sz w:val="18"/>
                <w:szCs w:val="18"/>
                <w:color w:val="auto"/>
              </w:rPr>
              <w:t>$100 to less than $250</w:t>
            </w:r>
          </w:p>
        </w:tc>
        <w:tc>
          <w:tcPr>
            <w:tcW w:w="360" w:type="dxa"/>
            <w:vAlign w:val="bottom"/>
            <w:shd w:val="clear" w:color="auto" w:fill="DBDBDB"/>
          </w:tcPr>
          <w:p>
            <w:pPr>
              <w:spacing w:after="0"/>
              <w:rPr>
                <w:sz w:val="22"/>
                <w:szCs w:val="22"/>
                <w:color w:val="auto"/>
              </w:rPr>
            </w:pPr>
          </w:p>
        </w:tc>
        <w:tc>
          <w:tcPr>
            <w:tcW w:w="1280" w:type="dxa"/>
            <w:vAlign w:val="bottom"/>
            <w:shd w:val="clear" w:color="auto" w:fill="DBDBDB"/>
          </w:tcPr>
          <w:p>
            <w:pPr>
              <w:jc w:val="right"/>
              <w:ind w:right="170"/>
              <w:spacing w:after="0"/>
              <w:rPr>
                <w:sz w:val="20"/>
                <w:szCs w:val="20"/>
                <w:color w:val="auto"/>
              </w:rPr>
            </w:pPr>
            <w:r>
              <w:rPr>
                <w:rFonts w:ascii="Times New Roman" w:cs="Times New Roman" w:eastAsia="Times New Roman" w:hAnsi="Times New Roman"/>
                <w:sz w:val="18"/>
                <w:szCs w:val="18"/>
                <w:color w:val="auto"/>
              </w:rPr>
              <w:t>48,540</w:t>
            </w:r>
          </w:p>
        </w:tc>
        <w:tc>
          <w:tcPr>
            <w:tcW w:w="600" w:type="dxa"/>
            <w:vAlign w:val="bottom"/>
            <w:shd w:val="clear" w:color="auto" w:fill="DBDBDB"/>
          </w:tcPr>
          <w:p>
            <w:pPr>
              <w:spacing w:after="0"/>
              <w:rPr>
                <w:sz w:val="22"/>
                <w:szCs w:val="22"/>
                <w:color w:val="auto"/>
              </w:rPr>
            </w:pPr>
          </w:p>
        </w:tc>
        <w:tc>
          <w:tcPr>
            <w:tcW w:w="1060" w:type="dxa"/>
            <w:vAlign w:val="bottom"/>
            <w:shd w:val="clear" w:color="auto" w:fill="DBDBDB"/>
          </w:tcPr>
          <w:p>
            <w:pPr>
              <w:jc w:val="right"/>
              <w:ind w:right="130"/>
              <w:spacing w:after="0"/>
              <w:rPr>
                <w:sz w:val="20"/>
                <w:szCs w:val="20"/>
                <w:color w:val="auto"/>
              </w:rPr>
            </w:pPr>
            <w:r>
              <w:rPr>
                <w:rFonts w:ascii="Times New Roman" w:cs="Times New Roman" w:eastAsia="Times New Roman" w:hAnsi="Times New Roman"/>
                <w:sz w:val="18"/>
                <w:szCs w:val="18"/>
                <w:color w:val="auto"/>
              </w:rPr>
              <w:t>20,137</w:t>
            </w:r>
          </w:p>
        </w:tc>
      </w:tr>
      <w:tr>
        <w:trPr>
          <w:trHeight w:val="256"/>
        </w:trPr>
        <w:tc>
          <w:tcPr>
            <w:tcW w:w="7940" w:type="dxa"/>
            <w:vAlign w:val="bottom"/>
            <w:tcBorders>
              <w:bottom w:val="single" w:sz="8" w:color="auto"/>
            </w:tcBorders>
          </w:tcPr>
          <w:p>
            <w:pPr>
              <w:ind w:left="300"/>
              <w:spacing w:after="0" w:line="256" w:lineRule="exact"/>
              <w:rPr>
                <w:sz w:val="20"/>
                <w:szCs w:val="20"/>
                <w:color w:val="auto"/>
              </w:rPr>
            </w:pPr>
            <w:r>
              <w:rPr>
                <w:rFonts w:ascii="Times New Roman" w:cs="Times New Roman" w:eastAsia="Times New Roman" w:hAnsi="Times New Roman"/>
                <w:sz w:val="18"/>
                <w:szCs w:val="18"/>
                <w:color w:val="auto"/>
              </w:rPr>
              <w:t xml:space="preserve">$250 or more </w:t>
            </w:r>
            <w:r>
              <w:rPr>
                <w:rFonts w:ascii="Times New Roman" w:cs="Times New Roman" w:eastAsia="Times New Roman" w:hAnsi="Times New Roman"/>
                <w:sz w:val="23"/>
                <w:szCs w:val="23"/>
                <w:color w:val="auto"/>
                <w:vertAlign w:val="superscript"/>
              </w:rPr>
              <w:t>(1)</w:t>
            </w:r>
          </w:p>
        </w:tc>
        <w:tc>
          <w:tcPr>
            <w:tcW w:w="36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22,916</w:t>
            </w:r>
          </w:p>
        </w:tc>
        <w:tc>
          <w:tcPr>
            <w:tcW w:w="6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17,958</w:t>
            </w:r>
          </w:p>
        </w:tc>
      </w:tr>
      <w:tr>
        <w:trPr>
          <w:trHeight w:val="244"/>
        </w:trPr>
        <w:tc>
          <w:tcPr>
            <w:tcW w:w="7940" w:type="dxa"/>
            <w:vAlign w:val="bottom"/>
            <w:tcBorders>
              <w:bottom w:val="single" w:sz="8" w:color="auto"/>
            </w:tcBorders>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bottom w:val="single" w:sz="8" w:color="auto"/>
            </w:tcBorders>
            <w:shd w:val="clear" w:color="auto" w:fill="DBDBDB"/>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DBDBDB"/>
          </w:tcPr>
          <w:p>
            <w:pPr>
              <w:jc w:val="right"/>
              <w:ind w:right="170"/>
              <w:spacing w:after="0"/>
              <w:rPr>
                <w:sz w:val="20"/>
                <w:szCs w:val="20"/>
                <w:color w:val="auto"/>
              </w:rPr>
            </w:pPr>
            <w:r>
              <w:rPr>
                <w:rFonts w:ascii="Times New Roman" w:cs="Times New Roman" w:eastAsia="Times New Roman" w:hAnsi="Times New Roman"/>
                <w:sz w:val="18"/>
                <w:szCs w:val="18"/>
                <w:color w:val="auto"/>
              </w:rPr>
              <w:t>616,455</w:t>
            </w:r>
          </w:p>
        </w:tc>
        <w:tc>
          <w:tcPr>
            <w:tcW w:w="600" w:type="dxa"/>
            <w:vAlign w:val="bottom"/>
            <w:tcBorders>
              <w:bottom w:val="single" w:sz="8" w:color="auto"/>
            </w:tcBorders>
            <w:shd w:val="clear" w:color="auto" w:fill="DBDBDB"/>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DBDBDB"/>
          </w:tcPr>
          <w:p>
            <w:pPr>
              <w:jc w:val="right"/>
              <w:ind w:right="130"/>
              <w:spacing w:after="0"/>
              <w:rPr>
                <w:sz w:val="20"/>
                <w:szCs w:val="20"/>
                <w:color w:val="auto"/>
              </w:rPr>
            </w:pPr>
            <w:r>
              <w:rPr>
                <w:rFonts w:ascii="Times New Roman" w:cs="Times New Roman" w:eastAsia="Times New Roman" w:hAnsi="Times New Roman"/>
                <w:sz w:val="18"/>
                <w:szCs w:val="18"/>
                <w:color w:val="auto"/>
              </w:rPr>
              <w:t>614,460</w:t>
            </w:r>
          </w:p>
        </w:tc>
      </w:tr>
      <w:tr>
        <w:trPr>
          <w:trHeight w:val="250"/>
        </w:trPr>
        <w:tc>
          <w:tcPr>
            <w:tcW w:w="7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Weighted average interest rate</w:t>
            </w:r>
          </w:p>
        </w:tc>
        <w:tc>
          <w:tcPr>
            <w:tcW w:w="3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3.16 %</w:t>
            </w:r>
          </w:p>
        </w:tc>
        <w:tc>
          <w:tcPr>
            <w:tcW w:w="6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1.74 %</w:t>
            </w:r>
          </w:p>
        </w:tc>
      </w:tr>
    </w:tbl>
    <w:p>
      <w:pPr>
        <w:spacing w:after="0" w:line="171" w:lineRule="exact"/>
        <w:rPr>
          <w:sz w:val="20"/>
          <w:szCs w:val="20"/>
          <w:color w:val="auto"/>
        </w:rPr>
      </w:pPr>
    </w:p>
    <w:p>
      <w:pPr>
        <w:ind w:left="660" w:hanging="652"/>
        <w:spacing w:after="0" w:line="282" w:lineRule="auto"/>
        <w:tabs>
          <w:tab w:leader="none" w:pos="65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scheduled maturities of time deposits not covered by deposit insurance consist of $21.9 million within one year and $1.1 million within one to three years.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consists of the following:</w:t>
            </w: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493"/>
        </w:trPr>
        <w:tc>
          <w:tcPr>
            <w:tcW w:w="65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4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r>
        <w:trPr>
          <w:trHeight w:val="263"/>
        </w:trPr>
        <w:tc>
          <w:tcPr>
            <w:tcW w:w="6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4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56"/>
        </w:trPr>
        <w:tc>
          <w:tcPr>
            <w:tcW w:w="656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Interest-bearing demand deposits</w:t>
            </w:r>
          </w:p>
        </w:tc>
        <w:tc>
          <w:tcPr>
            <w:tcW w:w="340" w:type="dxa"/>
            <w:vAlign w:val="bottom"/>
            <w:shd w:val="clear" w:color="auto" w:fill="DBDBDB"/>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DBDBDB"/>
          </w:tcPr>
          <w:p>
            <w:pPr>
              <w:jc w:val="right"/>
              <w:ind w:right="10"/>
              <w:spacing w:after="0"/>
              <w:rPr>
                <w:sz w:val="20"/>
                <w:szCs w:val="20"/>
                <w:color w:val="auto"/>
              </w:rPr>
            </w:pPr>
            <w:r>
              <w:rPr>
                <w:rFonts w:ascii="Times New Roman" w:cs="Times New Roman" w:eastAsia="Times New Roman" w:hAnsi="Times New Roman"/>
                <w:sz w:val="18"/>
                <w:szCs w:val="18"/>
                <w:color w:val="auto"/>
              </w:rPr>
              <w:t>14,056</w:t>
            </w:r>
          </w:p>
        </w:tc>
        <w:tc>
          <w:tcPr>
            <w:tcW w:w="2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DBDBDB"/>
          </w:tcPr>
          <w:p>
            <w:pPr>
              <w:jc w:val="right"/>
              <w:ind w:right="10"/>
              <w:spacing w:after="0"/>
              <w:rPr>
                <w:sz w:val="20"/>
                <w:szCs w:val="20"/>
                <w:color w:val="auto"/>
              </w:rPr>
            </w:pPr>
            <w:r>
              <w:rPr>
                <w:rFonts w:ascii="Times New Roman" w:cs="Times New Roman" w:eastAsia="Times New Roman" w:hAnsi="Times New Roman"/>
                <w:sz w:val="18"/>
                <w:szCs w:val="18"/>
                <w:color w:val="auto"/>
              </w:rPr>
              <w:t>3,118</w:t>
            </w:r>
          </w:p>
        </w:tc>
        <w:tc>
          <w:tcPr>
            <w:tcW w:w="420" w:type="dxa"/>
            <w:vAlign w:val="bottom"/>
            <w:shd w:val="clear" w:color="auto" w:fill="DBDBDB"/>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582</w:t>
            </w:r>
          </w:p>
        </w:tc>
      </w:tr>
      <w:tr>
        <w:trPr>
          <w:trHeight w:val="250"/>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Savings deposits</w:t>
            </w:r>
          </w:p>
        </w:tc>
        <w:tc>
          <w:tcPr>
            <w:tcW w:w="34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113</w:t>
            </w:r>
          </w:p>
        </w:tc>
        <w:tc>
          <w:tcPr>
            <w:tcW w:w="2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w:t>
            </w:r>
          </w:p>
        </w:tc>
        <w:tc>
          <w:tcPr>
            <w:tcW w:w="4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63"/>
        </w:trPr>
        <w:tc>
          <w:tcPr>
            <w:tcW w:w="656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Time deposits:</w:t>
            </w:r>
          </w:p>
        </w:tc>
        <w:tc>
          <w:tcPr>
            <w:tcW w:w="340" w:type="dxa"/>
            <w:vAlign w:val="bottom"/>
            <w:shd w:val="clear" w:color="auto" w:fill="DBDBDB"/>
          </w:tcPr>
          <w:p>
            <w:pPr>
              <w:spacing w:after="0"/>
              <w:rPr>
                <w:sz w:val="22"/>
                <w:szCs w:val="22"/>
                <w:color w:val="auto"/>
              </w:rPr>
            </w:pPr>
          </w:p>
        </w:tc>
        <w:tc>
          <w:tcPr>
            <w:tcW w:w="1180" w:type="dxa"/>
            <w:vAlign w:val="bottom"/>
            <w:shd w:val="clear" w:color="auto" w:fill="DBDBDB"/>
          </w:tcPr>
          <w:p>
            <w:pPr>
              <w:spacing w:after="0"/>
              <w:rPr>
                <w:sz w:val="22"/>
                <w:szCs w:val="22"/>
                <w:color w:val="auto"/>
              </w:rPr>
            </w:pPr>
          </w:p>
        </w:tc>
        <w:tc>
          <w:tcPr>
            <w:tcW w:w="240" w:type="dxa"/>
            <w:vAlign w:val="bottom"/>
            <w:shd w:val="clear" w:color="auto" w:fill="DBDBDB"/>
          </w:tcPr>
          <w:p>
            <w:pPr>
              <w:spacing w:after="0"/>
              <w:rPr>
                <w:sz w:val="22"/>
                <w:szCs w:val="22"/>
                <w:color w:val="auto"/>
              </w:rPr>
            </w:pPr>
          </w:p>
        </w:tc>
        <w:tc>
          <w:tcPr>
            <w:tcW w:w="1360" w:type="dxa"/>
            <w:vAlign w:val="bottom"/>
            <w:shd w:val="clear" w:color="auto" w:fill="DBDBDB"/>
          </w:tcPr>
          <w:p>
            <w:pPr>
              <w:spacing w:after="0"/>
              <w:rPr>
                <w:sz w:val="22"/>
                <w:szCs w:val="22"/>
                <w:color w:val="auto"/>
              </w:rPr>
            </w:pPr>
          </w:p>
        </w:tc>
        <w:tc>
          <w:tcPr>
            <w:tcW w:w="420" w:type="dxa"/>
            <w:vAlign w:val="bottom"/>
            <w:shd w:val="clear" w:color="auto" w:fill="DBDBDB"/>
          </w:tcPr>
          <w:p>
            <w:pPr>
              <w:spacing w:after="0"/>
              <w:rPr>
                <w:sz w:val="22"/>
                <w:szCs w:val="22"/>
                <w:color w:val="auto"/>
              </w:rPr>
            </w:pPr>
          </w:p>
        </w:tc>
        <w:tc>
          <w:tcPr>
            <w:tcW w:w="1140" w:type="dxa"/>
            <w:vAlign w:val="bottom"/>
            <w:shd w:val="clear" w:color="auto" w:fill="DBDBDB"/>
          </w:tcPr>
          <w:p>
            <w:pPr>
              <w:spacing w:after="0"/>
              <w:rPr>
                <w:sz w:val="22"/>
                <w:szCs w:val="22"/>
                <w:color w:val="auto"/>
              </w:rPr>
            </w:pPr>
          </w:p>
        </w:tc>
      </w:tr>
      <w:tr>
        <w:trPr>
          <w:trHeight w:val="250"/>
        </w:trPr>
        <w:tc>
          <w:tcPr>
            <w:tcW w:w="65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Less than $100</w:t>
            </w:r>
          </w:p>
        </w:tc>
        <w:tc>
          <w:tcPr>
            <w:tcW w:w="34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1,276</w:t>
            </w:r>
          </w:p>
        </w:tc>
        <w:tc>
          <w:tcPr>
            <w:tcW w:w="2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145</w:t>
            </w:r>
          </w:p>
        </w:tc>
        <w:tc>
          <w:tcPr>
            <w:tcW w:w="4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w:t>
            </w:r>
          </w:p>
        </w:tc>
      </w:tr>
      <w:tr>
        <w:trPr>
          <w:trHeight w:val="263"/>
        </w:trPr>
        <w:tc>
          <w:tcPr>
            <w:tcW w:w="6560" w:type="dxa"/>
            <w:vAlign w:val="bottom"/>
            <w:shd w:val="clear" w:color="auto" w:fill="DBDBDB"/>
          </w:tcPr>
          <w:p>
            <w:pPr>
              <w:ind w:left="300"/>
              <w:spacing w:after="0"/>
              <w:rPr>
                <w:sz w:val="20"/>
                <w:szCs w:val="20"/>
                <w:color w:val="auto"/>
              </w:rPr>
            </w:pPr>
            <w:r>
              <w:rPr>
                <w:rFonts w:ascii="Times New Roman" w:cs="Times New Roman" w:eastAsia="Times New Roman" w:hAnsi="Times New Roman"/>
                <w:sz w:val="18"/>
                <w:szCs w:val="18"/>
                <w:color w:val="auto"/>
              </w:rPr>
              <w:t>$100 to less than $250</w:t>
            </w:r>
          </w:p>
        </w:tc>
        <w:tc>
          <w:tcPr>
            <w:tcW w:w="340" w:type="dxa"/>
            <w:vAlign w:val="bottom"/>
            <w:shd w:val="clear" w:color="auto" w:fill="DBDBDB"/>
          </w:tcPr>
          <w:p>
            <w:pPr>
              <w:spacing w:after="0"/>
              <w:rPr>
                <w:sz w:val="22"/>
                <w:szCs w:val="22"/>
                <w:color w:val="auto"/>
              </w:rPr>
            </w:pPr>
          </w:p>
        </w:tc>
        <w:tc>
          <w:tcPr>
            <w:tcW w:w="1180" w:type="dxa"/>
            <w:vAlign w:val="bottom"/>
            <w:shd w:val="clear" w:color="auto" w:fill="DBDBDB"/>
          </w:tcPr>
          <w:p>
            <w:pPr>
              <w:jc w:val="right"/>
              <w:ind w:right="10"/>
              <w:spacing w:after="0"/>
              <w:rPr>
                <w:sz w:val="20"/>
                <w:szCs w:val="20"/>
                <w:color w:val="auto"/>
              </w:rPr>
            </w:pPr>
            <w:r>
              <w:rPr>
                <w:rFonts w:ascii="Times New Roman" w:cs="Times New Roman" w:eastAsia="Times New Roman" w:hAnsi="Times New Roman"/>
                <w:sz w:val="18"/>
                <w:szCs w:val="18"/>
                <w:color w:val="auto"/>
              </w:rPr>
              <w:t>288</w:t>
            </w:r>
          </w:p>
        </w:tc>
        <w:tc>
          <w:tcPr>
            <w:tcW w:w="240" w:type="dxa"/>
            <w:vAlign w:val="bottom"/>
            <w:shd w:val="clear" w:color="auto" w:fill="DBDBDB"/>
          </w:tcPr>
          <w:p>
            <w:pPr>
              <w:spacing w:after="0"/>
              <w:rPr>
                <w:sz w:val="22"/>
                <w:szCs w:val="22"/>
                <w:color w:val="auto"/>
              </w:rPr>
            </w:pPr>
          </w:p>
        </w:tc>
        <w:tc>
          <w:tcPr>
            <w:tcW w:w="1360" w:type="dxa"/>
            <w:vAlign w:val="bottom"/>
            <w:shd w:val="clear" w:color="auto" w:fill="DBDBDB"/>
          </w:tcPr>
          <w:p>
            <w:pPr>
              <w:jc w:val="right"/>
              <w:ind w:right="10"/>
              <w:spacing w:after="0"/>
              <w:rPr>
                <w:sz w:val="20"/>
                <w:szCs w:val="20"/>
                <w:color w:val="auto"/>
              </w:rPr>
            </w:pPr>
            <w:r>
              <w:rPr>
                <w:rFonts w:ascii="Times New Roman" w:cs="Times New Roman" w:eastAsia="Times New Roman" w:hAnsi="Times New Roman"/>
                <w:sz w:val="18"/>
                <w:szCs w:val="18"/>
                <w:color w:val="auto"/>
              </w:rPr>
              <w:t>79</w:t>
            </w:r>
          </w:p>
        </w:tc>
        <w:tc>
          <w:tcPr>
            <w:tcW w:w="420" w:type="dxa"/>
            <w:vAlign w:val="bottom"/>
            <w:shd w:val="clear" w:color="auto" w:fill="DBDBDB"/>
          </w:tcPr>
          <w:p>
            <w:pPr>
              <w:spacing w:after="0"/>
              <w:rPr>
                <w:sz w:val="22"/>
                <w:szCs w:val="22"/>
                <w:color w:val="auto"/>
              </w:rPr>
            </w:pPr>
          </w:p>
        </w:tc>
        <w:tc>
          <w:tcPr>
            <w:tcW w:w="11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250"/>
        </w:trPr>
        <w:tc>
          <w:tcPr>
            <w:tcW w:w="656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$250 or more</w:t>
            </w:r>
          </w:p>
        </w:tc>
        <w:tc>
          <w:tcPr>
            <w:tcW w:w="3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417</w:t>
            </w:r>
          </w:p>
        </w:tc>
        <w:tc>
          <w:tcPr>
            <w:tcW w:w="24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102</w:t>
            </w:r>
          </w:p>
        </w:tc>
        <w:tc>
          <w:tcPr>
            <w:tcW w:w="4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w:t>
            </w:r>
          </w:p>
        </w:tc>
      </w:tr>
      <w:tr>
        <w:trPr>
          <w:trHeight w:val="250"/>
        </w:trPr>
        <w:tc>
          <w:tcPr>
            <w:tcW w:w="6560" w:type="dxa"/>
            <w:vAlign w:val="bottom"/>
            <w:tcBorders>
              <w:bottom w:val="single" w:sz="8" w:color="auto"/>
            </w:tcBorders>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auto"/>
            </w:tcBorders>
            <w:shd w:val="clear" w:color="auto" w:fill="DBDBDB"/>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DBDBDB"/>
          </w:tcPr>
          <w:p>
            <w:pPr>
              <w:jc w:val="right"/>
              <w:ind w:right="10"/>
              <w:spacing w:after="0"/>
              <w:rPr>
                <w:sz w:val="20"/>
                <w:szCs w:val="20"/>
                <w:color w:val="auto"/>
              </w:rPr>
            </w:pPr>
            <w:r>
              <w:rPr>
                <w:rFonts w:ascii="Times New Roman" w:cs="Times New Roman" w:eastAsia="Times New Roman" w:hAnsi="Times New Roman"/>
                <w:sz w:val="18"/>
                <w:szCs w:val="18"/>
                <w:color w:val="auto"/>
              </w:rPr>
              <w:t>16,150</w:t>
            </w:r>
          </w:p>
        </w:tc>
        <w:tc>
          <w:tcPr>
            <w:tcW w:w="24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DBDBDB"/>
          </w:tcPr>
          <w:p>
            <w:pPr>
              <w:jc w:val="right"/>
              <w:ind w:right="10"/>
              <w:spacing w:after="0"/>
              <w:rPr>
                <w:sz w:val="20"/>
                <w:szCs w:val="20"/>
                <w:color w:val="auto"/>
              </w:rPr>
            </w:pPr>
            <w:r>
              <w:rPr>
                <w:rFonts w:ascii="Times New Roman" w:cs="Times New Roman" w:eastAsia="Times New Roman" w:hAnsi="Times New Roman"/>
                <w:sz w:val="18"/>
                <w:szCs w:val="18"/>
                <w:color w:val="auto"/>
              </w:rPr>
              <w:t>3,482</w:t>
            </w:r>
          </w:p>
        </w:tc>
        <w:tc>
          <w:tcPr>
            <w:tcW w:w="420" w:type="dxa"/>
            <w:vAlign w:val="bottom"/>
            <w:tcBorders>
              <w:bottom w:val="single" w:sz="8" w:color="auto"/>
            </w:tcBorders>
            <w:shd w:val="clear" w:color="auto" w:fill="DBDBDB"/>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1,171</w:t>
            </w:r>
          </w:p>
        </w:tc>
      </w:tr>
    </w:tbl>
    <w:p>
      <w:pPr>
        <w:spacing w:after="0" w:line="200" w:lineRule="exact"/>
        <w:rPr>
          <w:sz w:val="20"/>
          <w:szCs w:val="20"/>
          <w:color w:val="auto"/>
        </w:rPr>
      </w:pPr>
    </w:p>
    <w:p>
      <w:pPr>
        <w:sectPr>
          <w:pgSz w:w="11900" w:h="16838" w:orient="portrait"/>
          <w:cols w:equalWidth="0" w:num="1">
            <w:col w:w="11240"/>
          </w:cols>
          <w:pgMar w:left="320" w:top="333" w:right="339" w:bottom="1440" w:gutter="0" w:footer="0" w:header="0"/>
        </w:sect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type w:val="continuous"/>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scheduled maturities of time deposits are summarized as follows: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88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3220" w:type="dxa"/>
            <w:vAlign w:val="bottom"/>
            <w:tcBorders>
              <w:bottom w:val="single" w:sz="8" w:color="auto"/>
            </w:tcBorders>
            <w:gridSpan w:val="4"/>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7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88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tcPr>
          <w:p>
            <w:pPr>
              <w:jc w:val="right"/>
              <w:ind w:right="1310"/>
              <w:spacing w:after="0"/>
              <w:rPr>
                <w:sz w:val="20"/>
                <w:szCs w:val="20"/>
                <w:color w:val="auto"/>
              </w:rPr>
            </w:pPr>
            <w:r>
              <w:rPr>
                <w:rFonts w:ascii="Times New Roman" w:cs="Times New Roman" w:eastAsia="Times New Roman" w:hAnsi="Times New Roman"/>
                <w:sz w:val="18"/>
                <w:szCs w:val="18"/>
                <w:b w:val="1"/>
                <w:bCs w:val="1"/>
                <w:color w:val="auto"/>
                <w:w w:val="94"/>
              </w:rPr>
              <w:t>2023</w:t>
            </w:r>
          </w:p>
        </w:tc>
        <w:tc>
          <w:tcPr>
            <w:tcW w:w="8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tcPr>
          <w:p>
            <w:pPr>
              <w:jc w:val="right"/>
              <w:ind w:right="129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0" w:type="dxa"/>
            <w:vAlign w:val="bottom"/>
          </w:tcPr>
          <w:p>
            <w:pPr>
              <w:spacing w:after="0"/>
              <w:rPr>
                <w:sz w:val="1"/>
                <w:szCs w:val="1"/>
                <w:color w:val="auto"/>
              </w:rPr>
            </w:pPr>
          </w:p>
        </w:tc>
      </w:tr>
      <w:tr>
        <w:trPr>
          <w:trHeight w:val="176"/>
        </w:trPr>
        <w:tc>
          <w:tcPr>
            <w:tcW w:w="488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60" w:type="dxa"/>
            <w:vAlign w:val="bottom"/>
          </w:tcPr>
          <w:p>
            <w:pPr>
              <w:spacing w:after="0"/>
              <w:rPr>
                <w:sz w:val="15"/>
                <w:szCs w:val="15"/>
                <w:color w:val="auto"/>
              </w:rPr>
            </w:pPr>
          </w:p>
        </w:tc>
        <w:tc>
          <w:tcPr>
            <w:tcW w:w="1120" w:type="dxa"/>
            <w:vAlign w:val="bottom"/>
            <w:vMerge w:val="restart"/>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760" w:type="dxa"/>
            <w:vAlign w:val="bottom"/>
          </w:tcPr>
          <w:p>
            <w:pPr>
              <w:jc w:val="right"/>
              <w:ind w:right="410"/>
              <w:spacing w:after="0" w:line="176" w:lineRule="exact"/>
              <w:rPr>
                <w:sz w:val="20"/>
                <w:szCs w:val="20"/>
                <w:color w:val="auto"/>
              </w:rPr>
            </w:pPr>
            <w:r>
              <w:rPr>
                <w:rFonts w:ascii="Times New Roman" w:cs="Times New Roman" w:eastAsia="Times New Roman" w:hAnsi="Times New Roman"/>
                <w:sz w:val="18"/>
                <w:szCs w:val="18"/>
                <w:b w:val="1"/>
                <w:bCs w:val="1"/>
                <w:color w:val="auto"/>
              </w:rPr>
              <w:t>Percent</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vMerge w:val="restart"/>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760" w:type="dxa"/>
            <w:vAlign w:val="bottom"/>
          </w:tcPr>
          <w:p>
            <w:pPr>
              <w:jc w:val="right"/>
              <w:ind w:right="410"/>
              <w:spacing w:after="0" w:line="176" w:lineRule="exact"/>
              <w:rPr>
                <w:sz w:val="20"/>
                <w:szCs w:val="20"/>
                <w:color w:val="auto"/>
              </w:rPr>
            </w:pPr>
            <w:r>
              <w:rPr>
                <w:rFonts w:ascii="Times New Roman" w:cs="Times New Roman" w:eastAsia="Times New Roman" w:hAnsi="Times New Roman"/>
                <w:sz w:val="18"/>
                <w:szCs w:val="18"/>
                <w:b w:val="1"/>
                <w:bCs w:val="1"/>
                <w:color w:val="auto"/>
              </w:rPr>
              <w:t>Percent</w:t>
            </w:r>
          </w:p>
        </w:tc>
        <w:tc>
          <w:tcPr>
            <w:tcW w:w="0" w:type="dxa"/>
            <w:vAlign w:val="bottom"/>
          </w:tcPr>
          <w:p>
            <w:pPr>
              <w:spacing w:after="0"/>
              <w:rPr>
                <w:sz w:val="1"/>
                <w:szCs w:val="1"/>
                <w:color w:val="auto"/>
              </w:rPr>
            </w:pPr>
          </w:p>
        </w:tc>
      </w:tr>
      <w:tr>
        <w:trPr>
          <w:trHeight w:val="241"/>
        </w:trPr>
        <w:tc>
          <w:tcPr>
            <w:tcW w:w="4880" w:type="dxa"/>
            <w:vAlign w:val="bottom"/>
            <w:tcBorders>
              <w:bottom w:val="single" w:sz="8" w:color="auto"/>
            </w:tcBorders>
            <w:vMerge w:val="continue"/>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vMerge w:val="continue"/>
          </w:tcPr>
          <w:p>
            <w:pPr>
              <w:spacing w:after="0"/>
              <w:rPr>
                <w:sz w:val="20"/>
                <w:szCs w:val="20"/>
                <w:color w:val="auto"/>
              </w:rPr>
            </w:pPr>
          </w:p>
        </w:tc>
        <w:tc>
          <w:tcPr>
            <w:tcW w:w="1840" w:type="dxa"/>
            <w:vAlign w:val="bottom"/>
            <w:tcBorders>
              <w:bottom w:val="single" w:sz="8" w:color="auto"/>
            </w:tcBorders>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of Total</w:t>
            </w:r>
          </w:p>
        </w:tc>
        <w:tc>
          <w:tcPr>
            <w:tcW w:w="2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vMerge w:val="continue"/>
          </w:tcPr>
          <w:p>
            <w:pPr>
              <w:spacing w:after="0"/>
              <w:rPr>
                <w:sz w:val="20"/>
                <w:szCs w:val="20"/>
                <w:color w:val="auto"/>
              </w:rPr>
            </w:pPr>
          </w:p>
        </w:tc>
        <w:tc>
          <w:tcPr>
            <w:tcW w:w="17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of Total</w:t>
            </w:r>
          </w:p>
        </w:tc>
        <w:tc>
          <w:tcPr>
            <w:tcW w:w="0" w:type="dxa"/>
            <w:vAlign w:val="bottom"/>
          </w:tcPr>
          <w:p>
            <w:pPr>
              <w:spacing w:after="0"/>
              <w:rPr>
                <w:sz w:val="1"/>
                <w:szCs w:val="1"/>
                <w:color w:val="auto"/>
              </w:rPr>
            </w:pPr>
          </w:p>
        </w:tc>
      </w:tr>
      <w:tr>
        <w:trPr>
          <w:trHeight w:val="252"/>
        </w:trPr>
        <w:tc>
          <w:tcPr>
            <w:tcW w:w="488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Due within:</w:t>
            </w:r>
          </w:p>
        </w:tc>
        <w:tc>
          <w:tcPr>
            <w:tcW w:w="260" w:type="dxa"/>
            <w:vAlign w:val="bottom"/>
            <w:shd w:val="clear" w:color="auto" w:fill="DBDBDB"/>
          </w:tcPr>
          <w:p>
            <w:pPr>
              <w:spacing w:after="0"/>
              <w:rPr>
                <w:sz w:val="21"/>
                <w:szCs w:val="21"/>
                <w:color w:val="auto"/>
              </w:rPr>
            </w:pPr>
          </w:p>
        </w:tc>
        <w:tc>
          <w:tcPr>
            <w:tcW w:w="1120" w:type="dxa"/>
            <w:vAlign w:val="bottom"/>
            <w:shd w:val="clear" w:color="auto" w:fill="DBDBDB"/>
          </w:tcPr>
          <w:p>
            <w:pPr>
              <w:spacing w:after="0"/>
              <w:rPr>
                <w:sz w:val="21"/>
                <w:szCs w:val="21"/>
                <w:color w:val="auto"/>
              </w:rPr>
            </w:pPr>
          </w:p>
        </w:tc>
        <w:tc>
          <w:tcPr>
            <w:tcW w:w="1760" w:type="dxa"/>
            <w:vAlign w:val="bottom"/>
            <w:shd w:val="clear" w:color="auto" w:fill="DBDBDB"/>
          </w:tcPr>
          <w:p>
            <w:pPr>
              <w:spacing w:after="0"/>
              <w:rPr>
                <w:sz w:val="21"/>
                <w:szCs w:val="21"/>
                <w:color w:val="auto"/>
              </w:rPr>
            </w:pPr>
          </w:p>
        </w:tc>
        <w:tc>
          <w:tcPr>
            <w:tcW w:w="80" w:type="dxa"/>
            <w:vAlign w:val="bottom"/>
            <w:shd w:val="clear" w:color="auto" w:fill="DBDBDB"/>
          </w:tcPr>
          <w:p>
            <w:pPr>
              <w:spacing w:after="0"/>
              <w:rPr>
                <w:sz w:val="21"/>
                <w:szCs w:val="21"/>
                <w:color w:val="auto"/>
              </w:rPr>
            </w:pPr>
          </w:p>
        </w:tc>
        <w:tc>
          <w:tcPr>
            <w:tcW w:w="260" w:type="dxa"/>
            <w:vAlign w:val="bottom"/>
            <w:shd w:val="clear" w:color="auto" w:fill="DBDBDB"/>
          </w:tcPr>
          <w:p>
            <w:pPr>
              <w:spacing w:after="0"/>
              <w:rPr>
                <w:sz w:val="21"/>
                <w:szCs w:val="21"/>
                <w:color w:val="auto"/>
              </w:rPr>
            </w:pPr>
          </w:p>
        </w:tc>
        <w:tc>
          <w:tcPr>
            <w:tcW w:w="1120" w:type="dxa"/>
            <w:vAlign w:val="bottom"/>
            <w:shd w:val="clear" w:color="auto" w:fill="DBDBDB"/>
          </w:tcPr>
          <w:p>
            <w:pPr>
              <w:spacing w:after="0"/>
              <w:rPr>
                <w:sz w:val="21"/>
                <w:szCs w:val="21"/>
                <w:color w:val="auto"/>
              </w:rPr>
            </w:pPr>
          </w:p>
        </w:tc>
        <w:tc>
          <w:tcPr>
            <w:tcW w:w="1760" w:type="dxa"/>
            <w:vAlign w:val="bottom"/>
            <w:shd w:val="clear" w:color="auto" w:fill="DBDBDB"/>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8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One year</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72,616</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94.6 %</w:t>
            </w:r>
          </w:p>
        </w:tc>
        <w:tc>
          <w:tcPr>
            <w:tcW w:w="8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37,925</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93.3 %</w:t>
            </w:r>
          </w:p>
        </w:tc>
        <w:tc>
          <w:tcPr>
            <w:tcW w:w="0" w:type="dxa"/>
            <w:vAlign w:val="bottom"/>
          </w:tcPr>
          <w:p>
            <w:pPr>
              <w:spacing w:after="0"/>
              <w:rPr>
                <w:sz w:val="1"/>
                <w:szCs w:val="1"/>
                <w:color w:val="auto"/>
              </w:rPr>
            </w:pPr>
          </w:p>
        </w:tc>
      </w:tr>
      <w:tr>
        <w:trPr>
          <w:trHeight w:val="263"/>
        </w:trPr>
        <w:tc>
          <w:tcPr>
            <w:tcW w:w="4880" w:type="dxa"/>
            <w:vAlign w:val="bottom"/>
            <w:shd w:val="clear" w:color="auto" w:fill="DBDBDB"/>
          </w:tcPr>
          <w:p>
            <w:pPr>
              <w:ind w:left="300"/>
              <w:spacing w:after="0"/>
              <w:rPr>
                <w:sz w:val="20"/>
                <w:szCs w:val="20"/>
                <w:color w:val="auto"/>
              </w:rPr>
            </w:pPr>
            <w:r>
              <w:rPr>
                <w:rFonts w:ascii="Times New Roman" w:cs="Times New Roman" w:eastAsia="Times New Roman" w:hAnsi="Times New Roman"/>
                <w:sz w:val="18"/>
                <w:szCs w:val="18"/>
                <w:color w:val="auto"/>
              </w:rPr>
              <w:t>Two years</w:t>
            </w:r>
          </w:p>
        </w:tc>
        <w:tc>
          <w:tcPr>
            <w:tcW w:w="260" w:type="dxa"/>
            <w:vAlign w:val="bottom"/>
            <w:shd w:val="clear" w:color="auto" w:fill="DBDBDB"/>
          </w:tcPr>
          <w:p>
            <w:pPr>
              <w:spacing w:after="0"/>
              <w:rPr>
                <w:sz w:val="22"/>
                <w:szCs w:val="22"/>
                <w:color w:val="auto"/>
              </w:rPr>
            </w:pPr>
          </w:p>
        </w:tc>
        <w:tc>
          <w:tcPr>
            <w:tcW w:w="11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2,941</w:t>
            </w:r>
          </w:p>
        </w:tc>
        <w:tc>
          <w:tcPr>
            <w:tcW w:w="17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3.8 %</w:t>
            </w:r>
          </w:p>
        </w:tc>
        <w:tc>
          <w:tcPr>
            <w:tcW w:w="80" w:type="dxa"/>
            <w:vAlign w:val="bottom"/>
            <w:shd w:val="clear" w:color="auto" w:fill="DBDBDB"/>
          </w:tcPr>
          <w:p>
            <w:pPr>
              <w:spacing w:after="0"/>
              <w:rPr>
                <w:sz w:val="22"/>
                <w:szCs w:val="22"/>
                <w:color w:val="auto"/>
              </w:rPr>
            </w:pPr>
          </w:p>
        </w:tc>
        <w:tc>
          <w:tcPr>
            <w:tcW w:w="260" w:type="dxa"/>
            <w:vAlign w:val="bottom"/>
            <w:shd w:val="clear" w:color="auto" w:fill="DBDBDB"/>
          </w:tcPr>
          <w:p>
            <w:pPr>
              <w:spacing w:after="0"/>
              <w:rPr>
                <w:sz w:val="22"/>
                <w:szCs w:val="22"/>
                <w:color w:val="auto"/>
              </w:rPr>
            </w:pPr>
          </w:p>
        </w:tc>
        <w:tc>
          <w:tcPr>
            <w:tcW w:w="11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1,773</w:t>
            </w:r>
          </w:p>
        </w:tc>
        <w:tc>
          <w:tcPr>
            <w:tcW w:w="17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4.4 %</w:t>
            </w:r>
          </w:p>
        </w:tc>
        <w:tc>
          <w:tcPr>
            <w:tcW w:w="0" w:type="dxa"/>
            <w:vAlign w:val="bottom"/>
          </w:tcPr>
          <w:p>
            <w:pPr>
              <w:spacing w:after="0"/>
              <w:rPr>
                <w:sz w:val="1"/>
                <w:szCs w:val="1"/>
                <w:color w:val="auto"/>
              </w:rPr>
            </w:pPr>
          </w:p>
        </w:tc>
      </w:tr>
      <w:tr>
        <w:trPr>
          <w:trHeight w:val="250"/>
        </w:trPr>
        <w:tc>
          <w:tcPr>
            <w:tcW w:w="48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Three years</w:t>
            </w: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1,098</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797</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0" w:type="dxa"/>
            <w:vAlign w:val="bottom"/>
          </w:tcPr>
          <w:p>
            <w:pPr>
              <w:spacing w:after="0"/>
              <w:rPr>
                <w:sz w:val="1"/>
                <w:szCs w:val="1"/>
                <w:color w:val="auto"/>
              </w:rPr>
            </w:pPr>
          </w:p>
        </w:tc>
      </w:tr>
      <w:tr>
        <w:trPr>
          <w:trHeight w:val="263"/>
        </w:trPr>
        <w:tc>
          <w:tcPr>
            <w:tcW w:w="4880" w:type="dxa"/>
            <w:vAlign w:val="bottom"/>
            <w:shd w:val="clear" w:color="auto" w:fill="DBDBDB"/>
          </w:tcPr>
          <w:p>
            <w:pPr>
              <w:ind w:left="300"/>
              <w:spacing w:after="0"/>
              <w:rPr>
                <w:sz w:val="20"/>
                <w:szCs w:val="20"/>
                <w:color w:val="auto"/>
              </w:rPr>
            </w:pPr>
            <w:r>
              <w:rPr>
                <w:rFonts w:ascii="Times New Roman" w:cs="Times New Roman" w:eastAsia="Times New Roman" w:hAnsi="Times New Roman"/>
                <w:sz w:val="18"/>
                <w:szCs w:val="18"/>
                <w:color w:val="auto"/>
              </w:rPr>
              <w:t>Four years</w:t>
            </w:r>
          </w:p>
        </w:tc>
        <w:tc>
          <w:tcPr>
            <w:tcW w:w="260" w:type="dxa"/>
            <w:vAlign w:val="bottom"/>
            <w:shd w:val="clear" w:color="auto" w:fill="DBDBDB"/>
          </w:tcPr>
          <w:p>
            <w:pPr>
              <w:spacing w:after="0"/>
              <w:rPr>
                <w:sz w:val="22"/>
                <w:szCs w:val="22"/>
                <w:color w:val="auto"/>
              </w:rPr>
            </w:pPr>
          </w:p>
        </w:tc>
        <w:tc>
          <w:tcPr>
            <w:tcW w:w="11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7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80" w:type="dxa"/>
            <w:vAlign w:val="bottom"/>
            <w:shd w:val="clear" w:color="auto" w:fill="DBDBDB"/>
          </w:tcPr>
          <w:p>
            <w:pPr>
              <w:spacing w:after="0"/>
              <w:rPr>
                <w:sz w:val="22"/>
                <w:szCs w:val="22"/>
                <w:color w:val="auto"/>
              </w:rPr>
            </w:pPr>
          </w:p>
        </w:tc>
        <w:tc>
          <w:tcPr>
            <w:tcW w:w="260" w:type="dxa"/>
            <w:vAlign w:val="bottom"/>
            <w:shd w:val="clear" w:color="auto" w:fill="DBDBDB"/>
          </w:tcPr>
          <w:p>
            <w:pPr>
              <w:spacing w:after="0"/>
              <w:rPr>
                <w:sz w:val="22"/>
                <w:szCs w:val="22"/>
                <w:color w:val="auto"/>
              </w:rPr>
            </w:pPr>
          </w:p>
        </w:tc>
        <w:tc>
          <w:tcPr>
            <w:tcW w:w="11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7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0" w:type="dxa"/>
            <w:vAlign w:val="bottom"/>
          </w:tcPr>
          <w:p>
            <w:pPr>
              <w:spacing w:after="0"/>
              <w:rPr>
                <w:sz w:val="1"/>
                <w:szCs w:val="1"/>
                <w:color w:val="auto"/>
              </w:rPr>
            </w:pPr>
          </w:p>
        </w:tc>
      </w:tr>
      <w:tr>
        <w:trPr>
          <w:trHeight w:val="250"/>
        </w:trPr>
        <w:tc>
          <w:tcPr>
            <w:tcW w:w="488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Five years</w:t>
            </w:r>
          </w:p>
        </w:tc>
        <w:tc>
          <w:tcPr>
            <w:tcW w:w="2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8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0" w:type="dxa"/>
            <w:vAlign w:val="bottom"/>
          </w:tcPr>
          <w:p>
            <w:pPr>
              <w:spacing w:after="0"/>
              <w:rPr>
                <w:sz w:val="1"/>
                <w:szCs w:val="1"/>
                <w:color w:val="auto"/>
              </w:rPr>
            </w:pPr>
          </w:p>
        </w:tc>
      </w:tr>
      <w:tr>
        <w:trPr>
          <w:trHeight w:val="250"/>
        </w:trPr>
        <w:tc>
          <w:tcPr>
            <w:tcW w:w="4880" w:type="dxa"/>
            <w:vAlign w:val="bottom"/>
            <w:tcBorders>
              <w:bottom w:val="single" w:sz="8" w:color="auto"/>
            </w:tcBorders>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shd w:val="clear" w:color="auto" w:fill="DBDBDB"/>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76,722</w:t>
            </w:r>
          </w:p>
        </w:tc>
        <w:tc>
          <w:tcPr>
            <w:tcW w:w="176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80" w:type="dxa"/>
            <w:vAlign w:val="bottom"/>
            <w:tcBorders>
              <w:bottom w:val="single" w:sz="8" w:color="auto"/>
            </w:tcBorders>
            <w:shd w:val="clear" w:color="auto" w:fill="DBDBDB"/>
          </w:tcPr>
          <w:p>
            <w:pPr>
              <w:spacing w:after="0"/>
              <w:rPr>
                <w:sz w:val="21"/>
                <w:szCs w:val="21"/>
                <w:color w:val="auto"/>
              </w:rPr>
            </w:pPr>
          </w:p>
        </w:tc>
        <w:tc>
          <w:tcPr>
            <w:tcW w:w="260" w:type="dxa"/>
            <w:vAlign w:val="bottom"/>
            <w:tcBorders>
              <w:bottom w:val="single" w:sz="8" w:color="auto"/>
            </w:tcBorders>
            <w:shd w:val="clear" w:color="auto" w:fill="DBDBDB"/>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40,621</w:t>
            </w:r>
          </w:p>
        </w:tc>
        <w:tc>
          <w:tcPr>
            <w:tcW w:w="176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Unused Available Lines of Credit</w:t>
      </w:r>
    </w:p>
    <w:p>
      <w:pPr>
        <w:spacing w:after="0" w:line="20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December 31, 2023, the Bank had unsecured lines of credit at six correspondent banks to purchase federal funds up to a maximum of $83.0 million in aggregate. As of December 31, 2023, the Bank had secured lines of credit with the Federal Home Loan Bank of $228.3 million collateralized by commercial mortgage loans. As of December 31, 2023, the Company had lines of credit from three banks up to a maximum of $250.0 million in aggregate collateralized by state and political subdivision securities. There were no amounts outstanding as of December 31, 2023 and 2022 under any of the lines of credit.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 and Earnings per Share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shows activity in the outstanding shares of the Company’s common stock during 2023.</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6700" w:type="dxa"/>
            <w:vAlign w:val="bottom"/>
            <w:tcBorders>
              <w:bottom w:val="single" w:sz="8" w:color="auto"/>
            </w:tcBorders>
          </w:tcPr>
          <w:p>
            <w:pPr>
              <w:spacing w:after="0"/>
              <w:rPr>
                <w:sz w:val="22"/>
                <w:szCs w:val="22"/>
                <w:color w:val="auto"/>
              </w:rPr>
            </w:pPr>
          </w:p>
        </w:tc>
        <w:tc>
          <w:tcPr>
            <w:tcW w:w="45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57"/>
        </w:trPr>
        <w:tc>
          <w:tcPr>
            <w:tcW w:w="670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Shares outstanding at January 1</w:t>
            </w:r>
          </w:p>
        </w:tc>
        <w:tc>
          <w:tcPr>
            <w:tcW w:w="45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13,669,656</w:t>
            </w:r>
          </w:p>
        </w:tc>
      </w:tr>
      <w:tr>
        <w:trPr>
          <w:trHeight w:val="250"/>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 of common stock:</w:t>
            </w:r>
          </w:p>
        </w:tc>
        <w:tc>
          <w:tcPr>
            <w:tcW w:w="4540" w:type="dxa"/>
            <w:vAlign w:val="bottom"/>
          </w:tcPr>
          <w:p>
            <w:pPr>
              <w:spacing w:after="0"/>
              <w:rPr>
                <w:sz w:val="21"/>
                <w:szCs w:val="21"/>
                <w:color w:val="auto"/>
              </w:rPr>
            </w:pPr>
          </w:p>
        </w:tc>
      </w:tr>
      <w:tr>
        <w:trPr>
          <w:trHeight w:val="263"/>
        </w:trPr>
        <w:tc>
          <w:tcPr>
            <w:tcW w:w="6700" w:type="dxa"/>
            <w:vAlign w:val="bottom"/>
            <w:shd w:val="clear" w:color="auto" w:fill="DBDBDB"/>
          </w:tcPr>
          <w:p>
            <w:pPr>
              <w:ind w:left="300"/>
              <w:spacing w:after="0"/>
              <w:rPr>
                <w:sz w:val="20"/>
                <w:szCs w:val="20"/>
                <w:color w:val="auto"/>
              </w:rPr>
            </w:pPr>
            <w:r>
              <w:rPr>
                <w:rFonts w:ascii="Times New Roman" w:cs="Times New Roman" w:eastAsia="Times New Roman" w:hAnsi="Times New Roman"/>
                <w:sz w:val="18"/>
                <w:szCs w:val="18"/>
                <w:color w:val="auto"/>
              </w:rPr>
              <w:t>Employee restricted stock grants</w:t>
            </w:r>
          </w:p>
        </w:tc>
        <w:tc>
          <w:tcPr>
            <w:tcW w:w="45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12,780</w:t>
            </w:r>
          </w:p>
        </w:tc>
      </w:tr>
      <w:tr>
        <w:trPr>
          <w:trHeight w:val="250"/>
        </w:trPr>
        <w:tc>
          <w:tcPr>
            <w:tcW w:w="67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Employee restricted stock units vested</w:t>
            </w:r>
          </w:p>
        </w:tc>
        <w:tc>
          <w:tcPr>
            <w:tcW w:w="4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9,843</w:t>
            </w:r>
          </w:p>
        </w:tc>
      </w:tr>
      <w:tr>
        <w:trPr>
          <w:trHeight w:val="263"/>
        </w:trPr>
        <w:tc>
          <w:tcPr>
            <w:tcW w:w="6700" w:type="dxa"/>
            <w:vAlign w:val="bottom"/>
            <w:shd w:val="clear" w:color="auto" w:fill="DBDBDB"/>
          </w:tcPr>
          <w:p>
            <w:pPr>
              <w:ind w:left="300"/>
              <w:spacing w:after="0"/>
              <w:rPr>
                <w:sz w:val="20"/>
                <w:szCs w:val="20"/>
                <w:color w:val="auto"/>
              </w:rPr>
            </w:pPr>
            <w:r>
              <w:rPr>
                <w:rFonts w:ascii="Times New Roman" w:cs="Times New Roman" w:eastAsia="Times New Roman" w:hAnsi="Times New Roman"/>
                <w:sz w:val="18"/>
                <w:szCs w:val="18"/>
                <w:color w:val="auto"/>
              </w:rPr>
              <w:t>Performance-based stock vested</w:t>
            </w:r>
          </w:p>
        </w:tc>
        <w:tc>
          <w:tcPr>
            <w:tcW w:w="45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15,646</w:t>
            </w:r>
          </w:p>
        </w:tc>
      </w:tr>
      <w:tr>
        <w:trPr>
          <w:trHeight w:val="250"/>
        </w:trPr>
        <w:tc>
          <w:tcPr>
            <w:tcW w:w="67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Employee SARs exercised</w:t>
            </w:r>
          </w:p>
        </w:tc>
        <w:tc>
          <w:tcPr>
            <w:tcW w:w="4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2,974</w:t>
            </w:r>
          </w:p>
        </w:tc>
      </w:tr>
      <w:tr>
        <w:trPr>
          <w:trHeight w:val="263"/>
        </w:trPr>
        <w:tc>
          <w:tcPr>
            <w:tcW w:w="6700" w:type="dxa"/>
            <w:vAlign w:val="bottom"/>
            <w:shd w:val="clear" w:color="auto" w:fill="DBDBDB"/>
          </w:tcPr>
          <w:p>
            <w:pPr>
              <w:ind w:left="300"/>
              <w:spacing w:after="0"/>
              <w:rPr>
                <w:sz w:val="20"/>
                <w:szCs w:val="20"/>
                <w:color w:val="auto"/>
              </w:rPr>
            </w:pPr>
            <w:r>
              <w:rPr>
                <w:rFonts w:ascii="Times New Roman" w:cs="Times New Roman" w:eastAsia="Times New Roman" w:hAnsi="Times New Roman"/>
                <w:sz w:val="18"/>
                <w:szCs w:val="18"/>
                <w:color w:val="auto"/>
              </w:rPr>
              <w:t>Directors’ stock grants</w:t>
            </w:r>
          </w:p>
        </w:tc>
        <w:tc>
          <w:tcPr>
            <w:tcW w:w="45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22,415</w:t>
            </w:r>
          </w:p>
        </w:tc>
      </w:tr>
      <w:tr>
        <w:trPr>
          <w:trHeight w:val="250"/>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repurchased</w:t>
            </w:r>
          </w:p>
        </w:tc>
        <w:tc>
          <w:tcPr>
            <w:tcW w:w="4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(150,541)</w:t>
            </w:r>
          </w:p>
        </w:tc>
      </w:tr>
      <w:tr>
        <w:trPr>
          <w:trHeight w:val="257"/>
        </w:trPr>
        <w:tc>
          <w:tcPr>
            <w:tcW w:w="6700" w:type="dxa"/>
            <w:vAlign w:val="bottom"/>
            <w:tcBorders>
              <w:bottom w:val="single" w:sz="8" w:color="auto"/>
            </w:tcBorders>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Shares forfeited</w:t>
            </w:r>
          </w:p>
        </w:tc>
        <w:tc>
          <w:tcPr>
            <w:tcW w:w="454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(398)</w:t>
            </w:r>
          </w:p>
        </w:tc>
      </w:tr>
      <w:tr>
        <w:trPr>
          <w:trHeight w:val="250"/>
        </w:trPr>
        <w:tc>
          <w:tcPr>
            <w:tcW w:w="6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Shares outstanding at December 31</w:t>
            </w:r>
          </w:p>
        </w:tc>
        <w:tc>
          <w:tcPr>
            <w:tcW w:w="4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13,582,375</w:t>
            </w:r>
          </w:p>
        </w:tc>
      </w:tr>
    </w:tbl>
    <w:p>
      <w:pPr>
        <w:spacing w:after="0" w:line="2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Basic earnings per share is computed by dividing net income by the weighted average number of common shares outstanding. Diluted earnings per share is computed by dividing net income by the sum of the weighted average number of common shares outstanding and the weighted average number of potential common shares outstanding. Under the treasury stock method, stock appreciation rights (“SARs”) are dilutive when the average market price of the Company’s common stock, combined with the effect of any unamortized compensation expense, exceeds the SAR price during a period.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calculations of basic and diluted earnings per share are as follows: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40" w:type="dxa"/>
        <w:tblCellMar>
          <w:top w:w="0" w:type="dxa"/>
          <w:left w:w="0" w:type="dxa"/>
          <w:bottom w:w="0" w:type="dxa"/>
          <w:right w:w="0" w:type="dxa"/>
        </w:tblCellMar>
      </w:tblPr>
      <w:tr>
        <w:trPr>
          <w:trHeight w:val="245"/>
        </w:trPr>
        <w:tc>
          <w:tcPr>
            <w:tcW w:w="59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3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r>
      <w:tr>
        <w:trPr>
          <w:trHeight w:val="250"/>
        </w:trPr>
        <w:tc>
          <w:tcPr>
            <w:tcW w:w="5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(In thousands except share and per share data)</w:t>
            </w:r>
          </w:p>
        </w:tc>
        <w:tc>
          <w:tcPr>
            <w:tcW w:w="10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4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56"/>
        </w:trPr>
        <w:tc>
          <w:tcPr>
            <w:tcW w:w="5980" w:type="dxa"/>
            <w:vAlign w:val="bottom"/>
            <w:shd w:val="clear" w:color="auto" w:fill="DBDBDB"/>
          </w:tcPr>
          <w:p>
            <w:pPr>
              <w:spacing w:after="0"/>
              <w:rPr>
                <w:sz w:val="20"/>
                <w:szCs w:val="20"/>
                <w:color w:val="auto"/>
              </w:rPr>
            </w:pPr>
            <w:r>
              <w:rPr>
                <w:rFonts w:ascii="Times New Roman" w:cs="Times New Roman" w:eastAsia="Times New Roman" w:hAnsi="Times New Roman"/>
                <w:sz w:val="18"/>
                <w:szCs w:val="18"/>
                <w:color w:val="auto"/>
              </w:rPr>
              <w:t>Basic:</w:t>
            </w:r>
          </w:p>
        </w:tc>
        <w:tc>
          <w:tcPr>
            <w:tcW w:w="1040" w:type="dxa"/>
            <w:vAlign w:val="bottom"/>
            <w:shd w:val="clear" w:color="auto" w:fill="DBDBDB"/>
          </w:tcPr>
          <w:p>
            <w:pPr>
              <w:spacing w:after="0"/>
              <w:rPr>
                <w:sz w:val="22"/>
                <w:szCs w:val="22"/>
                <w:color w:val="auto"/>
              </w:rPr>
            </w:pPr>
          </w:p>
        </w:tc>
        <w:tc>
          <w:tcPr>
            <w:tcW w:w="1120" w:type="dxa"/>
            <w:vAlign w:val="bottom"/>
            <w:shd w:val="clear" w:color="auto" w:fill="DBDBDB"/>
          </w:tcPr>
          <w:p>
            <w:pPr>
              <w:spacing w:after="0"/>
              <w:rPr>
                <w:sz w:val="22"/>
                <w:szCs w:val="22"/>
                <w:color w:val="auto"/>
              </w:rPr>
            </w:pPr>
          </w:p>
        </w:tc>
        <w:tc>
          <w:tcPr>
            <w:tcW w:w="240" w:type="dxa"/>
            <w:vAlign w:val="bottom"/>
            <w:shd w:val="clear" w:color="auto" w:fill="DBDBDB"/>
          </w:tcPr>
          <w:p>
            <w:pPr>
              <w:spacing w:after="0"/>
              <w:rPr>
                <w:sz w:val="22"/>
                <w:szCs w:val="22"/>
                <w:color w:val="auto"/>
              </w:rPr>
            </w:pPr>
          </w:p>
        </w:tc>
        <w:tc>
          <w:tcPr>
            <w:tcW w:w="1280" w:type="dxa"/>
            <w:vAlign w:val="bottom"/>
            <w:shd w:val="clear" w:color="auto" w:fill="DBDBDB"/>
          </w:tcPr>
          <w:p>
            <w:pPr>
              <w:spacing w:after="0"/>
              <w:rPr>
                <w:sz w:val="22"/>
                <w:szCs w:val="22"/>
                <w:color w:val="auto"/>
              </w:rPr>
            </w:pPr>
          </w:p>
        </w:tc>
        <w:tc>
          <w:tcPr>
            <w:tcW w:w="100" w:type="dxa"/>
            <w:vAlign w:val="bottom"/>
            <w:shd w:val="clear" w:color="auto" w:fill="DBDBDB"/>
          </w:tcPr>
          <w:p>
            <w:pPr>
              <w:spacing w:after="0"/>
              <w:rPr>
                <w:sz w:val="22"/>
                <w:szCs w:val="22"/>
                <w:color w:val="auto"/>
              </w:rPr>
            </w:pPr>
          </w:p>
        </w:tc>
        <w:tc>
          <w:tcPr>
            <w:tcW w:w="320" w:type="dxa"/>
            <w:vAlign w:val="bottom"/>
            <w:shd w:val="clear" w:color="auto" w:fill="DBDBDB"/>
          </w:tcPr>
          <w:p>
            <w:pPr>
              <w:spacing w:after="0"/>
              <w:rPr>
                <w:sz w:val="22"/>
                <w:szCs w:val="22"/>
                <w:color w:val="auto"/>
              </w:rPr>
            </w:pPr>
          </w:p>
        </w:tc>
        <w:tc>
          <w:tcPr>
            <w:tcW w:w="1100" w:type="dxa"/>
            <w:vAlign w:val="bottom"/>
            <w:shd w:val="clear" w:color="auto" w:fill="DBDBDB"/>
          </w:tcPr>
          <w:p>
            <w:pPr>
              <w:spacing w:after="0"/>
              <w:rPr>
                <w:sz w:val="22"/>
                <w:szCs w:val="22"/>
                <w:color w:val="auto"/>
              </w:rPr>
            </w:pPr>
          </w:p>
        </w:tc>
      </w:tr>
      <w:tr>
        <w:trPr>
          <w:trHeight w:val="250"/>
        </w:trPr>
        <w:tc>
          <w:tcPr>
            <w:tcW w:w="59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Net income</w:t>
            </w:r>
          </w:p>
        </w:tc>
        <w:tc>
          <w:tcPr>
            <w:tcW w:w="10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30,059</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34,904</w:t>
            </w:r>
          </w:p>
        </w:tc>
        <w:tc>
          <w:tcPr>
            <w:tcW w:w="10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28,604</w:t>
            </w:r>
          </w:p>
        </w:tc>
      </w:tr>
      <w:tr>
        <w:trPr>
          <w:trHeight w:val="263"/>
        </w:trPr>
        <w:tc>
          <w:tcPr>
            <w:tcW w:w="5980" w:type="dxa"/>
            <w:vAlign w:val="bottom"/>
            <w:shd w:val="clear" w:color="auto" w:fill="DBDBDB"/>
          </w:tcPr>
          <w:p>
            <w:pPr>
              <w:ind w:left="280"/>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1040" w:type="dxa"/>
            <w:vAlign w:val="bottom"/>
            <w:shd w:val="clear" w:color="auto" w:fill="DBDBDB"/>
          </w:tcPr>
          <w:p>
            <w:pPr>
              <w:spacing w:after="0"/>
              <w:rPr>
                <w:sz w:val="22"/>
                <w:szCs w:val="22"/>
                <w:color w:val="auto"/>
              </w:rPr>
            </w:pPr>
          </w:p>
        </w:tc>
        <w:tc>
          <w:tcPr>
            <w:tcW w:w="11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13,530,005</w:t>
            </w:r>
          </w:p>
        </w:tc>
        <w:tc>
          <w:tcPr>
            <w:tcW w:w="240" w:type="dxa"/>
            <w:vAlign w:val="bottom"/>
            <w:shd w:val="clear" w:color="auto" w:fill="DBDBDB"/>
          </w:tcPr>
          <w:p>
            <w:pPr>
              <w:spacing w:after="0"/>
              <w:rPr>
                <w:sz w:val="22"/>
                <w:szCs w:val="22"/>
                <w:color w:val="auto"/>
              </w:rPr>
            </w:pPr>
          </w:p>
        </w:tc>
        <w:tc>
          <w:tcPr>
            <w:tcW w:w="12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13,552,503</w:t>
            </w:r>
          </w:p>
        </w:tc>
        <w:tc>
          <w:tcPr>
            <w:tcW w:w="100" w:type="dxa"/>
            <w:vAlign w:val="bottom"/>
            <w:shd w:val="clear" w:color="auto" w:fill="DBDBDB"/>
          </w:tcPr>
          <w:p>
            <w:pPr>
              <w:spacing w:after="0"/>
              <w:rPr>
                <w:sz w:val="22"/>
                <w:szCs w:val="22"/>
                <w:color w:val="auto"/>
              </w:rPr>
            </w:pPr>
          </w:p>
        </w:tc>
        <w:tc>
          <w:tcPr>
            <w:tcW w:w="320" w:type="dxa"/>
            <w:vAlign w:val="bottom"/>
            <w:shd w:val="clear" w:color="auto" w:fill="DBDBDB"/>
          </w:tcPr>
          <w:p>
            <w:pPr>
              <w:spacing w:after="0"/>
              <w:rPr>
                <w:sz w:val="22"/>
                <w:szCs w:val="22"/>
                <w:color w:val="auto"/>
              </w:rPr>
            </w:pPr>
          </w:p>
        </w:tc>
        <w:tc>
          <w:tcPr>
            <w:tcW w:w="11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14,091,773</w:t>
            </w:r>
          </w:p>
        </w:tc>
      </w:tr>
      <w:tr>
        <w:trPr>
          <w:trHeight w:val="270"/>
        </w:trPr>
        <w:tc>
          <w:tcPr>
            <w:tcW w:w="5980" w:type="dxa"/>
            <w:vAlign w:val="bottom"/>
            <w:tcBorders>
              <w:bottom w:val="single" w:sz="8" w:color="auto"/>
            </w:tcBorders>
          </w:tcPr>
          <w:p>
            <w:pPr>
              <w:ind w:left="820"/>
              <w:spacing w:after="0"/>
              <w:rPr>
                <w:sz w:val="20"/>
                <w:szCs w:val="20"/>
                <w:color w:val="auto"/>
              </w:rPr>
            </w:pPr>
            <w:r>
              <w:rPr>
                <w:rFonts w:ascii="Times New Roman" w:cs="Times New Roman" w:eastAsia="Times New Roman" w:hAnsi="Times New Roman"/>
                <w:sz w:val="18"/>
                <w:szCs w:val="18"/>
                <w:color w:val="auto"/>
              </w:rPr>
              <w:t>Basic earnings per share</w:t>
            </w:r>
          </w:p>
        </w:tc>
        <w:tc>
          <w:tcPr>
            <w:tcW w:w="10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100" w:type="dxa"/>
            <w:vAlign w:val="bottom"/>
            <w:tcBorders>
              <w:bottom w:val="single" w:sz="8" w:color="auto"/>
            </w:tcBorders>
          </w:tcPr>
          <w:p>
            <w:pPr>
              <w:spacing w:after="0"/>
              <w:rPr>
                <w:sz w:val="23"/>
                <w:szCs w:val="23"/>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w:t>
            </w:r>
          </w:p>
        </w:tc>
      </w:tr>
      <w:tr>
        <w:trPr>
          <w:trHeight w:val="250"/>
        </w:trPr>
        <w:tc>
          <w:tcPr>
            <w:tcW w:w="5980" w:type="dxa"/>
            <w:vAlign w:val="bottom"/>
            <w:shd w:val="clear" w:color="auto" w:fill="DBDBDB"/>
          </w:tcPr>
          <w:p>
            <w:pPr>
              <w:spacing w:after="0"/>
              <w:rPr>
                <w:sz w:val="20"/>
                <w:szCs w:val="20"/>
                <w:color w:val="auto"/>
              </w:rPr>
            </w:pPr>
            <w:r>
              <w:rPr>
                <w:rFonts w:ascii="Times New Roman" w:cs="Times New Roman" w:eastAsia="Times New Roman" w:hAnsi="Times New Roman"/>
                <w:sz w:val="18"/>
                <w:szCs w:val="18"/>
                <w:color w:val="auto"/>
              </w:rPr>
              <w:t>Diluted:</w:t>
            </w:r>
          </w:p>
        </w:tc>
        <w:tc>
          <w:tcPr>
            <w:tcW w:w="1040" w:type="dxa"/>
            <w:vAlign w:val="bottom"/>
            <w:shd w:val="clear" w:color="auto" w:fill="DBDBDB"/>
          </w:tcPr>
          <w:p>
            <w:pPr>
              <w:spacing w:after="0"/>
              <w:rPr>
                <w:sz w:val="21"/>
                <w:szCs w:val="21"/>
                <w:color w:val="auto"/>
              </w:rPr>
            </w:pPr>
          </w:p>
        </w:tc>
        <w:tc>
          <w:tcPr>
            <w:tcW w:w="1120" w:type="dxa"/>
            <w:vAlign w:val="bottom"/>
            <w:shd w:val="clear" w:color="auto" w:fill="DBDBDB"/>
          </w:tcPr>
          <w:p>
            <w:pPr>
              <w:spacing w:after="0"/>
              <w:rPr>
                <w:sz w:val="21"/>
                <w:szCs w:val="21"/>
                <w:color w:val="auto"/>
              </w:rPr>
            </w:pPr>
          </w:p>
        </w:tc>
        <w:tc>
          <w:tcPr>
            <w:tcW w:w="240" w:type="dxa"/>
            <w:vAlign w:val="bottom"/>
            <w:shd w:val="clear" w:color="auto" w:fill="DBDBDB"/>
          </w:tcPr>
          <w:p>
            <w:pPr>
              <w:spacing w:after="0"/>
              <w:rPr>
                <w:sz w:val="21"/>
                <w:szCs w:val="21"/>
                <w:color w:val="auto"/>
              </w:rPr>
            </w:pPr>
          </w:p>
        </w:tc>
        <w:tc>
          <w:tcPr>
            <w:tcW w:w="1280" w:type="dxa"/>
            <w:vAlign w:val="bottom"/>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320" w:type="dxa"/>
            <w:vAlign w:val="bottom"/>
            <w:shd w:val="clear" w:color="auto" w:fill="DBDBDB"/>
          </w:tcPr>
          <w:p>
            <w:pPr>
              <w:spacing w:after="0"/>
              <w:rPr>
                <w:sz w:val="21"/>
                <w:szCs w:val="21"/>
                <w:color w:val="auto"/>
              </w:rPr>
            </w:pPr>
          </w:p>
        </w:tc>
        <w:tc>
          <w:tcPr>
            <w:tcW w:w="1100" w:type="dxa"/>
            <w:vAlign w:val="bottom"/>
            <w:shd w:val="clear" w:color="auto" w:fill="DBDBDB"/>
          </w:tcPr>
          <w:p>
            <w:pPr>
              <w:spacing w:after="0"/>
              <w:rPr>
                <w:sz w:val="21"/>
                <w:szCs w:val="21"/>
                <w:color w:val="auto"/>
              </w:rPr>
            </w:pPr>
          </w:p>
        </w:tc>
      </w:tr>
      <w:tr>
        <w:trPr>
          <w:trHeight w:val="250"/>
        </w:trPr>
        <w:tc>
          <w:tcPr>
            <w:tcW w:w="59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Net income</w:t>
            </w:r>
          </w:p>
        </w:tc>
        <w:tc>
          <w:tcPr>
            <w:tcW w:w="10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30,059</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34,904</w:t>
            </w:r>
          </w:p>
        </w:tc>
        <w:tc>
          <w:tcPr>
            <w:tcW w:w="10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28,604</w:t>
            </w:r>
          </w:p>
        </w:tc>
      </w:tr>
      <w:tr>
        <w:trPr>
          <w:trHeight w:val="263"/>
        </w:trPr>
        <w:tc>
          <w:tcPr>
            <w:tcW w:w="5980" w:type="dxa"/>
            <w:vAlign w:val="bottom"/>
            <w:shd w:val="clear" w:color="auto" w:fill="DBDBDB"/>
          </w:tcPr>
          <w:p>
            <w:pPr>
              <w:ind w:left="280"/>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1040" w:type="dxa"/>
            <w:vAlign w:val="bottom"/>
            <w:shd w:val="clear" w:color="auto" w:fill="DBDBDB"/>
          </w:tcPr>
          <w:p>
            <w:pPr>
              <w:spacing w:after="0"/>
              <w:rPr>
                <w:sz w:val="22"/>
                <w:szCs w:val="22"/>
                <w:color w:val="auto"/>
              </w:rPr>
            </w:pPr>
          </w:p>
        </w:tc>
        <w:tc>
          <w:tcPr>
            <w:tcW w:w="11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13,530,005</w:t>
            </w:r>
          </w:p>
        </w:tc>
        <w:tc>
          <w:tcPr>
            <w:tcW w:w="240" w:type="dxa"/>
            <w:vAlign w:val="bottom"/>
            <w:shd w:val="clear" w:color="auto" w:fill="DBDBDB"/>
          </w:tcPr>
          <w:p>
            <w:pPr>
              <w:spacing w:after="0"/>
              <w:rPr>
                <w:sz w:val="22"/>
                <w:szCs w:val="22"/>
                <w:color w:val="auto"/>
              </w:rPr>
            </w:pPr>
          </w:p>
        </w:tc>
        <w:tc>
          <w:tcPr>
            <w:tcW w:w="12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13,552,503</w:t>
            </w:r>
          </w:p>
        </w:tc>
        <w:tc>
          <w:tcPr>
            <w:tcW w:w="100" w:type="dxa"/>
            <w:vAlign w:val="bottom"/>
            <w:shd w:val="clear" w:color="auto" w:fill="DBDBDB"/>
          </w:tcPr>
          <w:p>
            <w:pPr>
              <w:spacing w:after="0"/>
              <w:rPr>
                <w:sz w:val="22"/>
                <w:szCs w:val="22"/>
                <w:color w:val="auto"/>
              </w:rPr>
            </w:pPr>
          </w:p>
        </w:tc>
        <w:tc>
          <w:tcPr>
            <w:tcW w:w="320" w:type="dxa"/>
            <w:vAlign w:val="bottom"/>
            <w:shd w:val="clear" w:color="auto" w:fill="DBDBDB"/>
          </w:tcPr>
          <w:p>
            <w:pPr>
              <w:spacing w:after="0"/>
              <w:rPr>
                <w:sz w:val="22"/>
                <w:szCs w:val="22"/>
                <w:color w:val="auto"/>
              </w:rPr>
            </w:pPr>
          </w:p>
        </w:tc>
        <w:tc>
          <w:tcPr>
            <w:tcW w:w="11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14,091,773</w:t>
            </w:r>
          </w:p>
        </w:tc>
      </w:tr>
      <w:tr>
        <w:trPr>
          <w:trHeight w:val="211"/>
        </w:trPr>
        <w:tc>
          <w:tcPr>
            <w:tcW w:w="59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Effect of dilutive restricted stock, performance based restricted stock</w:t>
            </w:r>
          </w:p>
        </w:tc>
        <w:tc>
          <w:tcPr>
            <w:tcW w:w="10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41"/>
        </w:trPr>
        <w:tc>
          <w:tcPr>
            <w:tcW w:w="59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(“PBRS”), and SARs</w:t>
            </w:r>
          </w:p>
        </w:tc>
        <w:tc>
          <w:tcPr>
            <w:tcW w:w="10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286,011</w:t>
            </w:r>
          </w:p>
        </w:tc>
        <w:tc>
          <w:tcPr>
            <w:tcW w:w="2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255,526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238,103</w:t>
            </w:r>
          </w:p>
        </w:tc>
      </w:tr>
      <w:tr>
        <w:trPr>
          <w:trHeight w:val="263"/>
        </w:trPr>
        <w:tc>
          <w:tcPr>
            <w:tcW w:w="5980" w:type="dxa"/>
            <w:vAlign w:val="bottom"/>
            <w:shd w:val="clear" w:color="auto" w:fill="DBDBDB"/>
          </w:tcPr>
          <w:p>
            <w:pPr>
              <w:ind w:left="280"/>
              <w:spacing w:after="0"/>
              <w:rPr>
                <w:sz w:val="20"/>
                <w:szCs w:val="20"/>
                <w:color w:val="auto"/>
              </w:rPr>
            </w:pPr>
            <w:r>
              <w:rPr>
                <w:rFonts w:ascii="Times New Roman" w:cs="Times New Roman" w:eastAsia="Times New Roman" w:hAnsi="Times New Roman"/>
                <w:sz w:val="18"/>
                <w:szCs w:val="18"/>
                <w:color w:val="auto"/>
              </w:rPr>
              <w:t>Weighted average common shares outstanding assuming dilution</w:t>
            </w:r>
          </w:p>
        </w:tc>
        <w:tc>
          <w:tcPr>
            <w:tcW w:w="1040" w:type="dxa"/>
            <w:vAlign w:val="bottom"/>
            <w:shd w:val="clear" w:color="auto" w:fill="DBDBDB"/>
          </w:tcPr>
          <w:p>
            <w:pPr>
              <w:spacing w:after="0"/>
              <w:rPr>
                <w:sz w:val="22"/>
                <w:szCs w:val="22"/>
                <w:color w:val="auto"/>
              </w:rPr>
            </w:pPr>
          </w:p>
        </w:tc>
        <w:tc>
          <w:tcPr>
            <w:tcW w:w="11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13,816,016</w:t>
            </w:r>
          </w:p>
        </w:tc>
        <w:tc>
          <w:tcPr>
            <w:tcW w:w="240" w:type="dxa"/>
            <w:vAlign w:val="bottom"/>
            <w:shd w:val="clear" w:color="auto" w:fill="DBDBDB"/>
          </w:tcPr>
          <w:p>
            <w:pPr>
              <w:spacing w:after="0"/>
              <w:rPr>
                <w:sz w:val="22"/>
                <w:szCs w:val="22"/>
                <w:color w:val="auto"/>
              </w:rPr>
            </w:pPr>
          </w:p>
        </w:tc>
        <w:tc>
          <w:tcPr>
            <w:tcW w:w="12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13,808,029</w:t>
            </w:r>
          </w:p>
        </w:tc>
        <w:tc>
          <w:tcPr>
            <w:tcW w:w="100" w:type="dxa"/>
            <w:vAlign w:val="bottom"/>
            <w:shd w:val="clear" w:color="auto" w:fill="DBDBDB"/>
          </w:tcPr>
          <w:p>
            <w:pPr>
              <w:spacing w:after="0"/>
              <w:rPr>
                <w:sz w:val="22"/>
                <w:szCs w:val="22"/>
                <w:color w:val="auto"/>
              </w:rPr>
            </w:pPr>
          </w:p>
        </w:tc>
        <w:tc>
          <w:tcPr>
            <w:tcW w:w="320" w:type="dxa"/>
            <w:vAlign w:val="bottom"/>
            <w:shd w:val="clear" w:color="auto" w:fill="DBDBDB"/>
          </w:tcPr>
          <w:p>
            <w:pPr>
              <w:spacing w:after="0"/>
              <w:rPr>
                <w:sz w:val="22"/>
                <w:szCs w:val="22"/>
                <w:color w:val="auto"/>
              </w:rPr>
            </w:pPr>
          </w:p>
        </w:tc>
        <w:tc>
          <w:tcPr>
            <w:tcW w:w="11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14,329,876</w:t>
            </w:r>
          </w:p>
        </w:tc>
      </w:tr>
      <w:tr>
        <w:trPr>
          <w:trHeight w:val="250"/>
        </w:trPr>
        <w:tc>
          <w:tcPr>
            <w:tcW w:w="5980" w:type="dxa"/>
            <w:vAlign w:val="bottom"/>
            <w:tcBorders>
              <w:bottom w:val="single" w:sz="8" w:color="auto"/>
            </w:tcBorders>
          </w:tcPr>
          <w:p>
            <w:pPr>
              <w:ind w:left="82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10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0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w:t>
            </w: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 Benefit Plans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Defined Benefit Plan</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a noncontributory defined-benefit pension plan (the “Plan”), which covers eligible employees. Effective December 31, 2016, the Plan was closed to all new participants. Additionally, the Company froze the benefits of the Plan as of February 28, 2021. As such, subsequent to February 28, 2021, there is no service cost associated with the Plan.</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summary of the activity in the Plan’s projected benefit obligation, assets, funded status and amounts recognized in the Company’s consolidated balance sheets is as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5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1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4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56"/>
        </w:trPr>
        <w:tc>
          <w:tcPr>
            <w:tcW w:w="536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Projected benefit obligation:</w:t>
            </w:r>
          </w:p>
        </w:tc>
        <w:tc>
          <w:tcPr>
            <w:tcW w:w="3160" w:type="dxa"/>
            <w:vAlign w:val="bottom"/>
            <w:shd w:val="clear" w:color="auto" w:fill="DBDBDB"/>
          </w:tcPr>
          <w:p>
            <w:pPr>
              <w:spacing w:after="0"/>
              <w:rPr>
                <w:sz w:val="22"/>
                <w:szCs w:val="22"/>
                <w:color w:val="auto"/>
              </w:rPr>
            </w:pPr>
          </w:p>
        </w:tc>
        <w:tc>
          <w:tcPr>
            <w:tcW w:w="1180" w:type="dxa"/>
            <w:vAlign w:val="bottom"/>
            <w:shd w:val="clear" w:color="auto" w:fill="DBDBDB"/>
          </w:tcPr>
          <w:p>
            <w:pPr>
              <w:spacing w:after="0"/>
              <w:rPr>
                <w:sz w:val="22"/>
                <w:szCs w:val="22"/>
                <w:color w:val="auto"/>
              </w:rPr>
            </w:pPr>
          </w:p>
        </w:tc>
        <w:tc>
          <w:tcPr>
            <w:tcW w:w="400" w:type="dxa"/>
            <w:vAlign w:val="bottom"/>
            <w:shd w:val="clear" w:color="auto" w:fill="DBDBDB"/>
          </w:tcPr>
          <w:p>
            <w:pPr>
              <w:spacing w:after="0"/>
              <w:rPr>
                <w:sz w:val="22"/>
                <w:szCs w:val="22"/>
                <w:color w:val="auto"/>
              </w:rPr>
            </w:pPr>
          </w:p>
        </w:tc>
        <w:tc>
          <w:tcPr>
            <w:tcW w:w="1140" w:type="dxa"/>
            <w:vAlign w:val="bottom"/>
            <w:shd w:val="clear" w:color="auto" w:fill="DBDBDB"/>
          </w:tcPr>
          <w:p>
            <w:pPr>
              <w:spacing w:after="0"/>
              <w:rPr>
                <w:sz w:val="22"/>
                <w:szCs w:val="22"/>
                <w:color w:val="auto"/>
              </w:rPr>
            </w:pPr>
          </w:p>
        </w:tc>
      </w:tr>
      <w:tr>
        <w:trPr>
          <w:trHeight w:val="250"/>
        </w:trPr>
        <w:tc>
          <w:tcPr>
            <w:tcW w:w="53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Balance, January 1</w:t>
            </w:r>
          </w:p>
        </w:tc>
        <w:tc>
          <w:tcPr>
            <w:tcW w:w="31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85,433</w:t>
            </w:r>
          </w:p>
        </w:tc>
        <w:tc>
          <w:tcPr>
            <w:tcW w:w="4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117,323</w:t>
            </w:r>
          </w:p>
        </w:tc>
      </w:tr>
      <w:tr>
        <w:trPr>
          <w:trHeight w:val="263"/>
        </w:trPr>
        <w:tc>
          <w:tcPr>
            <w:tcW w:w="5360" w:type="dxa"/>
            <w:vAlign w:val="bottom"/>
            <w:shd w:val="clear" w:color="auto" w:fill="DBDBDB"/>
          </w:tcPr>
          <w:p>
            <w:pPr>
              <w:ind w:left="300"/>
              <w:spacing w:after="0"/>
              <w:rPr>
                <w:sz w:val="20"/>
                <w:szCs w:val="20"/>
                <w:color w:val="auto"/>
              </w:rPr>
            </w:pPr>
            <w:r>
              <w:rPr>
                <w:rFonts w:ascii="Times New Roman" w:cs="Times New Roman" w:eastAsia="Times New Roman" w:hAnsi="Times New Roman"/>
                <w:sz w:val="18"/>
                <w:szCs w:val="18"/>
                <w:color w:val="auto"/>
              </w:rPr>
              <w:t>Interest cost</w:t>
            </w:r>
          </w:p>
        </w:tc>
        <w:tc>
          <w:tcPr>
            <w:tcW w:w="3160" w:type="dxa"/>
            <w:vAlign w:val="bottom"/>
            <w:shd w:val="clear" w:color="auto" w:fill="DBDBDB"/>
          </w:tcPr>
          <w:p>
            <w:pPr>
              <w:spacing w:after="0"/>
              <w:rPr>
                <w:sz w:val="22"/>
                <w:szCs w:val="22"/>
                <w:color w:val="auto"/>
              </w:rPr>
            </w:pPr>
          </w:p>
        </w:tc>
        <w:tc>
          <w:tcPr>
            <w:tcW w:w="1180" w:type="dxa"/>
            <w:vAlign w:val="bottom"/>
            <w:shd w:val="clear" w:color="auto" w:fill="DBDBDB"/>
          </w:tcPr>
          <w:p>
            <w:pPr>
              <w:jc w:val="right"/>
              <w:ind w:right="30"/>
              <w:spacing w:after="0"/>
              <w:rPr>
                <w:sz w:val="20"/>
                <w:szCs w:val="20"/>
                <w:color w:val="auto"/>
              </w:rPr>
            </w:pPr>
            <w:r>
              <w:rPr>
                <w:rFonts w:ascii="Times New Roman" w:cs="Times New Roman" w:eastAsia="Times New Roman" w:hAnsi="Times New Roman"/>
                <w:sz w:val="18"/>
                <w:szCs w:val="18"/>
                <w:color w:val="auto"/>
              </w:rPr>
              <w:t>4,314</w:t>
            </w:r>
          </w:p>
        </w:tc>
        <w:tc>
          <w:tcPr>
            <w:tcW w:w="400" w:type="dxa"/>
            <w:vAlign w:val="bottom"/>
            <w:shd w:val="clear" w:color="auto" w:fill="DBDBDB"/>
          </w:tcPr>
          <w:p>
            <w:pPr>
              <w:spacing w:after="0"/>
              <w:rPr>
                <w:sz w:val="22"/>
                <w:szCs w:val="22"/>
                <w:color w:val="auto"/>
              </w:rPr>
            </w:pPr>
          </w:p>
        </w:tc>
        <w:tc>
          <w:tcPr>
            <w:tcW w:w="11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3,293</w:t>
            </w:r>
          </w:p>
        </w:tc>
      </w:tr>
      <w:tr>
        <w:trPr>
          <w:trHeight w:val="250"/>
        </w:trPr>
        <w:tc>
          <w:tcPr>
            <w:tcW w:w="53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Actuarial gain</w:t>
            </w:r>
          </w:p>
        </w:tc>
        <w:tc>
          <w:tcPr>
            <w:tcW w:w="316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865</w:t>
            </w:r>
          </w:p>
        </w:tc>
        <w:tc>
          <w:tcPr>
            <w:tcW w:w="4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(31,982)</w:t>
            </w:r>
          </w:p>
        </w:tc>
      </w:tr>
      <w:tr>
        <w:trPr>
          <w:trHeight w:val="257"/>
        </w:trPr>
        <w:tc>
          <w:tcPr>
            <w:tcW w:w="5360" w:type="dxa"/>
            <w:vAlign w:val="bottom"/>
            <w:tcBorders>
              <w:bottom w:val="single" w:sz="8" w:color="auto"/>
            </w:tcBorders>
            <w:shd w:val="clear" w:color="auto" w:fill="DBDBDB"/>
          </w:tcPr>
          <w:p>
            <w:pPr>
              <w:ind w:left="300"/>
              <w:spacing w:after="0"/>
              <w:rPr>
                <w:sz w:val="20"/>
                <w:szCs w:val="20"/>
                <w:color w:val="auto"/>
              </w:rPr>
            </w:pPr>
            <w:r>
              <w:rPr>
                <w:rFonts w:ascii="Times New Roman" w:cs="Times New Roman" w:eastAsia="Times New Roman" w:hAnsi="Times New Roman"/>
                <w:sz w:val="18"/>
                <w:szCs w:val="18"/>
                <w:color w:val="auto"/>
              </w:rPr>
              <w:t>Benefits paid</w:t>
            </w:r>
          </w:p>
        </w:tc>
        <w:tc>
          <w:tcPr>
            <w:tcW w:w="3160" w:type="dxa"/>
            <w:vAlign w:val="bottom"/>
            <w:tcBorders>
              <w:bottom w:val="single" w:sz="8" w:color="auto"/>
            </w:tcBorders>
            <w:shd w:val="clear" w:color="auto" w:fill="DBDBDB"/>
          </w:tcPr>
          <w:p>
            <w:pPr>
              <w:spacing w:after="0"/>
              <w:rPr>
                <w:sz w:val="22"/>
                <w:szCs w:val="22"/>
                <w:color w:val="auto"/>
              </w:rPr>
            </w:pPr>
          </w:p>
        </w:tc>
        <w:tc>
          <w:tcPr>
            <w:tcW w:w="118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(3,485)</w:t>
            </w:r>
          </w:p>
        </w:tc>
        <w:tc>
          <w:tcPr>
            <w:tcW w:w="400" w:type="dxa"/>
            <w:vAlign w:val="bottom"/>
            <w:tcBorders>
              <w:bottom w:val="single" w:sz="8" w:color="auto"/>
            </w:tcBorders>
            <w:shd w:val="clear" w:color="auto" w:fill="DBDBDB"/>
          </w:tcPr>
          <w:p>
            <w:pPr>
              <w:spacing w:after="0"/>
              <w:rPr>
                <w:sz w:val="22"/>
                <w:szCs w:val="22"/>
                <w:color w:val="auto"/>
              </w:rPr>
            </w:pPr>
          </w:p>
        </w:tc>
        <w:tc>
          <w:tcPr>
            <w:tcW w:w="114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(3,201)</w:t>
            </w:r>
          </w:p>
        </w:tc>
      </w:tr>
      <w:tr>
        <w:trPr>
          <w:trHeight w:val="250"/>
        </w:trPr>
        <w:tc>
          <w:tcPr>
            <w:tcW w:w="5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Balance, December 31</w:t>
            </w:r>
          </w:p>
        </w:tc>
        <w:tc>
          <w:tcPr>
            <w:tcW w:w="31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87,127</w:t>
            </w:r>
          </w:p>
        </w:tc>
        <w:tc>
          <w:tcPr>
            <w:tcW w:w="4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85,433</w:t>
            </w:r>
          </w:p>
        </w:tc>
      </w:tr>
      <w:tr>
        <w:trPr>
          <w:trHeight w:val="256"/>
        </w:trPr>
        <w:tc>
          <w:tcPr>
            <w:tcW w:w="536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Plan assets:</w:t>
            </w:r>
          </w:p>
        </w:tc>
        <w:tc>
          <w:tcPr>
            <w:tcW w:w="3160" w:type="dxa"/>
            <w:vAlign w:val="bottom"/>
            <w:shd w:val="clear" w:color="auto" w:fill="DBDBDB"/>
          </w:tcPr>
          <w:p>
            <w:pPr>
              <w:spacing w:after="0"/>
              <w:rPr>
                <w:sz w:val="22"/>
                <w:szCs w:val="22"/>
                <w:color w:val="auto"/>
              </w:rPr>
            </w:pPr>
          </w:p>
        </w:tc>
        <w:tc>
          <w:tcPr>
            <w:tcW w:w="1180" w:type="dxa"/>
            <w:vAlign w:val="bottom"/>
            <w:shd w:val="clear" w:color="auto" w:fill="DBDBDB"/>
          </w:tcPr>
          <w:p>
            <w:pPr>
              <w:spacing w:after="0"/>
              <w:rPr>
                <w:sz w:val="22"/>
                <w:szCs w:val="22"/>
                <w:color w:val="auto"/>
              </w:rPr>
            </w:pPr>
          </w:p>
        </w:tc>
        <w:tc>
          <w:tcPr>
            <w:tcW w:w="400" w:type="dxa"/>
            <w:vAlign w:val="bottom"/>
            <w:shd w:val="clear" w:color="auto" w:fill="DBDBDB"/>
          </w:tcPr>
          <w:p>
            <w:pPr>
              <w:spacing w:after="0"/>
              <w:rPr>
                <w:sz w:val="22"/>
                <w:szCs w:val="22"/>
                <w:color w:val="auto"/>
              </w:rPr>
            </w:pPr>
          </w:p>
        </w:tc>
        <w:tc>
          <w:tcPr>
            <w:tcW w:w="1140" w:type="dxa"/>
            <w:vAlign w:val="bottom"/>
            <w:shd w:val="clear" w:color="auto" w:fill="DBDBDB"/>
          </w:tcPr>
          <w:p>
            <w:pPr>
              <w:spacing w:after="0"/>
              <w:rPr>
                <w:sz w:val="22"/>
                <w:szCs w:val="22"/>
                <w:color w:val="auto"/>
              </w:rPr>
            </w:pPr>
          </w:p>
        </w:tc>
      </w:tr>
      <w:tr>
        <w:trPr>
          <w:trHeight w:val="250"/>
        </w:trPr>
        <w:tc>
          <w:tcPr>
            <w:tcW w:w="53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Fair value, January 1</w:t>
            </w:r>
          </w:p>
        </w:tc>
        <w:tc>
          <w:tcPr>
            <w:tcW w:w="31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83,394</w:t>
            </w:r>
          </w:p>
        </w:tc>
        <w:tc>
          <w:tcPr>
            <w:tcW w:w="4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114,136</w:t>
            </w:r>
          </w:p>
        </w:tc>
      </w:tr>
      <w:tr>
        <w:trPr>
          <w:trHeight w:val="263"/>
        </w:trPr>
        <w:tc>
          <w:tcPr>
            <w:tcW w:w="5360" w:type="dxa"/>
            <w:vAlign w:val="bottom"/>
            <w:shd w:val="clear" w:color="auto" w:fill="DBDBDB"/>
          </w:tcPr>
          <w:p>
            <w:pPr>
              <w:ind w:left="300"/>
              <w:spacing w:after="0"/>
              <w:rPr>
                <w:sz w:val="20"/>
                <w:szCs w:val="20"/>
                <w:color w:val="auto"/>
              </w:rPr>
            </w:pPr>
            <w:r>
              <w:rPr>
                <w:rFonts w:ascii="Times New Roman" w:cs="Times New Roman" w:eastAsia="Times New Roman" w:hAnsi="Times New Roman"/>
                <w:sz w:val="18"/>
                <w:szCs w:val="18"/>
                <w:color w:val="auto"/>
              </w:rPr>
              <w:t>Actual investment return</w:t>
            </w:r>
          </w:p>
        </w:tc>
        <w:tc>
          <w:tcPr>
            <w:tcW w:w="3160" w:type="dxa"/>
            <w:vAlign w:val="bottom"/>
            <w:shd w:val="clear" w:color="auto" w:fill="DBDBDB"/>
          </w:tcPr>
          <w:p>
            <w:pPr>
              <w:spacing w:after="0"/>
              <w:rPr>
                <w:sz w:val="22"/>
                <w:szCs w:val="22"/>
                <w:color w:val="auto"/>
              </w:rPr>
            </w:pPr>
          </w:p>
        </w:tc>
        <w:tc>
          <w:tcPr>
            <w:tcW w:w="1180" w:type="dxa"/>
            <w:vAlign w:val="bottom"/>
            <w:shd w:val="clear" w:color="auto" w:fill="DBDBDB"/>
          </w:tcPr>
          <w:p>
            <w:pPr>
              <w:jc w:val="right"/>
              <w:ind w:right="30"/>
              <w:spacing w:after="0"/>
              <w:rPr>
                <w:sz w:val="20"/>
                <w:szCs w:val="20"/>
                <w:color w:val="auto"/>
              </w:rPr>
            </w:pPr>
            <w:r>
              <w:rPr>
                <w:rFonts w:ascii="Times New Roman" w:cs="Times New Roman" w:eastAsia="Times New Roman" w:hAnsi="Times New Roman"/>
                <w:sz w:val="18"/>
                <w:szCs w:val="18"/>
                <w:color w:val="auto"/>
              </w:rPr>
              <w:t>8,097</w:t>
            </w:r>
          </w:p>
        </w:tc>
        <w:tc>
          <w:tcPr>
            <w:tcW w:w="400" w:type="dxa"/>
            <w:vAlign w:val="bottom"/>
            <w:shd w:val="clear" w:color="auto" w:fill="DBDBDB"/>
          </w:tcPr>
          <w:p>
            <w:pPr>
              <w:spacing w:after="0"/>
              <w:rPr>
                <w:sz w:val="22"/>
                <w:szCs w:val="22"/>
                <w:color w:val="auto"/>
              </w:rPr>
            </w:pPr>
          </w:p>
        </w:tc>
        <w:tc>
          <w:tcPr>
            <w:tcW w:w="11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(26,820)</w:t>
            </w:r>
          </w:p>
        </w:tc>
      </w:tr>
      <w:tr>
        <w:trPr>
          <w:trHeight w:val="250"/>
        </w:trPr>
        <w:tc>
          <w:tcPr>
            <w:tcW w:w="53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Expenses paid from plan assets</w:t>
            </w:r>
          </w:p>
        </w:tc>
        <w:tc>
          <w:tcPr>
            <w:tcW w:w="3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(1,252)</w:t>
            </w:r>
          </w:p>
        </w:tc>
        <w:tc>
          <w:tcPr>
            <w:tcW w:w="4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w:t>
            </w:r>
          </w:p>
        </w:tc>
      </w:tr>
      <w:tr>
        <w:trPr>
          <w:trHeight w:val="257"/>
        </w:trPr>
        <w:tc>
          <w:tcPr>
            <w:tcW w:w="5360" w:type="dxa"/>
            <w:vAlign w:val="bottom"/>
            <w:tcBorders>
              <w:bottom w:val="single" w:sz="8" w:color="auto"/>
            </w:tcBorders>
            <w:shd w:val="clear" w:color="auto" w:fill="DBDBDB"/>
          </w:tcPr>
          <w:p>
            <w:pPr>
              <w:ind w:left="300"/>
              <w:spacing w:after="0"/>
              <w:rPr>
                <w:sz w:val="20"/>
                <w:szCs w:val="20"/>
                <w:color w:val="auto"/>
              </w:rPr>
            </w:pPr>
            <w:r>
              <w:rPr>
                <w:rFonts w:ascii="Times New Roman" w:cs="Times New Roman" w:eastAsia="Times New Roman" w:hAnsi="Times New Roman"/>
                <w:sz w:val="18"/>
                <w:szCs w:val="18"/>
                <w:color w:val="auto"/>
              </w:rPr>
              <w:t>Benefits paid</w:t>
            </w:r>
          </w:p>
        </w:tc>
        <w:tc>
          <w:tcPr>
            <w:tcW w:w="3160" w:type="dxa"/>
            <w:vAlign w:val="bottom"/>
            <w:tcBorders>
              <w:bottom w:val="single" w:sz="8" w:color="auto"/>
            </w:tcBorders>
            <w:shd w:val="clear" w:color="auto" w:fill="DBDBDB"/>
          </w:tcPr>
          <w:p>
            <w:pPr>
              <w:spacing w:after="0"/>
              <w:rPr>
                <w:sz w:val="22"/>
                <w:szCs w:val="22"/>
                <w:color w:val="auto"/>
              </w:rPr>
            </w:pPr>
          </w:p>
        </w:tc>
        <w:tc>
          <w:tcPr>
            <w:tcW w:w="118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(3,485)</w:t>
            </w:r>
          </w:p>
        </w:tc>
        <w:tc>
          <w:tcPr>
            <w:tcW w:w="400" w:type="dxa"/>
            <w:vAlign w:val="bottom"/>
            <w:tcBorders>
              <w:bottom w:val="single" w:sz="8" w:color="auto"/>
            </w:tcBorders>
            <w:shd w:val="clear" w:color="auto" w:fill="DBDBDB"/>
          </w:tcPr>
          <w:p>
            <w:pPr>
              <w:spacing w:after="0"/>
              <w:rPr>
                <w:sz w:val="22"/>
                <w:szCs w:val="22"/>
                <w:color w:val="auto"/>
              </w:rPr>
            </w:pPr>
          </w:p>
        </w:tc>
        <w:tc>
          <w:tcPr>
            <w:tcW w:w="114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(3,201)</w:t>
            </w:r>
          </w:p>
        </w:tc>
      </w:tr>
      <w:tr>
        <w:trPr>
          <w:trHeight w:val="250"/>
        </w:trPr>
        <w:tc>
          <w:tcPr>
            <w:tcW w:w="5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Fair value, December 31</w:t>
            </w:r>
          </w:p>
        </w:tc>
        <w:tc>
          <w:tcPr>
            <w:tcW w:w="31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86,754</w:t>
            </w:r>
          </w:p>
        </w:tc>
        <w:tc>
          <w:tcPr>
            <w:tcW w:w="4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83,394</w:t>
            </w:r>
          </w:p>
        </w:tc>
      </w:tr>
      <w:tr>
        <w:trPr>
          <w:trHeight w:val="256"/>
        </w:trPr>
        <w:tc>
          <w:tcPr>
            <w:tcW w:w="536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Funded status:</w:t>
            </w:r>
          </w:p>
        </w:tc>
        <w:tc>
          <w:tcPr>
            <w:tcW w:w="3160" w:type="dxa"/>
            <w:vAlign w:val="bottom"/>
            <w:shd w:val="clear" w:color="auto" w:fill="DBDBDB"/>
          </w:tcPr>
          <w:p>
            <w:pPr>
              <w:spacing w:after="0"/>
              <w:rPr>
                <w:sz w:val="22"/>
                <w:szCs w:val="22"/>
                <w:color w:val="auto"/>
              </w:rPr>
            </w:pPr>
          </w:p>
        </w:tc>
        <w:tc>
          <w:tcPr>
            <w:tcW w:w="1180" w:type="dxa"/>
            <w:vAlign w:val="bottom"/>
            <w:shd w:val="clear" w:color="auto" w:fill="DBDBDB"/>
          </w:tcPr>
          <w:p>
            <w:pPr>
              <w:spacing w:after="0"/>
              <w:rPr>
                <w:sz w:val="22"/>
                <w:szCs w:val="22"/>
                <w:color w:val="auto"/>
              </w:rPr>
            </w:pPr>
          </w:p>
        </w:tc>
        <w:tc>
          <w:tcPr>
            <w:tcW w:w="400" w:type="dxa"/>
            <w:vAlign w:val="bottom"/>
            <w:shd w:val="clear" w:color="auto" w:fill="DBDBDB"/>
          </w:tcPr>
          <w:p>
            <w:pPr>
              <w:spacing w:after="0"/>
              <w:rPr>
                <w:sz w:val="22"/>
                <w:szCs w:val="22"/>
                <w:color w:val="auto"/>
              </w:rPr>
            </w:pPr>
          </w:p>
        </w:tc>
        <w:tc>
          <w:tcPr>
            <w:tcW w:w="1140" w:type="dxa"/>
            <w:vAlign w:val="bottom"/>
            <w:shd w:val="clear" w:color="auto" w:fill="DBDBDB"/>
          </w:tcPr>
          <w:p>
            <w:pPr>
              <w:spacing w:after="0"/>
              <w:rPr>
                <w:sz w:val="22"/>
                <w:szCs w:val="22"/>
                <w:color w:val="auto"/>
              </w:rPr>
            </w:pPr>
          </w:p>
        </w:tc>
      </w:tr>
      <w:tr>
        <w:trPr>
          <w:trHeight w:val="250"/>
        </w:trPr>
        <w:tc>
          <w:tcPr>
            <w:tcW w:w="5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Accrued pension liability</w:t>
            </w:r>
          </w:p>
        </w:tc>
        <w:tc>
          <w:tcPr>
            <w:tcW w:w="31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4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(2,039)</w:t>
            </w:r>
          </w:p>
        </w:tc>
      </w:tr>
    </w:tbl>
    <w:p>
      <w:pPr>
        <w:spacing w:after="0" w:line="2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represent the major assumptions used to determine the projected benefit obligation of the Plan. For 2023, 2022 and 2021, the Plan’s expected benefit cash flows were discounted using the FTSE Above Median Double-A Curve. For 2023 and 2022, the Pri-2012 Mortality Table and MP-2021 Mortality Improvement Scale were used. For 2021, the Pri-2012 Mortality Table and MP-2021 Mortality Improvement Scale were used.</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7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92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34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57"/>
        </w:trPr>
        <w:tc>
          <w:tcPr>
            <w:tcW w:w="732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920" w:type="dxa"/>
            <w:vAlign w:val="bottom"/>
            <w:shd w:val="clear" w:color="auto" w:fill="DBDBDB"/>
          </w:tcPr>
          <w:p>
            <w:pPr>
              <w:jc w:val="right"/>
              <w:ind w:right="270"/>
              <w:spacing w:after="0"/>
              <w:rPr>
                <w:sz w:val="20"/>
                <w:szCs w:val="20"/>
                <w:color w:val="auto"/>
              </w:rPr>
            </w:pPr>
            <w:r>
              <w:rPr>
                <w:rFonts w:ascii="Times New Roman" w:cs="Times New Roman" w:eastAsia="Times New Roman" w:hAnsi="Times New Roman"/>
                <w:sz w:val="18"/>
                <w:szCs w:val="18"/>
                <w:color w:val="auto"/>
              </w:rPr>
              <w:t>5.05 %</w:t>
            </w:r>
          </w:p>
        </w:tc>
        <w:tc>
          <w:tcPr>
            <w:tcW w:w="1660" w:type="dxa"/>
            <w:vAlign w:val="bottom"/>
            <w:shd w:val="clear" w:color="auto" w:fill="DBDBDB"/>
          </w:tcPr>
          <w:p>
            <w:pPr>
              <w:jc w:val="right"/>
              <w:ind w:right="270"/>
              <w:spacing w:after="0"/>
              <w:rPr>
                <w:sz w:val="20"/>
                <w:szCs w:val="20"/>
                <w:color w:val="auto"/>
              </w:rPr>
            </w:pPr>
            <w:r>
              <w:rPr>
                <w:rFonts w:ascii="Times New Roman" w:cs="Times New Roman" w:eastAsia="Times New Roman" w:hAnsi="Times New Roman"/>
                <w:sz w:val="18"/>
                <w:szCs w:val="18"/>
                <w:color w:val="auto"/>
              </w:rPr>
              <w:t>5.25 %</w:t>
            </w:r>
          </w:p>
        </w:tc>
        <w:tc>
          <w:tcPr>
            <w:tcW w:w="13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2.85 %</w:t>
            </w:r>
          </w:p>
        </w:tc>
      </w:tr>
      <w:tr>
        <w:trPr>
          <w:trHeight w:val="243"/>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Rate of increase in compensation levels</w:t>
            </w:r>
          </w:p>
        </w:tc>
        <w:tc>
          <w:tcPr>
            <w:tcW w:w="92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N/A</w:t>
            </w:r>
          </w:p>
        </w:tc>
        <w:tc>
          <w:tcPr>
            <w:tcW w:w="16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N/A</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w:t>
            </w:r>
          </w:p>
        </w:tc>
      </w:tr>
      <w:tr>
        <w:trPr>
          <w:trHeight w:val="324"/>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(a)  6.0% graded down to 3.25% over the first seven years of service.</w:t>
            </w:r>
          </w:p>
        </w:tc>
        <w:tc>
          <w:tcPr>
            <w:tcW w:w="9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340" w:type="dxa"/>
            <w:vAlign w:val="bottom"/>
          </w:tcPr>
          <w:p>
            <w:pPr>
              <w:spacing w:after="0"/>
              <w:rPr>
                <w:sz w:val="24"/>
                <w:szCs w:val="24"/>
                <w:color w:val="auto"/>
              </w:rPr>
            </w:pPr>
          </w:p>
        </w:tc>
      </w:tr>
    </w:tbl>
    <w:p>
      <w:pPr>
        <w:spacing w:after="0" w:line="19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accumulated benefit obligation was $87.1 million and $85.4 million as of December 31, 2023 and 2022, respectively. The Company made no contributions during 2023 or 2022 to the Plan. The Company has not determined if it will make a contribution to the Plan in 2024. The following pension benefit payments, as appropriate, are expected to be paid by the Plan:</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660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57"/>
        </w:trPr>
        <w:tc>
          <w:tcPr>
            <w:tcW w:w="660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340" w:type="dxa"/>
            <w:vAlign w:val="bottom"/>
            <w:shd w:val="clear" w:color="auto" w:fill="DBDBDB"/>
          </w:tcPr>
          <w:p>
            <w:pPr>
              <w:spacing w:after="0"/>
              <w:rPr>
                <w:sz w:val="22"/>
                <w:szCs w:val="22"/>
                <w:color w:val="auto"/>
              </w:rPr>
            </w:pPr>
          </w:p>
        </w:tc>
        <w:tc>
          <w:tcPr>
            <w:tcW w:w="1160" w:type="dxa"/>
            <w:vAlign w:val="bottom"/>
            <w:shd w:val="clear" w:color="auto" w:fill="DBDBDB"/>
          </w:tcPr>
          <w:p>
            <w:pPr>
              <w:spacing w:after="0"/>
              <w:rPr>
                <w:sz w:val="22"/>
                <w:szCs w:val="22"/>
                <w:color w:val="auto"/>
              </w:rPr>
            </w:pPr>
          </w:p>
        </w:tc>
        <w:tc>
          <w:tcPr>
            <w:tcW w:w="240" w:type="dxa"/>
            <w:vAlign w:val="bottom"/>
            <w:shd w:val="clear" w:color="auto" w:fill="DBDBDB"/>
          </w:tcPr>
          <w:p>
            <w:pPr>
              <w:spacing w:after="0"/>
              <w:rPr>
                <w:sz w:val="22"/>
                <w:szCs w:val="22"/>
                <w:color w:val="auto"/>
              </w:rPr>
            </w:pPr>
          </w:p>
        </w:tc>
        <w:tc>
          <w:tcPr>
            <w:tcW w:w="1380" w:type="dxa"/>
            <w:vAlign w:val="bottom"/>
            <w:shd w:val="clear" w:color="auto" w:fill="DBDBDB"/>
          </w:tcPr>
          <w:p>
            <w:pPr>
              <w:spacing w:after="0"/>
              <w:rPr>
                <w:sz w:val="22"/>
                <w:szCs w:val="22"/>
                <w:color w:val="auto"/>
              </w:rPr>
            </w:pPr>
          </w:p>
        </w:tc>
        <w:tc>
          <w:tcPr>
            <w:tcW w:w="300" w:type="dxa"/>
            <w:vAlign w:val="bottom"/>
            <w:shd w:val="clear" w:color="auto" w:fill="DBDBDB"/>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4,328,000</w:t>
            </w:r>
          </w:p>
        </w:tc>
      </w:tr>
      <w:tr>
        <w:trPr>
          <w:trHeight w:val="25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4,532,000</w:t>
            </w:r>
          </w:p>
        </w:tc>
      </w:tr>
      <w:tr>
        <w:trPr>
          <w:trHeight w:val="263"/>
        </w:trPr>
        <w:tc>
          <w:tcPr>
            <w:tcW w:w="660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340" w:type="dxa"/>
            <w:vAlign w:val="bottom"/>
            <w:shd w:val="clear" w:color="auto" w:fill="DBDBDB"/>
          </w:tcPr>
          <w:p>
            <w:pPr>
              <w:spacing w:after="0"/>
              <w:rPr>
                <w:sz w:val="22"/>
                <w:szCs w:val="22"/>
                <w:color w:val="auto"/>
              </w:rPr>
            </w:pPr>
          </w:p>
        </w:tc>
        <w:tc>
          <w:tcPr>
            <w:tcW w:w="1160" w:type="dxa"/>
            <w:vAlign w:val="bottom"/>
            <w:shd w:val="clear" w:color="auto" w:fill="DBDBDB"/>
          </w:tcPr>
          <w:p>
            <w:pPr>
              <w:spacing w:after="0"/>
              <w:rPr>
                <w:sz w:val="22"/>
                <w:szCs w:val="22"/>
                <w:color w:val="auto"/>
              </w:rPr>
            </w:pPr>
          </w:p>
        </w:tc>
        <w:tc>
          <w:tcPr>
            <w:tcW w:w="240" w:type="dxa"/>
            <w:vAlign w:val="bottom"/>
            <w:shd w:val="clear" w:color="auto" w:fill="DBDBDB"/>
          </w:tcPr>
          <w:p>
            <w:pPr>
              <w:spacing w:after="0"/>
              <w:rPr>
                <w:sz w:val="22"/>
                <w:szCs w:val="22"/>
                <w:color w:val="auto"/>
              </w:rPr>
            </w:pPr>
          </w:p>
        </w:tc>
        <w:tc>
          <w:tcPr>
            <w:tcW w:w="1380" w:type="dxa"/>
            <w:vAlign w:val="bottom"/>
            <w:shd w:val="clear" w:color="auto" w:fill="DBDBDB"/>
          </w:tcPr>
          <w:p>
            <w:pPr>
              <w:spacing w:after="0"/>
              <w:rPr>
                <w:sz w:val="22"/>
                <w:szCs w:val="22"/>
                <w:color w:val="auto"/>
              </w:rPr>
            </w:pPr>
          </w:p>
        </w:tc>
        <w:tc>
          <w:tcPr>
            <w:tcW w:w="300" w:type="dxa"/>
            <w:vAlign w:val="bottom"/>
            <w:shd w:val="clear" w:color="auto" w:fill="DBDBDB"/>
          </w:tcPr>
          <w:p>
            <w:pPr>
              <w:spacing w:after="0"/>
              <w:rPr>
                <w:sz w:val="22"/>
                <w:szCs w:val="22"/>
                <w:color w:val="auto"/>
              </w:rPr>
            </w:pPr>
          </w:p>
        </w:tc>
        <w:tc>
          <w:tcPr>
            <w:tcW w:w="12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4,758,000</w:t>
            </w:r>
          </w:p>
        </w:tc>
      </w:tr>
      <w:tr>
        <w:trPr>
          <w:trHeight w:val="25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4,968,000</w:t>
            </w:r>
          </w:p>
        </w:tc>
      </w:tr>
      <w:tr>
        <w:trPr>
          <w:trHeight w:val="263"/>
        </w:trPr>
        <w:tc>
          <w:tcPr>
            <w:tcW w:w="660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340" w:type="dxa"/>
            <w:vAlign w:val="bottom"/>
            <w:shd w:val="clear" w:color="auto" w:fill="DBDBDB"/>
          </w:tcPr>
          <w:p>
            <w:pPr>
              <w:spacing w:after="0"/>
              <w:rPr>
                <w:sz w:val="22"/>
                <w:szCs w:val="22"/>
                <w:color w:val="auto"/>
              </w:rPr>
            </w:pPr>
          </w:p>
        </w:tc>
        <w:tc>
          <w:tcPr>
            <w:tcW w:w="1160" w:type="dxa"/>
            <w:vAlign w:val="bottom"/>
            <w:shd w:val="clear" w:color="auto" w:fill="DBDBDB"/>
          </w:tcPr>
          <w:p>
            <w:pPr>
              <w:spacing w:after="0"/>
              <w:rPr>
                <w:sz w:val="22"/>
                <w:szCs w:val="22"/>
                <w:color w:val="auto"/>
              </w:rPr>
            </w:pPr>
          </w:p>
        </w:tc>
        <w:tc>
          <w:tcPr>
            <w:tcW w:w="240" w:type="dxa"/>
            <w:vAlign w:val="bottom"/>
            <w:shd w:val="clear" w:color="auto" w:fill="DBDBDB"/>
          </w:tcPr>
          <w:p>
            <w:pPr>
              <w:spacing w:after="0"/>
              <w:rPr>
                <w:sz w:val="22"/>
                <w:szCs w:val="22"/>
                <w:color w:val="auto"/>
              </w:rPr>
            </w:pPr>
          </w:p>
        </w:tc>
        <w:tc>
          <w:tcPr>
            <w:tcW w:w="1380" w:type="dxa"/>
            <w:vAlign w:val="bottom"/>
            <w:shd w:val="clear" w:color="auto" w:fill="DBDBDB"/>
          </w:tcPr>
          <w:p>
            <w:pPr>
              <w:spacing w:after="0"/>
              <w:rPr>
                <w:sz w:val="22"/>
                <w:szCs w:val="22"/>
                <w:color w:val="auto"/>
              </w:rPr>
            </w:pPr>
          </w:p>
        </w:tc>
        <w:tc>
          <w:tcPr>
            <w:tcW w:w="300" w:type="dxa"/>
            <w:vAlign w:val="bottom"/>
            <w:shd w:val="clear" w:color="auto" w:fill="DBDBDB"/>
          </w:tcPr>
          <w:p>
            <w:pPr>
              <w:spacing w:after="0"/>
              <w:rPr>
                <w:sz w:val="22"/>
                <w:szCs w:val="22"/>
                <w:color w:val="auto"/>
              </w:rPr>
            </w:pPr>
          </w:p>
        </w:tc>
        <w:tc>
          <w:tcPr>
            <w:tcW w:w="12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5,161,000</w:t>
            </w:r>
          </w:p>
        </w:tc>
      </w:tr>
      <w:tr>
        <w:trPr>
          <w:trHeight w:val="250"/>
        </w:trPr>
        <w:tc>
          <w:tcPr>
            <w:tcW w:w="6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2029-2033</w:t>
            </w: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28,280,000</w:t>
            </w:r>
          </w:p>
        </w:tc>
      </w:tr>
      <w:tr>
        <w:trPr>
          <w:trHeight w:val="513"/>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The Plan’s net periodic pension cost (benefit) included the following components:</w:t>
            </w: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423"/>
        </w:trPr>
        <w:tc>
          <w:tcPr>
            <w:tcW w:w="6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For the Year Ended</w:t>
            </w: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38"/>
        </w:trPr>
        <w:tc>
          <w:tcPr>
            <w:tcW w:w="66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3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r>
      <w:tr>
        <w:trPr>
          <w:trHeight w:val="244"/>
        </w:trPr>
        <w:tc>
          <w:tcPr>
            <w:tcW w:w="6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4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3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56"/>
        </w:trPr>
        <w:tc>
          <w:tcPr>
            <w:tcW w:w="660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Service cost – benefits earned during the year</w:t>
            </w:r>
          </w:p>
        </w:tc>
        <w:tc>
          <w:tcPr>
            <w:tcW w:w="340" w:type="dxa"/>
            <w:vAlign w:val="bottom"/>
            <w:shd w:val="clear" w:color="auto" w:fill="DBDBDB"/>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DBDBDB"/>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DBDBDB"/>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DBDBDB"/>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1,002</w:t>
            </w:r>
          </w:p>
        </w:tc>
      </w:tr>
      <w:tr>
        <w:trPr>
          <w:trHeight w:val="25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cost on projected benefit obligations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4,314</w:t>
            </w:r>
          </w:p>
        </w:tc>
        <w:tc>
          <w:tcPr>
            <w:tcW w:w="240" w:type="dxa"/>
            <w:vAlign w:val="bottom"/>
          </w:tcPr>
          <w:p>
            <w:pPr>
              <w:spacing w:after="0"/>
              <w:rPr>
                <w:sz w:val="21"/>
                <w:szCs w:val="21"/>
                <w:color w:val="auto"/>
              </w:rPr>
            </w:pPr>
          </w:p>
        </w:tc>
        <w:tc>
          <w:tcPr>
            <w:tcW w:w="13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3,293</w:t>
            </w:r>
          </w:p>
        </w:tc>
        <w:tc>
          <w:tcPr>
            <w:tcW w:w="3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3,076</w:t>
            </w:r>
          </w:p>
        </w:tc>
      </w:tr>
      <w:tr>
        <w:trPr>
          <w:trHeight w:val="263"/>
        </w:trPr>
        <w:tc>
          <w:tcPr>
            <w:tcW w:w="660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340" w:type="dxa"/>
            <w:vAlign w:val="bottom"/>
            <w:shd w:val="clear" w:color="auto" w:fill="DBDBDB"/>
          </w:tcPr>
          <w:p>
            <w:pPr>
              <w:spacing w:after="0"/>
              <w:rPr>
                <w:sz w:val="22"/>
                <w:szCs w:val="22"/>
                <w:color w:val="auto"/>
              </w:rPr>
            </w:pPr>
          </w:p>
        </w:tc>
        <w:tc>
          <w:tcPr>
            <w:tcW w:w="11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(3,735)</w:t>
            </w:r>
          </w:p>
        </w:tc>
        <w:tc>
          <w:tcPr>
            <w:tcW w:w="240" w:type="dxa"/>
            <w:vAlign w:val="bottom"/>
            <w:shd w:val="clear" w:color="auto" w:fill="DBDBDB"/>
          </w:tcPr>
          <w:p>
            <w:pPr>
              <w:spacing w:after="0"/>
              <w:rPr>
                <w:sz w:val="22"/>
                <w:szCs w:val="22"/>
                <w:color w:val="auto"/>
              </w:rPr>
            </w:pPr>
          </w:p>
        </w:tc>
        <w:tc>
          <w:tcPr>
            <w:tcW w:w="13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(5,857)</w:t>
            </w:r>
          </w:p>
        </w:tc>
        <w:tc>
          <w:tcPr>
            <w:tcW w:w="300" w:type="dxa"/>
            <w:vAlign w:val="bottom"/>
            <w:shd w:val="clear" w:color="auto" w:fill="DBDBDB"/>
          </w:tcPr>
          <w:p>
            <w:pPr>
              <w:spacing w:after="0"/>
              <w:rPr>
                <w:sz w:val="22"/>
                <w:szCs w:val="22"/>
                <w:color w:val="auto"/>
              </w:rPr>
            </w:pPr>
          </w:p>
        </w:tc>
        <w:tc>
          <w:tcPr>
            <w:tcW w:w="12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(6,310)</w:t>
            </w:r>
          </w:p>
        </w:tc>
      </w:tr>
      <w:tr>
        <w:trPr>
          <w:trHeight w:val="250"/>
        </w:trPr>
        <w:tc>
          <w:tcPr>
            <w:tcW w:w="6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amortization and deferral</w:t>
            </w: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154</w:t>
            </w:r>
          </w:p>
        </w:tc>
        <w:tc>
          <w:tcPr>
            <w:tcW w:w="24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w:t>
            </w:r>
          </w:p>
        </w:tc>
      </w:tr>
      <w:tr>
        <w:trPr>
          <w:trHeight w:val="250"/>
        </w:trPr>
        <w:tc>
          <w:tcPr>
            <w:tcW w:w="6600" w:type="dxa"/>
            <w:vAlign w:val="bottom"/>
            <w:tcBorders>
              <w:bottom w:val="single" w:sz="8" w:color="auto"/>
            </w:tcBorders>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Net periodic pension cost (benefit)</w:t>
            </w:r>
          </w:p>
        </w:tc>
        <w:tc>
          <w:tcPr>
            <w:tcW w:w="340" w:type="dxa"/>
            <w:vAlign w:val="bottom"/>
            <w:tcBorders>
              <w:bottom w:val="single" w:sz="8" w:color="auto"/>
            </w:tcBorders>
            <w:shd w:val="clear" w:color="auto" w:fill="DBDBDB"/>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DBDBDB"/>
          </w:tcPr>
          <w:p>
            <w:pPr>
              <w:jc w:val="right"/>
              <w:ind w:right="10"/>
              <w:spacing w:after="0"/>
              <w:rPr>
                <w:sz w:val="20"/>
                <w:szCs w:val="20"/>
                <w:color w:val="auto"/>
              </w:rPr>
            </w:pPr>
            <w:r>
              <w:rPr>
                <w:rFonts w:ascii="Times New Roman" w:cs="Times New Roman" w:eastAsia="Times New Roman" w:hAnsi="Times New Roman"/>
                <w:sz w:val="18"/>
                <w:szCs w:val="18"/>
                <w:color w:val="auto"/>
              </w:rPr>
              <w:t>733</w:t>
            </w:r>
          </w:p>
        </w:tc>
        <w:tc>
          <w:tcPr>
            <w:tcW w:w="24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(2,564)</w:t>
            </w:r>
          </w:p>
        </w:tc>
        <w:tc>
          <w:tcPr>
            <w:tcW w:w="300" w:type="dxa"/>
            <w:vAlign w:val="bottom"/>
            <w:tcBorders>
              <w:bottom w:val="single" w:sz="8" w:color="auto"/>
            </w:tcBorders>
            <w:shd w:val="clear" w:color="auto" w:fill="DBDBDB"/>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(1,839)</w:t>
            </w: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represent the major assumptions used to determine the net periodic pension cost (benefit) of the Plan:</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7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92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34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57"/>
        </w:trPr>
        <w:tc>
          <w:tcPr>
            <w:tcW w:w="732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920" w:type="dxa"/>
            <w:vAlign w:val="bottom"/>
            <w:shd w:val="clear" w:color="auto" w:fill="DBDBDB"/>
          </w:tcPr>
          <w:p>
            <w:pPr>
              <w:jc w:val="right"/>
              <w:ind w:right="270"/>
              <w:spacing w:after="0"/>
              <w:rPr>
                <w:sz w:val="20"/>
                <w:szCs w:val="20"/>
                <w:color w:val="auto"/>
              </w:rPr>
            </w:pPr>
            <w:r>
              <w:rPr>
                <w:rFonts w:ascii="Times New Roman" w:cs="Times New Roman" w:eastAsia="Times New Roman" w:hAnsi="Times New Roman"/>
                <w:sz w:val="18"/>
                <w:szCs w:val="18"/>
                <w:color w:val="auto"/>
              </w:rPr>
              <w:t>5.25 %</w:t>
            </w:r>
          </w:p>
        </w:tc>
        <w:tc>
          <w:tcPr>
            <w:tcW w:w="1660" w:type="dxa"/>
            <w:vAlign w:val="bottom"/>
            <w:shd w:val="clear" w:color="auto" w:fill="DBDBDB"/>
          </w:tcPr>
          <w:p>
            <w:pPr>
              <w:jc w:val="right"/>
              <w:ind w:right="270"/>
              <w:spacing w:after="0"/>
              <w:rPr>
                <w:sz w:val="20"/>
                <w:szCs w:val="20"/>
                <w:color w:val="auto"/>
              </w:rPr>
            </w:pPr>
            <w:r>
              <w:rPr>
                <w:rFonts w:ascii="Times New Roman" w:cs="Times New Roman" w:eastAsia="Times New Roman" w:hAnsi="Times New Roman"/>
                <w:sz w:val="18"/>
                <w:szCs w:val="18"/>
                <w:color w:val="auto"/>
              </w:rPr>
              <w:t>2.85 %</w:t>
            </w:r>
          </w:p>
        </w:tc>
        <w:tc>
          <w:tcPr>
            <w:tcW w:w="13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2.55 %</w:t>
            </w:r>
          </w:p>
        </w:tc>
      </w:tr>
      <w:tr>
        <w:trPr>
          <w:trHeight w:val="250"/>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Rate of increase in compensation levels</w:t>
            </w:r>
          </w:p>
        </w:tc>
        <w:tc>
          <w:tcPr>
            <w:tcW w:w="92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N/A</w:t>
            </w:r>
          </w:p>
        </w:tc>
        <w:tc>
          <w:tcPr>
            <w:tcW w:w="16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N/A</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 )</w:t>
            </w:r>
          </w:p>
        </w:tc>
      </w:tr>
      <w:tr>
        <w:trPr>
          <w:trHeight w:val="257"/>
        </w:trPr>
        <w:tc>
          <w:tcPr>
            <w:tcW w:w="7320" w:type="dxa"/>
            <w:vAlign w:val="bottom"/>
            <w:tcBorders>
              <w:bottom w:val="single" w:sz="8" w:color="auto"/>
            </w:tcBorders>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Expected long-term rate of return on assets</w:t>
            </w:r>
          </w:p>
        </w:tc>
        <w:tc>
          <w:tcPr>
            <w:tcW w:w="920" w:type="dxa"/>
            <w:vAlign w:val="bottom"/>
            <w:tcBorders>
              <w:bottom w:val="single" w:sz="8" w:color="auto"/>
            </w:tcBorders>
            <w:shd w:val="clear" w:color="auto" w:fill="DBDBDB"/>
          </w:tcPr>
          <w:p>
            <w:pPr>
              <w:jc w:val="right"/>
              <w:ind w:right="270"/>
              <w:spacing w:after="0"/>
              <w:rPr>
                <w:sz w:val="20"/>
                <w:szCs w:val="20"/>
                <w:color w:val="auto"/>
              </w:rPr>
            </w:pPr>
            <w:r>
              <w:rPr>
                <w:rFonts w:ascii="Times New Roman" w:cs="Times New Roman" w:eastAsia="Times New Roman" w:hAnsi="Times New Roman"/>
                <w:sz w:val="18"/>
                <w:szCs w:val="18"/>
                <w:color w:val="auto"/>
              </w:rPr>
              <w:t>6.00 %</w:t>
            </w:r>
          </w:p>
        </w:tc>
        <w:tc>
          <w:tcPr>
            <w:tcW w:w="1660" w:type="dxa"/>
            <w:vAlign w:val="bottom"/>
            <w:tcBorders>
              <w:bottom w:val="single" w:sz="8" w:color="auto"/>
            </w:tcBorders>
            <w:shd w:val="clear" w:color="auto" w:fill="DBDBDB"/>
          </w:tcPr>
          <w:p>
            <w:pPr>
              <w:jc w:val="right"/>
              <w:ind w:right="270"/>
              <w:spacing w:after="0"/>
              <w:rPr>
                <w:sz w:val="20"/>
                <w:szCs w:val="20"/>
                <w:color w:val="auto"/>
              </w:rPr>
            </w:pPr>
            <w:r>
              <w:rPr>
                <w:rFonts w:ascii="Times New Roman" w:cs="Times New Roman" w:eastAsia="Times New Roman" w:hAnsi="Times New Roman"/>
                <w:sz w:val="18"/>
                <w:szCs w:val="18"/>
                <w:color w:val="auto"/>
              </w:rPr>
              <w:t>6.00 %</w:t>
            </w:r>
          </w:p>
        </w:tc>
        <w:tc>
          <w:tcPr>
            <w:tcW w:w="134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6.00 %</w:t>
            </w: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6.0% graded down to 3.25% over the first seven years of service.</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2023 and 2022, the Pri-2012 Mortality Table and the MP-2021 Mortality Improvement Table were used. For 2021, the Pri-2012 Mortality Table and the MP-2020 Mortality Improvement Table were used.</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investment objective for the Plan is to maximize total return with a tolerance for average risk. Asset allocation is a balance between fixed income and equity investments, with a target allocation of approximately 86% fixed income, and 14% equity. Due to volatility in the market, this target allocation is not always desirable and asset allocations can fluctuate between acceptable ranges. The fixed income component is invested in pooled investment grade securities. The equity</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components are invested in pooled large cap, small/mid cap and non-U.S. stocks. The expected one-year nominal returns and annual standard deviations are shown by asset class below:</w:t>
      </w:r>
    </w:p>
    <w:p>
      <w:pPr>
        <w:spacing w:after="0" w:line="175"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2860" w:type="dxa"/>
            <w:vAlign w:val="bottom"/>
            <w:vMerge w:val="restart"/>
          </w:tcPr>
          <w:p>
            <w:pPr>
              <w:ind w:left="1120"/>
              <w:spacing w:after="0"/>
              <w:rPr>
                <w:sz w:val="20"/>
                <w:szCs w:val="20"/>
                <w:color w:val="auto"/>
              </w:rPr>
            </w:pPr>
            <w:r>
              <w:rPr>
                <w:rFonts w:ascii="Times New Roman" w:cs="Times New Roman" w:eastAsia="Times New Roman" w:hAnsi="Times New Roman"/>
                <w:sz w:val="18"/>
                <w:szCs w:val="18"/>
                <w:b w:val="1"/>
                <w:bCs w:val="1"/>
                <w:color w:val="auto"/>
              </w:rPr>
              <w:t>Asset Class</w:t>
            </w:r>
          </w:p>
        </w:tc>
        <w:tc>
          <w:tcPr>
            <w:tcW w:w="3240" w:type="dxa"/>
            <w:vAlign w:val="bottom"/>
            <w:vMerge w:val="restart"/>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 of Total Portfolio</w:t>
            </w:r>
          </w:p>
        </w:tc>
        <w:tc>
          <w:tcPr>
            <w:tcW w:w="1800" w:type="dxa"/>
            <w:vAlign w:val="bottom"/>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w w:val="98"/>
              </w:rPr>
              <w:t>One-Year Nominal</w:t>
            </w:r>
          </w:p>
        </w:tc>
        <w:tc>
          <w:tcPr>
            <w:tcW w:w="900" w:type="dxa"/>
            <w:vAlign w:val="bottom"/>
          </w:tcPr>
          <w:p>
            <w:pPr>
              <w:spacing w:after="0"/>
              <w:rPr>
                <w:sz w:val="17"/>
                <w:szCs w:val="17"/>
                <w:color w:val="auto"/>
              </w:rPr>
            </w:pPr>
          </w:p>
        </w:tc>
        <w:tc>
          <w:tcPr>
            <w:tcW w:w="232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Annual Standard</w:t>
            </w:r>
          </w:p>
        </w:tc>
        <w:tc>
          <w:tcPr>
            <w:tcW w:w="0" w:type="dxa"/>
            <w:vAlign w:val="bottom"/>
          </w:tcPr>
          <w:p>
            <w:pPr>
              <w:spacing w:after="0"/>
              <w:rPr>
                <w:sz w:val="1"/>
                <w:szCs w:val="1"/>
                <w:color w:val="auto"/>
              </w:rPr>
            </w:pPr>
          </w:p>
        </w:tc>
      </w:tr>
      <w:tr>
        <w:trPr>
          <w:trHeight w:val="241"/>
        </w:trPr>
        <w:tc>
          <w:tcPr>
            <w:tcW w:w="2860" w:type="dxa"/>
            <w:vAlign w:val="bottom"/>
            <w:tcBorders>
              <w:bottom w:val="single" w:sz="8" w:color="auto"/>
            </w:tcBorders>
            <w:vMerge w:val="continue"/>
          </w:tcPr>
          <w:p>
            <w:pPr>
              <w:spacing w:after="0"/>
              <w:rPr>
                <w:sz w:val="20"/>
                <w:szCs w:val="20"/>
                <w:color w:val="auto"/>
              </w:rPr>
            </w:pPr>
          </w:p>
        </w:tc>
        <w:tc>
          <w:tcPr>
            <w:tcW w:w="3240" w:type="dxa"/>
            <w:vAlign w:val="bottom"/>
            <w:tcBorders>
              <w:bottom w:val="single" w:sz="8" w:color="auto"/>
            </w:tcBorders>
            <w:vMerge w:val="continue"/>
          </w:tcPr>
          <w:p>
            <w:pPr>
              <w:spacing w:after="0"/>
              <w:rPr>
                <w:sz w:val="20"/>
                <w:szCs w:val="20"/>
                <w:color w:val="auto"/>
              </w:rPr>
            </w:pPr>
          </w:p>
        </w:tc>
        <w:tc>
          <w:tcPr>
            <w:tcW w:w="1800" w:type="dxa"/>
            <w:vAlign w:val="bottom"/>
            <w:tcBorders>
              <w:bottom w:val="single" w:sz="8" w:color="auto"/>
            </w:tcBorders>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rPr>
              <w:t>Return</w:t>
            </w:r>
          </w:p>
        </w:tc>
        <w:tc>
          <w:tcPr>
            <w:tcW w:w="90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Deviation</w:t>
            </w:r>
          </w:p>
        </w:tc>
        <w:tc>
          <w:tcPr>
            <w:tcW w:w="0" w:type="dxa"/>
            <w:vAlign w:val="bottom"/>
          </w:tcPr>
          <w:p>
            <w:pPr>
              <w:spacing w:after="0"/>
              <w:rPr>
                <w:sz w:val="1"/>
                <w:szCs w:val="1"/>
                <w:color w:val="auto"/>
              </w:rPr>
            </w:pPr>
          </w:p>
        </w:tc>
      </w:tr>
      <w:tr>
        <w:trPr>
          <w:trHeight w:val="252"/>
        </w:trPr>
        <w:tc>
          <w:tcPr>
            <w:tcW w:w="286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Core Fixed Income</w:t>
            </w:r>
          </w:p>
        </w:tc>
        <w:tc>
          <w:tcPr>
            <w:tcW w:w="3240" w:type="dxa"/>
            <w:vAlign w:val="bottom"/>
            <w:shd w:val="clear" w:color="auto" w:fill="DBDBDB"/>
          </w:tcPr>
          <w:p>
            <w:pPr>
              <w:jc w:val="right"/>
              <w:ind w:right="250"/>
              <w:spacing w:after="0"/>
              <w:rPr>
                <w:sz w:val="20"/>
                <w:szCs w:val="20"/>
                <w:color w:val="auto"/>
              </w:rPr>
            </w:pPr>
            <w:r>
              <w:rPr>
                <w:rFonts w:ascii="Times New Roman" w:cs="Times New Roman" w:eastAsia="Times New Roman" w:hAnsi="Times New Roman"/>
                <w:sz w:val="18"/>
                <w:szCs w:val="18"/>
                <w:color w:val="auto"/>
              </w:rPr>
              <w:t>86.0 %</w:t>
            </w:r>
          </w:p>
        </w:tc>
        <w:tc>
          <w:tcPr>
            <w:tcW w:w="1800" w:type="dxa"/>
            <w:vAlign w:val="bottom"/>
            <w:shd w:val="clear" w:color="auto" w:fill="DBDBDB"/>
          </w:tcPr>
          <w:p>
            <w:pPr>
              <w:spacing w:after="0"/>
              <w:rPr>
                <w:sz w:val="21"/>
                <w:szCs w:val="21"/>
                <w:color w:val="auto"/>
              </w:rPr>
            </w:pPr>
          </w:p>
        </w:tc>
        <w:tc>
          <w:tcPr>
            <w:tcW w:w="900" w:type="dxa"/>
            <w:vAlign w:val="bottom"/>
            <w:shd w:val="clear" w:color="auto" w:fill="DBDBDB"/>
          </w:tcPr>
          <w:p>
            <w:pPr>
              <w:jc w:val="right"/>
              <w:ind w:right="270"/>
              <w:spacing w:after="0"/>
              <w:rPr>
                <w:sz w:val="20"/>
                <w:szCs w:val="20"/>
                <w:color w:val="auto"/>
              </w:rPr>
            </w:pPr>
            <w:r>
              <w:rPr>
                <w:rFonts w:ascii="Times New Roman" w:cs="Times New Roman" w:eastAsia="Times New Roman" w:hAnsi="Times New Roman"/>
                <w:sz w:val="18"/>
                <w:szCs w:val="18"/>
                <w:color w:val="auto"/>
              </w:rPr>
              <w:t>4.52 %</w:t>
            </w:r>
          </w:p>
        </w:tc>
        <w:tc>
          <w:tcPr>
            <w:tcW w:w="23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4.30 %</w:t>
            </w:r>
          </w:p>
        </w:tc>
        <w:tc>
          <w:tcPr>
            <w:tcW w:w="0" w:type="dxa"/>
            <w:vAlign w:val="bottom"/>
          </w:tcPr>
          <w:p>
            <w:pPr>
              <w:spacing w:after="0"/>
              <w:rPr>
                <w:sz w:val="1"/>
                <w:szCs w:val="1"/>
                <w:color w:val="auto"/>
              </w:rPr>
            </w:pPr>
          </w:p>
        </w:tc>
      </w:tr>
      <w:tr>
        <w:trPr>
          <w:trHeight w:val="243"/>
        </w:trPr>
        <w:tc>
          <w:tcPr>
            <w:tcW w:w="2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Global Equity</w:t>
            </w:r>
          </w:p>
        </w:tc>
        <w:tc>
          <w:tcPr>
            <w:tcW w:w="32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14.0 %</w:t>
            </w:r>
          </w:p>
        </w:tc>
        <w:tc>
          <w:tcPr>
            <w:tcW w:w="1800" w:type="dxa"/>
            <w:vAlign w:val="bottom"/>
          </w:tcPr>
          <w:p>
            <w:pPr>
              <w:spacing w:after="0"/>
              <w:rPr>
                <w:sz w:val="21"/>
                <w:szCs w:val="21"/>
                <w:color w:val="auto"/>
              </w:rPr>
            </w:pPr>
          </w:p>
        </w:tc>
        <w:tc>
          <w:tcPr>
            <w:tcW w:w="9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8.54 %</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18.12 %</w:t>
            </w:r>
          </w:p>
        </w:tc>
        <w:tc>
          <w:tcPr>
            <w:tcW w:w="0" w:type="dxa"/>
            <w:vAlign w:val="bottom"/>
          </w:tcPr>
          <w:p>
            <w:pPr>
              <w:spacing w:after="0"/>
              <w:rPr>
                <w:sz w:val="1"/>
                <w:szCs w:val="1"/>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Applying appropriate correlation factors between each of the asset classes the long-term rate of return on assets is estimated to be 5.00%.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fair value measurements by type of asset is as follows: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78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5500" w:type="dxa"/>
            <w:vAlign w:val="bottom"/>
            <w:tcBorders>
              <w:bottom w:val="single" w:sz="8" w:color="auto"/>
            </w:tcBorders>
            <w:gridSpan w:val="8"/>
          </w:tcPr>
          <w:p>
            <w:pPr>
              <w:jc w:val="right"/>
              <w:ind w:right="990"/>
              <w:spacing w:after="0"/>
              <w:rPr>
                <w:sz w:val="20"/>
                <w:szCs w:val="20"/>
                <w:color w:val="auto"/>
              </w:rPr>
            </w:pPr>
            <w:r>
              <w:rPr>
                <w:rFonts w:ascii="Times New Roman" w:cs="Times New Roman" w:eastAsia="Times New Roman" w:hAnsi="Times New Roman"/>
                <w:sz w:val="18"/>
                <w:szCs w:val="18"/>
                <w:b w:val="1"/>
                <w:bCs w:val="1"/>
                <w:color w:val="auto"/>
              </w:rPr>
              <w:t>Fair Value Measurements as of December 31,</w:t>
            </w:r>
          </w:p>
        </w:tc>
        <w:tc>
          <w:tcPr>
            <w:tcW w:w="2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78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2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27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jc w:val="center"/>
              <w:ind w:right="30"/>
              <w:spacing w:after="0" w:line="176" w:lineRule="exact"/>
              <w:rPr>
                <w:sz w:val="20"/>
                <w:szCs w:val="20"/>
                <w:color w:val="auto"/>
              </w:rPr>
            </w:pPr>
            <w:r>
              <w:rPr>
                <w:rFonts w:ascii="Times New Roman" w:cs="Times New Roman" w:eastAsia="Times New Roman" w:hAnsi="Times New Roman"/>
                <w:sz w:val="18"/>
                <w:szCs w:val="18"/>
                <w:b w:val="1"/>
                <w:bCs w:val="1"/>
                <w:color w:val="auto"/>
              </w:rPr>
              <w:t>Quoted Prices</w:t>
            </w:r>
          </w:p>
        </w:tc>
        <w:tc>
          <w:tcPr>
            <w:tcW w:w="2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jc w:val="center"/>
              <w:ind w:right="30"/>
              <w:spacing w:after="0" w:line="176" w:lineRule="exact"/>
              <w:rPr>
                <w:sz w:val="20"/>
                <w:szCs w:val="20"/>
                <w:color w:val="auto"/>
              </w:rPr>
            </w:pPr>
            <w:r>
              <w:rPr>
                <w:rFonts w:ascii="Times New Roman" w:cs="Times New Roman" w:eastAsia="Times New Roman" w:hAnsi="Times New Roman"/>
                <w:sz w:val="18"/>
                <w:szCs w:val="18"/>
                <w:b w:val="1"/>
                <w:bCs w:val="1"/>
                <w:color w:val="auto"/>
                <w:w w:val="99"/>
              </w:rPr>
              <w:t>Quoted Prices</w:t>
            </w:r>
          </w:p>
        </w:tc>
        <w:tc>
          <w:tcPr>
            <w:tcW w:w="2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7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jc w:val="center"/>
              <w:ind w:right="30"/>
              <w:spacing w:after="0" w:line="176" w:lineRule="exact"/>
              <w:rPr>
                <w:sz w:val="20"/>
                <w:szCs w:val="20"/>
                <w:color w:val="auto"/>
              </w:rPr>
            </w:pPr>
            <w:r>
              <w:rPr>
                <w:rFonts w:ascii="Times New Roman" w:cs="Times New Roman" w:eastAsia="Times New Roman" w:hAnsi="Times New Roman"/>
                <w:sz w:val="18"/>
                <w:szCs w:val="18"/>
                <w:b w:val="1"/>
                <w:bCs w:val="1"/>
                <w:color w:val="auto"/>
              </w:rPr>
              <w:t>in Active</w:t>
            </w:r>
          </w:p>
        </w:tc>
        <w:tc>
          <w:tcPr>
            <w:tcW w:w="2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jc w:val="center"/>
              <w:ind w:right="30"/>
              <w:spacing w:after="0" w:line="176" w:lineRule="exact"/>
              <w:rPr>
                <w:sz w:val="20"/>
                <w:szCs w:val="20"/>
                <w:color w:val="auto"/>
              </w:rPr>
            </w:pPr>
            <w:r>
              <w:rPr>
                <w:rFonts w:ascii="Times New Roman" w:cs="Times New Roman" w:eastAsia="Times New Roman" w:hAnsi="Times New Roman"/>
                <w:sz w:val="18"/>
                <w:szCs w:val="18"/>
                <w:b w:val="1"/>
                <w:bCs w:val="1"/>
                <w:color w:val="auto"/>
                <w:w w:val="99"/>
              </w:rPr>
              <w:t>in Active</w:t>
            </w:r>
          </w:p>
        </w:tc>
        <w:tc>
          <w:tcPr>
            <w:tcW w:w="2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7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jc w:val="center"/>
              <w:ind w:right="30"/>
              <w:spacing w:after="0" w:line="180" w:lineRule="exact"/>
              <w:rPr>
                <w:sz w:val="20"/>
                <w:szCs w:val="20"/>
                <w:color w:val="auto"/>
              </w:rPr>
            </w:pPr>
            <w:r>
              <w:rPr>
                <w:rFonts w:ascii="Times New Roman" w:cs="Times New Roman" w:eastAsia="Times New Roman" w:hAnsi="Times New Roman"/>
                <w:sz w:val="18"/>
                <w:szCs w:val="18"/>
                <w:b w:val="1"/>
                <w:bCs w:val="1"/>
                <w:color w:val="auto"/>
              </w:rPr>
              <w:t>Markets for</w:t>
            </w:r>
          </w:p>
        </w:tc>
        <w:tc>
          <w:tcPr>
            <w:tcW w:w="260" w:type="dxa"/>
            <w:vAlign w:val="bottom"/>
          </w:tcPr>
          <w:p>
            <w:pPr>
              <w:spacing w:after="0"/>
              <w:rPr>
                <w:sz w:val="15"/>
                <w:szCs w:val="15"/>
                <w:color w:val="auto"/>
              </w:rPr>
            </w:pPr>
          </w:p>
        </w:tc>
        <w:tc>
          <w:tcPr>
            <w:tcW w:w="12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Observable</w:t>
            </w:r>
          </w:p>
        </w:tc>
        <w:tc>
          <w:tcPr>
            <w:tcW w:w="2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jc w:val="center"/>
              <w:ind w:right="30"/>
              <w:spacing w:after="0" w:line="180" w:lineRule="exact"/>
              <w:rPr>
                <w:sz w:val="20"/>
                <w:szCs w:val="20"/>
                <w:color w:val="auto"/>
              </w:rPr>
            </w:pPr>
            <w:r>
              <w:rPr>
                <w:rFonts w:ascii="Times New Roman" w:cs="Times New Roman" w:eastAsia="Times New Roman" w:hAnsi="Times New Roman"/>
                <w:sz w:val="18"/>
                <w:szCs w:val="18"/>
                <w:b w:val="1"/>
                <w:bCs w:val="1"/>
                <w:color w:val="auto"/>
                <w:w w:val="99"/>
              </w:rPr>
              <w:t>Markets for</w:t>
            </w:r>
          </w:p>
        </w:tc>
        <w:tc>
          <w:tcPr>
            <w:tcW w:w="260" w:type="dxa"/>
            <w:vAlign w:val="bottom"/>
          </w:tcPr>
          <w:p>
            <w:pPr>
              <w:spacing w:after="0"/>
              <w:rPr>
                <w:sz w:val="15"/>
                <w:szCs w:val="15"/>
                <w:color w:val="auto"/>
              </w:rPr>
            </w:pPr>
          </w:p>
        </w:tc>
        <w:tc>
          <w:tcPr>
            <w:tcW w:w="1160" w:type="dxa"/>
            <w:vAlign w:val="bottom"/>
            <w:vMerge w:val="restart"/>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Observable</w:t>
            </w:r>
          </w:p>
        </w:tc>
        <w:tc>
          <w:tcPr>
            <w:tcW w:w="0" w:type="dxa"/>
            <w:vAlign w:val="bottom"/>
          </w:tcPr>
          <w:p>
            <w:pPr>
              <w:spacing w:after="0"/>
              <w:rPr>
                <w:sz w:val="1"/>
                <w:szCs w:val="1"/>
                <w:color w:val="auto"/>
              </w:rPr>
            </w:pPr>
          </w:p>
        </w:tc>
      </w:tr>
      <w:tr>
        <w:trPr>
          <w:trHeight w:val="184"/>
        </w:trPr>
        <w:tc>
          <w:tcPr>
            <w:tcW w:w="2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jc w:val="center"/>
              <w:ind w:right="50"/>
              <w:spacing w:after="0" w:line="184" w:lineRule="exact"/>
              <w:rPr>
                <w:sz w:val="20"/>
                <w:szCs w:val="20"/>
                <w:color w:val="auto"/>
              </w:rPr>
            </w:pPr>
            <w:r>
              <w:rPr>
                <w:rFonts w:ascii="Times New Roman" w:cs="Times New Roman" w:eastAsia="Times New Roman" w:hAnsi="Times New Roman"/>
                <w:sz w:val="18"/>
                <w:szCs w:val="18"/>
                <w:b w:val="1"/>
                <w:bCs w:val="1"/>
                <w:color w:val="auto"/>
                <w:w w:val="99"/>
              </w:rPr>
              <w:t>Identical</w:t>
            </w:r>
          </w:p>
        </w:tc>
        <w:tc>
          <w:tcPr>
            <w:tcW w:w="26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jc w:val="center"/>
              <w:ind w:right="30"/>
              <w:spacing w:after="0" w:line="184" w:lineRule="exact"/>
              <w:rPr>
                <w:sz w:val="20"/>
                <w:szCs w:val="20"/>
                <w:color w:val="auto"/>
              </w:rPr>
            </w:pPr>
            <w:r>
              <w:rPr>
                <w:rFonts w:ascii="Times New Roman" w:cs="Times New Roman" w:eastAsia="Times New Roman" w:hAnsi="Times New Roman"/>
                <w:sz w:val="18"/>
                <w:szCs w:val="18"/>
                <w:b w:val="1"/>
                <w:bCs w:val="1"/>
                <w:color w:val="auto"/>
                <w:w w:val="99"/>
              </w:rPr>
              <w:t>Identical</w:t>
            </w:r>
          </w:p>
        </w:tc>
        <w:tc>
          <w:tcPr>
            <w:tcW w:w="26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78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00" w:type="dxa"/>
            <w:vAlign w:val="bottom"/>
          </w:tcPr>
          <w:p>
            <w:pPr>
              <w:spacing w:after="0"/>
              <w:rPr>
                <w:sz w:val="15"/>
                <w:szCs w:val="15"/>
                <w:color w:val="auto"/>
              </w:rPr>
            </w:pPr>
          </w:p>
        </w:tc>
        <w:tc>
          <w:tcPr>
            <w:tcW w:w="1060" w:type="dxa"/>
            <w:vAlign w:val="bottom"/>
            <w:vMerge w:val="restart"/>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80" w:type="dxa"/>
            <w:vAlign w:val="bottom"/>
          </w:tcPr>
          <w:p>
            <w:pPr>
              <w:spacing w:after="0"/>
              <w:rPr>
                <w:sz w:val="15"/>
                <w:szCs w:val="15"/>
                <w:color w:val="auto"/>
              </w:rPr>
            </w:pPr>
          </w:p>
        </w:tc>
        <w:tc>
          <w:tcPr>
            <w:tcW w:w="1220" w:type="dxa"/>
            <w:vAlign w:val="bottom"/>
          </w:tcPr>
          <w:p>
            <w:pPr>
              <w:jc w:val="center"/>
              <w:ind w:right="50"/>
              <w:spacing w:after="0" w:line="176" w:lineRule="exact"/>
              <w:rPr>
                <w:sz w:val="20"/>
                <w:szCs w:val="20"/>
                <w:color w:val="auto"/>
              </w:rPr>
            </w:pPr>
            <w:r>
              <w:rPr>
                <w:rFonts w:ascii="Times New Roman" w:cs="Times New Roman" w:eastAsia="Times New Roman" w:hAnsi="Times New Roman"/>
                <w:sz w:val="18"/>
                <w:szCs w:val="18"/>
                <w:b w:val="1"/>
                <w:bCs w:val="1"/>
                <w:color w:val="auto"/>
                <w:w w:val="99"/>
              </w:rPr>
              <w:t>Assets</w:t>
            </w:r>
          </w:p>
        </w:tc>
        <w:tc>
          <w:tcPr>
            <w:tcW w:w="260" w:type="dxa"/>
            <w:vAlign w:val="bottom"/>
          </w:tcPr>
          <w:p>
            <w:pPr>
              <w:spacing w:after="0"/>
              <w:rPr>
                <w:sz w:val="15"/>
                <w:szCs w:val="15"/>
                <w:color w:val="auto"/>
              </w:rPr>
            </w:pPr>
          </w:p>
        </w:tc>
        <w:tc>
          <w:tcPr>
            <w:tcW w:w="1260" w:type="dxa"/>
            <w:vAlign w:val="bottom"/>
            <w:gridSpan w:val="2"/>
          </w:tcPr>
          <w:p>
            <w:pPr>
              <w:jc w:val="center"/>
              <w:ind w:right="280"/>
              <w:spacing w:after="0" w:line="176" w:lineRule="exact"/>
              <w:rPr>
                <w:sz w:val="20"/>
                <w:szCs w:val="20"/>
                <w:color w:val="auto"/>
              </w:rPr>
            </w:pPr>
            <w:r>
              <w:rPr>
                <w:rFonts w:ascii="Times New Roman" w:cs="Times New Roman" w:eastAsia="Times New Roman" w:hAnsi="Times New Roman"/>
                <w:sz w:val="18"/>
                <w:szCs w:val="18"/>
                <w:b w:val="1"/>
                <w:bCs w:val="1"/>
                <w:color w:val="auto"/>
                <w:w w:val="99"/>
              </w:rPr>
              <w:t>Inputs</w:t>
            </w:r>
          </w:p>
        </w:tc>
        <w:tc>
          <w:tcPr>
            <w:tcW w:w="280" w:type="dxa"/>
            <w:vAlign w:val="bottom"/>
          </w:tcPr>
          <w:p>
            <w:pPr>
              <w:spacing w:after="0"/>
              <w:rPr>
                <w:sz w:val="15"/>
                <w:szCs w:val="15"/>
                <w:color w:val="auto"/>
              </w:rPr>
            </w:pPr>
          </w:p>
        </w:tc>
        <w:tc>
          <w:tcPr>
            <w:tcW w:w="1060" w:type="dxa"/>
            <w:vAlign w:val="bottom"/>
            <w:vMerge w:val="restart"/>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80" w:type="dxa"/>
            <w:vAlign w:val="bottom"/>
          </w:tcPr>
          <w:p>
            <w:pPr>
              <w:spacing w:after="0"/>
              <w:rPr>
                <w:sz w:val="15"/>
                <w:szCs w:val="15"/>
                <w:color w:val="auto"/>
              </w:rPr>
            </w:pPr>
          </w:p>
        </w:tc>
        <w:tc>
          <w:tcPr>
            <w:tcW w:w="1240" w:type="dxa"/>
            <w:vAlign w:val="bottom"/>
          </w:tcPr>
          <w:p>
            <w:pPr>
              <w:jc w:val="center"/>
              <w:ind w:right="30"/>
              <w:spacing w:after="0" w:line="176" w:lineRule="exact"/>
              <w:rPr>
                <w:sz w:val="20"/>
                <w:szCs w:val="20"/>
                <w:color w:val="auto"/>
              </w:rPr>
            </w:pPr>
            <w:r>
              <w:rPr>
                <w:rFonts w:ascii="Times New Roman" w:cs="Times New Roman" w:eastAsia="Times New Roman" w:hAnsi="Times New Roman"/>
                <w:sz w:val="18"/>
                <w:szCs w:val="18"/>
                <w:b w:val="1"/>
                <w:bCs w:val="1"/>
                <w:color w:val="auto"/>
                <w:w w:val="99"/>
              </w:rPr>
              <w:t>Assets</w:t>
            </w:r>
          </w:p>
        </w:tc>
        <w:tc>
          <w:tcPr>
            <w:tcW w:w="260" w:type="dxa"/>
            <w:vAlign w:val="bottom"/>
          </w:tcPr>
          <w:p>
            <w:pPr>
              <w:spacing w:after="0"/>
              <w:rPr>
                <w:sz w:val="15"/>
                <w:szCs w:val="15"/>
                <w:color w:val="auto"/>
              </w:rPr>
            </w:pPr>
          </w:p>
        </w:tc>
        <w:tc>
          <w:tcPr>
            <w:tcW w:w="1160" w:type="dxa"/>
            <w:vAlign w:val="bottom"/>
          </w:tcPr>
          <w:p>
            <w:pPr>
              <w:jc w:val="center"/>
              <w:ind w:right="90"/>
              <w:spacing w:after="0" w:line="176" w:lineRule="exact"/>
              <w:rPr>
                <w:sz w:val="20"/>
                <w:szCs w:val="20"/>
                <w:color w:val="auto"/>
              </w:rPr>
            </w:pPr>
            <w:r>
              <w:rPr>
                <w:rFonts w:ascii="Times New Roman" w:cs="Times New Roman" w:eastAsia="Times New Roman" w:hAnsi="Times New Roman"/>
                <w:sz w:val="18"/>
                <w:szCs w:val="18"/>
                <w:b w:val="1"/>
                <w:bCs w:val="1"/>
                <w:color w:val="auto"/>
                <w:w w:val="99"/>
              </w:rPr>
              <w:t>Inputs</w:t>
            </w:r>
          </w:p>
        </w:tc>
        <w:tc>
          <w:tcPr>
            <w:tcW w:w="0" w:type="dxa"/>
            <w:vAlign w:val="bottom"/>
          </w:tcPr>
          <w:p>
            <w:pPr>
              <w:spacing w:after="0"/>
              <w:rPr>
                <w:sz w:val="1"/>
                <w:szCs w:val="1"/>
                <w:color w:val="auto"/>
              </w:rPr>
            </w:pPr>
          </w:p>
        </w:tc>
      </w:tr>
      <w:tr>
        <w:trPr>
          <w:trHeight w:val="241"/>
        </w:trPr>
        <w:tc>
          <w:tcPr>
            <w:tcW w:w="2780" w:type="dxa"/>
            <w:vAlign w:val="bottom"/>
            <w:tcBorders>
              <w:bottom w:val="single" w:sz="8" w:color="auto"/>
            </w:tcBorders>
            <w:vMerge w:val="continue"/>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vMerge w:val="continue"/>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7"/>
              </w:rPr>
              <w:t>(Level 1)</w:t>
            </w:r>
          </w:p>
        </w:tc>
        <w:tc>
          <w:tcPr>
            <w:tcW w:w="2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(Level 2)</w:t>
            </w: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vMerge w:val="continue"/>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7"/>
              </w:rPr>
              <w:t>(Level 2)</w:t>
            </w:r>
          </w:p>
        </w:tc>
        <w:tc>
          <w:tcPr>
            <w:tcW w:w="0" w:type="dxa"/>
            <w:vAlign w:val="bottom"/>
          </w:tcPr>
          <w:p>
            <w:pPr>
              <w:spacing w:after="0"/>
              <w:rPr>
                <w:sz w:val="1"/>
                <w:szCs w:val="1"/>
                <w:color w:val="auto"/>
              </w:rPr>
            </w:pPr>
          </w:p>
        </w:tc>
      </w:tr>
      <w:tr>
        <w:trPr>
          <w:trHeight w:val="252"/>
        </w:trPr>
        <w:tc>
          <w:tcPr>
            <w:tcW w:w="278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Cash</w:t>
            </w:r>
          </w:p>
        </w:tc>
        <w:tc>
          <w:tcPr>
            <w:tcW w:w="300" w:type="dxa"/>
            <w:vAlign w:val="bottom"/>
            <w:shd w:val="clear" w:color="auto" w:fill="DBDBDB"/>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DBDBDB"/>
          </w:tcPr>
          <w:p>
            <w:pPr>
              <w:jc w:val="right"/>
              <w:ind w:right="10"/>
              <w:spacing w:after="0"/>
              <w:rPr>
                <w:sz w:val="20"/>
                <w:szCs w:val="20"/>
                <w:color w:val="auto"/>
              </w:rPr>
            </w:pPr>
            <w:r>
              <w:rPr>
                <w:rFonts w:ascii="Times New Roman" w:cs="Times New Roman" w:eastAsia="Times New Roman" w:hAnsi="Times New Roman"/>
                <w:sz w:val="18"/>
                <w:szCs w:val="18"/>
                <w:color w:val="auto"/>
              </w:rPr>
              <w:t>614</w:t>
            </w:r>
          </w:p>
        </w:tc>
        <w:tc>
          <w:tcPr>
            <w:tcW w:w="1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2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DBDBDB"/>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DBDBDB"/>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DBDBDB"/>
          </w:tcPr>
          <w:p>
            <w:pPr>
              <w:jc w:val="right"/>
              <w:ind w:right="10"/>
              <w:spacing w:after="0"/>
              <w:rPr>
                <w:sz w:val="20"/>
                <w:szCs w:val="20"/>
                <w:color w:val="auto"/>
              </w:rPr>
            </w:pPr>
            <w:r>
              <w:rPr>
                <w:rFonts w:ascii="Times New Roman" w:cs="Times New Roman" w:eastAsia="Times New Roman" w:hAnsi="Times New Roman"/>
                <w:sz w:val="18"/>
                <w:szCs w:val="18"/>
                <w:color w:val="auto"/>
              </w:rPr>
              <w:t>566</w:t>
            </w:r>
          </w:p>
        </w:tc>
        <w:tc>
          <w:tcPr>
            <w:tcW w:w="1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566</w:t>
            </w:r>
          </w:p>
        </w:tc>
        <w:tc>
          <w:tcPr>
            <w:tcW w:w="2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2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Real estate investment trusts</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2,849</w:t>
            </w:r>
          </w:p>
        </w:tc>
        <w:tc>
          <w:tcPr>
            <w:tcW w:w="1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7,120</w:t>
            </w:r>
          </w:p>
        </w:tc>
        <w:tc>
          <w:tcPr>
            <w:tcW w:w="1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7,120</w:t>
            </w:r>
          </w:p>
        </w:tc>
        <w:tc>
          <w:tcPr>
            <w:tcW w:w="0" w:type="dxa"/>
            <w:vAlign w:val="bottom"/>
          </w:tcPr>
          <w:p>
            <w:pPr>
              <w:spacing w:after="0"/>
              <w:rPr>
                <w:sz w:val="1"/>
                <w:szCs w:val="1"/>
                <w:color w:val="auto"/>
              </w:rPr>
            </w:pPr>
          </w:p>
        </w:tc>
      </w:tr>
      <w:tr>
        <w:trPr>
          <w:trHeight w:val="263"/>
        </w:trPr>
        <w:tc>
          <w:tcPr>
            <w:tcW w:w="278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Equity securities</w:t>
            </w:r>
          </w:p>
        </w:tc>
        <w:tc>
          <w:tcPr>
            <w:tcW w:w="300" w:type="dxa"/>
            <w:vAlign w:val="bottom"/>
            <w:shd w:val="clear" w:color="auto" w:fill="DBDBDB"/>
          </w:tcPr>
          <w:p>
            <w:pPr>
              <w:spacing w:after="0"/>
              <w:rPr>
                <w:sz w:val="22"/>
                <w:szCs w:val="22"/>
                <w:color w:val="auto"/>
              </w:rPr>
            </w:pPr>
          </w:p>
        </w:tc>
        <w:tc>
          <w:tcPr>
            <w:tcW w:w="1060" w:type="dxa"/>
            <w:vAlign w:val="bottom"/>
            <w:shd w:val="clear" w:color="auto" w:fill="DBDBDB"/>
          </w:tcPr>
          <w:p>
            <w:pPr>
              <w:spacing w:after="0"/>
              <w:rPr>
                <w:sz w:val="22"/>
                <w:szCs w:val="22"/>
                <w:color w:val="auto"/>
              </w:rPr>
            </w:pPr>
          </w:p>
        </w:tc>
        <w:tc>
          <w:tcPr>
            <w:tcW w:w="180" w:type="dxa"/>
            <w:vAlign w:val="bottom"/>
            <w:shd w:val="clear" w:color="auto" w:fill="DBDBDB"/>
          </w:tcPr>
          <w:p>
            <w:pPr>
              <w:spacing w:after="0"/>
              <w:rPr>
                <w:sz w:val="22"/>
                <w:szCs w:val="22"/>
                <w:color w:val="auto"/>
              </w:rPr>
            </w:pPr>
          </w:p>
        </w:tc>
        <w:tc>
          <w:tcPr>
            <w:tcW w:w="1220" w:type="dxa"/>
            <w:vAlign w:val="bottom"/>
            <w:shd w:val="clear" w:color="auto" w:fill="DBDBDB"/>
          </w:tcPr>
          <w:p>
            <w:pPr>
              <w:spacing w:after="0"/>
              <w:rPr>
                <w:sz w:val="22"/>
                <w:szCs w:val="22"/>
                <w:color w:val="auto"/>
              </w:rPr>
            </w:pPr>
          </w:p>
        </w:tc>
        <w:tc>
          <w:tcPr>
            <w:tcW w:w="260" w:type="dxa"/>
            <w:vAlign w:val="bottom"/>
            <w:shd w:val="clear" w:color="auto" w:fill="DBDBDB"/>
          </w:tcPr>
          <w:p>
            <w:pPr>
              <w:spacing w:after="0"/>
              <w:rPr>
                <w:sz w:val="22"/>
                <w:szCs w:val="22"/>
                <w:color w:val="auto"/>
              </w:rPr>
            </w:pPr>
          </w:p>
        </w:tc>
        <w:tc>
          <w:tcPr>
            <w:tcW w:w="1160" w:type="dxa"/>
            <w:vAlign w:val="bottom"/>
            <w:shd w:val="clear" w:color="auto" w:fill="DBDBDB"/>
          </w:tcPr>
          <w:p>
            <w:pPr>
              <w:spacing w:after="0"/>
              <w:rPr>
                <w:sz w:val="22"/>
                <w:szCs w:val="22"/>
                <w:color w:val="auto"/>
              </w:rPr>
            </w:pPr>
          </w:p>
        </w:tc>
        <w:tc>
          <w:tcPr>
            <w:tcW w:w="100" w:type="dxa"/>
            <w:vAlign w:val="bottom"/>
            <w:shd w:val="clear" w:color="auto" w:fill="DBDBDB"/>
          </w:tcPr>
          <w:p>
            <w:pPr>
              <w:spacing w:after="0"/>
              <w:rPr>
                <w:sz w:val="22"/>
                <w:szCs w:val="22"/>
                <w:color w:val="auto"/>
              </w:rPr>
            </w:pPr>
          </w:p>
        </w:tc>
        <w:tc>
          <w:tcPr>
            <w:tcW w:w="280" w:type="dxa"/>
            <w:vAlign w:val="bottom"/>
            <w:shd w:val="clear" w:color="auto" w:fill="DBDBDB"/>
          </w:tcPr>
          <w:p>
            <w:pPr>
              <w:spacing w:after="0"/>
              <w:rPr>
                <w:sz w:val="22"/>
                <w:szCs w:val="22"/>
                <w:color w:val="auto"/>
              </w:rPr>
            </w:pPr>
          </w:p>
        </w:tc>
        <w:tc>
          <w:tcPr>
            <w:tcW w:w="1060" w:type="dxa"/>
            <w:vAlign w:val="bottom"/>
            <w:shd w:val="clear" w:color="auto" w:fill="DBDBDB"/>
          </w:tcPr>
          <w:p>
            <w:pPr>
              <w:spacing w:after="0"/>
              <w:rPr>
                <w:sz w:val="22"/>
                <w:szCs w:val="22"/>
                <w:color w:val="auto"/>
              </w:rPr>
            </w:pPr>
          </w:p>
        </w:tc>
        <w:tc>
          <w:tcPr>
            <w:tcW w:w="180" w:type="dxa"/>
            <w:vAlign w:val="bottom"/>
            <w:shd w:val="clear" w:color="auto" w:fill="DBDBDB"/>
          </w:tcPr>
          <w:p>
            <w:pPr>
              <w:spacing w:after="0"/>
              <w:rPr>
                <w:sz w:val="22"/>
                <w:szCs w:val="22"/>
                <w:color w:val="auto"/>
              </w:rPr>
            </w:pPr>
          </w:p>
        </w:tc>
        <w:tc>
          <w:tcPr>
            <w:tcW w:w="1240" w:type="dxa"/>
            <w:vAlign w:val="bottom"/>
            <w:shd w:val="clear" w:color="auto" w:fill="DBDBDB"/>
          </w:tcPr>
          <w:p>
            <w:pPr>
              <w:spacing w:after="0"/>
              <w:rPr>
                <w:sz w:val="22"/>
                <w:szCs w:val="22"/>
                <w:color w:val="auto"/>
              </w:rPr>
            </w:pPr>
          </w:p>
        </w:tc>
        <w:tc>
          <w:tcPr>
            <w:tcW w:w="260" w:type="dxa"/>
            <w:vAlign w:val="bottom"/>
            <w:shd w:val="clear" w:color="auto" w:fill="DBDBDB"/>
          </w:tcPr>
          <w:p>
            <w:pPr>
              <w:spacing w:after="0"/>
              <w:rPr>
                <w:sz w:val="22"/>
                <w:szCs w:val="22"/>
                <w:color w:val="auto"/>
              </w:rPr>
            </w:pPr>
          </w:p>
        </w:tc>
        <w:tc>
          <w:tcPr>
            <w:tcW w:w="1160" w:type="dxa"/>
            <w:vAlign w:val="bottom"/>
            <w:shd w:val="clear" w:color="auto" w:fill="DBDBDB"/>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U.S. Small/Mid Cap Growth</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987</w:t>
            </w:r>
          </w:p>
        </w:tc>
        <w:tc>
          <w:tcPr>
            <w:tcW w:w="1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2,055</w:t>
            </w:r>
          </w:p>
        </w:tc>
        <w:tc>
          <w:tcPr>
            <w:tcW w:w="1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2,055</w:t>
            </w:r>
          </w:p>
        </w:tc>
        <w:tc>
          <w:tcPr>
            <w:tcW w:w="0" w:type="dxa"/>
            <w:vAlign w:val="bottom"/>
          </w:tcPr>
          <w:p>
            <w:pPr>
              <w:spacing w:after="0"/>
              <w:rPr>
                <w:sz w:val="1"/>
                <w:szCs w:val="1"/>
                <w:color w:val="auto"/>
              </w:rPr>
            </w:pPr>
          </w:p>
        </w:tc>
      </w:tr>
      <w:tr>
        <w:trPr>
          <w:trHeight w:val="263"/>
        </w:trPr>
        <w:tc>
          <w:tcPr>
            <w:tcW w:w="2780" w:type="dxa"/>
            <w:vAlign w:val="bottom"/>
            <w:shd w:val="clear" w:color="auto" w:fill="DBDBDB"/>
          </w:tcPr>
          <w:p>
            <w:pPr>
              <w:ind w:left="300"/>
              <w:spacing w:after="0"/>
              <w:rPr>
                <w:sz w:val="20"/>
                <w:szCs w:val="20"/>
                <w:color w:val="auto"/>
              </w:rPr>
            </w:pPr>
            <w:r>
              <w:rPr>
                <w:rFonts w:ascii="Times New Roman" w:cs="Times New Roman" w:eastAsia="Times New Roman" w:hAnsi="Times New Roman"/>
                <w:sz w:val="18"/>
                <w:szCs w:val="18"/>
                <w:color w:val="auto"/>
              </w:rPr>
              <w:t>Non-U. S. Core</w:t>
            </w:r>
          </w:p>
        </w:tc>
        <w:tc>
          <w:tcPr>
            <w:tcW w:w="300" w:type="dxa"/>
            <w:vAlign w:val="bottom"/>
            <w:shd w:val="clear" w:color="auto" w:fill="DBDBDB"/>
          </w:tcPr>
          <w:p>
            <w:pPr>
              <w:spacing w:after="0"/>
              <w:rPr>
                <w:sz w:val="22"/>
                <w:szCs w:val="22"/>
                <w:color w:val="auto"/>
              </w:rPr>
            </w:pPr>
          </w:p>
        </w:tc>
        <w:tc>
          <w:tcPr>
            <w:tcW w:w="1060" w:type="dxa"/>
            <w:vAlign w:val="bottom"/>
            <w:shd w:val="clear" w:color="auto" w:fill="DBDBDB"/>
          </w:tcPr>
          <w:p>
            <w:pPr>
              <w:jc w:val="right"/>
              <w:ind w:right="10"/>
              <w:spacing w:after="0"/>
              <w:rPr>
                <w:sz w:val="20"/>
                <w:szCs w:val="20"/>
                <w:color w:val="auto"/>
              </w:rPr>
            </w:pPr>
            <w:r>
              <w:rPr>
                <w:rFonts w:ascii="Times New Roman" w:cs="Times New Roman" w:eastAsia="Times New Roman" w:hAnsi="Times New Roman"/>
                <w:sz w:val="18"/>
                <w:szCs w:val="18"/>
                <w:color w:val="auto"/>
              </w:rPr>
              <w:t>3,811</w:t>
            </w:r>
          </w:p>
        </w:tc>
        <w:tc>
          <w:tcPr>
            <w:tcW w:w="180" w:type="dxa"/>
            <w:vAlign w:val="bottom"/>
            <w:shd w:val="clear" w:color="auto" w:fill="DBDBDB"/>
          </w:tcPr>
          <w:p>
            <w:pPr>
              <w:spacing w:after="0"/>
              <w:rPr>
                <w:sz w:val="22"/>
                <w:szCs w:val="22"/>
                <w:color w:val="auto"/>
              </w:rPr>
            </w:pPr>
          </w:p>
        </w:tc>
        <w:tc>
          <w:tcPr>
            <w:tcW w:w="12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DBDBDB"/>
          </w:tcPr>
          <w:p>
            <w:pPr>
              <w:spacing w:after="0"/>
              <w:rPr>
                <w:sz w:val="22"/>
                <w:szCs w:val="22"/>
                <w:color w:val="auto"/>
              </w:rPr>
            </w:pPr>
          </w:p>
        </w:tc>
        <w:tc>
          <w:tcPr>
            <w:tcW w:w="11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3,811</w:t>
            </w:r>
          </w:p>
        </w:tc>
        <w:tc>
          <w:tcPr>
            <w:tcW w:w="100" w:type="dxa"/>
            <w:vAlign w:val="bottom"/>
            <w:shd w:val="clear" w:color="auto" w:fill="DBDBDB"/>
          </w:tcPr>
          <w:p>
            <w:pPr>
              <w:spacing w:after="0"/>
              <w:rPr>
                <w:sz w:val="22"/>
                <w:szCs w:val="22"/>
                <w:color w:val="auto"/>
              </w:rPr>
            </w:pPr>
          </w:p>
        </w:tc>
        <w:tc>
          <w:tcPr>
            <w:tcW w:w="280" w:type="dxa"/>
            <w:vAlign w:val="bottom"/>
            <w:shd w:val="clear" w:color="auto" w:fill="DBDBDB"/>
          </w:tcPr>
          <w:p>
            <w:pPr>
              <w:spacing w:after="0"/>
              <w:rPr>
                <w:sz w:val="22"/>
                <w:szCs w:val="22"/>
                <w:color w:val="auto"/>
              </w:rPr>
            </w:pPr>
          </w:p>
        </w:tc>
        <w:tc>
          <w:tcPr>
            <w:tcW w:w="1060" w:type="dxa"/>
            <w:vAlign w:val="bottom"/>
            <w:shd w:val="clear" w:color="auto" w:fill="DBDBDB"/>
          </w:tcPr>
          <w:p>
            <w:pPr>
              <w:jc w:val="right"/>
              <w:ind w:right="10"/>
              <w:spacing w:after="0"/>
              <w:rPr>
                <w:sz w:val="20"/>
                <w:szCs w:val="20"/>
                <w:color w:val="auto"/>
              </w:rPr>
            </w:pPr>
            <w:r>
              <w:rPr>
                <w:rFonts w:ascii="Times New Roman" w:cs="Times New Roman" w:eastAsia="Times New Roman" w:hAnsi="Times New Roman"/>
                <w:sz w:val="18"/>
                <w:szCs w:val="18"/>
                <w:color w:val="auto"/>
              </w:rPr>
              <w:t>7,822</w:t>
            </w:r>
          </w:p>
        </w:tc>
        <w:tc>
          <w:tcPr>
            <w:tcW w:w="180" w:type="dxa"/>
            <w:vAlign w:val="bottom"/>
            <w:shd w:val="clear" w:color="auto" w:fill="DBDBDB"/>
          </w:tcPr>
          <w:p>
            <w:pPr>
              <w:spacing w:after="0"/>
              <w:rPr>
                <w:sz w:val="22"/>
                <w:szCs w:val="22"/>
                <w:color w:val="auto"/>
              </w:rPr>
            </w:pPr>
          </w:p>
        </w:tc>
        <w:tc>
          <w:tcPr>
            <w:tcW w:w="12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DBDBDB"/>
          </w:tcPr>
          <w:p>
            <w:pPr>
              <w:spacing w:after="0"/>
              <w:rPr>
                <w:sz w:val="22"/>
                <w:szCs w:val="22"/>
                <w:color w:val="auto"/>
              </w:rPr>
            </w:pPr>
          </w:p>
        </w:tc>
        <w:tc>
          <w:tcPr>
            <w:tcW w:w="11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7,822</w:t>
            </w:r>
          </w:p>
        </w:tc>
        <w:tc>
          <w:tcPr>
            <w:tcW w:w="0" w:type="dxa"/>
            <w:vAlign w:val="bottom"/>
          </w:tcPr>
          <w:p>
            <w:pPr>
              <w:spacing w:after="0"/>
              <w:rPr>
                <w:sz w:val="1"/>
                <w:szCs w:val="1"/>
                <w:color w:val="auto"/>
              </w:rPr>
            </w:pPr>
          </w:p>
        </w:tc>
      </w:tr>
      <w:tr>
        <w:trPr>
          <w:trHeight w:val="250"/>
        </w:trPr>
        <w:tc>
          <w:tcPr>
            <w:tcW w:w="27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U.S. Large Cap Passive</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3,333</w:t>
            </w:r>
          </w:p>
        </w:tc>
        <w:tc>
          <w:tcPr>
            <w:tcW w:w="1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8,319</w:t>
            </w:r>
          </w:p>
        </w:tc>
        <w:tc>
          <w:tcPr>
            <w:tcW w:w="1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8,319</w:t>
            </w:r>
          </w:p>
        </w:tc>
        <w:tc>
          <w:tcPr>
            <w:tcW w:w="0" w:type="dxa"/>
            <w:vAlign w:val="bottom"/>
          </w:tcPr>
          <w:p>
            <w:pPr>
              <w:spacing w:after="0"/>
              <w:rPr>
                <w:sz w:val="1"/>
                <w:szCs w:val="1"/>
                <w:color w:val="auto"/>
              </w:rPr>
            </w:pPr>
          </w:p>
        </w:tc>
      </w:tr>
      <w:tr>
        <w:trPr>
          <w:trHeight w:val="263"/>
        </w:trPr>
        <w:tc>
          <w:tcPr>
            <w:tcW w:w="2780" w:type="dxa"/>
            <w:vAlign w:val="bottom"/>
            <w:shd w:val="clear" w:color="auto" w:fill="DBDBDB"/>
          </w:tcPr>
          <w:p>
            <w:pPr>
              <w:ind w:left="300"/>
              <w:spacing w:after="0"/>
              <w:rPr>
                <w:sz w:val="20"/>
                <w:szCs w:val="20"/>
                <w:color w:val="auto"/>
              </w:rPr>
            </w:pPr>
            <w:r>
              <w:rPr>
                <w:rFonts w:ascii="Times New Roman" w:cs="Times New Roman" w:eastAsia="Times New Roman" w:hAnsi="Times New Roman"/>
                <w:sz w:val="18"/>
                <w:szCs w:val="18"/>
                <w:color w:val="auto"/>
              </w:rPr>
              <w:t>Emerging Markets</w:t>
            </w:r>
          </w:p>
        </w:tc>
        <w:tc>
          <w:tcPr>
            <w:tcW w:w="300" w:type="dxa"/>
            <w:vAlign w:val="bottom"/>
            <w:shd w:val="clear" w:color="auto" w:fill="DBDBDB"/>
          </w:tcPr>
          <w:p>
            <w:pPr>
              <w:spacing w:after="0"/>
              <w:rPr>
                <w:sz w:val="22"/>
                <w:szCs w:val="22"/>
                <w:color w:val="auto"/>
              </w:rPr>
            </w:pPr>
          </w:p>
        </w:tc>
        <w:tc>
          <w:tcPr>
            <w:tcW w:w="1060" w:type="dxa"/>
            <w:vAlign w:val="bottom"/>
            <w:shd w:val="clear" w:color="auto" w:fill="DBDBDB"/>
          </w:tcPr>
          <w:p>
            <w:pPr>
              <w:jc w:val="right"/>
              <w:ind w:right="10"/>
              <w:spacing w:after="0"/>
              <w:rPr>
                <w:sz w:val="20"/>
                <w:szCs w:val="20"/>
                <w:color w:val="auto"/>
              </w:rPr>
            </w:pPr>
            <w:r>
              <w:rPr>
                <w:rFonts w:ascii="Times New Roman" w:cs="Times New Roman" w:eastAsia="Times New Roman" w:hAnsi="Times New Roman"/>
                <w:sz w:val="18"/>
                <w:szCs w:val="18"/>
                <w:color w:val="auto"/>
              </w:rPr>
              <w:t>1,391</w:t>
            </w:r>
          </w:p>
        </w:tc>
        <w:tc>
          <w:tcPr>
            <w:tcW w:w="180" w:type="dxa"/>
            <w:vAlign w:val="bottom"/>
            <w:shd w:val="clear" w:color="auto" w:fill="DBDBDB"/>
          </w:tcPr>
          <w:p>
            <w:pPr>
              <w:spacing w:after="0"/>
              <w:rPr>
                <w:sz w:val="22"/>
                <w:szCs w:val="22"/>
                <w:color w:val="auto"/>
              </w:rPr>
            </w:pPr>
          </w:p>
        </w:tc>
        <w:tc>
          <w:tcPr>
            <w:tcW w:w="12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DBDBDB"/>
          </w:tcPr>
          <w:p>
            <w:pPr>
              <w:spacing w:after="0"/>
              <w:rPr>
                <w:sz w:val="22"/>
                <w:szCs w:val="22"/>
                <w:color w:val="auto"/>
              </w:rPr>
            </w:pPr>
          </w:p>
        </w:tc>
        <w:tc>
          <w:tcPr>
            <w:tcW w:w="11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1,391</w:t>
            </w:r>
          </w:p>
        </w:tc>
        <w:tc>
          <w:tcPr>
            <w:tcW w:w="100" w:type="dxa"/>
            <w:vAlign w:val="bottom"/>
            <w:shd w:val="clear" w:color="auto" w:fill="DBDBDB"/>
          </w:tcPr>
          <w:p>
            <w:pPr>
              <w:spacing w:after="0"/>
              <w:rPr>
                <w:sz w:val="22"/>
                <w:szCs w:val="22"/>
                <w:color w:val="auto"/>
              </w:rPr>
            </w:pPr>
          </w:p>
        </w:tc>
        <w:tc>
          <w:tcPr>
            <w:tcW w:w="280" w:type="dxa"/>
            <w:vAlign w:val="bottom"/>
            <w:shd w:val="clear" w:color="auto" w:fill="DBDBDB"/>
          </w:tcPr>
          <w:p>
            <w:pPr>
              <w:spacing w:after="0"/>
              <w:rPr>
                <w:sz w:val="22"/>
                <w:szCs w:val="22"/>
                <w:color w:val="auto"/>
              </w:rPr>
            </w:pPr>
          </w:p>
        </w:tc>
        <w:tc>
          <w:tcPr>
            <w:tcW w:w="1060" w:type="dxa"/>
            <w:vAlign w:val="bottom"/>
            <w:shd w:val="clear" w:color="auto" w:fill="DBDBDB"/>
          </w:tcPr>
          <w:p>
            <w:pPr>
              <w:jc w:val="right"/>
              <w:ind w:right="10"/>
              <w:spacing w:after="0"/>
              <w:rPr>
                <w:sz w:val="20"/>
                <w:szCs w:val="20"/>
                <w:color w:val="auto"/>
              </w:rPr>
            </w:pPr>
            <w:r>
              <w:rPr>
                <w:rFonts w:ascii="Times New Roman" w:cs="Times New Roman" w:eastAsia="Times New Roman" w:hAnsi="Times New Roman"/>
                <w:sz w:val="18"/>
                <w:szCs w:val="18"/>
                <w:color w:val="auto"/>
              </w:rPr>
              <w:t>3,000</w:t>
            </w:r>
          </w:p>
        </w:tc>
        <w:tc>
          <w:tcPr>
            <w:tcW w:w="180" w:type="dxa"/>
            <w:vAlign w:val="bottom"/>
            <w:shd w:val="clear" w:color="auto" w:fill="DBDBDB"/>
          </w:tcPr>
          <w:p>
            <w:pPr>
              <w:spacing w:after="0"/>
              <w:rPr>
                <w:sz w:val="22"/>
                <w:szCs w:val="22"/>
                <w:color w:val="auto"/>
              </w:rPr>
            </w:pPr>
          </w:p>
        </w:tc>
        <w:tc>
          <w:tcPr>
            <w:tcW w:w="12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DBDBDB"/>
          </w:tcPr>
          <w:p>
            <w:pPr>
              <w:spacing w:after="0"/>
              <w:rPr>
                <w:sz w:val="22"/>
                <w:szCs w:val="22"/>
                <w:color w:val="auto"/>
              </w:rPr>
            </w:pPr>
          </w:p>
        </w:tc>
        <w:tc>
          <w:tcPr>
            <w:tcW w:w="11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0" w:type="dxa"/>
            <w:vAlign w:val="bottom"/>
          </w:tcPr>
          <w:p>
            <w:pPr>
              <w:spacing w:after="0"/>
              <w:rPr>
                <w:sz w:val="1"/>
                <w:szCs w:val="1"/>
                <w:color w:val="auto"/>
              </w:rPr>
            </w:pPr>
          </w:p>
        </w:tc>
      </w:tr>
      <w:tr>
        <w:trPr>
          <w:trHeight w:val="250"/>
        </w:trPr>
        <w:tc>
          <w:tcPr>
            <w:tcW w:w="2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Fixed Income</w:t>
            </w: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2780" w:type="dxa"/>
            <w:vAlign w:val="bottom"/>
            <w:shd w:val="clear" w:color="auto" w:fill="DBDBDB"/>
          </w:tcPr>
          <w:p>
            <w:pPr>
              <w:ind w:left="300"/>
              <w:spacing w:after="0"/>
              <w:rPr>
                <w:sz w:val="20"/>
                <w:szCs w:val="20"/>
                <w:color w:val="auto"/>
              </w:rPr>
            </w:pPr>
            <w:r>
              <w:rPr>
                <w:rFonts w:ascii="Times New Roman" w:cs="Times New Roman" w:eastAsia="Times New Roman" w:hAnsi="Times New Roman"/>
                <w:sz w:val="18"/>
                <w:szCs w:val="18"/>
                <w:color w:val="auto"/>
              </w:rPr>
              <w:t>U.S. Core</w:t>
            </w:r>
          </w:p>
        </w:tc>
        <w:tc>
          <w:tcPr>
            <w:tcW w:w="300" w:type="dxa"/>
            <w:vAlign w:val="bottom"/>
            <w:shd w:val="clear" w:color="auto" w:fill="DBDBDB"/>
          </w:tcPr>
          <w:p>
            <w:pPr>
              <w:spacing w:after="0"/>
              <w:rPr>
                <w:sz w:val="22"/>
                <w:szCs w:val="22"/>
                <w:color w:val="auto"/>
              </w:rPr>
            </w:pPr>
          </w:p>
        </w:tc>
        <w:tc>
          <w:tcPr>
            <w:tcW w:w="1060" w:type="dxa"/>
            <w:vAlign w:val="bottom"/>
            <w:shd w:val="clear" w:color="auto" w:fill="DBDBDB"/>
          </w:tcPr>
          <w:p>
            <w:pPr>
              <w:jc w:val="right"/>
              <w:ind w:right="10"/>
              <w:spacing w:after="0"/>
              <w:rPr>
                <w:sz w:val="20"/>
                <w:szCs w:val="20"/>
                <w:color w:val="auto"/>
              </w:rPr>
            </w:pPr>
            <w:r>
              <w:rPr>
                <w:rFonts w:ascii="Times New Roman" w:cs="Times New Roman" w:eastAsia="Times New Roman" w:hAnsi="Times New Roman"/>
                <w:sz w:val="18"/>
                <w:szCs w:val="18"/>
                <w:color w:val="auto"/>
              </w:rPr>
              <w:t>69,710</w:t>
            </w:r>
          </w:p>
        </w:tc>
        <w:tc>
          <w:tcPr>
            <w:tcW w:w="180" w:type="dxa"/>
            <w:vAlign w:val="bottom"/>
            <w:shd w:val="clear" w:color="auto" w:fill="DBDBDB"/>
          </w:tcPr>
          <w:p>
            <w:pPr>
              <w:spacing w:after="0"/>
              <w:rPr>
                <w:sz w:val="22"/>
                <w:szCs w:val="22"/>
                <w:color w:val="auto"/>
              </w:rPr>
            </w:pPr>
          </w:p>
        </w:tc>
        <w:tc>
          <w:tcPr>
            <w:tcW w:w="12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DBDBDB"/>
          </w:tcPr>
          <w:p>
            <w:pPr>
              <w:spacing w:after="0"/>
              <w:rPr>
                <w:sz w:val="22"/>
                <w:szCs w:val="22"/>
                <w:color w:val="auto"/>
              </w:rPr>
            </w:pPr>
          </w:p>
        </w:tc>
        <w:tc>
          <w:tcPr>
            <w:tcW w:w="11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69,710</w:t>
            </w:r>
          </w:p>
        </w:tc>
        <w:tc>
          <w:tcPr>
            <w:tcW w:w="100" w:type="dxa"/>
            <w:vAlign w:val="bottom"/>
            <w:shd w:val="clear" w:color="auto" w:fill="DBDBDB"/>
          </w:tcPr>
          <w:p>
            <w:pPr>
              <w:spacing w:after="0"/>
              <w:rPr>
                <w:sz w:val="22"/>
                <w:szCs w:val="22"/>
                <w:color w:val="auto"/>
              </w:rPr>
            </w:pPr>
          </w:p>
        </w:tc>
        <w:tc>
          <w:tcPr>
            <w:tcW w:w="280" w:type="dxa"/>
            <w:vAlign w:val="bottom"/>
            <w:shd w:val="clear" w:color="auto" w:fill="DBDBDB"/>
          </w:tcPr>
          <w:p>
            <w:pPr>
              <w:spacing w:after="0"/>
              <w:rPr>
                <w:sz w:val="22"/>
                <w:szCs w:val="22"/>
                <w:color w:val="auto"/>
              </w:rPr>
            </w:pPr>
          </w:p>
        </w:tc>
        <w:tc>
          <w:tcPr>
            <w:tcW w:w="1060" w:type="dxa"/>
            <w:vAlign w:val="bottom"/>
            <w:shd w:val="clear" w:color="auto" w:fill="DBDBDB"/>
          </w:tcPr>
          <w:p>
            <w:pPr>
              <w:jc w:val="right"/>
              <w:ind w:right="10"/>
              <w:spacing w:after="0"/>
              <w:rPr>
                <w:sz w:val="20"/>
                <w:szCs w:val="20"/>
                <w:color w:val="auto"/>
              </w:rPr>
            </w:pPr>
            <w:r>
              <w:rPr>
                <w:rFonts w:ascii="Times New Roman" w:cs="Times New Roman" w:eastAsia="Times New Roman" w:hAnsi="Times New Roman"/>
                <w:sz w:val="18"/>
                <w:szCs w:val="18"/>
                <w:color w:val="auto"/>
              </w:rPr>
              <w:t>51,756</w:t>
            </w:r>
          </w:p>
        </w:tc>
        <w:tc>
          <w:tcPr>
            <w:tcW w:w="180" w:type="dxa"/>
            <w:vAlign w:val="bottom"/>
            <w:shd w:val="clear" w:color="auto" w:fill="DBDBDB"/>
          </w:tcPr>
          <w:p>
            <w:pPr>
              <w:spacing w:after="0"/>
              <w:rPr>
                <w:sz w:val="22"/>
                <w:szCs w:val="22"/>
                <w:color w:val="auto"/>
              </w:rPr>
            </w:pPr>
          </w:p>
        </w:tc>
        <w:tc>
          <w:tcPr>
            <w:tcW w:w="12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DBDBDB"/>
          </w:tcPr>
          <w:p>
            <w:pPr>
              <w:spacing w:after="0"/>
              <w:rPr>
                <w:sz w:val="22"/>
                <w:szCs w:val="22"/>
                <w:color w:val="auto"/>
              </w:rPr>
            </w:pPr>
          </w:p>
        </w:tc>
        <w:tc>
          <w:tcPr>
            <w:tcW w:w="11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51,756</w:t>
            </w:r>
          </w:p>
        </w:tc>
        <w:tc>
          <w:tcPr>
            <w:tcW w:w="0" w:type="dxa"/>
            <w:vAlign w:val="bottom"/>
          </w:tcPr>
          <w:p>
            <w:pPr>
              <w:spacing w:after="0"/>
              <w:rPr>
                <w:sz w:val="1"/>
                <w:szCs w:val="1"/>
                <w:color w:val="auto"/>
              </w:rPr>
            </w:pPr>
          </w:p>
        </w:tc>
      </w:tr>
      <w:tr>
        <w:trPr>
          <w:trHeight w:val="250"/>
        </w:trPr>
        <w:tc>
          <w:tcPr>
            <w:tcW w:w="278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Opportunistic</w:t>
            </w: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4,059</w:t>
            </w:r>
          </w:p>
        </w:tc>
        <w:tc>
          <w:tcPr>
            <w:tcW w:w="1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4,059</w:t>
            </w:r>
          </w:p>
        </w:tc>
        <w:tc>
          <w:tcPr>
            <w:tcW w:w="10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2,756</w:t>
            </w:r>
          </w:p>
        </w:tc>
        <w:tc>
          <w:tcPr>
            <w:tcW w:w="18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2,756</w:t>
            </w:r>
          </w:p>
        </w:tc>
        <w:tc>
          <w:tcPr>
            <w:tcW w:w="0" w:type="dxa"/>
            <w:vAlign w:val="bottom"/>
          </w:tcPr>
          <w:p>
            <w:pPr>
              <w:spacing w:after="0"/>
              <w:rPr>
                <w:sz w:val="1"/>
                <w:szCs w:val="1"/>
                <w:color w:val="auto"/>
              </w:rPr>
            </w:pPr>
          </w:p>
        </w:tc>
      </w:tr>
      <w:tr>
        <w:trPr>
          <w:trHeight w:val="250"/>
        </w:trPr>
        <w:tc>
          <w:tcPr>
            <w:tcW w:w="2780" w:type="dxa"/>
            <w:vAlign w:val="bottom"/>
            <w:tcBorders>
              <w:bottom w:val="single" w:sz="8" w:color="auto"/>
            </w:tcBorders>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bottom w:val="single" w:sz="8" w:color="auto"/>
            </w:tcBorders>
            <w:shd w:val="clear" w:color="auto" w:fill="DBDBDB"/>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DBDBDB"/>
          </w:tcPr>
          <w:p>
            <w:pPr>
              <w:jc w:val="right"/>
              <w:ind w:right="10"/>
              <w:spacing w:after="0"/>
              <w:rPr>
                <w:sz w:val="20"/>
                <w:szCs w:val="20"/>
                <w:color w:val="auto"/>
              </w:rPr>
            </w:pPr>
            <w:r>
              <w:rPr>
                <w:rFonts w:ascii="Times New Roman" w:cs="Times New Roman" w:eastAsia="Times New Roman" w:hAnsi="Times New Roman"/>
                <w:sz w:val="18"/>
                <w:szCs w:val="18"/>
                <w:color w:val="auto"/>
              </w:rPr>
              <w:t>86,754</w:t>
            </w:r>
          </w:p>
        </w:tc>
        <w:tc>
          <w:tcPr>
            <w:tcW w:w="18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26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86,140</w:t>
            </w:r>
          </w:p>
        </w:tc>
        <w:tc>
          <w:tcPr>
            <w:tcW w:w="100" w:type="dxa"/>
            <w:vAlign w:val="bottom"/>
            <w:tcBorders>
              <w:bottom w:val="single" w:sz="8" w:color="auto"/>
            </w:tcBorders>
            <w:shd w:val="clear" w:color="auto" w:fill="DBDBDB"/>
          </w:tcPr>
          <w:p>
            <w:pPr>
              <w:spacing w:after="0"/>
              <w:rPr>
                <w:sz w:val="21"/>
                <w:szCs w:val="21"/>
                <w:color w:val="auto"/>
              </w:rPr>
            </w:pPr>
          </w:p>
        </w:tc>
        <w:tc>
          <w:tcPr>
            <w:tcW w:w="280" w:type="dxa"/>
            <w:vAlign w:val="bottom"/>
            <w:tcBorders>
              <w:bottom w:val="single" w:sz="8" w:color="auto"/>
            </w:tcBorders>
            <w:shd w:val="clear" w:color="auto" w:fill="DBDBDB"/>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DBDBDB"/>
          </w:tcPr>
          <w:p>
            <w:pPr>
              <w:jc w:val="right"/>
              <w:ind w:right="10"/>
              <w:spacing w:after="0"/>
              <w:rPr>
                <w:sz w:val="20"/>
                <w:szCs w:val="20"/>
                <w:color w:val="auto"/>
              </w:rPr>
            </w:pPr>
            <w:r>
              <w:rPr>
                <w:rFonts w:ascii="Times New Roman" w:cs="Times New Roman" w:eastAsia="Times New Roman" w:hAnsi="Times New Roman"/>
                <w:sz w:val="18"/>
                <w:szCs w:val="18"/>
                <w:color w:val="auto"/>
              </w:rPr>
              <w:t>83,394</w:t>
            </w:r>
          </w:p>
        </w:tc>
        <w:tc>
          <w:tcPr>
            <w:tcW w:w="18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566</w:t>
            </w:r>
          </w:p>
        </w:tc>
        <w:tc>
          <w:tcPr>
            <w:tcW w:w="26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82,828</w:t>
            </w:r>
          </w:p>
        </w:tc>
        <w:tc>
          <w:tcPr>
            <w:tcW w:w="0" w:type="dxa"/>
            <w:vAlign w:val="bottom"/>
          </w:tcPr>
          <w:p>
            <w:pPr>
              <w:spacing w:after="0"/>
              <w:rPr>
                <w:sz w:val="1"/>
                <w:szCs w:val="1"/>
                <w:color w:val="auto"/>
              </w:rPr>
            </w:pPr>
          </w:p>
        </w:tc>
      </w:tr>
    </w:tbl>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Supplemental Executive Retirement Plan</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also has an unfunded supplemental executive retirement plan (“SERP”) which covers key executives of the Company whose benefits are limited by the Internal Revenue Service under the Company’s qualified retirement plan. The SERP is a noncontributory plan in which the Company’s subsidiaries make accruals designed to fund normal service costs on a current basis using the same method and criteria as the Plan.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activity in the SERP’s projected benefit obligation and amounts recognized in the Company’s consolidated balance sheets is as follows: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18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60" w:type="dxa"/>
            <w:vAlign w:val="bottom"/>
            <w:tcBorders>
              <w:bottom w:val="single" w:sz="8" w:color="auto"/>
            </w:tcBorders>
          </w:tcPr>
          <w:p>
            <w:pPr>
              <w:spacing w:after="0"/>
              <w:rPr>
                <w:sz w:val="21"/>
                <w:szCs w:val="21"/>
                <w:color w:val="auto"/>
              </w:rPr>
            </w:pPr>
          </w:p>
        </w:tc>
      </w:tr>
      <w:tr>
        <w:trPr>
          <w:trHeight w:val="250"/>
        </w:trPr>
        <w:tc>
          <w:tcPr>
            <w:tcW w:w="8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5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57"/>
        </w:trPr>
        <w:tc>
          <w:tcPr>
            <w:tcW w:w="818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Benefit obligation:</w:t>
            </w:r>
          </w:p>
        </w:tc>
        <w:tc>
          <w:tcPr>
            <w:tcW w:w="340" w:type="dxa"/>
            <w:vAlign w:val="bottom"/>
            <w:shd w:val="clear" w:color="auto" w:fill="DBDBDB"/>
          </w:tcPr>
          <w:p>
            <w:pPr>
              <w:spacing w:after="0"/>
              <w:rPr>
                <w:sz w:val="22"/>
                <w:szCs w:val="22"/>
                <w:color w:val="auto"/>
              </w:rPr>
            </w:pPr>
          </w:p>
        </w:tc>
        <w:tc>
          <w:tcPr>
            <w:tcW w:w="1180" w:type="dxa"/>
            <w:vAlign w:val="bottom"/>
            <w:shd w:val="clear" w:color="auto" w:fill="DBDBDB"/>
          </w:tcPr>
          <w:p>
            <w:pPr>
              <w:spacing w:after="0"/>
              <w:rPr>
                <w:sz w:val="22"/>
                <w:szCs w:val="22"/>
                <w:color w:val="auto"/>
              </w:rPr>
            </w:pPr>
          </w:p>
        </w:tc>
        <w:tc>
          <w:tcPr>
            <w:tcW w:w="580" w:type="dxa"/>
            <w:vAlign w:val="bottom"/>
            <w:shd w:val="clear" w:color="auto" w:fill="DBDBDB"/>
          </w:tcPr>
          <w:p>
            <w:pPr>
              <w:spacing w:after="0"/>
              <w:rPr>
                <w:sz w:val="22"/>
                <w:szCs w:val="22"/>
                <w:color w:val="auto"/>
              </w:rPr>
            </w:pPr>
          </w:p>
        </w:tc>
        <w:tc>
          <w:tcPr>
            <w:tcW w:w="960" w:type="dxa"/>
            <w:vAlign w:val="bottom"/>
            <w:shd w:val="clear" w:color="auto" w:fill="DBDBDB"/>
          </w:tcPr>
          <w:p>
            <w:pPr>
              <w:spacing w:after="0"/>
              <w:rPr>
                <w:sz w:val="22"/>
                <w:szCs w:val="22"/>
                <w:color w:val="auto"/>
              </w:rPr>
            </w:pPr>
          </w:p>
        </w:tc>
      </w:tr>
      <w:tr>
        <w:trPr>
          <w:trHeight w:val="250"/>
        </w:trPr>
        <w:tc>
          <w:tcPr>
            <w:tcW w:w="81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Balance, January 1</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9,579</w:t>
            </w:r>
          </w:p>
        </w:tc>
        <w:tc>
          <w:tcPr>
            <w:tcW w:w="58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12,420</w:t>
            </w:r>
          </w:p>
        </w:tc>
      </w:tr>
      <w:tr>
        <w:trPr>
          <w:trHeight w:val="263"/>
        </w:trPr>
        <w:tc>
          <w:tcPr>
            <w:tcW w:w="8180" w:type="dxa"/>
            <w:vAlign w:val="bottom"/>
            <w:shd w:val="clear" w:color="auto" w:fill="DBDBDB"/>
          </w:tcPr>
          <w:p>
            <w:pPr>
              <w:ind w:left="300"/>
              <w:spacing w:after="0"/>
              <w:rPr>
                <w:sz w:val="20"/>
                <w:szCs w:val="20"/>
                <w:color w:val="auto"/>
              </w:rPr>
            </w:pPr>
            <w:r>
              <w:rPr>
                <w:rFonts w:ascii="Times New Roman" w:cs="Times New Roman" w:eastAsia="Times New Roman" w:hAnsi="Times New Roman"/>
                <w:sz w:val="18"/>
                <w:szCs w:val="18"/>
                <w:color w:val="auto"/>
              </w:rPr>
              <w:t>Interest cost</w:t>
            </w:r>
          </w:p>
        </w:tc>
        <w:tc>
          <w:tcPr>
            <w:tcW w:w="340" w:type="dxa"/>
            <w:vAlign w:val="bottom"/>
            <w:shd w:val="clear" w:color="auto" w:fill="DBDBDB"/>
          </w:tcPr>
          <w:p>
            <w:pPr>
              <w:spacing w:after="0"/>
              <w:rPr>
                <w:sz w:val="22"/>
                <w:szCs w:val="22"/>
                <w:color w:val="auto"/>
              </w:rPr>
            </w:pPr>
          </w:p>
        </w:tc>
        <w:tc>
          <w:tcPr>
            <w:tcW w:w="1180" w:type="dxa"/>
            <w:vAlign w:val="bottom"/>
            <w:shd w:val="clear" w:color="auto" w:fill="DBDBDB"/>
          </w:tcPr>
          <w:p>
            <w:pPr>
              <w:jc w:val="right"/>
              <w:ind w:right="30"/>
              <w:spacing w:after="0"/>
              <w:rPr>
                <w:sz w:val="20"/>
                <w:szCs w:val="20"/>
                <w:color w:val="auto"/>
              </w:rPr>
            </w:pPr>
            <w:r>
              <w:rPr>
                <w:rFonts w:ascii="Times New Roman" w:cs="Times New Roman" w:eastAsia="Times New Roman" w:hAnsi="Times New Roman"/>
                <w:sz w:val="18"/>
                <w:szCs w:val="18"/>
                <w:color w:val="auto"/>
              </w:rPr>
              <w:t>472</w:t>
            </w:r>
          </w:p>
        </w:tc>
        <w:tc>
          <w:tcPr>
            <w:tcW w:w="580" w:type="dxa"/>
            <w:vAlign w:val="bottom"/>
            <w:shd w:val="clear" w:color="auto" w:fill="DBDBDB"/>
          </w:tcPr>
          <w:p>
            <w:pPr>
              <w:spacing w:after="0"/>
              <w:rPr>
                <w:sz w:val="22"/>
                <w:szCs w:val="22"/>
                <w:color w:val="auto"/>
              </w:rPr>
            </w:pPr>
          </w:p>
        </w:tc>
        <w:tc>
          <w:tcPr>
            <w:tcW w:w="9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318</w:t>
            </w:r>
          </w:p>
        </w:tc>
      </w:tr>
      <w:tr>
        <w:trPr>
          <w:trHeight w:val="250"/>
        </w:trPr>
        <w:tc>
          <w:tcPr>
            <w:tcW w:w="81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Benefits paid</w:t>
            </w:r>
          </w:p>
        </w:tc>
        <w:tc>
          <w:tcPr>
            <w:tcW w:w="3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5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w:t>
            </w:r>
          </w:p>
        </w:tc>
      </w:tr>
      <w:tr>
        <w:trPr>
          <w:trHeight w:val="257"/>
        </w:trPr>
        <w:tc>
          <w:tcPr>
            <w:tcW w:w="8180" w:type="dxa"/>
            <w:vAlign w:val="bottom"/>
            <w:tcBorders>
              <w:bottom w:val="single" w:sz="8" w:color="auto"/>
            </w:tcBorders>
            <w:shd w:val="clear" w:color="auto" w:fill="DBDBDB"/>
          </w:tcPr>
          <w:p>
            <w:pPr>
              <w:ind w:left="300"/>
              <w:spacing w:after="0"/>
              <w:rPr>
                <w:sz w:val="20"/>
                <w:szCs w:val="20"/>
                <w:color w:val="auto"/>
              </w:rPr>
            </w:pPr>
            <w:r>
              <w:rPr>
                <w:rFonts w:ascii="Times New Roman" w:cs="Times New Roman" w:eastAsia="Times New Roman" w:hAnsi="Times New Roman"/>
                <w:sz w:val="18"/>
                <w:szCs w:val="18"/>
                <w:color w:val="auto"/>
              </w:rPr>
              <w:t>Actuarial gain</w:t>
            </w:r>
          </w:p>
        </w:tc>
        <w:tc>
          <w:tcPr>
            <w:tcW w:w="340" w:type="dxa"/>
            <w:vAlign w:val="bottom"/>
            <w:tcBorders>
              <w:bottom w:val="single" w:sz="8" w:color="auto"/>
            </w:tcBorders>
            <w:shd w:val="clear" w:color="auto" w:fill="DBDBDB"/>
          </w:tcPr>
          <w:p>
            <w:pPr>
              <w:spacing w:after="0"/>
              <w:rPr>
                <w:sz w:val="22"/>
                <w:szCs w:val="22"/>
                <w:color w:val="auto"/>
              </w:rPr>
            </w:pPr>
          </w:p>
        </w:tc>
        <w:tc>
          <w:tcPr>
            <w:tcW w:w="118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580" w:type="dxa"/>
            <w:vAlign w:val="bottom"/>
            <w:tcBorders>
              <w:bottom w:val="single" w:sz="8" w:color="auto"/>
            </w:tcBorders>
            <w:shd w:val="clear" w:color="auto" w:fill="DBDBDB"/>
          </w:tcPr>
          <w:p>
            <w:pPr>
              <w:spacing w:after="0"/>
              <w:rPr>
                <w:sz w:val="22"/>
                <w:szCs w:val="22"/>
                <w:color w:val="auto"/>
              </w:rPr>
            </w:pPr>
          </w:p>
        </w:tc>
        <w:tc>
          <w:tcPr>
            <w:tcW w:w="96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(2,811)</w:t>
            </w:r>
          </w:p>
        </w:tc>
      </w:tr>
      <w:tr>
        <w:trPr>
          <w:trHeight w:val="250"/>
        </w:trPr>
        <w:tc>
          <w:tcPr>
            <w:tcW w:w="8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Balance, December 31</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9,501</w:t>
            </w:r>
          </w:p>
        </w:tc>
        <w:tc>
          <w:tcPr>
            <w:tcW w:w="5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9,579</w:t>
            </w:r>
          </w:p>
        </w:tc>
      </w:tr>
    </w:tbl>
    <w:p>
      <w:pPr>
        <w:spacing w:after="0" w:line="200" w:lineRule="exact"/>
        <w:rPr>
          <w:sz w:val="20"/>
          <w:szCs w:val="20"/>
          <w:color w:val="auto"/>
        </w:rPr>
      </w:pPr>
    </w:p>
    <w:p>
      <w:pPr>
        <w:sectPr>
          <w:pgSz w:w="11900" w:h="16838" w:orient="portrait"/>
          <w:cols w:equalWidth="0" w:num="1">
            <w:col w:w="11240"/>
          </w:cols>
          <w:pgMar w:left="320" w:top="333" w:right="339" w:bottom="1440" w:gutter="0" w:footer="0" w:header="0"/>
        </w:sect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type w:val="continuous"/>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represent the major assumptions used to determine the projected benefit obligation of the SERP. For 2023, 2022 and 2021, the SERP’s expected benefit cash flows were discounted using the FTSE Above Median Double-A Curve.</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92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34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57"/>
        </w:trPr>
        <w:tc>
          <w:tcPr>
            <w:tcW w:w="732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920" w:type="dxa"/>
            <w:vAlign w:val="bottom"/>
            <w:shd w:val="clear" w:color="auto" w:fill="DBDBDB"/>
          </w:tcPr>
          <w:p>
            <w:pPr>
              <w:jc w:val="right"/>
              <w:ind w:right="270"/>
              <w:spacing w:after="0"/>
              <w:rPr>
                <w:sz w:val="20"/>
                <w:szCs w:val="20"/>
                <w:color w:val="auto"/>
              </w:rPr>
            </w:pPr>
            <w:r>
              <w:rPr>
                <w:rFonts w:ascii="Times New Roman" w:cs="Times New Roman" w:eastAsia="Times New Roman" w:hAnsi="Times New Roman"/>
                <w:sz w:val="18"/>
                <w:szCs w:val="18"/>
                <w:color w:val="auto"/>
              </w:rPr>
              <w:t>4.95 %</w:t>
            </w:r>
          </w:p>
        </w:tc>
        <w:tc>
          <w:tcPr>
            <w:tcW w:w="1660" w:type="dxa"/>
            <w:vAlign w:val="bottom"/>
            <w:shd w:val="clear" w:color="auto" w:fill="DBDBDB"/>
          </w:tcPr>
          <w:p>
            <w:pPr>
              <w:jc w:val="right"/>
              <w:ind w:right="270"/>
              <w:spacing w:after="0"/>
              <w:rPr>
                <w:sz w:val="20"/>
                <w:szCs w:val="20"/>
                <w:color w:val="auto"/>
              </w:rPr>
            </w:pPr>
            <w:r>
              <w:rPr>
                <w:rFonts w:ascii="Times New Roman" w:cs="Times New Roman" w:eastAsia="Times New Roman" w:hAnsi="Times New Roman"/>
                <w:sz w:val="18"/>
                <w:szCs w:val="18"/>
                <w:color w:val="auto"/>
              </w:rPr>
              <w:t>5.15 %</w:t>
            </w:r>
          </w:p>
        </w:tc>
        <w:tc>
          <w:tcPr>
            <w:tcW w:w="13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2.65 %</w:t>
            </w:r>
          </w:p>
        </w:tc>
      </w:tr>
      <w:tr>
        <w:trPr>
          <w:trHeight w:val="250"/>
        </w:trPr>
        <w:tc>
          <w:tcPr>
            <w:tcW w:w="7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Rate of increase in compensation levels</w:t>
            </w:r>
          </w:p>
        </w:tc>
        <w:tc>
          <w:tcPr>
            <w:tcW w:w="9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N/A</w:t>
            </w:r>
          </w:p>
        </w:tc>
        <w:tc>
          <w:tcPr>
            <w:tcW w:w="16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N/A</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(a)</w:t>
            </w: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6.00% graded down to 3.25% over the first seven years of service.</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accumulated benefit obligation was $9.5 million and $9.6 million as of December 31, 2023 and 2022, respectively. Since this is an unfunded plan, there are no plan assets. Benefits paid were $400,000 in 2023, $348,000 in 2022, and $282,000 in 2021. Expected future benefits payable by the Company over the next ten years are as follows: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280" w:type="dxa"/>
            <w:vAlign w:val="bottom"/>
            <w:tcBorders>
              <w:bottom w:val="single" w:sz="8" w:color="auto"/>
            </w:tcBorders>
          </w:tcPr>
          <w:p>
            <w:pPr>
              <w:spacing w:after="0"/>
              <w:rPr>
                <w:sz w:val="21"/>
                <w:szCs w:val="21"/>
                <w:color w:val="auto"/>
              </w:rPr>
            </w:pPr>
          </w:p>
        </w:tc>
        <w:tc>
          <w:tcPr>
            <w:tcW w:w="47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57"/>
        </w:trPr>
        <w:tc>
          <w:tcPr>
            <w:tcW w:w="528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4740" w:type="dxa"/>
            <w:vAlign w:val="bottom"/>
            <w:shd w:val="clear" w:color="auto" w:fill="DBDBDB"/>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792,000</w:t>
            </w:r>
          </w:p>
        </w:tc>
      </w:tr>
      <w:tr>
        <w:trPr>
          <w:trHeight w:val="250"/>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47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790,000</w:t>
            </w:r>
          </w:p>
        </w:tc>
      </w:tr>
      <w:tr>
        <w:trPr>
          <w:trHeight w:val="263"/>
        </w:trPr>
        <w:tc>
          <w:tcPr>
            <w:tcW w:w="528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4740" w:type="dxa"/>
            <w:vAlign w:val="bottom"/>
            <w:shd w:val="clear" w:color="auto" w:fill="DBDBDB"/>
          </w:tcPr>
          <w:p>
            <w:pPr>
              <w:spacing w:after="0"/>
              <w:rPr>
                <w:sz w:val="22"/>
                <w:szCs w:val="22"/>
                <w:color w:val="auto"/>
              </w:rPr>
            </w:pPr>
          </w:p>
        </w:tc>
        <w:tc>
          <w:tcPr>
            <w:tcW w:w="12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787,000</w:t>
            </w:r>
          </w:p>
        </w:tc>
      </w:tr>
      <w:tr>
        <w:trPr>
          <w:trHeight w:val="250"/>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47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783,000</w:t>
            </w:r>
          </w:p>
        </w:tc>
      </w:tr>
      <w:tr>
        <w:trPr>
          <w:trHeight w:val="263"/>
        </w:trPr>
        <w:tc>
          <w:tcPr>
            <w:tcW w:w="528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4740" w:type="dxa"/>
            <w:vAlign w:val="bottom"/>
            <w:shd w:val="clear" w:color="auto" w:fill="DBDBDB"/>
          </w:tcPr>
          <w:p>
            <w:pPr>
              <w:spacing w:after="0"/>
              <w:rPr>
                <w:sz w:val="22"/>
                <w:szCs w:val="22"/>
                <w:color w:val="auto"/>
              </w:rPr>
            </w:pPr>
          </w:p>
        </w:tc>
        <w:tc>
          <w:tcPr>
            <w:tcW w:w="12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778,000</w:t>
            </w:r>
          </w:p>
        </w:tc>
      </w:tr>
      <w:tr>
        <w:trPr>
          <w:trHeight w:val="250"/>
        </w:trPr>
        <w:tc>
          <w:tcPr>
            <w:tcW w:w="5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2029-2033</w:t>
            </w:r>
          </w:p>
        </w:tc>
        <w:tc>
          <w:tcPr>
            <w:tcW w:w="47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3,754,000</w:t>
            </w:r>
          </w:p>
        </w:tc>
      </w:tr>
    </w:tbl>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periodic pension cost related to the SERP included the following components: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16319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55"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4196715</wp:posOffset>
            </wp:positionH>
            <wp:positionV relativeFrom="paragraph">
              <wp:posOffset>28575</wp:posOffset>
            </wp:positionV>
            <wp:extent cx="294005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940050" cy="8255"/>
                    </a:xfrm>
                    <a:prstGeom prst="rect">
                      <a:avLst/>
                    </a:prstGeom>
                    <a:noFill/>
                  </pic:spPr>
                </pic:pic>
              </a:graphicData>
            </a:graphic>
          </wp:anchor>
        </w:drawing>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6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4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48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57"/>
        </w:trPr>
        <w:tc>
          <w:tcPr>
            <w:tcW w:w="496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Service cost – benefits earned during the year</w:t>
            </w:r>
          </w:p>
        </w:tc>
        <w:tc>
          <w:tcPr>
            <w:tcW w:w="2680" w:type="dxa"/>
            <w:vAlign w:val="bottom"/>
            <w:shd w:val="clear" w:color="auto" w:fill="DBDBDB"/>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DBDBDB"/>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DBDBDB"/>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DBDBDB"/>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DBDBDB"/>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147</w:t>
            </w:r>
          </w:p>
        </w:tc>
      </w:tr>
      <w:tr>
        <w:trPr>
          <w:trHeight w:val="250"/>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cost on projected benefit obligations</w:t>
            </w:r>
          </w:p>
        </w:tc>
        <w:tc>
          <w:tcPr>
            <w:tcW w:w="2680" w:type="dxa"/>
            <w:vAlign w:val="bottom"/>
          </w:tcPr>
          <w:p>
            <w:pPr>
              <w:spacing w:after="0"/>
              <w:rPr>
                <w:sz w:val="21"/>
                <w:szCs w:val="21"/>
                <w:color w:val="auto"/>
              </w:rPr>
            </w:pPr>
          </w:p>
        </w:tc>
        <w:tc>
          <w:tcPr>
            <w:tcW w:w="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472</w:t>
            </w:r>
          </w:p>
        </w:tc>
        <w:tc>
          <w:tcPr>
            <w:tcW w:w="1100" w:type="dxa"/>
            <w:vAlign w:val="bottom"/>
          </w:tcPr>
          <w:p>
            <w:pPr>
              <w:spacing w:after="0"/>
              <w:rPr>
                <w:sz w:val="21"/>
                <w:szCs w:val="21"/>
                <w:color w:val="auto"/>
              </w:rPr>
            </w:pPr>
          </w:p>
        </w:tc>
        <w:tc>
          <w:tcPr>
            <w:tcW w:w="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318</w:t>
            </w:r>
          </w:p>
        </w:tc>
        <w:tc>
          <w:tcPr>
            <w:tcW w:w="4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w:t>
            </w:r>
          </w:p>
        </w:tc>
      </w:tr>
      <w:tr>
        <w:trPr>
          <w:trHeight w:val="257"/>
        </w:trPr>
        <w:tc>
          <w:tcPr>
            <w:tcW w:w="4960" w:type="dxa"/>
            <w:vAlign w:val="bottom"/>
            <w:tcBorders>
              <w:bottom w:val="single" w:sz="8" w:color="auto"/>
            </w:tcBorders>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Net amortization and deferral</w:t>
            </w:r>
          </w:p>
        </w:tc>
        <w:tc>
          <w:tcPr>
            <w:tcW w:w="2680" w:type="dxa"/>
            <w:vAlign w:val="bottom"/>
            <w:tcBorders>
              <w:bottom w:val="single" w:sz="8" w:color="auto"/>
            </w:tcBorders>
            <w:shd w:val="clear" w:color="auto" w:fill="DBDBDB"/>
          </w:tcPr>
          <w:p>
            <w:pPr>
              <w:spacing w:after="0"/>
              <w:rPr>
                <w:sz w:val="22"/>
                <w:szCs w:val="22"/>
                <w:color w:val="auto"/>
              </w:rPr>
            </w:pPr>
          </w:p>
        </w:tc>
        <w:tc>
          <w:tcPr>
            <w:tcW w:w="460" w:type="dxa"/>
            <w:vAlign w:val="bottom"/>
            <w:tcBorders>
              <w:bottom w:val="single" w:sz="8" w:color="auto"/>
            </w:tcBorders>
            <w:shd w:val="clear" w:color="auto" w:fill="DBDBDB"/>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DBDBDB"/>
          </w:tcPr>
          <w:p>
            <w:pPr>
              <w:spacing w:after="0"/>
              <w:rPr>
                <w:sz w:val="22"/>
                <w:szCs w:val="22"/>
                <w:color w:val="auto"/>
              </w:rPr>
            </w:pPr>
          </w:p>
        </w:tc>
        <w:tc>
          <w:tcPr>
            <w:tcW w:w="480" w:type="dxa"/>
            <w:vAlign w:val="bottom"/>
            <w:tcBorders>
              <w:bottom w:val="single" w:sz="8" w:color="auto"/>
            </w:tcBorders>
            <w:shd w:val="clear" w:color="auto" w:fill="DBDBDB"/>
          </w:tcPr>
          <w:p>
            <w:pPr>
              <w:jc w:val="right"/>
              <w:ind w:right="10"/>
              <w:spacing w:after="0"/>
              <w:rPr>
                <w:sz w:val="20"/>
                <w:szCs w:val="20"/>
                <w:color w:val="auto"/>
              </w:rPr>
            </w:pPr>
            <w:r>
              <w:rPr>
                <w:rFonts w:ascii="Times New Roman" w:cs="Times New Roman" w:eastAsia="Times New Roman" w:hAnsi="Times New Roman"/>
                <w:sz w:val="18"/>
                <w:szCs w:val="18"/>
                <w:color w:val="auto"/>
              </w:rPr>
              <w:t>108</w:t>
            </w:r>
          </w:p>
        </w:tc>
        <w:tc>
          <w:tcPr>
            <w:tcW w:w="420" w:type="dxa"/>
            <w:vAlign w:val="bottom"/>
            <w:tcBorders>
              <w:bottom w:val="single" w:sz="8" w:color="auto"/>
            </w:tcBorders>
            <w:shd w:val="clear" w:color="auto" w:fill="DBDBDB"/>
          </w:tcPr>
          <w:p>
            <w:pPr>
              <w:spacing w:after="0"/>
              <w:rPr>
                <w:sz w:val="22"/>
                <w:szCs w:val="22"/>
                <w:color w:val="auto"/>
              </w:rPr>
            </w:pPr>
          </w:p>
        </w:tc>
        <w:tc>
          <w:tcPr>
            <w:tcW w:w="114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203</w:t>
            </w:r>
          </w:p>
        </w:tc>
      </w:tr>
      <w:tr>
        <w:trPr>
          <w:trHeight w:val="250"/>
        </w:trPr>
        <w:tc>
          <w:tcPr>
            <w:tcW w:w="4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periodic pension cost</w:t>
            </w:r>
          </w:p>
        </w:tc>
        <w:tc>
          <w:tcPr>
            <w:tcW w:w="2680" w:type="dxa"/>
            <w:vAlign w:val="bottom"/>
            <w:tcBorders>
              <w:bottom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472</w:t>
            </w:r>
          </w:p>
        </w:tc>
        <w:tc>
          <w:tcPr>
            <w:tcW w:w="1100" w:type="dxa"/>
            <w:vAlign w:val="bottom"/>
            <w:tcBorders>
              <w:bottom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426</w:t>
            </w:r>
          </w:p>
        </w:tc>
        <w:tc>
          <w:tcPr>
            <w:tcW w:w="4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641</w:t>
            </w: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pretax amounts in accumulated other comprehensive loss as of December 31 were as follows: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5080" w:type="dxa"/>
            <w:vAlign w:val="bottom"/>
            <w:shd w:val="clear" w:color="auto" w:fill="DBDBDB"/>
          </w:tcPr>
          <w:p>
            <w:pPr>
              <w:spacing w:after="0"/>
              <w:rPr>
                <w:sz w:val="22"/>
                <w:szCs w:val="22"/>
                <w:color w:val="auto"/>
              </w:rPr>
            </w:pPr>
          </w:p>
        </w:tc>
        <w:tc>
          <w:tcPr>
            <w:tcW w:w="320" w:type="dxa"/>
            <w:vAlign w:val="bottom"/>
            <w:tcBorders>
              <w:bottom w:val="single" w:sz="8" w:color="auto"/>
            </w:tcBorders>
            <w:shd w:val="clear" w:color="auto" w:fill="DBDBDB"/>
          </w:tcPr>
          <w:p>
            <w:pPr>
              <w:spacing w:after="0"/>
              <w:rPr>
                <w:sz w:val="22"/>
                <w:szCs w:val="22"/>
                <w:color w:val="auto"/>
              </w:rPr>
            </w:pPr>
          </w:p>
        </w:tc>
        <w:tc>
          <w:tcPr>
            <w:tcW w:w="1660" w:type="dxa"/>
            <w:vAlign w:val="bottom"/>
            <w:tcBorders>
              <w:bottom w:val="single" w:sz="8" w:color="auto"/>
            </w:tcBorders>
            <w:gridSpan w:val="2"/>
            <w:shd w:val="clear" w:color="auto" w:fill="DBDBDB"/>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The Plan</w:t>
            </w:r>
          </w:p>
        </w:tc>
        <w:tc>
          <w:tcPr>
            <w:tcW w:w="1040" w:type="dxa"/>
            <w:vAlign w:val="bottom"/>
            <w:tcBorders>
              <w:bottom w:val="single" w:sz="8" w:color="auto"/>
            </w:tcBorders>
            <w:shd w:val="clear" w:color="auto" w:fill="DBDBDB"/>
          </w:tcPr>
          <w:p>
            <w:pPr>
              <w:spacing w:after="0"/>
              <w:rPr>
                <w:sz w:val="22"/>
                <w:szCs w:val="22"/>
                <w:color w:val="auto"/>
              </w:rPr>
            </w:pPr>
          </w:p>
        </w:tc>
        <w:tc>
          <w:tcPr>
            <w:tcW w:w="100" w:type="dxa"/>
            <w:vAlign w:val="bottom"/>
            <w:shd w:val="clear" w:color="auto" w:fill="DBDBDB"/>
          </w:tcPr>
          <w:p>
            <w:pPr>
              <w:spacing w:after="0"/>
              <w:rPr>
                <w:sz w:val="22"/>
                <w:szCs w:val="22"/>
                <w:color w:val="auto"/>
              </w:rPr>
            </w:pPr>
          </w:p>
        </w:tc>
        <w:tc>
          <w:tcPr>
            <w:tcW w:w="340" w:type="dxa"/>
            <w:vAlign w:val="bottom"/>
            <w:tcBorders>
              <w:bottom w:val="single" w:sz="8" w:color="auto"/>
            </w:tcBorders>
            <w:shd w:val="clear" w:color="auto" w:fill="DBDBDB"/>
          </w:tcPr>
          <w:p>
            <w:pPr>
              <w:spacing w:after="0"/>
              <w:rPr>
                <w:sz w:val="22"/>
                <w:szCs w:val="22"/>
                <w:color w:val="auto"/>
              </w:rPr>
            </w:pPr>
          </w:p>
        </w:tc>
        <w:tc>
          <w:tcPr>
            <w:tcW w:w="1600" w:type="dxa"/>
            <w:vAlign w:val="bottom"/>
            <w:tcBorders>
              <w:bottom w:val="single" w:sz="8" w:color="auto"/>
            </w:tcBorders>
            <w:gridSpan w:val="2"/>
            <w:shd w:val="clear" w:color="auto" w:fill="DBDBDB"/>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SERP</w:t>
            </w:r>
          </w:p>
        </w:tc>
        <w:tc>
          <w:tcPr>
            <w:tcW w:w="1100" w:type="dxa"/>
            <w:vAlign w:val="bottom"/>
            <w:tcBorders>
              <w:bottom w:val="single" w:sz="8" w:color="auto"/>
            </w:tcBorders>
            <w:shd w:val="clear" w:color="auto" w:fill="DBDBDB"/>
          </w:tcPr>
          <w:p>
            <w:pPr>
              <w:spacing w:after="0"/>
              <w:rPr>
                <w:sz w:val="22"/>
                <w:szCs w:val="22"/>
                <w:color w:val="auto"/>
              </w:rPr>
            </w:pPr>
          </w:p>
        </w:tc>
      </w:tr>
      <w:tr>
        <w:trPr>
          <w:trHeight w:val="244"/>
        </w:trPr>
        <w:tc>
          <w:tcPr>
            <w:tcW w:w="5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5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4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56"/>
        </w:trPr>
        <w:tc>
          <w:tcPr>
            <w:tcW w:w="508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Prior service cost</w:t>
            </w:r>
          </w:p>
        </w:tc>
        <w:tc>
          <w:tcPr>
            <w:tcW w:w="320" w:type="dxa"/>
            <w:vAlign w:val="bottom"/>
            <w:shd w:val="clear" w:color="auto" w:fill="DBDBDB"/>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DBDBDB"/>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DBDBDB"/>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DBDBDB"/>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DBDBDB"/>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DBDBDB"/>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5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actuarial loss (gain)</w:t>
            </w: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4,434</w:t>
            </w:r>
          </w:p>
        </w:tc>
        <w:tc>
          <w:tcPr>
            <w:tcW w:w="5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6,833</w:t>
            </w:r>
          </w:p>
        </w:tc>
        <w:tc>
          <w:tcPr>
            <w:tcW w:w="10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4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w:t>
            </w:r>
          </w:p>
        </w:tc>
      </w:tr>
      <w:tr>
        <w:trPr>
          <w:trHeight w:val="250"/>
        </w:trPr>
        <w:tc>
          <w:tcPr>
            <w:tcW w:w="5080" w:type="dxa"/>
            <w:vAlign w:val="bottom"/>
            <w:tcBorders>
              <w:bottom w:val="single" w:sz="8" w:color="auto"/>
            </w:tcBorders>
            <w:shd w:val="clear" w:color="auto" w:fill="DBDBDB"/>
          </w:tcPr>
          <w:p>
            <w:pPr>
              <w:ind w:left="30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bottom w:val="single" w:sz="8" w:color="auto"/>
            </w:tcBorders>
            <w:shd w:val="clear" w:color="auto" w:fill="DBDBDB"/>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4,434</w:t>
            </w:r>
          </w:p>
        </w:tc>
        <w:tc>
          <w:tcPr>
            <w:tcW w:w="500" w:type="dxa"/>
            <w:vAlign w:val="bottom"/>
            <w:tcBorders>
              <w:bottom w:val="single" w:sz="8" w:color="auto"/>
            </w:tcBorders>
            <w:shd w:val="clear" w:color="auto" w:fill="DBDBDB"/>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6,833</w:t>
            </w:r>
          </w:p>
        </w:tc>
        <w:tc>
          <w:tcPr>
            <w:tcW w:w="100" w:type="dxa"/>
            <w:vAlign w:val="bottom"/>
            <w:tcBorders>
              <w:bottom w:val="single" w:sz="8" w:color="auto"/>
            </w:tcBorders>
            <w:shd w:val="clear" w:color="auto" w:fill="DBDBDB"/>
          </w:tcPr>
          <w:p>
            <w:pPr>
              <w:spacing w:after="0"/>
              <w:rPr>
                <w:sz w:val="21"/>
                <w:szCs w:val="21"/>
                <w:color w:val="auto"/>
              </w:rPr>
            </w:pPr>
          </w:p>
        </w:tc>
        <w:tc>
          <w:tcPr>
            <w:tcW w:w="340" w:type="dxa"/>
            <w:vAlign w:val="bottom"/>
            <w:tcBorders>
              <w:bottom w:val="single" w:sz="8" w:color="auto"/>
            </w:tcBorders>
            <w:shd w:val="clear" w:color="auto" w:fill="DBDBDB"/>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420" w:type="dxa"/>
            <w:vAlign w:val="bottom"/>
            <w:tcBorders>
              <w:bottom w:val="single" w:sz="8" w:color="auto"/>
            </w:tcBorders>
            <w:shd w:val="clear" w:color="auto" w:fill="DBDBDB"/>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(136)</w:t>
            </w:r>
          </w:p>
        </w:tc>
      </w:tr>
    </w:tbl>
    <w:p>
      <w:pPr>
        <w:spacing w:after="0" w:line="2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estimated pretax prior service cost and net actuarial loss (gain) in accumulated other comprehensive loss at December 31, 2023 expected to be recognized as components of net periodic benefit cost in 2024 for both the Plan and SERP is $0.</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also maintains a noncontributory profit sharing program, which covers most of its employees. Employer contributions are calculated based upon formulas which relate to current operating results and other factors. Profit sharing expense recognized in personnel expense in the consolidated statements of income in 2023, 2022, and 2021 was $6.8 million, $7.9 million, and $6.4 million, respectively.</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also sponsors a defined contribution 401(k) plan to provide additional retirement benefits to substantially all employees. Contributions under the 401(k) plan for 2023, 2022 and 2021 were $5.1 million, $4.6 million, and $3.5 million,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w:t>
      </w:r>
    </w:p>
    <w:p>
      <w:pPr>
        <w:sectPr>
          <w:pgSz w:w="11900" w:h="16838" w:orient="portrait"/>
          <w:cols w:equalWidth="0" w:num="1">
            <w:col w:w="11240"/>
          </w:cols>
          <w:pgMar w:left="320" w:top="33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type w:val="continuous"/>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Stock-based compensation awards prior to April 17, 2023 were issued under the Company's Amended and Restated Omnibus Stock and Performance Compensation Plan (the "Prior Plan"). On April 18, 2023, shareholders approved the 2023 Omnibus Stock and Performance Compensation Plan (the "2023 Omnibus Plan") to replace the Prior Plan. The 2023 Omnibus Plan permits the issuance of up to 1.0 million shares of the Company’s common stock in the form of stock options, SARs, restricted stock, restricted stock units, phantom stock, and performance awards.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Restricted shares granted to Company employees are amortized to expense over the three-year cliff vesting period. Restricted shares granted to members of the Board of Directors are amortized to expense over a one-year service period, with the exception of those shares granted in lieu of cash payments for retainer fees which are expensed in the period earned.</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00" w:type="dxa"/>
            <w:vAlign w:val="bottom"/>
          </w:tcPr>
          <w:p>
            <w:pPr>
              <w:spacing w:after="0"/>
              <w:rPr>
                <w:sz w:val="20"/>
                <w:szCs w:val="20"/>
                <w:color w:val="auto"/>
              </w:rPr>
            </w:pPr>
            <w:r>
              <w:rPr>
                <w:rFonts w:ascii="Times New Roman" w:cs="Times New Roman" w:eastAsia="Times New Roman" w:hAnsi="Times New Roman"/>
                <w:sz w:val="18"/>
                <w:szCs w:val="18"/>
                <w:color w:val="auto"/>
              </w:rPr>
              <w:t>Changes in restricted shares outstanding for the year ended December 31, 2023 were as follows:</w:t>
            </w:r>
          </w:p>
        </w:tc>
        <w:tc>
          <w:tcPr>
            <w:tcW w:w="1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3"/>
        </w:trPr>
        <w:tc>
          <w:tcPr>
            <w:tcW w:w="78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5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Weighted Average</w:t>
            </w:r>
          </w:p>
        </w:tc>
        <w:tc>
          <w:tcPr>
            <w:tcW w:w="0" w:type="dxa"/>
            <w:vAlign w:val="bottom"/>
          </w:tcPr>
          <w:p>
            <w:pPr>
              <w:spacing w:after="0"/>
              <w:rPr>
                <w:sz w:val="1"/>
                <w:szCs w:val="1"/>
                <w:color w:val="auto"/>
              </w:rPr>
            </w:pPr>
          </w:p>
        </w:tc>
      </w:tr>
      <w:tr>
        <w:trPr>
          <w:trHeight w:val="184"/>
        </w:trPr>
        <w:tc>
          <w:tcPr>
            <w:tcW w:w="7800" w:type="dxa"/>
            <w:vAlign w:val="bottom"/>
          </w:tcPr>
          <w:p>
            <w:pPr>
              <w:spacing w:after="0"/>
              <w:rPr>
                <w:sz w:val="16"/>
                <w:szCs w:val="16"/>
                <w:color w:val="auto"/>
              </w:rPr>
            </w:pPr>
          </w:p>
        </w:tc>
        <w:tc>
          <w:tcPr>
            <w:tcW w:w="1900" w:type="dxa"/>
            <w:vAlign w:val="bottom"/>
            <w:vMerge w:val="restart"/>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60" w:type="dxa"/>
            <w:vAlign w:val="bottom"/>
          </w:tcPr>
          <w:p>
            <w:pPr>
              <w:spacing w:after="0"/>
              <w:rPr>
                <w:sz w:val="16"/>
                <w:szCs w:val="16"/>
                <w:color w:val="auto"/>
              </w:rPr>
            </w:pPr>
          </w:p>
        </w:tc>
        <w:tc>
          <w:tcPr>
            <w:tcW w:w="1280" w:type="dxa"/>
            <w:vAlign w:val="bottom"/>
          </w:tcPr>
          <w:p>
            <w:pPr>
              <w:jc w:val="center"/>
              <w:ind w:right="110"/>
              <w:spacing w:after="0" w:line="184" w:lineRule="exact"/>
              <w:rPr>
                <w:sz w:val="20"/>
                <w:szCs w:val="20"/>
                <w:color w:val="auto"/>
              </w:rPr>
            </w:pPr>
            <w:r>
              <w:rPr>
                <w:rFonts w:ascii="Times New Roman" w:cs="Times New Roman" w:eastAsia="Times New Roman" w:hAnsi="Times New Roman"/>
                <w:sz w:val="18"/>
                <w:szCs w:val="18"/>
                <w:b w:val="1"/>
                <w:bCs w:val="1"/>
                <w:color w:val="auto"/>
              </w:rPr>
              <w:t>Grant Date</w:t>
            </w:r>
          </w:p>
        </w:tc>
        <w:tc>
          <w:tcPr>
            <w:tcW w:w="0" w:type="dxa"/>
            <w:vAlign w:val="bottom"/>
          </w:tcPr>
          <w:p>
            <w:pPr>
              <w:spacing w:after="0"/>
              <w:rPr>
                <w:sz w:val="1"/>
                <w:szCs w:val="1"/>
                <w:color w:val="auto"/>
              </w:rPr>
            </w:pPr>
          </w:p>
        </w:tc>
      </w:tr>
      <w:tr>
        <w:trPr>
          <w:trHeight w:val="229"/>
        </w:trPr>
        <w:tc>
          <w:tcPr>
            <w:tcW w:w="780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vMerge w:val="continue"/>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c>
          <w:tcPr>
            <w:tcW w:w="0" w:type="dxa"/>
            <w:vAlign w:val="bottom"/>
          </w:tcPr>
          <w:p>
            <w:pPr>
              <w:spacing w:after="0"/>
              <w:rPr>
                <w:sz w:val="1"/>
                <w:szCs w:val="1"/>
                <w:color w:val="auto"/>
              </w:rPr>
            </w:pPr>
          </w:p>
        </w:tc>
      </w:tr>
      <w:tr>
        <w:trPr>
          <w:trHeight w:val="250"/>
        </w:trPr>
        <w:tc>
          <w:tcPr>
            <w:tcW w:w="780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1900" w:type="dxa"/>
            <w:vAlign w:val="bottom"/>
            <w:shd w:val="clear" w:color="auto" w:fill="DBDBDB"/>
          </w:tcPr>
          <w:p>
            <w:pPr>
              <w:jc w:val="right"/>
              <w:ind w:right="30"/>
              <w:spacing w:after="0"/>
              <w:rPr>
                <w:sz w:val="20"/>
                <w:szCs w:val="20"/>
                <w:color w:val="auto"/>
              </w:rPr>
            </w:pPr>
            <w:r>
              <w:rPr>
                <w:rFonts w:ascii="Times New Roman" w:cs="Times New Roman" w:eastAsia="Times New Roman" w:hAnsi="Times New Roman"/>
                <w:sz w:val="18"/>
                <w:szCs w:val="18"/>
                <w:color w:val="auto"/>
              </w:rPr>
              <w:t>205,565</w:t>
            </w:r>
          </w:p>
        </w:tc>
        <w:tc>
          <w:tcPr>
            <w:tcW w:w="260" w:type="dxa"/>
            <w:vAlign w:val="bottom"/>
            <w:shd w:val="clear" w:color="auto" w:fill="DBDBDB"/>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42.64</w:t>
            </w:r>
          </w:p>
        </w:tc>
        <w:tc>
          <w:tcPr>
            <w:tcW w:w="0" w:type="dxa"/>
            <w:vAlign w:val="bottom"/>
          </w:tcPr>
          <w:p>
            <w:pPr>
              <w:spacing w:after="0"/>
              <w:rPr>
                <w:sz w:val="1"/>
                <w:szCs w:val="1"/>
                <w:color w:val="auto"/>
              </w:rPr>
            </w:pPr>
          </w:p>
        </w:tc>
      </w:tr>
      <w:tr>
        <w:trPr>
          <w:trHeight w:val="250"/>
        </w:trPr>
        <w:tc>
          <w:tcPr>
            <w:tcW w:w="78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Granted</w:t>
            </w:r>
          </w:p>
        </w:tc>
        <w:tc>
          <w:tcPr>
            <w:tcW w:w="1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57,837</w:t>
            </w:r>
          </w:p>
        </w:tc>
        <w:tc>
          <w:tcPr>
            <w:tcW w:w="2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44.61</w:t>
            </w:r>
          </w:p>
        </w:tc>
        <w:tc>
          <w:tcPr>
            <w:tcW w:w="0" w:type="dxa"/>
            <w:vAlign w:val="bottom"/>
          </w:tcPr>
          <w:p>
            <w:pPr>
              <w:spacing w:after="0"/>
              <w:rPr>
                <w:sz w:val="1"/>
                <w:szCs w:val="1"/>
                <w:color w:val="auto"/>
              </w:rPr>
            </w:pPr>
          </w:p>
        </w:tc>
      </w:tr>
      <w:tr>
        <w:trPr>
          <w:trHeight w:val="263"/>
        </w:trPr>
        <w:tc>
          <w:tcPr>
            <w:tcW w:w="7800" w:type="dxa"/>
            <w:vAlign w:val="bottom"/>
            <w:shd w:val="clear" w:color="auto" w:fill="DBDBDB"/>
          </w:tcPr>
          <w:p>
            <w:pPr>
              <w:ind w:left="300"/>
              <w:spacing w:after="0"/>
              <w:rPr>
                <w:sz w:val="20"/>
                <w:szCs w:val="20"/>
                <w:color w:val="auto"/>
              </w:rPr>
            </w:pPr>
            <w:r>
              <w:rPr>
                <w:rFonts w:ascii="Times New Roman" w:cs="Times New Roman" w:eastAsia="Times New Roman" w:hAnsi="Times New Roman"/>
                <w:sz w:val="18"/>
                <w:szCs w:val="18"/>
                <w:color w:val="auto"/>
              </w:rPr>
              <w:t>Vested</w:t>
            </w:r>
          </w:p>
        </w:tc>
        <w:tc>
          <w:tcPr>
            <w:tcW w:w="19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(25,224)</w:t>
            </w:r>
          </w:p>
        </w:tc>
        <w:tc>
          <w:tcPr>
            <w:tcW w:w="260" w:type="dxa"/>
            <w:vAlign w:val="bottom"/>
            <w:shd w:val="clear" w:color="auto" w:fill="DBDBDB"/>
          </w:tcPr>
          <w:p>
            <w:pPr>
              <w:spacing w:after="0"/>
              <w:rPr>
                <w:sz w:val="22"/>
                <w:szCs w:val="22"/>
                <w:color w:val="auto"/>
              </w:rPr>
            </w:pPr>
          </w:p>
        </w:tc>
        <w:tc>
          <w:tcPr>
            <w:tcW w:w="12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51.66</w:t>
            </w:r>
          </w:p>
        </w:tc>
        <w:tc>
          <w:tcPr>
            <w:tcW w:w="0" w:type="dxa"/>
            <w:vAlign w:val="bottom"/>
          </w:tcPr>
          <w:p>
            <w:pPr>
              <w:spacing w:after="0"/>
              <w:rPr>
                <w:sz w:val="1"/>
                <w:szCs w:val="1"/>
                <w:color w:val="auto"/>
              </w:rPr>
            </w:pPr>
          </w:p>
        </w:tc>
      </w:tr>
      <w:tr>
        <w:trPr>
          <w:trHeight w:val="250"/>
        </w:trPr>
        <w:tc>
          <w:tcPr>
            <w:tcW w:w="780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Forfeited</w:t>
            </w: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2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40.15</w:t>
            </w:r>
          </w:p>
        </w:tc>
        <w:tc>
          <w:tcPr>
            <w:tcW w:w="0" w:type="dxa"/>
            <w:vAlign w:val="bottom"/>
          </w:tcPr>
          <w:p>
            <w:pPr>
              <w:spacing w:after="0"/>
              <w:rPr>
                <w:sz w:val="1"/>
                <w:szCs w:val="1"/>
                <w:color w:val="auto"/>
              </w:rPr>
            </w:pPr>
          </w:p>
        </w:tc>
      </w:tr>
      <w:tr>
        <w:trPr>
          <w:trHeight w:val="250"/>
        </w:trPr>
        <w:tc>
          <w:tcPr>
            <w:tcW w:w="7800" w:type="dxa"/>
            <w:vAlign w:val="bottom"/>
            <w:tcBorders>
              <w:bottom w:val="single" w:sz="8" w:color="auto"/>
            </w:tcBorders>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1900" w:type="dxa"/>
            <w:vAlign w:val="bottom"/>
            <w:tcBorders>
              <w:bottom w:val="single" w:sz="8" w:color="auto"/>
            </w:tcBorders>
            <w:shd w:val="clear" w:color="auto" w:fill="DBDBDB"/>
          </w:tcPr>
          <w:p>
            <w:pPr>
              <w:jc w:val="right"/>
              <w:ind w:right="30"/>
              <w:spacing w:after="0"/>
              <w:rPr>
                <w:sz w:val="20"/>
                <w:szCs w:val="20"/>
                <w:color w:val="auto"/>
              </w:rPr>
            </w:pPr>
            <w:r>
              <w:rPr>
                <w:rFonts w:ascii="Times New Roman" w:cs="Times New Roman" w:eastAsia="Times New Roman" w:hAnsi="Times New Roman"/>
                <w:sz w:val="18"/>
                <w:szCs w:val="18"/>
                <w:color w:val="auto"/>
              </w:rPr>
              <w:t>237,780</w:t>
            </w:r>
          </w:p>
        </w:tc>
        <w:tc>
          <w:tcPr>
            <w:tcW w:w="260" w:type="dxa"/>
            <w:vAlign w:val="bottom"/>
            <w:tcBorders>
              <w:bottom w:val="single" w:sz="8" w:color="auto"/>
            </w:tcBorders>
            <w:shd w:val="clear" w:color="auto" w:fill="DBDBDB"/>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42.17</w:t>
            </w: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During 2022 and 2021, 64,151 and 53,906 shares, respectively, were granted with weighted average per share market values at date of grant of $39.30 in 2022 and $41.55 in 2021. The fair value of such shares are based on the market price on the date of grant. Amortization of restricted stock bonus awards totaled $2.2 million for 2023, $2.4 million for 2022 and $1.8 million for 2021. As of December 31, 2023, the total unrecognized compensation expense related to non-vested restricted stock awards was $1.5 million, and the related weighted average period over which it is expected to be recognized is approximately 0.99 years. The total fair value of shares vested during the years ended December 2023, 2022, and 2021 was $1.3 million, $1.1 million, and $1.2 million, respectively.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Performance-Based Restricted Stock</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granted three-year PBRS awards which are contingent upon the Company’s achievement of pre-established financial goals over a three-year cliff vest period. The number of shares issued ranges from 0% to 150% of the target opportunity based on the actual achievement of financial goals for the three-year performance period.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Following is a summary of the activity of the PBRS, based on 100% of target value, for the year ended December 31, 2023:</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4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15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Weighted Average</w:t>
            </w:r>
          </w:p>
        </w:tc>
      </w:tr>
      <w:tr>
        <w:trPr>
          <w:trHeight w:val="203"/>
        </w:trPr>
        <w:tc>
          <w:tcPr>
            <w:tcW w:w="5440" w:type="dxa"/>
            <w:vAlign w:val="bottom"/>
          </w:tcPr>
          <w:p>
            <w:pPr>
              <w:spacing w:after="0"/>
              <w:rPr>
                <w:sz w:val="17"/>
                <w:szCs w:val="17"/>
                <w:color w:val="auto"/>
              </w:rPr>
            </w:pPr>
          </w:p>
        </w:tc>
        <w:tc>
          <w:tcPr>
            <w:tcW w:w="4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tcPr>
          <w:p>
            <w:pPr>
              <w:jc w:val="center"/>
              <w:ind w:right="110"/>
              <w:spacing w:after="0" w:line="202" w:lineRule="exact"/>
              <w:rPr>
                <w:sz w:val="20"/>
                <w:szCs w:val="20"/>
                <w:color w:val="auto"/>
              </w:rPr>
            </w:pPr>
            <w:r>
              <w:rPr>
                <w:rFonts w:ascii="Times New Roman" w:cs="Times New Roman" w:eastAsia="Times New Roman" w:hAnsi="Times New Roman"/>
                <w:sz w:val="18"/>
                <w:szCs w:val="18"/>
                <w:b w:val="1"/>
                <w:bCs w:val="1"/>
                <w:color w:val="auto"/>
              </w:rPr>
              <w:t>Grant Date</w:t>
            </w:r>
          </w:p>
        </w:tc>
      </w:tr>
      <w:tr>
        <w:trPr>
          <w:trHeight w:val="259"/>
        </w:trPr>
        <w:tc>
          <w:tcPr>
            <w:tcW w:w="5440" w:type="dxa"/>
            <w:vAlign w:val="bottom"/>
            <w:tcBorders>
              <w:bottom w:val="single" w:sz="8" w:color="auto"/>
            </w:tcBorders>
          </w:tcPr>
          <w:p>
            <w:pPr>
              <w:spacing w:after="0"/>
              <w:rPr>
                <w:sz w:val="22"/>
                <w:szCs w:val="22"/>
                <w:color w:val="auto"/>
              </w:rPr>
            </w:pPr>
          </w:p>
        </w:tc>
        <w:tc>
          <w:tcPr>
            <w:tcW w:w="42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6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r>
      <w:tr>
        <w:trPr>
          <w:trHeight w:val="257"/>
        </w:trPr>
        <w:tc>
          <w:tcPr>
            <w:tcW w:w="544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4260" w:type="dxa"/>
            <w:vAlign w:val="bottom"/>
            <w:shd w:val="clear" w:color="auto" w:fill="DBDBDB"/>
          </w:tcPr>
          <w:p>
            <w:pPr>
              <w:jc w:val="right"/>
              <w:ind w:right="30"/>
              <w:spacing w:after="0"/>
              <w:rPr>
                <w:sz w:val="20"/>
                <w:szCs w:val="20"/>
                <w:color w:val="auto"/>
              </w:rPr>
            </w:pPr>
            <w:r>
              <w:rPr>
                <w:rFonts w:ascii="Times New Roman" w:cs="Times New Roman" w:eastAsia="Times New Roman" w:hAnsi="Times New Roman"/>
                <w:sz w:val="18"/>
                <w:szCs w:val="18"/>
                <w:color w:val="auto"/>
              </w:rPr>
              <w:t>138,785</w:t>
            </w:r>
          </w:p>
        </w:tc>
        <w:tc>
          <w:tcPr>
            <w:tcW w:w="260" w:type="dxa"/>
            <w:vAlign w:val="bottom"/>
            <w:shd w:val="clear" w:color="auto" w:fill="DBDBDB"/>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43.19</w:t>
            </w:r>
          </w:p>
        </w:tc>
      </w:tr>
      <w:tr>
        <w:trPr>
          <w:trHeight w:val="250"/>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4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51,453</w:t>
            </w:r>
          </w:p>
        </w:tc>
        <w:tc>
          <w:tcPr>
            <w:tcW w:w="2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48.19</w:t>
            </w:r>
          </w:p>
        </w:tc>
      </w:tr>
      <w:tr>
        <w:trPr>
          <w:trHeight w:val="263"/>
        </w:trPr>
        <w:tc>
          <w:tcPr>
            <w:tcW w:w="544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42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(30,567)</w:t>
            </w:r>
          </w:p>
        </w:tc>
        <w:tc>
          <w:tcPr>
            <w:tcW w:w="260" w:type="dxa"/>
            <w:vAlign w:val="bottom"/>
            <w:shd w:val="clear" w:color="auto" w:fill="DBDBDB"/>
          </w:tcPr>
          <w:p>
            <w:pPr>
              <w:spacing w:after="0"/>
              <w:rPr>
                <w:sz w:val="22"/>
                <w:szCs w:val="22"/>
                <w:color w:val="auto"/>
              </w:rPr>
            </w:pPr>
          </w:p>
        </w:tc>
        <w:tc>
          <w:tcPr>
            <w:tcW w:w="12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54.02</w:t>
            </w:r>
          </w:p>
        </w:tc>
      </w:tr>
      <w:tr>
        <w:trPr>
          <w:trHeight w:val="250"/>
        </w:trPr>
        <w:tc>
          <w:tcPr>
            <w:tcW w:w="5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4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(598)</w:t>
            </w:r>
          </w:p>
        </w:tc>
        <w:tc>
          <w:tcPr>
            <w:tcW w:w="2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40.15</w:t>
            </w:r>
          </w:p>
        </w:tc>
      </w:tr>
      <w:tr>
        <w:trPr>
          <w:trHeight w:val="250"/>
        </w:trPr>
        <w:tc>
          <w:tcPr>
            <w:tcW w:w="5440" w:type="dxa"/>
            <w:vAlign w:val="bottom"/>
            <w:tcBorders>
              <w:bottom w:val="single" w:sz="8" w:color="auto"/>
            </w:tcBorders>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4260" w:type="dxa"/>
            <w:vAlign w:val="bottom"/>
            <w:tcBorders>
              <w:bottom w:val="single" w:sz="8" w:color="auto"/>
            </w:tcBorders>
            <w:shd w:val="clear" w:color="auto" w:fill="DBDBDB"/>
          </w:tcPr>
          <w:p>
            <w:pPr>
              <w:jc w:val="right"/>
              <w:ind w:right="30"/>
              <w:spacing w:after="0"/>
              <w:rPr>
                <w:sz w:val="20"/>
                <w:szCs w:val="20"/>
                <w:color w:val="auto"/>
              </w:rPr>
            </w:pPr>
            <w:r>
              <w:rPr>
                <w:rFonts w:ascii="Times New Roman" w:cs="Times New Roman" w:eastAsia="Times New Roman" w:hAnsi="Times New Roman"/>
                <w:sz w:val="18"/>
                <w:szCs w:val="18"/>
                <w:color w:val="auto"/>
              </w:rPr>
              <w:t>159,073</w:t>
            </w:r>
          </w:p>
        </w:tc>
        <w:tc>
          <w:tcPr>
            <w:tcW w:w="260" w:type="dxa"/>
            <w:vAlign w:val="bottom"/>
            <w:tcBorders>
              <w:bottom w:val="single" w:sz="8" w:color="auto"/>
            </w:tcBorders>
            <w:shd w:val="clear" w:color="auto" w:fill="DBDBDB"/>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42.74</w:t>
            </w:r>
          </w:p>
        </w:tc>
      </w:tr>
    </w:tbl>
    <w:p>
      <w:pPr>
        <w:spacing w:after="0" w:line="29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PBRS that vested during the year ended December 31, 2023 achieved weighted average financial goals of 86.7% of target, resulting in the issuance of 26,499 shares of common stock. The PBRS that vested during the year ended December 31, 2022 achieved weighted average financial goals of 52.9% of target, resulting in the issuance of 18,021</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shares of common stock. The outstanding PBRS at December 31, 2023 will vest at scheduled vesting dates and the actual number of shares of common stock issued will range from 0% to 150% of the target opportunity based on the actual achievement of financial goals for the respective three-year performance period.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SARs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2023, there were no SARs granted and no expense recognized. As of December 31, 2023, there was no unrecognized compensation expense related to SARs.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Changes in SARs outstanding for the year ended December 31, 2023 were as follows:</w:t>
            </w:r>
          </w:p>
        </w:tc>
        <w:tc>
          <w:tcPr>
            <w:tcW w:w="2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450"/>
        </w:trPr>
        <w:tc>
          <w:tcPr>
            <w:tcW w:w="74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Weighted Average</w:t>
            </w:r>
          </w:p>
        </w:tc>
      </w:tr>
      <w:tr>
        <w:trPr>
          <w:trHeight w:val="245"/>
        </w:trPr>
        <w:tc>
          <w:tcPr>
            <w:tcW w:w="7420" w:type="dxa"/>
            <w:vAlign w:val="bottom"/>
            <w:tcBorders>
              <w:bottom w:val="single" w:sz="8" w:color="auto"/>
            </w:tcBorders>
          </w:tcPr>
          <w:p>
            <w:pPr>
              <w:spacing w:after="0"/>
              <w:rPr>
                <w:sz w:val="21"/>
                <w:szCs w:val="21"/>
                <w:color w:val="auto"/>
              </w:rPr>
            </w:pPr>
          </w:p>
        </w:tc>
        <w:tc>
          <w:tcPr>
            <w:tcW w:w="2280" w:type="dxa"/>
            <w:vAlign w:val="bottom"/>
            <w:tcBorders>
              <w:bottom w:val="single" w:sz="8" w:color="auto"/>
            </w:tcBorders>
          </w:tcPr>
          <w:p>
            <w:pPr>
              <w:ind w:left="1200"/>
              <w:spacing w:after="0"/>
              <w:rPr>
                <w:sz w:val="20"/>
                <w:szCs w:val="20"/>
                <w:color w:val="auto"/>
              </w:rPr>
            </w:pPr>
            <w:r>
              <w:rPr>
                <w:rFonts w:ascii="Times New Roman" w:cs="Times New Roman" w:eastAsia="Times New Roman" w:hAnsi="Times New Roman"/>
                <w:sz w:val="18"/>
                <w:szCs w:val="18"/>
                <w:b w:val="1"/>
                <w:bCs w:val="1"/>
                <w:color w:val="auto"/>
              </w:rPr>
              <w:t>SARs</w:t>
            </w:r>
          </w:p>
        </w:tc>
        <w:tc>
          <w:tcPr>
            <w:tcW w:w="20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Exercise Price</w:t>
            </w:r>
          </w:p>
        </w:tc>
      </w:tr>
      <w:tr>
        <w:trPr>
          <w:trHeight w:val="250"/>
        </w:trPr>
        <w:tc>
          <w:tcPr>
            <w:tcW w:w="7420" w:type="dxa"/>
            <w:vAlign w:val="bottom"/>
            <w:tcBorders>
              <w:bottom w:val="single" w:sz="8" w:color="auto"/>
            </w:tcBorders>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2280" w:type="dxa"/>
            <w:vAlign w:val="bottom"/>
            <w:tcBorders>
              <w:bottom w:val="single" w:sz="8" w:color="auto"/>
            </w:tcBorders>
            <w:shd w:val="clear" w:color="auto" w:fill="DBDBDB"/>
          </w:tcPr>
          <w:p>
            <w:pPr>
              <w:jc w:val="center"/>
              <w:ind w:left="1470"/>
              <w:spacing w:after="0"/>
              <w:rPr>
                <w:sz w:val="20"/>
                <w:szCs w:val="20"/>
                <w:color w:val="auto"/>
              </w:rPr>
            </w:pPr>
            <w:r>
              <w:rPr>
                <w:rFonts w:ascii="Times New Roman" w:cs="Times New Roman" w:eastAsia="Times New Roman" w:hAnsi="Times New Roman"/>
                <w:sz w:val="18"/>
                <w:szCs w:val="18"/>
                <w:color w:val="auto"/>
                <w:w w:val="96"/>
              </w:rPr>
              <w:t>46,325</w:t>
            </w:r>
          </w:p>
        </w:tc>
        <w:tc>
          <w:tcPr>
            <w:tcW w:w="20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41.62</w:t>
            </w:r>
          </w:p>
        </w:tc>
      </w:tr>
      <w:tr>
        <w:trPr>
          <w:trHeight w:val="250"/>
        </w:trPr>
        <w:tc>
          <w:tcPr>
            <w:tcW w:w="74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Exercised</w:t>
            </w:r>
          </w:p>
        </w:tc>
        <w:tc>
          <w:tcPr>
            <w:tcW w:w="2280" w:type="dxa"/>
            <w:vAlign w:val="bottom"/>
          </w:tcPr>
          <w:p>
            <w:pPr>
              <w:jc w:val="center"/>
              <w:ind w:left="1450"/>
              <w:spacing w:after="0"/>
              <w:rPr>
                <w:sz w:val="20"/>
                <w:szCs w:val="20"/>
                <w:color w:val="auto"/>
              </w:rPr>
            </w:pPr>
            <w:r>
              <w:rPr>
                <w:rFonts w:ascii="Times New Roman" w:cs="Times New Roman" w:eastAsia="Times New Roman" w:hAnsi="Times New Roman"/>
                <w:sz w:val="18"/>
                <w:szCs w:val="18"/>
                <w:color w:val="auto"/>
              </w:rPr>
              <w:t>(15,916)</w:t>
            </w:r>
          </w:p>
        </w:tc>
        <w:tc>
          <w:tcPr>
            <w:tcW w:w="2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31.92</w:t>
            </w:r>
          </w:p>
        </w:tc>
      </w:tr>
      <w:tr>
        <w:trPr>
          <w:trHeight w:val="257"/>
        </w:trPr>
        <w:tc>
          <w:tcPr>
            <w:tcW w:w="7420" w:type="dxa"/>
            <w:vAlign w:val="bottom"/>
            <w:tcBorders>
              <w:bottom w:val="single" w:sz="8" w:color="auto"/>
            </w:tcBorders>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2280" w:type="dxa"/>
            <w:vAlign w:val="bottom"/>
            <w:tcBorders>
              <w:bottom w:val="single" w:sz="8" w:color="auto"/>
            </w:tcBorders>
            <w:shd w:val="clear" w:color="auto" w:fill="DBDBDB"/>
          </w:tcPr>
          <w:p>
            <w:pPr>
              <w:jc w:val="center"/>
              <w:ind w:left="1470"/>
              <w:spacing w:after="0"/>
              <w:rPr>
                <w:sz w:val="20"/>
                <w:szCs w:val="20"/>
                <w:color w:val="auto"/>
              </w:rPr>
            </w:pPr>
            <w:r>
              <w:rPr>
                <w:rFonts w:ascii="Times New Roman" w:cs="Times New Roman" w:eastAsia="Times New Roman" w:hAnsi="Times New Roman"/>
                <w:sz w:val="18"/>
                <w:szCs w:val="18"/>
                <w:color w:val="auto"/>
                <w:w w:val="96"/>
              </w:rPr>
              <w:t>30,409</w:t>
            </w:r>
          </w:p>
        </w:tc>
        <w:tc>
          <w:tcPr>
            <w:tcW w:w="200" w:type="dxa"/>
            <w:vAlign w:val="bottom"/>
            <w:tcBorders>
              <w:bottom w:val="single" w:sz="8" w:color="auto"/>
            </w:tcBorders>
            <w:shd w:val="clear" w:color="auto" w:fill="DBDBDB"/>
          </w:tcPr>
          <w:p>
            <w:pPr>
              <w:spacing w:after="0"/>
              <w:rPr>
                <w:sz w:val="22"/>
                <w:szCs w:val="22"/>
                <w:color w:val="auto"/>
              </w:rPr>
            </w:pPr>
          </w:p>
        </w:tc>
        <w:tc>
          <w:tcPr>
            <w:tcW w:w="134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46.70</w:t>
            </w:r>
          </w:p>
        </w:tc>
      </w:tr>
      <w:tr>
        <w:trPr>
          <w:trHeight w:val="250"/>
        </w:trPr>
        <w:tc>
          <w:tcPr>
            <w:tcW w:w="7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Exercisable at December 31, 2023</w:t>
            </w:r>
          </w:p>
        </w:tc>
        <w:tc>
          <w:tcPr>
            <w:tcW w:w="2280" w:type="dxa"/>
            <w:vAlign w:val="bottom"/>
            <w:tcBorders>
              <w:bottom w:val="single" w:sz="8" w:color="auto"/>
            </w:tcBorders>
          </w:tcPr>
          <w:p>
            <w:pPr>
              <w:jc w:val="center"/>
              <w:ind w:left="1470"/>
              <w:spacing w:after="0"/>
              <w:rPr>
                <w:sz w:val="20"/>
                <w:szCs w:val="20"/>
                <w:color w:val="auto"/>
              </w:rPr>
            </w:pPr>
            <w:r>
              <w:rPr>
                <w:rFonts w:ascii="Times New Roman" w:cs="Times New Roman" w:eastAsia="Times New Roman" w:hAnsi="Times New Roman"/>
                <w:sz w:val="18"/>
                <w:szCs w:val="18"/>
                <w:color w:val="auto"/>
                <w:w w:val="96"/>
              </w:rPr>
              <w:t>30,409</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46.70</w:t>
            </w:r>
          </w:p>
        </w:tc>
      </w:tr>
    </w:tbl>
    <w:p>
      <w:pPr>
        <w:spacing w:after="0" w:line="2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total intrinsic value of SARs exercised during 2023 and 2022 was $508,000 and $2.2 million, respectively. The average remaining contractual term for SARs outstanding as of December 31, 2023 was 0.08 years, and the aggregate intrinsic value was $0. The average remaining contractual term for SARs outstanding as of December 31, 2022 was 0.73 years, and the aggregate intrinsic value was $192,000.</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total compensation cost for share-based payment arrangements was $4.1 million, $6.7 million, and $2.9 million in 2023, 2022, and 2021, respectively.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Operating Expense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Details of other operating expense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16256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55" w:lineRule="exact"/>
        <w:rPr>
          <w:sz w:val="20"/>
          <w:szCs w:val="20"/>
          <w:color w:val="auto"/>
        </w:rPr>
      </w:pPr>
    </w:p>
    <w:p>
      <w:pPr>
        <w:ind w:left="7580"/>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1323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5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4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4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56"/>
        </w:trPr>
        <w:tc>
          <w:tcPr>
            <w:tcW w:w="438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Promotional expense</w:t>
            </w:r>
          </w:p>
        </w:tc>
        <w:tc>
          <w:tcPr>
            <w:tcW w:w="2560" w:type="dxa"/>
            <w:vAlign w:val="bottom"/>
            <w:shd w:val="clear" w:color="auto" w:fill="DBDBDB"/>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DBDBDB"/>
          </w:tcPr>
          <w:p>
            <w:pPr>
              <w:jc w:val="right"/>
              <w:ind w:right="10"/>
              <w:spacing w:after="0"/>
              <w:rPr>
                <w:sz w:val="20"/>
                <w:szCs w:val="20"/>
                <w:color w:val="auto"/>
              </w:rPr>
            </w:pPr>
            <w:r>
              <w:rPr>
                <w:rFonts w:ascii="Times New Roman" w:cs="Times New Roman" w:eastAsia="Times New Roman" w:hAnsi="Times New Roman"/>
                <w:sz w:val="18"/>
                <w:szCs w:val="18"/>
                <w:color w:val="auto"/>
              </w:rPr>
              <w:t>3,252</w:t>
            </w:r>
          </w:p>
        </w:tc>
        <w:tc>
          <w:tcPr>
            <w:tcW w:w="420" w:type="dxa"/>
            <w:vAlign w:val="bottom"/>
            <w:shd w:val="clear" w:color="auto" w:fill="DBDBDB"/>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DBDBDB"/>
          </w:tcPr>
          <w:p>
            <w:pPr>
              <w:jc w:val="right"/>
              <w:ind w:right="10"/>
              <w:spacing w:after="0"/>
              <w:rPr>
                <w:sz w:val="20"/>
                <w:szCs w:val="20"/>
                <w:color w:val="auto"/>
              </w:rPr>
            </w:pPr>
            <w:r>
              <w:rPr>
                <w:rFonts w:ascii="Times New Roman" w:cs="Times New Roman" w:eastAsia="Times New Roman" w:hAnsi="Times New Roman"/>
                <w:sz w:val="18"/>
                <w:szCs w:val="18"/>
                <w:color w:val="auto"/>
              </w:rPr>
              <w:t>2,889</w:t>
            </w:r>
          </w:p>
        </w:tc>
        <w:tc>
          <w:tcPr>
            <w:tcW w:w="420" w:type="dxa"/>
            <w:vAlign w:val="bottom"/>
            <w:shd w:val="clear" w:color="auto" w:fill="DBDBDB"/>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2,627</w:t>
            </w:r>
          </w:p>
        </w:tc>
      </w:tr>
      <w:tr>
        <w:trPr>
          <w:trHeight w:val="250"/>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Outside service fees</w:t>
            </w:r>
          </w:p>
        </w:tc>
        <w:tc>
          <w:tcPr>
            <w:tcW w:w="256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9,627</w:t>
            </w:r>
          </w:p>
        </w:tc>
        <w:tc>
          <w:tcPr>
            <w:tcW w:w="4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7,874</w:t>
            </w:r>
          </w:p>
        </w:tc>
        <w:tc>
          <w:tcPr>
            <w:tcW w:w="4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7,413</w:t>
            </w:r>
          </w:p>
        </w:tc>
      </w:tr>
      <w:tr>
        <w:trPr>
          <w:trHeight w:val="263"/>
        </w:trPr>
        <w:tc>
          <w:tcPr>
            <w:tcW w:w="438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Data processing services</w:t>
            </w:r>
          </w:p>
        </w:tc>
        <w:tc>
          <w:tcPr>
            <w:tcW w:w="2560" w:type="dxa"/>
            <w:vAlign w:val="bottom"/>
            <w:shd w:val="clear" w:color="auto" w:fill="DBDBDB"/>
          </w:tcPr>
          <w:p>
            <w:pPr>
              <w:spacing w:after="0"/>
              <w:rPr>
                <w:sz w:val="22"/>
                <w:szCs w:val="22"/>
                <w:color w:val="auto"/>
              </w:rPr>
            </w:pPr>
          </w:p>
        </w:tc>
        <w:tc>
          <w:tcPr>
            <w:tcW w:w="1160" w:type="dxa"/>
            <w:vAlign w:val="bottom"/>
            <w:shd w:val="clear" w:color="auto" w:fill="DBDBDB"/>
          </w:tcPr>
          <w:p>
            <w:pPr>
              <w:jc w:val="right"/>
              <w:ind w:right="10"/>
              <w:spacing w:after="0"/>
              <w:rPr>
                <w:sz w:val="20"/>
                <w:szCs w:val="20"/>
                <w:color w:val="auto"/>
              </w:rPr>
            </w:pPr>
            <w:r>
              <w:rPr>
                <w:rFonts w:ascii="Times New Roman" w:cs="Times New Roman" w:eastAsia="Times New Roman" w:hAnsi="Times New Roman"/>
                <w:sz w:val="18"/>
                <w:szCs w:val="18"/>
                <w:color w:val="auto"/>
              </w:rPr>
              <w:t>6,553</w:t>
            </w:r>
          </w:p>
        </w:tc>
        <w:tc>
          <w:tcPr>
            <w:tcW w:w="420" w:type="dxa"/>
            <w:vAlign w:val="bottom"/>
            <w:shd w:val="clear" w:color="auto" w:fill="DBDBDB"/>
          </w:tcPr>
          <w:p>
            <w:pPr>
              <w:spacing w:after="0"/>
              <w:rPr>
                <w:sz w:val="22"/>
                <w:szCs w:val="22"/>
                <w:color w:val="auto"/>
              </w:rPr>
            </w:pPr>
          </w:p>
        </w:tc>
        <w:tc>
          <w:tcPr>
            <w:tcW w:w="1160" w:type="dxa"/>
            <w:vAlign w:val="bottom"/>
            <w:shd w:val="clear" w:color="auto" w:fill="DBDBDB"/>
          </w:tcPr>
          <w:p>
            <w:pPr>
              <w:jc w:val="right"/>
              <w:ind w:right="10"/>
              <w:spacing w:after="0"/>
              <w:rPr>
                <w:sz w:val="20"/>
                <w:szCs w:val="20"/>
                <w:color w:val="auto"/>
              </w:rPr>
            </w:pPr>
            <w:r>
              <w:rPr>
                <w:rFonts w:ascii="Times New Roman" w:cs="Times New Roman" w:eastAsia="Times New Roman" w:hAnsi="Times New Roman"/>
                <w:sz w:val="18"/>
                <w:szCs w:val="18"/>
                <w:color w:val="auto"/>
              </w:rPr>
              <w:t>3,365</w:t>
            </w:r>
          </w:p>
        </w:tc>
        <w:tc>
          <w:tcPr>
            <w:tcW w:w="420" w:type="dxa"/>
            <w:vAlign w:val="bottom"/>
            <w:shd w:val="clear" w:color="auto" w:fill="DBDBDB"/>
          </w:tcPr>
          <w:p>
            <w:pPr>
              <w:spacing w:after="0"/>
              <w:rPr>
                <w:sz w:val="22"/>
                <w:szCs w:val="22"/>
                <w:color w:val="auto"/>
              </w:rPr>
            </w:pPr>
          </w:p>
        </w:tc>
        <w:tc>
          <w:tcPr>
            <w:tcW w:w="11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2,650</w:t>
            </w:r>
          </w:p>
        </w:tc>
      </w:tr>
      <w:tr>
        <w:trPr>
          <w:trHeight w:val="250"/>
        </w:trPr>
        <w:tc>
          <w:tcPr>
            <w:tcW w:w="4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5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10,551</w:t>
            </w:r>
          </w:p>
        </w:tc>
        <w:tc>
          <w:tcPr>
            <w:tcW w:w="4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7,950</w:t>
            </w:r>
          </w:p>
        </w:tc>
        <w:tc>
          <w:tcPr>
            <w:tcW w:w="4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4,053</w:t>
            </w:r>
          </w:p>
        </w:tc>
      </w:tr>
      <w:tr>
        <w:trPr>
          <w:trHeight w:val="250"/>
        </w:trPr>
        <w:tc>
          <w:tcPr>
            <w:tcW w:w="4380" w:type="dxa"/>
            <w:vAlign w:val="bottom"/>
            <w:tcBorders>
              <w:bottom w:val="single" w:sz="8" w:color="auto"/>
            </w:tcBorders>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Total other operating expense</w:t>
            </w:r>
          </w:p>
        </w:tc>
        <w:tc>
          <w:tcPr>
            <w:tcW w:w="2560" w:type="dxa"/>
            <w:vAlign w:val="bottom"/>
            <w:tcBorders>
              <w:bottom w:val="single" w:sz="8" w:color="auto"/>
            </w:tcBorders>
            <w:shd w:val="clear" w:color="auto" w:fill="DBDBDB"/>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DBDBDB"/>
          </w:tcPr>
          <w:p>
            <w:pPr>
              <w:jc w:val="right"/>
              <w:ind w:right="10"/>
              <w:spacing w:after="0"/>
              <w:rPr>
                <w:sz w:val="20"/>
                <w:szCs w:val="20"/>
                <w:color w:val="auto"/>
              </w:rPr>
            </w:pPr>
            <w:r>
              <w:rPr>
                <w:rFonts w:ascii="Times New Roman" w:cs="Times New Roman" w:eastAsia="Times New Roman" w:hAnsi="Times New Roman"/>
                <w:sz w:val="18"/>
                <w:szCs w:val="18"/>
                <w:color w:val="auto"/>
              </w:rPr>
              <w:t>29,983</w:t>
            </w:r>
          </w:p>
        </w:tc>
        <w:tc>
          <w:tcPr>
            <w:tcW w:w="420" w:type="dxa"/>
            <w:vAlign w:val="bottom"/>
            <w:tcBorders>
              <w:bottom w:val="single" w:sz="8" w:color="auto"/>
            </w:tcBorders>
            <w:shd w:val="clear" w:color="auto" w:fill="DBDBDB"/>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DBDBDB"/>
          </w:tcPr>
          <w:p>
            <w:pPr>
              <w:jc w:val="right"/>
              <w:ind w:right="10"/>
              <w:spacing w:after="0"/>
              <w:rPr>
                <w:sz w:val="20"/>
                <w:szCs w:val="20"/>
                <w:color w:val="auto"/>
              </w:rPr>
            </w:pPr>
            <w:r>
              <w:rPr>
                <w:rFonts w:ascii="Times New Roman" w:cs="Times New Roman" w:eastAsia="Times New Roman" w:hAnsi="Times New Roman"/>
                <w:sz w:val="18"/>
                <w:szCs w:val="18"/>
                <w:color w:val="auto"/>
              </w:rPr>
              <w:t>22,078</w:t>
            </w:r>
          </w:p>
        </w:tc>
        <w:tc>
          <w:tcPr>
            <w:tcW w:w="420" w:type="dxa"/>
            <w:vAlign w:val="bottom"/>
            <w:tcBorders>
              <w:bottom w:val="single" w:sz="8" w:color="auto"/>
            </w:tcBorders>
            <w:shd w:val="clear" w:color="auto" w:fill="DBDBDB"/>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16,743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income tax expense (benefit)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16319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55" w:lineRule="exact"/>
        <w:rPr>
          <w:sz w:val="20"/>
          <w:szCs w:val="20"/>
          <w:color w:val="auto"/>
        </w:rPr>
      </w:pPr>
    </w:p>
    <w:p>
      <w:pPr>
        <w:ind w:left="7580"/>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13232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7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4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4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57"/>
        </w:trPr>
        <w:tc>
          <w:tcPr>
            <w:tcW w:w="424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2700" w:type="dxa"/>
            <w:vAlign w:val="bottom"/>
            <w:shd w:val="clear" w:color="auto" w:fill="DBDBDB"/>
          </w:tcPr>
          <w:p>
            <w:pPr>
              <w:spacing w:after="0"/>
              <w:rPr>
                <w:sz w:val="22"/>
                <w:szCs w:val="22"/>
                <w:color w:val="auto"/>
              </w:rPr>
            </w:pPr>
          </w:p>
        </w:tc>
        <w:tc>
          <w:tcPr>
            <w:tcW w:w="1180" w:type="dxa"/>
            <w:vAlign w:val="bottom"/>
            <w:shd w:val="clear" w:color="auto" w:fill="DBDBDB"/>
          </w:tcPr>
          <w:p>
            <w:pPr>
              <w:spacing w:after="0"/>
              <w:rPr>
                <w:sz w:val="22"/>
                <w:szCs w:val="22"/>
                <w:color w:val="auto"/>
              </w:rPr>
            </w:pPr>
          </w:p>
        </w:tc>
        <w:tc>
          <w:tcPr>
            <w:tcW w:w="400" w:type="dxa"/>
            <w:vAlign w:val="bottom"/>
            <w:shd w:val="clear" w:color="auto" w:fill="DBDBDB"/>
          </w:tcPr>
          <w:p>
            <w:pPr>
              <w:spacing w:after="0"/>
              <w:rPr>
                <w:sz w:val="22"/>
                <w:szCs w:val="22"/>
                <w:color w:val="auto"/>
              </w:rPr>
            </w:pPr>
          </w:p>
        </w:tc>
        <w:tc>
          <w:tcPr>
            <w:tcW w:w="1180" w:type="dxa"/>
            <w:vAlign w:val="bottom"/>
            <w:shd w:val="clear" w:color="auto" w:fill="DBDBDB"/>
          </w:tcPr>
          <w:p>
            <w:pPr>
              <w:spacing w:after="0"/>
              <w:rPr>
                <w:sz w:val="22"/>
                <w:szCs w:val="22"/>
                <w:color w:val="auto"/>
              </w:rPr>
            </w:pPr>
          </w:p>
        </w:tc>
        <w:tc>
          <w:tcPr>
            <w:tcW w:w="400" w:type="dxa"/>
            <w:vAlign w:val="bottom"/>
            <w:shd w:val="clear" w:color="auto" w:fill="DBDBDB"/>
          </w:tcPr>
          <w:p>
            <w:pPr>
              <w:spacing w:after="0"/>
              <w:rPr>
                <w:sz w:val="22"/>
                <w:szCs w:val="22"/>
                <w:color w:val="auto"/>
              </w:rPr>
            </w:pPr>
          </w:p>
        </w:tc>
        <w:tc>
          <w:tcPr>
            <w:tcW w:w="1140" w:type="dxa"/>
            <w:vAlign w:val="bottom"/>
            <w:shd w:val="clear" w:color="auto" w:fill="DBDBDB"/>
          </w:tcPr>
          <w:p>
            <w:pPr>
              <w:spacing w:after="0"/>
              <w:rPr>
                <w:sz w:val="22"/>
                <w:szCs w:val="22"/>
                <w:color w:val="auto"/>
              </w:rPr>
            </w:pPr>
          </w:p>
        </w:tc>
      </w:tr>
      <w:tr>
        <w:trPr>
          <w:trHeight w:val="250"/>
        </w:trPr>
        <w:tc>
          <w:tcPr>
            <w:tcW w:w="42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Federal</w:t>
            </w:r>
          </w:p>
        </w:tc>
        <w:tc>
          <w:tcPr>
            <w:tcW w:w="27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6,378</w:t>
            </w:r>
          </w:p>
        </w:tc>
        <w:tc>
          <w:tcPr>
            <w:tcW w:w="4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7,794</w:t>
            </w:r>
          </w:p>
        </w:tc>
        <w:tc>
          <w:tcPr>
            <w:tcW w:w="4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5,018</w:t>
            </w:r>
          </w:p>
        </w:tc>
      </w:tr>
      <w:tr>
        <w:trPr>
          <w:trHeight w:val="263"/>
        </w:trPr>
        <w:tc>
          <w:tcPr>
            <w:tcW w:w="4240" w:type="dxa"/>
            <w:vAlign w:val="bottom"/>
            <w:shd w:val="clear" w:color="auto" w:fill="DBDBDB"/>
          </w:tcPr>
          <w:p>
            <w:pPr>
              <w:ind w:left="300"/>
              <w:spacing w:after="0"/>
              <w:rPr>
                <w:sz w:val="20"/>
                <w:szCs w:val="20"/>
                <w:color w:val="auto"/>
              </w:rPr>
            </w:pPr>
            <w:r>
              <w:rPr>
                <w:rFonts w:ascii="Times New Roman" w:cs="Times New Roman" w:eastAsia="Times New Roman" w:hAnsi="Times New Roman"/>
                <w:sz w:val="18"/>
                <w:szCs w:val="18"/>
                <w:color w:val="auto"/>
              </w:rPr>
              <w:t>State</w:t>
            </w:r>
          </w:p>
        </w:tc>
        <w:tc>
          <w:tcPr>
            <w:tcW w:w="2700" w:type="dxa"/>
            <w:vAlign w:val="bottom"/>
            <w:shd w:val="clear" w:color="auto" w:fill="DBDBDB"/>
          </w:tcPr>
          <w:p>
            <w:pPr>
              <w:spacing w:after="0"/>
              <w:rPr>
                <w:sz w:val="22"/>
                <w:szCs w:val="22"/>
                <w:color w:val="auto"/>
              </w:rPr>
            </w:pPr>
          </w:p>
        </w:tc>
        <w:tc>
          <w:tcPr>
            <w:tcW w:w="1180" w:type="dxa"/>
            <w:vAlign w:val="bottom"/>
            <w:shd w:val="clear" w:color="auto" w:fill="DBDBDB"/>
          </w:tcPr>
          <w:p>
            <w:pPr>
              <w:jc w:val="right"/>
              <w:ind w:right="30"/>
              <w:spacing w:after="0"/>
              <w:rPr>
                <w:sz w:val="20"/>
                <w:szCs w:val="20"/>
                <w:color w:val="auto"/>
              </w:rPr>
            </w:pPr>
            <w:r>
              <w:rPr>
                <w:rFonts w:ascii="Times New Roman" w:cs="Times New Roman" w:eastAsia="Times New Roman" w:hAnsi="Times New Roman"/>
                <w:sz w:val="18"/>
                <w:szCs w:val="18"/>
                <w:color w:val="auto"/>
              </w:rPr>
              <w:t>1,203</w:t>
            </w:r>
          </w:p>
        </w:tc>
        <w:tc>
          <w:tcPr>
            <w:tcW w:w="400" w:type="dxa"/>
            <w:vAlign w:val="bottom"/>
            <w:shd w:val="clear" w:color="auto" w:fill="DBDBDB"/>
          </w:tcPr>
          <w:p>
            <w:pPr>
              <w:spacing w:after="0"/>
              <w:rPr>
                <w:sz w:val="22"/>
                <w:szCs w:val="22"/>
                <w:color w:val="auto"/>
              </w:rPr>
            </w:pPr>
          </w:p>
        </w:tc>
        <w:tc>
          <w:tcPr>
            <w:tcW w:w="1180" w:type="dxa"/>
            <w:vAlign w:val="bottom"/>
            <w:shd w:val="clear" w:color="auto" w:fill="DBDBDB"/>
          </w:tcPr>
          <w:p>
            <w:pPr>
              <w:jc w:val="right"/>
              <w:ind w:right="30"/>
              <w:spacing w:after="0"/>
              <w:rPr>
                <w:sz w:val="20"/>
                <w:szCs w:val="20"/>
                <w:color w:val="auto"/>
              </w:rPr>
            </w:pPr>
            <w:r>
              <w:rPr>
                <w:rFonts w:ascii="Times New Roman" w:cs="Times New Roman" w:eastAsia="Times New Roman" w:hAnsi="Times New Roman"/>
                <w:sz w:val="18"/>
                <w:szCs w:val="18"/>
                <w:color w:val="auto"/>
              </w:rPr>
              <w:t>1,365</w:t>
            </w:r>
          </w:p>
        </w:tc>
        <w:tc>
          <w:tcPr>
            <w:tcW w:w="400" w:type="dxa"/>
            <w:vAlign w:val="bottom"/>
            <w:shd w:val="clear" w:color="auto" w:fill="DBDBDB"/>
          </w:tcPr>
          <w:p>
            <w:pPr>
              <w:spacing w:after="0"/>
              <w:rPr>
                <w:sz w:val="22"/>
                <w:szCs w:val="22"/>
                <w:color w:val="auto"/>
              </w:rPr>
            </w:pPr>
          </w:p>
        </w:tc>
        <w:tc>
          <w:tcPr>
            <w:tcW w:w="11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897</w:t>
            </w:r>
          </w:p>
        </w:tc>
      </w:tr>
      <w:tr>
        <w:trPr>
          <w:trHeight w:val="250"/>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w:t>
            </w:r>
          </w:p>
        </w:tc>
        <w:tc>
          <w:tcPr>
            <w:tcW w:w="27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63"/>
        </w:trPr>
        <w:tc>
          <w:tcPr>
            <w:tcW w:w="4240" w:type="dxa"/>
            <w:vAlign w:val="bottom"/>
            <w:shd w:val="clear" w:color="auto" w:fill="DBDBDB"/>
          </w:tcPr>
          <w:p>
            <w:pPr>
              <w:ind w:left="300"/>
              <w:spacing w:after="0"/>
              <w:rPr>
                <w:sz w:val="20"/>
                <w:szCs w:val="20"/>
                <w:color w:val="auto"/>
              </w:rPr>
            </w:pPr>
            <w:r>
              <w:rPr>
                <w:rFonts w:ascii="Times New Roman" w:cs="Times New Roman" w:eastAsia="Times New Roman" w:hAnsi="Times New Roman"/>
                <w:sz w:val="18"/>
                <w:szCs w:val="18"/>
                <w:color w:val="auto"/>
              </w:rPr>
              <w:t>Federal</w:t>
            </w:r>
          </w:p>
        </w:tc>
        <w:tc>
          <w:tcPr>
            <w:tcW w:w="2700" w:type="dxa"/>
            <w:vAlign w:val="bottom"/>
            <w:shd w:val="clear" w:color="auto" w:fill="DBDBDB"/>
          </w:tcPr>
          <w:p>
            <w:pPr>
              <w:spacing w:after="0"/>
              <w:rPr>
                <w:sz w:val="22"/>
                <w:szCs w:val="22"/>
                <w:color w:val="auto"/>
              </w:rPr>
            </w:pPr>
          </w:p>
        </w:tc>
        <w:tc>
          <w:tcPr>
            <w:tcW w:w="11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400" w:type="dxa"/>
            <w:vAlign w:val="bottom"/>
            <w:shd w:val="clear" w:color="auto" w:fill="DBDBDB"/>
          </w:tcPr>
          <w:p>
            <w:pPr>
              <w:spacing w:after="0"/>
              <w:rPr>
                <w:sz w:val="22"/>
                <w:szCs w:val="22"/>
                <w:color w:val="auto"/>
              </w:rPr>
            </w:pPr>
          </w:p>
        </w:tc>
        <w:tc>
          <w:tcPr>
            <w:tcW w:w="11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(990)</w:t>
            </w:r>
          </w:p>
        </w:tc>
        <w:tc>
          <w:tcPr>
            <w:tcW w:w="400" w:type="dxa"/>
            <w:vAlign w:val="bottom"/>
            <w:shd w:val="clear" w:color="auto" w:fill="DBDBDB"/>
          </w:tcPr>
          <w:p>
            <w:pPr>
              <w:spacing w:after="0"/>
              <w:rPr>
                <w:sz w:val="22"/>
                <w:szCs w:val="22"/>
                <w:color w:val="auto"/>
              </w:rPr>
            </w:pPr>
          </w:p>
        </w:tc>
        <w:tc>
          <w:tcPr>
            <w:tcW w:w="11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(608)</w:t>
            </w:r>
          </w:p>
        </w:tc>
      </w:tr>
      <w:tr>
        <w:trPr>
          <w:trHeight w:val="250"/>
        </w:trPr>
        <w:tc>
          <w:tcPr>
            <w:tcW w:w="424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State</w:t>
            </w:r>
          </w:p>
        </w:tc>
        <w:tc>
          <w:tcPr>
            <w:tcW w:w="27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4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4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50"/>
        </w:trPr>
        <w:tc>
          <w:tcPr>
            <w:tcW w:w="4240" w:type="dxa"/>
            <w:vAlign w:val="bottom"/>
            <w:tcBorders>
              <w:bottom w:val="single" w:sz="8" w:color="auto"/>
            </w:tcBorders>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Total income tax expense</w:t>
            </w:r>
          </w:p>
        </w:tc>
        <w:tc>
          <w:tcPr>
            <w:tcW w:w="2700" w:type="dxa"/>
            <w:vAlign w:val="bottom"/>
            <w:tcBorders>
              <w:bottom w:val="single" w:sz="8" w:color="auto"/>
            </w:tcBorders>
            <w:shd w:val="clear" w:color="auto" w:fill="DBDBDB"/>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DBDBDB"/>
          </w:tcPr>
          <w:p>
            <w:pPr>
              <w:jc w:val="right"/>
              <w:ind w:right="30"/>
              <w:spacing w:after="0"/>
              <w:rPr>
                <w:sz w:val="20"/>
                <w:szCs w:val="20"/>
                <w:color w:val="auto"/>
              </w:rPr>
            </w:pPr>
            <w:r>
              <w:rPr>
                <w:rFonts w:ascii="Times New Roman" w:cs="Times New Roman" w:eastAsia="Times New Roman" w:hAnsi="Times New Roman"/>
                <w:sz w:val="18"/>
                <w:szCs w:val="18"/>
                <w:color w:val="auto"/>
              </w:rPr>
              <w:t>7,297</w:t>
            </w:r>
          </w:p>
        </w:tc>
        <w:tc>
          <w:tcPr>
            <w:tcW w:w="400" w:type="dxa"/>
            <w:vAlign w:val="bottom"/>
            <w:tcBorders>
              <w:bottom w:val="single" w:sz="8" w:color="auto"/>
            </w:tcBorders>
            <w:shd w:val="clear" w:color="auto" w:fill="DBDBDB"/>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DBDBDB"/>
          </w:tcPr>
          <w:p>
            <w:pPr>
              <w:jc w:val="right"/>
              <w:ind w:right="30"/>
              <w:spacing w:after="0"/>
              <w:rPr>
                <w:sz w:val="20"/>
                <w:szCs w:val="20"/>
                <w:color w:val="auto"/>
              </w:rPr>
            </w:pPr>
            <w:r>
              <w:rPr>
                <w:rFonts w:ascii="Times New Roman" w:cs="Times New Roman" w:eastAsia="Times New Roman" w:hAnsi="Times New Roman"/>
                <w:sz w:val="18"/>
                <w:szCs w:val="18"/>
                <w:color w:val="auto"/>
              </w:rPr>
              <w:t>7,996</w:t>
            </w:r>
          </w:p>
        </w:tc>
        <w:tc>
          <w:tcPr>
            <w:tcW w:w="400" w:type="dxa"/>
            <w:vAlign w:val="bottom"/>
            <w:tcBorders>
              <w:bottom w:val="single" w:sz="8" w:color="auto"/>
            </w:tcBorders>
            <w:shd w:val="clear" w:color="auto" w:fill="DBDBDB"/>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5,217</w:t>
            </w:r>
          </w:p>
        </w:tc>
      </w:tr>
    </w:tbl>
    <w:p>
      <w:pPr>
        <w:spacing w:after="0" w:line="2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reconciliation of expected income tax expense (benefit), computed by applying the effective federal statutory rate of 21% for each year to income before income tax expense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131445</wp:posOffset>
            </wp:positionV>
            <wp:extent cx="7132320" cy="16319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192" w:lineRule="exact"/>
        <w:rPr>
          <w:sz w:val="20"/>
          <w:szCs w:val="20"/>
          <w:color w:val="auto"/>
        </w:rPr>
      </w:pPr>
    </w:p>
    <w:p>
      <w:pPr>
        <w:ind w:left="7580"/>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13232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1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4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4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57"/>
        </w:trPr>
        <w:tc>
          <w:tcPr>
            <w:tcW w:w="484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Expected income tax expense</w:t>
            </w:r>
          </w:p>
        </w:tc>
        <w:tc>
          <w:tcPr>
            <w:tcW w:w="2100" w:type="dxa"/>
            <w:vAlign w:val="bottom"/>
            <w:shd w:val="clear" w:color="auto" w:fill="DBDBDB"/>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DBDBDB"/>
          </w:tcPr>
          <w:p>
            <w:pPr>
              <w:jc w:val="right"/>
              <w:ind w:right="30"/>
              <w:spacing w:after="0"/>
              <w:rPr>
                <w:sz w:val="20"/>
                <w:szCs w:val="20"/>
                <w:color w:val="auto"/>
              </w:rPr>
            </w:pPr>
            <w:r>
              <w:rPr>
                <w:rFonts w:ascii="Times New Roman" w:cs="Times New Roman" w:eastAsia="Times New Roman" w:hAnsi="Times New Roman"/>
                <w:sz w:val="18"/>
                <w:szCs w:val="18"/>
                <w:color w:val="auto"/>
              </w:rPr>
              <w:t>7,885</w:t>
            </w:r>
          </w:p>
        </w:tc>
        <w:tc>
          <w:tcPr>
            <w:tcW w:w="400" w:type="dxa"/>
            <w:vAlign w:val="bottom"/>
            <w:shd w:val="clear" w:color="auto" w:fill="DBDBDB"/>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DBDBDB"/>
          </w:tcPr>
          <w:p>
            <w:pPr>
              <w:jc w:val="right"/>
              <w:ind w:right="30"/>
              <w:spacing w:after="0"/>
              <w:rPr>
                <w:sz w:val="20"/>
                <w:szCs w:val="20"/>
                <w:color w:val="auto"/>
              </w:rPr>
            </w:pPr>
            <w:r>
              <w:rPr>
                <w:rFonts w:ascii="Times New Roman" w:cs="Times New Roman" w:eastAsia="Times New Roman" w:hAnsi="Times New Roman"/>
                <w:sz w:val="18"/>
                <w:szCs w:val="18"/>
                <w:color w:val="auto"/>
              </w:rPr>
              <w:t>9,035</w:t>
            </w:r>
          </w:p>
        </w:tc>
        <w:tc>
          <w:tcPr>
            <w:tcW w:w="400" w:type="dxa"/>
            <w:vAlign w:val="bottom"/>
            <w:shd w:val="clear" w:color="auto" w:fill="DBDBDB"/>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7,103</w:t>
            </w:r>
          </w:p>
        </w:tc>
      </w:tr>
      <w:tr>
        <w:trPr>
          <w:trHeight w:val="250"/>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(Reductions) increases resulting from:</w:t>
            </w:r>
          </w:p>
        </w:tc>
        <w:tc>
          <w:tcPr>
            <w:tcW w:w="2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63"/>
        </w:trPr>
        <w:tc>
          <w:tcPr>
            <w:tcW w:w="4840" w:type="dxa"/>
            <w:vAlign w:val="bottom"/>
            <w:shd w:val="clear" w:color="auto" w:fill="DBDBDB"/>
          </w:tcPr>
          <w:p>
            <w:pPr>
              <w:ind w:left="300"/>
              <w:spacing w:after="0"/>
              <w:rPr>
                <w:sz w:val="20"/>
                <w:szCs w:val="20"/>
                <w:color w:val="auto"/>
              </w:rPr>
            </w:pPr>
            <w:r>
              <w:rPr>
                <w:rFonts w:ascii="Times New Roman" w:cs="Times New Roman" w:eastAsia="Times New Roman" w:hAnsi="Times New Roman"/>
                <w:sz w:val="18"/>
                <w:szCs w:val="18"/>
                <w:color w:val="auto"/>
              </w:rPr>
              <w:t>Tax-exempt income</w:t>
            </w:r>
          </w:p>
        </w:tc>
        <w:tc>
          <w:tcPr>
            <w:tcW w:w="2100" w:type="dxa"/>
            <w:vAlign w:val="bottom"/>
            <w:shd w:val="clear" w:color="auto" w:fill="DBDBDB"/>
          </w:tcPr>
          <w:p>
            <w:pPr>
              <w:spacing w:after="0"/>
              <w:rPr>
                <w:sz w:val="22"/>
                <w:szCs w:val="22"/>
                <w:color w:val="auto"/>
              </w:rPr>
            </w:pPr>
          </w:p>
        </w:tc>
        <w:tc>
          <w:tcPr>
            <w:tcW w:w="11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(1,104)</w:t>
            </w:r>
          </w:p>
        </w:tc>
        <w:tc>
          <w:tcPr>
            <w:tcW w:w="400" w:type="dxa"/>
            <w:vAlign w:val="bottom"/>
            <w:shd w:val="clear" w:color="auto" w:fill="DBDBDB"/>
          </w:tcPr>
          <w:p>
            <w:pPr>
              <w:spacing w:after="0"/>
              <w:rPr>
                <w:sz w:val="22"/>
                <w:szCs w:val="22"/>
                <w:color w:val="auto"/>
              </w:rPr>
            </w:pPr>
          </w:p>
        </w:tc>
        <w:tc>
          <w:tcPr>
            <w:tcW w:w="11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(1,571)</w:t>
            </w:r>
          </w:p>
        </w:tc>
        <w:tc>
          <w:tcPr>
            <w:tcW w:w="400" w:type="dxa"/>
            <w:vAlign w:val="bottom"/>
            <w:shd w:val="clear" w:color="auto" w:fill="DBDBDB"/>
          </w:tcPr>
          <w:p>
            <w:pPr>
              <w:spacing w:after="0"/>
              <w:rPr>
                <w:sz w:val="22"/>
                <w:szCs w:val="22"/>
                <w:color w:val="auto"/>
              </w:rPr>
            </w:pPr>
          </w:p>
        </w:tc>
        <w:tc>
          <w:tcPr>
            <w:tcW w:w="11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(1,673)</w:t>
            </w:r>
          </w:p>
        </w:tc>
      </w:tr>
      <w:tr>
        <w:trPr>
          <w:trHeight w:val="250"/>
        </w:trPr>
        <w:tc>
          <w:tcPr>
            <w:tcW w:w="48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State taxes, net of federal benefit</w:t>
            </w:r>
          </w:p>
        </w:tc>
        <w:tc>
          <w:tcPr>
            <w:tcW w:w="210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917</w:t>
            </w:r>
          </w:p>
        </w:tc>
        <w:tc>
          <w:tcPr>
            <w:tcW w:w="40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942</w:t>
            </w:r>
          </w:p>
        </w:tc>
        <w:tc>
          <w:tcPr>
            <w:tcW w:w="4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w:t>
            </w:r>
          </w:p>
        </w:tc>
      </w:tr>
      <w:tr>
        <w:trPr>
          <w:trHeight w:val="263"/>
        </w:trPr>
        <w:tc>
          <w:tcPr>
            <w:tcW w:w="4840" w:type="dxa"/>
            <w:vAlign w:val="bottom"/>
            <w:shd w:val="clear" w:color="auto" w:fill="DBDBDB"/>
          </w:tcPr>
          <w:p>
            <w:pPr>
              <w:ind w:left="300"/>
              <w:spacing w:after="0"/>
              <w:rPr>
                <w:sz w:val="20"/>
                <w:szCs w:val="20"/>
                <w:color w:val="auto"/>
              </w:rPr>
            </w:pPr>
            <w:r>
              <w:rPr>
                <w:rFonts w:ascii="Times New Roman" w:cs="Times New Roman" w:eastAsia="Times New Roman" w:hAnsi="Times New Roman"/>
                <w:sz w:val="18"/>
                <w:szCs w:val="18"/>
                <w:color w:val="auto"/>
              </w:rPr>
              <w:t>Share-based compensation adjustment</w:t>
            </w:r>
          </w:p>
        </w:tc>
        <w:tc>
          <w:tcPr>
            <w:tcW w:w="2100" w:type="dxa"/>
            <w:vAlign w:val="bottom"/>
            <w:shd w:val="clear" w:color="auto" w:fill="DBDBDB"/>
          </w:tcPr>
          <w:p>
            <w:pPr>
              <w:spacing w:after="0"/>
              <w:rPr>
                <w:sz w:val="22"/>
                <w:szCs w:val="22"/>
                <w:color w:val="auto"/>
              </w:rPr>
            </w:pPr>
          </w:p>
        </w:tc>
        <w:tc>
          <w:tcPr>
            <w:tcW w:w="1180" w:type="dxa"/>
            <w:vAlign w:val="bottom"/>
            <w:shd w:val="clear" w:color="auto" w:fill="DBDBDB"/>
          </w:tcPr>
          <w:p>
            <w:pPr>
              <w:jc w:val="right"/>
              <w:ind w:right="30"/>
              <w:spacing w:after="0"/>
              <w:rPr>
                <w:sz w:val="20"/>
                <w:szCs w:val="20"/>
                <w:color w:val="auto"/>
              </w:rPr>
            </w:pPr>
            <w:r>
              <w:rPr>
                <w:rFonts w:ascii="Times New Roman" w:cs="Times New Roman" w:eastAsia="Times New Roman" w:hAnsi="Times New Roman"/>
                <w:sz w:val="18"/>
                <w:szCs w:val="18"/>
                <w:color w:val="auto"/>
              </w:rPr>
              <w:t>298</w:t>
            </w:r>
          </w:p>
        </w:tc>
        <w:tc>
          <w:tcPr>
            <w:tcW w:w="400" w:type="dxa"/>
            <w:vAlign w:val="bottom"/>
            <w:shd w:val="clear" w:color="auto" w:fill="DBDBDB"/>
          </w:tcPr>
          <w:p>
            <w:pPr>
              <w:spacing w:after="0"/>
              <w:rPr>
                <w:sz w:val="22"/>
                <w:szCs w:val="22"/>
                <w:color w:val="auto"/>
              </w:rPr>
            </w:pPr>
          </w:p>
        </w:tc>
        <w:tc>
          <w:tcPr>
            <w:tcW w:w="1180" w:type="dxa"/>
            <w:vAlign w:val="bottom"/>
            <w:shd w:val="clear" w:color="auto" w:fill="DBDBDB"/>
          </w:tcPr>
          <w:p>
            <w:pPr>
              <w:jc w:val="right"/>
              <w:ind w:right="30"/>
              <w:spacing w:after="0"/>
              <w:rPr>
                <w:sz w:val="20"/>
                <w:szCs w:val="20"/>
                <w:color w:val="auto"/>
              </w:rPr>
            </w:pPr>
            <w:r>
              <w:rPr>
                <w:rFonts w:ascii="Times New Roman" w:cs="Times New Roman" w:eastAsia="Times New Roman" w:hAnsi="Times New Roman"/>
                <w:sz w:val="18"/>
                <w:szCs w:val="18"/>
                <w:color w:val="auto"/>
              </w:rPr>
              <w:t>258</w:t>
            </w:r>
          </w:p>
        </w:tc>
        <w:tc>
          <w:tcPr>
            <w:tcW w:w="400" w:type="dxa"/>
            <w:vAlign w:val="bottom"/>
            <w:shd w:val="clear" w:color="auto" w:fill="DBDBDB"/>
          </w:tcPr>
          <w:p>
            <w:pPr>
              <w:spacing w:after="0"/>
              <w:rPr>
                <w:sz w:val="22"/>
                <w:szCs w:val="22"/>
                <w:color w:val="auto"/>
              </w:rPr>
            </w:pPr>
          </w:p>
        </w:tc>
        <w:tc>
          <w:tcPr>
            <w:tcW w:w="11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50"/>
        </w:trPr>
        <w:tc>
          <w:tcPr>
            <w:tcW w:w="48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Federal tax credits</w:t>
            </w:r>
          </w:p>
        </w:tc>
        <w:tc>
          <w:tcPr>
            <w:tcW w:w="21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w:t>
            </w:r>
          </w:p>
        </w:tc>
        <w:tc>
          <w:tcPr>
            <w:tcW w:w="4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4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w:t>
            </w:r>
          </w:p>
        </w:tc>
      </w:tr>
      <w:tr>
        <w:trPr>
          <w:trHeight w:val="257"/>
        </w:trPr>
        <w:tc>
          <w:tcPr>
            <w:tcW w:w="4840" w:type="dxa"/>
            <w:vAlign w:val="bottom"/>
            <w:tcBorders>
              <w:bottom w:val="single" w:sz="8" w:color="auto"/>
            </w:tcBorders>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2100" w:type="dxa"/>
            <w:vAlign w:val="bottom"/>
            <w:tcBorders>
              <w:bottom w:val="single" w:sz="8" w:color="auto"/>
            </w:tcBorders>
            <w:shd w:val="clear" w:color="auto" w:fill="DBDBDB"/>
          </w:tcPr>
          <w:p>
            <w:pPr>
              <w:spacing w:after="0"/>
              <w:rPr>
                <w:sz w:val="22"/>
                <w:szCs w:val="22"/>
                <w:color w:val="auto"/>
              </w:rPr>
            </w:pPr>
          </w:p>
        </w:tc>
        <w:tc>
          <w:tcPr>
            <w:tcW w:w="118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400" w:type="dxa"/>
            <w:vAlign w:val="bottom"/>
            <w:tcBorders>
              <w:bottom w:val="single" w:sz="8" w:color="auto"/>
            </w:tcBorders>
            <w:shd w:val="clear" w:color="auto" w:fill="DBDBDB"/>
          </w:tcPr>
          <w:p>
            <w:pPr>
              <w:spacing w:after="0"/>
              <w:rPr>
                <w:sz w:val="22"/>
                <w:szCs w:val="22"/>
                <w:color w:val="auto"/>
              </w:rPr>
            </w:pPr>
          </w:p>
        </w:tc>
        <w:tc>
          <w:tcPr>
            <w:tcW w:w="118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400" w:type="dxa"/>
            <w:vAlign w:val="bottom"/>
            <w:tcBorders>
              <w:bottom w:val="single" w:sz="8" w:color="auto"/>
            </w:tcBorders>
            <w:shd w:val="clear" w:color="auto" w:fill="DBDBDB"/>
          </w:tcPr>
          <w:p>
            <w:pPr>
              <w:spacing w:after="0"/>
              <w:rPr>
                <w:sz w:val="22"/>
                <w:szCs w:val="22"/>
                <w:color w:val="auto"/>
              </w:rPr>
            </w:pPr>
          </w:p>
        </w:tc>
        <w:tc>
          <w:tcPr>
            <w:tcW w:w="114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(586)</w:t>
            </w:r>
          </w:p>
        </w:tc>
      </w:tr>
      <w:tr>
        <w:trPr>
          <w:trHeight w:val="250"/>
        </w:trPr>
        <w:tc>
          <w:tcPr>
            <w:tcW w:w="4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income tax expense</w:t>
            </w:r>
          </w:p>
        </w:tc>
        <w:tc>
          <w:tcPr>
            <w:tcW w:w="21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7,297</w:t>
            </w:r>
          </w:p>
        </w:tc>
        <w:tc>
          <w:tcPr>
            <w:tcW w:w="4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7,996</w:t>
            </w:r>
          </w:p>
        </w:tc>
        <w:tc>
          <w:tcPr>
            <w:tcW w:w="4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5,217</w:t>
            </w:r>
          </w:p>
        </w:tc>
      </w:tr>
    </w:tbl>
    <w:p>
      <w:pPr>
        <w:spacing w:after="0" w:line="2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Income tax expense in 2023 totaled $7.3 million compared to $8.0 million in 2022 and $5.2 million in 2021. When measured as a percent of pre-tax income, the Company’s effective tax rate was 19.5% in 2023, 18.6% in 2022, and 15.4% in 2021.</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tax effects of temporary differences which give rise to significant portions of the deferred tax assets and deferred tax liabilities are presented below:</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18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60" w:type="dxa"/>
            <w:vAlign w:val="bottom"/>
            <w:tcBorders>
              <w:bottom w:val="single" w:sz="8" w:color="auto"/>
            </w:tcBorders>
          </w:tcPr>
          <w:p>
            <w:pPr>
              <w:spacing w:after="0"/>
              <w:rPr>
                <w:sz w:val="21"/>
                <w:szCs w:val="21"/>
                <w:color w:val="auto"/>
              </w:rPr>
            </w:pPr>
          </w:p>
        </w:tc>
      </w:tr>
      <w:tr>
        <w:trPr>
          <w:trHeight w:val="250"/>
        </w:trPr>
        <w:tc>
          <w:tcPr>
            <w:tcW w:w="8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5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57"/>
        </w:trPr>
        <w:tc>
          <w:tcPr>
            <w:tcW w:w="818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340" w:type="dxa"/>
            <w:vAlign w:val="bottom"/>
            <w:shd w:val="clear" w:color="auto" w:fill="DBDBDB"/>
          </w:tcPr>
          <w:p>
            <w:pPr>
              <w:spacing w:after="0"/>
              <w:rPr>
                <w:sz w:val="22"/>
                <w:szCs w:val="22"/>
                <w:color w:val="auto"/>
              </w:rPr>
            </w:pPr>
          </w:p>
        </w:tc>
        <w:tc>
          <w:tcPr>
            <w:tcW w:w="1180" w:type="dxa"/>
            <w:vAlign w:val="bottom"/>
            <w:shd w:val="clear" w:color="auto" w:fill="DBDBDB"/>
          </w:tcPr>
          <w:p>
            <w:pPr>
              <w:spacing w:after="0"/>
              <w:rPr>
                <w:sz w:val="22"/>
                <w:szCs w:val="22"/>
                <w:color w:val="auto"/>
              </w:rPr>
            </w:pPr>
          </w:p>
        </w:tc>
        <w:tc>
          <w:tcPr>
            <w:tcW w:w="580" w:type="dxa"/>
            <w:vAlign w:val="bottom"/>
            <w:shd w:val="clear" w:color="auto" w:fill="DBDBDB"/>
          </w:tcPr>
          <w:p>
            <w:pPr>
              <w:spacing w:after="0"/>
              <w:rPr>
                <w:sz w:val="22"/>
                <w:szCs w:val="22"/>
                <w:color w:val="auto"/>
              </w:rPr>
            </w:pPr>
          </w:p>
        </w:tc>
        <w:tc>
          <w:tcPr>
            <w:tcW w:w="960" w:type="dxa"/>
            <w:vAlign w:val="bottom"/>
            <w:shd w:val="clear" w:color="auto" w:fill="DBDBDB"/>
          </w:tcPr>
          <w:p>
            <w:pPr>
              <w:spacing w:after="0"/>
              <w:rPr>
                <w:sz w:val="22"/>
                <w:szCs w:val="22"/>
                <w:color w:val="auto"/>
              </w:rPr>
            </w:pPr>
          </w:p>
        </w:tc>
      </w:tr>
      <w:tr>
        <w:trPr>
          <w:trHeight w:val="250"/>
        </w:trPr>
        <w:tc>
          <w:tcPr>
            <w:tcW w:w="81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3,115</w:t>
            </w:r>
          </w:p>
        </w:tc>
        <w:tc>
          <w:tcPr>
            <w:tcW w:w="58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3,222</w:t>
            </w:r>
          </w:p>
        </w:tc>
      </w:tr>
      <w:tr>
        <w:trPr>
          <w:trHeight w:val="263"/>
        </w:trPr>
        <w:tc>
          <w:tcPr>
            <w:tcW w:w="8180" w:type="dxa"/>
            <w:vAlign w:val="bottom"/>
            <w:shd w:val="clear" w:color="auto" w:fill="DBDBDB"/>
          </w:tcPr>
          <w:p>
            <w:pPr>
              <w:ind w:left="300"/>
              <w:spacing w:after="0"/>
              <w:rPr>
                <w:sz w:val="20"/>
                <w:szCs w:val="20"/>
                <w:color w:val="auto"/>
              </w:rPr>
            </w:pPr>
            <w:r>
              <w:rPr>
                <w:rFonts w:ascii="Times New Roman" w:cs="Times New Roman" w:eastAsia="Times New Roman" w:hAnsi="Times New Roman"/>
                <w:sz w:val="18"/>
                <w:szCs w:val="18"/>
                <w:color w:val="auto"/>
              </w:rPr>
              <w:t>ASC 715 pension funding liability</w:t>
            </w:r>
          </w:p>
        </w:tc>
        <w:tc>
          <w:tcPr>
            <w:tcW w:w="340" w:type="dxa"/>
            <w:vAlign w:val="bottom"/>
            <w:shd w:val="clear" w:color="auto" w:fill="DBDBDB"/>
          </w:tcPr>
          <w:p>
            <w:pPr>
              <w:spacing w:after="0"/>
              <w:rPr>
                <w:sz w:val="22"/>
                <w:szCs w:val="22"/>
                <w:color w:val="auto"/>
              </w:rPr>
            </w:pPr>
          </w:p>
        </w:tc>
        <w:tc>
          <w:tcPr>
            <w:tcW w:w="1180" w:type="dxa"/>
            <w:vAlign w:val="bottom"/>
            <w:shd w:val="clear" w:color="auto" w:fill="DBDBDB"/>
          </w:tcPr>
          <w:p>
            <w:pPr>
              <w:jc w:val="right"/>
              <w:ind w:right="30"/>
              <w:spacing w:after="0"/>
              <w:rPr>
                <w:sz w:val="20"/>
                <w:szCs w:val="20"/>
                <w:color w:val="auto"/>
              </w:rPr>
            </w:pPr>
            <w:r>
              <w:rPr>
                <w:rFonts w:ascii="Times New Roman" w:cs="Times New Roman" w:eastAsia="Times New Roman" w:hAnsi="Times New Roman"/>
                <w:sz w:val="18"/>
                <w:szCs w:val="18"/>
                <w:color w:val="auto"/>
              </w:rPr>
              <w:t>987</w:t>
            </w:r>
          </w:p>
        </w:tc>
        <w:tc>
          <w:tcPr>
            <w:tcW w:w="580" w:type="dxa"/>
            <w:vAlign w:val="bottom"/>
            <w:shd w:val="clear" w:color="auto" w:fill="DBDBDB"/>
          </w:tcPr>
          <w:p>
            <w:pPr>
              <w:spacing w:after="0"/>
              <w:rPr>
                <w:sz w:val="22"/>
                <w:szCs w:val="22"/>
                <w:color w:val="auto"/>
              </w:rPr>
            </w:pPr>
          </w:p>
        </w:tc>
        <w:tc>
          <w:tcPr>
            <w:tcW w:w="9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1,594</w:t>
            </w:r>
          </w:p>
        </w:tc>
      </w:tr>
      <w:tr>
        <w:trPr>
          <w:trHeight w:val="250"/>
        </w:trPr>
        <w:tc>
          <w:tcPr>
            <w:tcW w:w="81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Supplemental executive retirement plan accrual</w:t>
            </w:r>
          </w:p>
        </w:tc>
        <w:tc>
          <w:tcPr>
            <w:tcW w:w="34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2,328</w:t>
            </w:r>
          </w:p>
        </w:tc>
        <w:tc>
          <w:tcPr>
            <w:tcW w:w="5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2,311</w:t>
            </w:r>
          </w:p>
        </w:tc>
      </w:tr>
      <w:tr>
        <w:trPr>
          <w:trHeight w:val="263"/>
        </w:trPr>
        <w:tc>
          <w:tcPr>
            <w:tcW w:w="8180" w:type="dxa"/>
            <w:vAlign w:val="bottom"/>
            <w:shd w:val="clear" w:color="auto" w:fill="DBDBDB"/>
          </w:tcPr>
          <w:p>
            <w:pPr>
              <w:ind w:left="300"/>
              <w:spacing w:after="0"/>
              <w:rPr>
                <w:sz w:val="20"/>
                <w:szCs w:val="20"/>
                <w:color w:val="auto"/>
              </w:rPr>
            </w:pPr>
            <w:r>
              <w:rPr>
                <w:rFonts w:ascii="Times New Roman" w:cs="Times New Roman" w:eastAsia="Times New Roman" w:hAnsi="Times New Roman"/>
                <w:sz w:val="18"/>
                <w:szCs w:val="18"/>
                <w:color w:val="auto"/>
              </w:rPr>
              <w:t>Stock compensation</w:t>
            </w:r>
          </w:p>
        </w:tc>
        <w:tc>
          <w:tcPr>
            <w:tcW w:w="340" w:type="dxa"/>
            <w:vAlign w:val="bottom"/>
            <w:shd w:val="clear" w:color="auto" w:fill="DBDBDB"/>
          </w:tcPr>
          <w:p>
            <w:pPr>
              <w:spacing w:after="0"/>
              <w:rPr>
                <w:sz w:val="22"/>
                <w:szCs w:val="22"/>
                <w:color w:val="auto"/>
              </w:rPr>
            </w:pPr>
          </w:p>
        </w:tc>
        <w:tc>
          <w:tcPr>
            <w:tcW w:w="1180" w:type="dxa"/>
            <w:vAlign w:val="bottom"/>
            <w:shd w:val="clear" w:color="auto" w:fill="DBDBDB"/>
          </w:tcPr>
          <w:p>
            <w:pPr>
              <w:jc w:val="right"/>
              <w:ind w:right="30"/>
              <w:spacing w:after="0"/>
              <w:rPr>
                <w:sz w:val="20"/>
                <w:szCs w:val="20"/>
                <w:color w:val="auto"/>
              </w:rPr>
            </w:pPr>
            <w:r>
              <w:rPr>
                <w:rFonts w:ascii="Times New Roman" w:cs="Times New Roman" w:eastAsia="Times New Roman" w:hAnsi="Times New Roman"/>
                <w:sz w:val="18"/>
                <w:szCs w:val="18"/>
                <w:color w:val="auto"/>
              </w:rPr>
              <w:t>2,988</w:t>
            </w:r>
          </w:p>
        </w:tc>
        <w:tc>
          <w:tcPr>
            <w:tcW w:w="580" w:type="dxa"/>
            <w:vAlign w:val="bottom"/>
            <w:shd w:val="clear" w:color="auto" w:fill="DBDBDB"/>
          </w:tcPr>
          <w:p>
            <w:pPr>
              <w:spacing w:after="0"/>
              <w:rPr>
                <w:sz w:val="22"/>
                <w:szCs w:val="22"/>
                <w:color w:val="auto"/>
              </w:rPr>
            </w:pPr>
          </w:p>
        </w:tc>
        <w:tc>
          <w:tcPr>
            <w:tcW w:w="9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2,745</w:t>
            </w:r>
          </w:p>
        </w:tc>
      </w:tr>
      <w:tr>
        <w:trPr>
          <w:trHeight w:val="257"/>
        </w:trPr>
        <w:tc>
          <w:tcPr>
            <w:tcW w:w="8180" w:type="dxa"/>
            <w:vAlign w:val="bottom"/>
          </w:tcPr>
          <w:p>
            <w:pPr>
              <w:ind w:left="300"/>
              <w:spacing w:after="0" w:line="256" w:lineRule="exact"/>
              <w:rPr>
                <w:sz w:val="20"/>
                <w:szCs w:val="20"/>
                <w:color w:val="auto"/>
              </w:rPr>
            </w:pPr>
            <w:r>
              <w:rPr>
                <w:rFonts w:ascii="Times New Roman" w:cs="Times New Roman" w:eastAsia="Times New Roman" w:hAnsi="Times New Roman"/>
                <w:sz w:val="18"/>
                <w:szCs w:val="18"/>
                <w:color w:val="auto"/>
              </w:rPr>
              <w:t xml:space="preserve">Unrealized loss on investment securities available-for-sale </w:t>
            </w:r>
            <w:r>
              <w:rPr>
                <w:rFonts w:ascii="Times New Roman" w:cs="Times New Roman" w:eastAsia="Times New Roman" w:hAnsi="Times New Roman"/>
                <w:sz w:val="23"/>
                <w:szCs w:val="23"/>
                <w:color w:val="auto"/>
                <w:vertAlign w:val="superscript"/>
              </w:rPr>
              <w:t>(1)</w:t>
            </w:r>
          </w:p>
        </w:tc>
        <w:tc>
          <w:tcPr>
            <w:tcW w:w="340" w:type="dxa"/>
            <w:vAlign w:val="bottom"/>
          </w:tcPr>
          <w:p>
            <w:pPr>
              <w:spacing w:after="0"/>
              <w:rPr>
                <w:sz w:val="22"/>
                <w:szCs w:val="22"/>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13,756</w:t>
            </w:r>
          </w:p>
        </w:tc>
        <w:tc>
          <w:tcPr>
            <w:tcW w:w="5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16,798</w:t>
            </w:r>
          </w:p>
        </w:tc>
      </w:tr>
      <w:tr>
        <w:trPr>
          <w:trHeight w:val="257"/>
        </w:trPr>
        <w:tc>
          <w:tcPr>
            <w:tcW w:w="8180" w:type="dxa"/>
            <w:vAlign w:val="bottom"/>
            <w:shd w:val="clear" w:color="auto" w:fill="DBDBDB"/>
          </w:tcPr>
          <w:p>
            <w:pPr>
              <w:ind w:left="30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340" w:type="dxa"/>
            <w:vAlign w:val="bottom"/>
            <w:shd w:val="clear" w:color="auto" w:fill="DBDBDB"/>
          </w:tcPr>
          <w:p>
            <w:pPr>
              <w:spacing w:after="0"/>
              <w:rPr>
                <w:sz w:val="22"/>
                <w:szCs w:val="22"/>
                <w:color w:val="auto"/>
              </w:rPr>
            </w:pPr>
          </w:p>
        </w:tc>
        <w:tc>
          <w:tcPr>
            <w:tcW w:w="1180" w:type="dxa"/>
            <w:vAlign w:val="bottom"/>
            <w:shd w:val="clear" w:color="auto" w:fill="DBDBDB"/>
          </w:tcPr>
          <w:p>
            <w:pPr>
              <w:jc w:val="right"/>
              <w:ind w:right="30"/>
              <w:spacing w:after="0"/>
              <w:rPr>
                <w:sz w:val="20"/>
                <w:szCs w:val="20"/>
                <w:color w:val="auto"/>
              </w:rPr>
            </w:pPr>
            <w:r>
              <w:rPr>
                <w:rFonts w:ascii="Times New Roman" w:cs="Times New Roman" w:eastAsia="Times New Roman" w:hAnsi="Times New Roman"/>
                <w:sz w:val="18"/>
                <w:szCs w:val="18"/>
                <w:color w:val="auto"/>
              </w:rPr>
              <w:t>604</w:t>
            </w:r>
          </w:p>
        </w:tc>
        <w:tc>
          <w:tcPr>
            <w:tcW w:w="580" w:type="dxa"/>
            <w:vAlign w:val="bottom"/>
            <w:shd w:val="clear" w:color="auto" w:fill="DBDBDB"/>
          </w:tcPr>
          <w:p>
            <w:pPr>
              <w:spacing w:after="0"/>
              <w:rPr>
                <w:sz w:val="22"/>
                <w:szCs w:val="22"/>
                <w:color w:val="auto"/>
              </w:rPr>
            </w:pPr>
          </w:p>
        </w:tc>
        <w:tc>
          <w:tcPr>
            <w:tcW w:w="9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772</w:t>
            </w:r>
          </w:p>
        </w:tc>
      </w:tr>
      <w:tr>
        <w:trPr>
          <w:trHeight w:val="250"/>
        </w:trPr>
        <w:tc>
          <w:tcPr>
            <w:tcW w:w="81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Lease liability</w:t>
            </w:r>
          </w:p>
        </w:tc>
        <w:tc>
          <w:tcPr>
            <w:tcW w:w="34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2,020</w:t>
            </w:r>
          </w:p>
        </w:tc>
        <w:tc>
          <w:tcPr>
            <w:tcW w:w="5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2,261</w:t>
            </w:r>
          </w:p>
        </w:tc>
      </w:tr>
      <w:tr>
        <w:trPr>
          <w:trHeight w:val="257"/>
        </w:trPr>
        <w:tc>
          <w:tcPr>
            <w:tcW w:w="8180" w:type="dxa"/>
            <w:vAlign w:val="bottom"/>
            <w:tcBorders>
              <w:bottom w:val="single" w:sz="8" w:color="auto"/>
            </w:tcBorders>
            <w:shd w:val="clear" w:color="auto" w:fill="DBDBDB"/>
          </w:tcPr>
          <w:p>
            <w:pPr>
              <w:ind w:left="30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auto"/>
            </w:tcBorders>
            <w:shd w:val="clear" w:color="auto" w:fill="DBDBDB"/>
          </w:tcPr>
          <w:p>
            <w:pPr>
              <w:spacing w:after="0"/>
              <w:rPr>
                <w:sz w:val="22"/>
                <w:szCs w:val="22"/>
                <w:color w:val="auto"/>
              </w:rPr>
            </w:pPr>
          </w:p>
        </w:tc>
        <w:tc>
          <w:tcPr>
            <w:tcW w:w="1180" w:type="dxa"/>
            <w:vAlign w:val="bottom"/>
            <w:tcBorders>
              <w:bottom w:val="single" w:sz="8" w:color="auto"/>
            </w:tcBorders>
            <w:shd w:val="clear" w:color="auto" w:fill="DBDBDB"/>
          </w:tcPr>
          <w:p>
            <w:pPr>
              <w:jc w:val="right"/>
              <w:ind w:right="30"/>
              <w:spacing w:after="0"/>
              <w:rPr>
                <w:sz w:val="20"/>
                <w:szCs w:val="20"/>
                <w:color w:val="auto"/>
              </w:rPr>
            </w:pPr>
            <w:r>
              <w:rPr>
                <w:rFonts w:ascii="Times New Roman" w:cs="Times New Roman" w:eastAsia="Times New Roman" w:hAnsi="Times New Roman"/>
                <w:sz w:val="18"/>
                <w:szCs w:val="18"/>
                <w:color w:val="auto"/>
              </w:rPr>
              <w:t>330</w:t>
            </w:r>
          </w:p>
        </w:tc>
        <w:tc>
          <w:tcPr>
            <w:tcW w:w="580" w:type="dxa"/>
            <w:vAlign w:val="bottom"/>
            <w:tcBorders>
              <w:bottom w:val="single" w:sz="8" w:color="auto"/>
            </w:tcBorders>
            <w:shd w:val="clear" w:color="auto" w:fill="DBDBDB"/>
          </w:tcPr>
          <w:p>
            <w:pPr>
              <w:spacing w:after="0"/>
              <w:rPr>
                <w:sz w:val="22"/>
                <w:szCs w:val="22"/>
                <w:color w:val="auto"/>
              </w:rPr>
            </w:pPr>
          </w:p>
        </w:tc>
        <w:tc>
          <w:tcPr>
            <w:tcW w:w="96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640</w:t>
            </w:r>
          </w:p>
        </w:tc>
      </w:tr>
      <w:tr>
        <w:trPr>
          <w:trHeight w:val="250"/>
        </w:trPr>
        <w:tc>
          <w:tcPr>
            <w:tcW w:w="818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26,128</w:t>
            </w:r>
          </w:p>
        </w:tc>
        <w:tc>
          <w:tcPr>
            <w:tcW w:w="5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30,343</w:t>
            </w:r>
          </w:p>
        </w:tc>
      </w:tr>
      <w:tr>
        <w:trPr>
          <w:trHeight w:val="257"/>
        </w:trPr>
        <w:tc>
          <w:tcPr>
            <w:tcW w:w="818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340" w:type="dxa"/>
            <w:vAlign w:val="bottom"/>
            <w:shd w:val="clear" w:color="auto" w:fill="DBDBDB"/>
          </w:tcPr>
          <w:p>
            <w:pPr>
              <w:spacing w:after="0"/>
              <w:rPr>
                <w:sz w:val="22"/>
                <w:szCs w:val="22"/>
                <w:color w:val="auto"/>
              </w:rPr>
            </w:pPr>
          </w:p>
        </w:tc>
        <w:tc>
          <w:tcPr>
            <w:tcW w:w="1180" w:type="dxa"/>
            <w:vAlign w:val="bottom"/>
            <w:shd w:val="clear" w:color="auto" w:fill="DBDBDB"/>
          </w:tcPr>
          <w:p>
            <w:pPr>
              <w:spacing w:after="0"/>
              <w:rPr>
                <w:sz w:val="22"/>
                <w:szCs w:val="22"/>
                <w:color w:val="auto"/>
              </w:rPr>
            </w:pPr>
          </w:p>
        </w:tc>
        <w:tc>
          <w:tcPr>
            <w:tcW w:w="580" w:type="dxa"/>
            <w:vAlign w:val="bottom"/>
            <w:shd w:val="clear" w:color="auto" w:fill="DBDBDB"/>
          </w:tcPr>
          <w:p>
            <w:pPr>
              <w:spacing w:after="0"/>
              <w:rPr>
                <w:sz w:val="22"/>
                <w:szCs w:val="22"/>
                <w:color w:val="auto"/>
              </w:rPr>
            </w:pPr>
          </w:p>
        </w:tc>
        <w:tc>
          <w:tcPr>
            <w:tcW w:w="960" w:type="dxa"/>
            <w:vAlign w:val="bottom"/>
            <w:shd w:val="clear" w:color="auto" w:fill="DBDBDB"/>
          </w:tcPr>
          <w:p>
            <w:pPr>
              <w:spacing w:after="0"/>
              <w:rPr>
                <w:sz w:val="22"/>
                <w:szCs w:val="22"/>
                <w:color w:val="auto"/>
              </w:rPr>
            </w:pPr>
          </w:p>
        </w:tc>
      </w:tr>
      <w:tr>
        <w:trPr>
          <w:trHeight w:val="250"/>
        </w:trPr>
        <w:tc>
          <w:tcPr>
            <w:tcW w:w="81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Premises and equipment</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(1,144)</w:t>
            </w:r>
          </w:p>
        </w:tc>
        <w:tc>
          <w:tcPr>
            <w:tcW w:w="58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(1,710)</w:t>
            </w:r>
          </w:p>
        </w:tc>
      </w:tr>
      <w:tr>
        <w:trPr>
          <w:trHeight w:val="263"/>
        </w:trPr>
        <w:tc>
          <w:tcPr>
            <w:tcW w:w="8180" w:type="dxa"/>
            <w:vAlign w:val="bottom"/>
            <w:shd w:val="clear" w:color="auto" w:fill="DBDBDB"/>
          </w:tcPr>
          <w:p>
            <w:pPr>
              <w:ind w:left="300"/>
              <w:spacing w:after="0"/>
              <w:rPr>
                <w:sz w:val="20"/>
                <w:szCs w:val="20"/>
                <w:color w:val="auto"/>
              </w:rPr>
            </w:pPr>
            <w:r>
              <w:rPr>
                <w:rFonts w:ascii="Times New Roman" w:cs="Times New Roman" w:eastAsia="Times New Roman" w:hAnsi="Times New Roman"/>
                <w:sz w:val="18"/>
                <w:szCs w:val="18"/>
                <w:color w:val="auto"/>
              </w:rPr>
              <w:t>Pension</w:t>
            </w:r>
          </w:p>
        </w:tc>
        <w:tc>
          <w:tcPr>
            <w:tcW w:w="340" w:type="dxa"/>
            <w:vAlign w:val="bottom"/>
            <w:shd w:val="clear" w:color="auto" w:fill="DBDBDB"/>
          </w:tcPr>
          <w:p>
            <w:pPr>
              <w:spacing w:after="0"/>
              <w:rPr>
                <w:sz w:val="22"/>
                <w:szCs w:val="22"/>
                <w:color w:val="auto"/>
              </w:rPr>
            </w:pPr>
          </w:p>
        </w:tc>
        <w:tc>
          <w:tcPr>
            <w:tcW w:w="11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(967)</w:t>
            </w:r>
          </w:p>
        </w:tc>
        <w:tc>
          <w:tcPr>
            <w:tcW w:w="580" w:type="dxa"/>
            <w:vAlign w:val="bottom"/>
            <w:shd w:val="clear" w:color="auto" w:fill="DBDBDB"/>
          </w:tcPr>
          <w:p>
            <w:pPr>
              <w:spacing w:after="0"/>
              <w:rPr>
                <w:sz w:val="22"/>
                <w:szCs w:val="22"/>
                <w:color w:val="auto"/>
              </w:rPr>
            </w:pPr>
          </w:p>
        </w:tc>
        <w:tc>
          <w:tcPr>
            <w:tcW w:w="9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(1,141)</w:t>
            </w:r>
          </w:p>
        </w:tc>
      </w:tr>
      <w:tr>
        <w:trPr>
          <w:trHeight w:val="250"/>
        </w:trPr>
        <w:tc>
          <w:tcPr>
            <w:tcW w:w="81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Intangible assets</w:t>
            </w:r>
          </w:p>
        </w:tc>
        <w:tc>
          <w:tcPr>
            <w:tcW w:w="3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(1,828)</w:t>
            </w:r>
          </w:p>
        </w:tc>
        <w:tc>
          <w:tcPr>
            <w:tcW w:w="5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(1,744)</w:t>
            </w:r>
          </w:p>
        </w:tc>
      </w:tr>
      <w:tr>
        <w:trPr>
          <w:trHeight w:val="263"/>
        </w:trPr>
        <w:tc>
          <w:tcPr>
            <w:tcW w:w="8180" w:type="dxa"/>
            <w:vAlign w:val="bottom"/>
            <w:shd w:val="clear" w:color="auto" w:fill="DBDBDB"/>
          </w:tcPr>
          <w:p>
            <w:pPr>
              <w:ind w:left="300"/>
              <w:spacing w:after="0"/>
              <w:rPr>
                <w:sz w:val="20"/>
                <w:szCs w:val="20"/>
                <w:color w:val="auto"/>
              </w:rPr>
            </w:pPr>
            <w:r>
              <w:rPr>
                <w:rFonts w:ascii="Times New Roman" w:cs="Times New Roman" w:eastAsia="Times New Roman" w:hAnsi="Times New Roman"/>
                <w:sz w:val="18"/>
                <w:szCs w:val="18"/>
                <w:color w:val="auto"/>
              </w:rPr>
              <w:t>Right of use asset</w:t>
            </w:r>
          </w:p>
        </w:tc>
        <w:tc>
          <w:tcPr>
            <w:tcW w:w="340" w:type="dxa"/>
            <w:vAlign w:val="bottom"/>
            <w:shd w:val="clear" w:color="auto" w:fill="DBDBDB"/>
          </w:tcPr>
          <w:p>
            <w:pPr>
              <w:spacing w:after="0"/>
              <w:rPr>
                <w:sz w:val="22"/>
                <w:szCs w:val="22"/>
                <w:color w:val="auto"/>
              </w:rPr>
            </w:pPr>
          </w:p>
        </w:tc>
        <w:tc>
          <w:tcPr>
            <w:tcW w:w="11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(1,927)</w:t>
            </w:r>
          </w:p>
        </w:tc>
        <w:tc>
          <w:tcPr>
            <w:tcW w:w="580" w:type="dxa"/>
            <w:vAlign w:val="bottom"/>
            <w:shd w:val="clear" w:color="auto" w:fill="DBDBDB"/>
          </w:tcPr>
          <w:p>
            <w:pPr>
              <w:spacing w:after="0"/>
              <w:rPr>
                <w:sz w:val="22"/>
                <w:szCs w:val="22"/>
                <w:color w:val="auto"/>
              </w:rPr>
            </w:pPr>
          </w:p>
        </w:tc>
        <w:tc>
          <w:tcPr>
            <w:tcW w:w="9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(2,178)</w:t>
            </w:r>
          </w:p>
        </w:tc>
      </w:tr>
      <w:tr>
        <w:trPr>
          <w:trHeight w:val="250"/>
        </w:trPr>
        <w:tc>
          <w:tcPr>
            <w:tcW w:w="81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Prepaid expenses</w:t>
            </w:r>
          </w:p>
        </w:tc>
        <w:tc>
          <w:tcPr>
            <w:tcW w:w="3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(765)</w:t>
            </w:r>
          </w:p>
        </w:tc>
        <w:tc>
          <w:tcPr>
            <w:tcW w:w="5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(847)</w:t>
            </w:r>
          </w:p>
        </w:tc>
      </w:tr>
      <w:tr>
        <w:trPr>
          <w:trHeight w:val="257"/>
        </w:trPr>
        <w:tc>
          <w:tcPr>
            <w:tcW w:w="8180" w:type="dxa"/>
            <w:vAlign w:val="bottom"/>
            <w:tcBorders>
              <w:bottom w:val="single" w:sz="8" w:color="auto"/>
            </w:tcBorders>
            <w:shd w:val="clear" w:color="auto" w:fill="DBDBDB"/>
          </w:tcPr>
          <w:p>
            <w:pPr>
              <w:ind w:left="30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auto"/>
            </w:tcBorders>
            <w:shd w:val="clear" w:color="auto" w:fill="DBDBDB"/>
          </w:tcPr>
          <w:p>
            <w:pPr>
              <w:spacing w:after="0"/>
              <w:rPr>
                <w:sz w:val="22"/>
                <w:szCs w:val="22"/>
                <w:color w:val="auto"/>
              </w:rPr>
            </w:pPr>
          </w:p>
        </w:tc>
        <w:tc>
          <w:tcPr>
            <w:tcW w:w="118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580" w:type="dxa"/>
            <w:vAlign w:val="bottom"/>
            <w:tcBorders>
              <w:bottom w:val="single" w:sz="8" w:color="auto"/>
            </w:tcBorders>
            <w:shd w:val="clear" w:color="auto" w:fill="DBDBDB"/>
          </w:tcPr>
          <w:p>
            <w:pPr>
              <w:spacing w:after="0"/>
              <w:rPr>
                <w:sz w:val="22"/>
                <w:szCs w:val="22"/>
                <w:color w:val="auto"/>
              </w:rPr>
            </w:pPr>
          </w:p>
        </w:tc>
        <w:tc>
          <w:tcPr>
            <w:tcW w:w="96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(144)</w:t>
            </w:r>
          </w:p>
        </w:tc>
      </w:tr>
      <w:tr>
        <w:trPr>
          <w:trHeight w:val="250"/>
        </w:trPr>
        <w:tc>
          <w:tcPr>
            <w:tcW w:w="818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(6,914)</w:t>
            </w:r>
          </w:p>
        </w:tc>
        <w:tc>
          <w:tcPr>
            <w:tcW w:w="5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(7,764)</w:t>
            </w:r>
          </w:p>
        </w:tc>
      </w:tr>
      <w:tr>
        <w:trPr>
          <w:trHeight w:val="250"/>
        </w:trPr>
        <w:tc>
          <w:tcPr>
            <w:tcW w:w="8180" w:type="dxa"/>
            <w:vAlign w:val="bottom"/>
            <w:tcBorders>
              <w:bottom w:val="single" w:sz="8" w:color="auto"/>
            </w:tcBorders>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Net deferred tax assets</w:t>
            </w:r>
          </w:p>
        </w:tc>
        <w:tc>
          <w:tcPr>
            <w:tcW w:w="340" w:type="dxa"/>
            <w:vAlign w:val="bottom"/>
            <w:tcBorders>
              <w:bottom w:val="single" w:sz="8" w:color="auto"/>
            </w:tcBorders>
            <w:shd w:val="clear" w:color="auto" w:fill="DBDBDB"/>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DBDBDB"/>
          </w:tcPr>
          <w:p>
            <w:pPr>
              <w:jc w:val="right"/>
              <w:ind w:right="30"/>
              <w:spacing w:after="0"/>
              <w:rPr>
                <w:sz w:val="20"/>
                <w:szCs w:val="20"/>
                <w:color w:val="auto"/>
              </w:rPr>
            </w:pPr>
            <w:r>
              <w:rPr>
                <w:rFonts w:ascii="Times New Roman" w:cs="Times New Roman" w:eastAsia="Times New Roman" w:hAnsi="Times New Roman"/>
                <w:sz w:val="18"/>
                <w:szCs w:val="18"/>
                <w:color w:val="auto"/>
              </w:rPr>
              <w:t>19,214</w:t>
            </w:r>
          </w:p>
        </w:tc>
        <w:tc>
          <w:tcPr>
            <w:tcW w:w="580" w:type="dxa"/>
            <w:vAlign w:val="bottom"/>
            <w:tcBorders>
              <w:bottom w:val="single" w:sz="8" w:color="auto"/>
            </w:tcBorders>
            <w:shd w:val="clear" w:color="auto" w:fill="DBDBDB"/>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22,579</w:t>
            </w:r>
          </w:p>
        </w:tc>
      </w:tr>
    </w:tbl>
    <w:p>
      <w:pPr>
        <w:spacing w:after="0" w:line="189" w:lineRule="exact"/>
        <w:rPr>
          <w:sz w:val="20"/>
          <w:szCs w:val="20"/>
          <w:color w:val="auto"/>
        </w:rPr>
      </w:pPr>
    </w:p>
    <w:p>
      <w:pPr>
        <w:jc w:val="both"/>
        <w:ind w:left="660" w:hanging="652"/>
        <w:spacing w:after="0" w:line="263" w:lineRule="auto"/>
        <w:tabs>
          <w:tab w:leader="none" w:pos="660" w:val="left"/>
        </w:tabs>
        <w:numPr>
          <w:ilvl w:val="0"/>
          <w:numId w:val="20"/>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deferred tax asset associated with the unrealized losses on securities is mainly a result of changes in interest rates, and the unrealized losses are considered to be temporary as the fair value is expected to recover as the securities approach their respective maturity dates. The issuers of the securities are of high credit quality and all principal amounts are expected to be paid when the securities mature. The Company does not intend to sell and it is more likely than not that the Company will not be required to sell the securities prior to their anticipated recovery.</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valuation allowance would be provided on deferred tax assets when it is more likely than not that some portion of the assets will not be realized. The Company has not established a valuation allowance at December 31, 2023 or 2022, due to management’s belief that it is more likely than not that the deferred tax asset is realizable.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reconciliation of the beginning unrecognized tax benefits balance to the ending balance is presented in the following table:</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4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4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56"/>
        </w:trPr>
        <w:tc>
          <w:tcPr>
            <w:tcW w:w="656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Balance at January 1</w:t>
            </w:r>
          </w:p>
        </w:tc>
        <w:tc>
          <w:tcPr>
            <w:tcW w:w="380" w:type="dxa"/>
            <w:vAlign w:val="bottom"/>
            <w:shd w:val="clear" w:color="auto" w:fill="DBDBDB"/>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DBDBDB"/>
          </w:tcPr>
          <w:p>
            <w:pPr>
              <w:jc w:val="right"/>
              <w:ind w:right="30"/>
              <w:spacing w:after="0"/>
              <w:rPr>
                <w:sz w:val="20"/>
                <w:szCs w:val="20"/>
                <w:color w:val="auto"/>
              </w:rPr>
            </w:pPr>
            <w:r>
              <w:rPr>
                <w:rFonts w:ascii="Times New Roman" w:cs="Times New Roman" w:eastAsia="Times New Roman" w:hAnsi="Times New Roman"/>
                <w:sz w:val="18"/>
                <w:szCs w:val="18"/>
                <w:color w:val="auto"/>
              </w:rPr>
              <w:t>1,252</w:t>
            </w:r>
          </w:p>
        </w:tc>
        <w:tc>
          <w:tcPr>
            <w:tcW w:w="400" w:type="dxa"/>
            <w:vAlign w:val="bottom"/>
            <w:shd w:val="clear" w:color="auto" w:fill="DBDBDB"/>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DBDBDB"/>
          </w:tcPr>
          <w:p>
            <w:pPr>
              <w:jc w:val="right"/>
              <w:ind w:right="30"/>
              <w:spacing w:after="0"/>
              <w:rPr>
                <w:sz w:val="20"/>
                <w:szCs w:val="20"/>
                <w:color w:val="auto"/>
              </w:rPr>
            </w:pPr>
            <w:r>
              <w:rPr>
                <w:rFonts w:ascii="Times New Roman" w:cs="Times New Roman" w:eastAsia="Times New Roman" w:hAnsi="Times New Roman"/>
                <w:sz w:val="18"/>
                <w:szCs w:val="18"/>
                <w:color w:val="auto"/>
              </w:rPr>
              <w:t>1,405</w:t>
            </w:r>
          </w:p>
        </w:tc>
        <w:tc>
          <w:tcPr>
            <w:tcW w:w="400" w:type="dxa"/>
            <w:vAlign w:val="bottom"/>
            <w:shd w:val="clear" w:color="auto" w:fill="DBDBDB"/>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1,231</w:t>
            </w:r>
          </w:p>
        </w:tc>
      </w:tr>
      <w:tr>
        <w:trPr>
          <w:trHeight w:val="211"/>
        </w:trPr>
        <w:tc>
          <w:tcPr>
            <w:tcW w:w="6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Changes in unrecognized tax benefits as a result of tax positions taken during a prior</w:t>
            </w: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41"/>
        </w:trPr>
        <w:tc>
          <w:tcPr>
            <w:tcW w:w="6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year</w:t>
            </w:r>
          </w:p>
        </w:tc>
        <w:tc>
          <w:tcPr>
            <w:tcW w:w="380" w:type="dxa"/>
            <w:vAlign w:val="bottom"/>
          </w:tcPr>
          <w:p>
            <w:pPr>
              <w:spacing w:after="0"/>
              <w:rPr>
                <w:sz w:val="20"/>
                <w:szCs w:val="20"/>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99</w:t>
            </w:r>
          </w:p>
        </w:tc>
        <w:tc>
          <w:tcPr>
            <w:tcW w:w="4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4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r>
      <w:tr>
        <w:trPr>
          <w:trHeight w:val="218"/>
        </w:trPr>
        <w:tc>
          <w:tcPr>
            <w:tcW w:w="6560" w:type="dxa"/>
            <w:vAlign w:val="bottom"/>
            <w:shd w:val="clear" w:color="auto" w:fill="DBDBDB"/>
          </w:tcPr>
          <w:p>
            <w:pPr>
              <w:ind w:left="360"/>
              <w:spacing w:after="0"/>
              <w:rPr>
                <w:sz w:val="20"/>
                <w:szCs w:val="20"/>
                <w:color w:val="auto"/>
              </w:rPr>
            </w:pPr>
            <w:r>
              <w:rPr>
                <w:rFonts w:ascii="Times New Roman" w:cs="Times New Roman" w:eastAsia="Times New Roman" w:hAnsi="Times New Roman"/>
                <w:sz w:val="18"/>
                <w:szCs w:val="18"/>
                <w:color w:val="auto"/>
              </w:rPr>
              <w:t>Changes in unrecognized tax benefits as a result of tax position taken during the</w:t>
            </w:r>
          </w:p>
        </w:tc>
        <w:tc>
          <w:tcPr>
            <w:tcW w:w="380" w:type="dxa"/>
            <w:vAlign w:val="bottom"/>
            <w:shd w:val="clear" w:color="auto" w:fill="DBDBDB"/>
          </w:tcPr>
          <w:p>
            <w:pPr>
              <w:spacing w:after="0"/>
              <w:rPr>
                <w:sz w:val="18"/>
                <w:szCs w:val="18"/>
                <w:color w:val="auto"/>
              </w:rPr>
            </w:pPr>
          </w:p>
        </w:tc>
        <w:tc>
          <w:tcPr>
            <w:tcW w:w="1180" w:type="dxa"/>
            <w:vAlign w:val="bottom"/>
            <w:shd w:val="clear" w:color="auto" w:fill="DBDBDB"/>
          </w:tcPr>
          <w:p>
            <w:pPr>
              <w:spacing w:after="0"/>
              <w:rPr>
                <w:sz w:val="18"/>
                <w:szCs w:val="18"/>
                <w:color w:val="auto"/>
              </w:rPr>
            </w:pPr>
          </w:p>
        </w:tc>
        <w:tc>
          <w:tcPr>
            <w:tcW w:w="400" w:type="dxa"/>
            <w:vAlign w:val="bottom"/>
            <w:shd w:val="clear" w:color="auto" w:fill="DBDBDB"/>
          </w:tcPr>
          <w:p>
            <w:pPr>
              <w:spacing w:after="0"/>
              <w:rPr>
                <w:sz w:val="18"/>
                <w:szCs w:val="18"/>
                <w:color w:val="auto"/>
              </w:rPr>
            </w:pPr>
          </w:p>
        </w:tc>
        <w:tc>
          <w:tcPr>
            <w:tcW w:w="1180" w:type="dxa"/>
            <w:vAlign w:val="bottom"/>
            <w:shd w:val="clear" w:color="auto" w:fill="DBDBDB"/>
          </w:tcPr>
          <w:p>
            <w:pPr>
              <w:spacing w:after="0"/>
              <w:rPr>
                <w:sz w:val="18"/>
                <w:szCs w:val="18"/>
                <w:color w:val="auto"/>
              </w:rPr>
            </w:pPr>
          </w:p>
        </w:tc>
        <w:tc>
          <w:tcPr>
            <w:tcW w:w="400" w:type="dxa"/>
            <w:vAlign w:val="bottom"/>
            <w:shd w:val="clear" w:color="auto" w:fill="DBDBDB"/>
          </w:tcPr>
          <w:p>
            <w:pPr>
              <w:spacing w:after="0"/>
              <w:rPr>
                <w:sz w:val="18"/>
                <w:szCs w:val="18"/>
                <w:color w:val="auto"/>
              </w:rPr>
            </w:pPr>
          </w:p>
        </w:tc>
        <w:tc>
          <w:tcPr>
            <w:tcW w:w="1140" w:type="dxa"/>
            <w:vAlign w:val="bottom"/>
            <w:shd w:val="clear" w:color="auto" w:fill="DBDBDB"/>
          </w:tcPr>
          <w:p>
            <w:pPr>
              <w:spacing w:after="0"/>
              <w:rPr>
                <w:sz w:val="18"/>
                <w:szCs w:val="18"/>
                <w:color w:val="auto"/>
              </w:rPr>
            </w:pPr>
          </w:p>
        </w:tc>
      </w:tr>
      <w:tr>
        <w:trPr>
          <w:trHeight w:val="248"/>
        </w:trPr>
        <w:tc>
          <w:tcPr>
            <w:tcW w:w="6560" w:type="dxa"/>
            <w:vAlign w:val="bottom"/>
            <w:shd w:val="clear" w:color="auto" w:fill="DBDBDB"/>
          </w:tcPr>
          <w:p>
            <w:pPr>
              <w:ind w:left="360"/>
              <w:spacing w:after="0"/>
              <w:rPr>
                <w:sz w:val="20"/>
                <w:szCs w:val="20"/>
                <w:color w:val="auto"/>
              </w:rPr>
            </w:pPr>
            <w:r>
              <w:rPr>
                <w:rFonts w:ascii="Times New Roman" w:cs="Times New Roman" w:eastAsia="Times New Roman" w:hAnsi="Times New Roman"/>
                <w:sz w:val="18"/>
                <w:szCs w:val="18"/>
                <w:color w:val="auto"/>
              </w:rPr>
              <w:t>current year</w:t>
            </w:r>
          </w:p>
        </w:tc>
        <w:tc>
          <w:tcPr>
            <w:tcW w:w="380" w:type="dxa"/>
            <w:vAlign w:val="bottom"/>
            <w:shd w:val="clear" w:color="auto" w:fill="DBDBDB"/>
          </w:tcPr>
          <w:p>
            <w:pPr>
              <w:spacing w:after="0"/>
              <w:rPr>
                <w:sz w:val="21"/>
                <w:szCs w:val="21"/>
                <w:color w:val="auto"/>
              </w:rPr>
            </w:pPr>
          </w:p>
        </w:tc>
        <w:tc>
          <w:tcPr>
            <w:tcW w:w="1180" w:type="dxa"/>
            <w:vAlign w:val="bottom"/>
            <w:shd w:val="clear" w:color="auto" w:fill="DBDBDB"/>
          </w:tcPr>
          <w:p>
            <w:pPr>
              <w:jc w:val="right"/>
              <w:ind w:right="30"/>
              <w:spacing w:after="0"/>
              <w:rPr>
                <w:sz w:val="20"/>
                <w:szCs w:val="20"/>
                <w:color w:val="auto"/>
              </w:rPr>
            </w:pPr>
            <w:r>
              <w:rPr>
                <w:rFonts w:ascii="Times New Roman" w:cs="Times New Roman" w:eastAsia="Times New Roman" w:hAnsi="Times New Roman"/>
                <w:sz w:val="18"/>
                <w:szCs w:val="18"/>
                <w:color w:val="auto"/>
              </w:rPr>
              <w:t>300</w:t>
            </w:r>
          </w:p>
        </w:tc>
        <w:tc>
          <w:tcPr>
            <w:tcW w:w="400" w:type="dxa"/>
            <w:vAlign w:val="bottom"/>
            <w:shd w:val="clear" w:color="auto" w:fill="DBDBDB"/>
          </w:tcPr>
          <w:p>
            <w:pPr>
              <w:spacing w:after="0"/>
              <w:rPr>
                <w:sz w:val="21"/>
                <w:szCs w:val="21"/>
                <w:color w:val="auto"/>
              </w:rPr>
            </w:pPr>
          </w:p>
        </w:tc>
        <w:tc>
          <w:tcPr>
            <w:tcW w:w="1180" w:type="dxa"/>
            <w:vAlign w:val="bottom"/>
            <w:shd w:val="clear" w:color="auto" w:fill="DBDBDB"/>
          </w:tcPr>
          <w:p>
            <w:pPr>
              <w:jc w:val="right"/>
              <w:ind w:right="30"/>
              <w:spacing w:after="0"/>
              <w:rPr>
                <w:sz w:val="20"/>
                <w:szCs w:val="20"/>
                <w:color w:val="auto"/>
              </w:rPr>
            </w:pPr>
            <w:r>
              <w:rPr>
                <w:rFonts w:ascii="Times New Roman" w:cs="Times New Roman" w:eastAsia="Times New Roman" w:hAnsi="Times New Roman"/>
                <w:sz w:val="18"/>
                <w:szCs w:val="18"/>
                <w:color w:val="auto"/>
              </w:rPr>
              <w:t>222</w:t>
            </w:r>
          </w:p>
        </w:tc>
        <w:tc>
          <w:tcPr>
            <w:tcW w:w="400" w:type="dxa"/>
            <w:vAlign w:val="bottom"/>
            <w:shd w:val="clear" w:color="auto" w:fill="DBDBDB"/>
          </w:tcPr>
          <w:p>
            <w:pPr>
              <w:spacing w:after="0"/>
              <w:rPr>
                <w:sz w:val="21"/>
                <w:szCs w:val="21"/>
                <w:color w:val="auto"/>
              </w:rPr>
            </w:pPr>
          </w:p>
        </w:tc>
        <w:tc>
          <w:tcPr>
            <w:tcW w:w="11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239</w:t>
            </w:r>
          </w:p>
        </w:tc>
      </w:tr>
      <w:tr>
        <w:trPr>
          <w:trHeight w:val="211"/>
        </w:trPr>
        <w:tc>
          <w:tcPr>
            <w:tcW w:w="6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Reductions to unrecognized tax benefits as a result of a lapse of the applicable statute</w:t>
            </w: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41"/>
        </w:trPr>
        <w:tc>
          <w:tcPr>
            <w:tcW w:w="656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of limitations</w:t>
            </w:r>
          </w:p>
        </w:tc>
        <w:tc>
          <w:tcPr>
            <w:tcW w:w="3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4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4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w:t>
            </w:r>
          </w:p>
        </w:tc>
      </w:tr>
      <w:tr>
        <w:trPr>
          <w:trHeight w:val="250"/>
        </w:trPr>
        <w:tc>
          <w:tcPr>
            <w:tcW w:w="6560" w:type="dxa"/>
            <w:vAlign w:val="bottom"/>
            <w:tcBorders>
              <w:bottom w:val="single" w:sz="8" w:color="auto"/>
            </w:tcBorders>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Balance at December 31</w:t>
            </w:r>
          </w:p>
        </w:tc>
        <w:tc>
          <w:tcPr>
            <w:tcW w:w="380" w:type="dxa"/>
            <w:vAlign w:val="bottom"/>
            <w:tcBorders>
              <w:bottom w:val="single" w:sz="8" w:color="auto"/>
            </w:tcBorders>
            <w:shd w:val="clear" w:color="auto" w:fill="DBDBDB"/>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DBDBDB"/>
          </w:tcPr>
          <w:p>
            <w:pPr>
              <w:jc w:val="right"/>
              <w:ind w:right="30"/>
              <w:spacing w:after="0"/>
              <w:rPr>
                <w:sz w:val="20"/>
                <w:szCs w:val="20"/>
                <w:color w:val="auto"/>
              </w:rPr>
            </w:pPr>
            <w:r>
              <w:rPr>
                <w:rFonts w:ascii="Times New Roman" w:cs="Times New Roman" w:eastAsia="Times New Roman" w:hAnsi="Times New Roman"/>
                <w:sz w:val="18"/>
                <w:szCs w:val="18"/>
                <w:color w:val="auto"/>
              </w:rPr>
              <w:t>1,397</w:t>
            </w:r>
          </w:p>
        </w:tc>
        <w:tc>
          <w:tcPr>
            <w:tcW w:w="400" w:type="dxa"/>
            <w:vAlign w:val="bottom"/>
            <w:tcBorders>
              <w:bottom w:val="single" w:sz="8" w:color="auto"/>
            </w:tcBorders>
            <w:shd w:val="clear" w:color="auto" w:fill="DBDBDB"/>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DBDBDB"/>
          </w:tcPr>
          <w:p>
            <w:pPr>
              <w:jc w:val="right"/>
              <w:ind w:right="30"/>
              <w:spacing w:after="0"/>
              <w:rPr>
                <w:sz w:val="20"/>
                <w:szCs w:val="20"/>
                <w:color w:val="auto"/>
              </w:rPr>
            </w:pPr>
            <w:r>
              <w:rPr>
                <w:rFonts w:ascii="Times New Roman" w:cs="Times New Roman" w:eastAsia="Times New Roman" w:hAnsi="Times New Roman"/>
                <w:sz w:val="18"/>
                <w:szCs w:val="18"/>
                <w:color w:val="auto"/>
              </w:rPr>
              <w:t>1,252</w:t>
            </w:r>
          </w:p>
        </w:tc>
        <w:tc>
          <w:tcPr>
            <w:tcW w:w="400" w:type="dxa"/>
            <w:vAlign w:val="bottom"/>
            <w:tcBorders>
              <w:bottom w:val="single" w:sz="8" w:color="auto"/>
            </w:tcBorders>
            <w:shd w:val="clear" w:color="auto" w:fill="DBDBDB"/>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1,405</w:t>
            </w:r>
          </w:p>
        </w:tc>
      </w:tr>
    </w:tbl>
    <w:p>
      <w:pPr>
        <w:spacing w:after="0" w:line="2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December 31, 2023, 2022 and 2021, the balances of the Company’s unrecognized tax benefits which would, if recognized, affect the Company’s effective tax rate were $1,285,000, $1,129,000 and $1,134,000, respectively. These amounts are net of the offsetting expense from other taxing jurisdictions.</w:t>
      </w:r>
    </w:p>
    <w:p>
      <w:pPr>
        <w:sectPr>
          <w:pgSz w:w="11900" w:h="16838" w:orient="portrait"/>
          <w:cols w:equalWidth="0" w:num="1">
            <w:col w:w="11240"/>
          </w:cols>
          <w:pgMar w:left="320" w:top="333" w:right="339" w:bottom="1440" w:gutter="0" w:footer="0" w:header="0"/>
        </w:sect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type w:val="continuous"/>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2023, 2022 and 2021, the Company had $117,000, $84,000 and $85,000, respectively, in accrued interest related to unrecognized tax benefits.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believes it is reasonably possible that the total amount of unrecognized tax benefits will decrease by approximately $285,000 over the next 12 months. The reduction primarily relates to the anticipated lapse in the statute of limitations. The unrecognized tax benefits relate primarily to apportionment of taxable income among various state tax jurisdictions.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is subject to income tax in the U.S. federal jurisdiction, numerous state jurisdictions, and a foreign jurisdiction. The Company’s federal income tax returns for tax years 2020, 2021 and 2022 remain subject to examination by the Internal Revenue Service. In addition, the Company is subject to state tax examinations for the tax years 2019 through 2022.</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Disclosures about Fair Value of Financial Instruments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Following</w:t>
            </w:r>
          </w:p>
        </w:tc>
        <w:tc>
          <w:tcPr>
            <w:tcW w:w="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is</w:t>
            </w:r>
          </w:p>
        </w:tc>
        <w:tc>
          <w:tcPr>
            <w:tcW w:w="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w:t>
            </w:r>
          </w:p>
        </w:tc>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summary</w:t>
            </w:r>
          </w:p>
        </w:tc>
        <w:tc>
          <w:tcPr>
            <w:tcW w:w="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of</w:t>
            </w:r>
          </w:p>
        </w:tc>
        <w:tc>
          <w:tcPr>
            <w:tcW w:w="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the</w:t>
            </w:r>
          </w:p>
        </w:tc>
        <w:tc>
          <w:tcPr>
            <w:tcW w:w="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carrying</w:t>
            </w: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amounts</w:t>
            </w:r>
          </w:p>
        </w:tc>
        <w:tc>
          <w:tcPr>
            <w:tcW w:w="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and</w:t>
            </w:r>
          </w:p>
        </w:tc>
        <w:tc>
          <w:tcPr>
            <w:tcW w:w="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5"/>
              </w:rPr>
              <w:t>fair</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values</w:t>
            </w:r>
          </w:p>
        </w:tc>
        <w:tc>
          <w:tcPr>
            <w:tcW w:w="38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3"/>
              </w:rPr>
              <w:t>of</w:t>
            </w:r>
          </w:p>
        </w:tc>
        <w:tc>
          <w:tcPr>
            <w:tcW w:w="5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the</w:t>
            </w:r>
          </w:p>
        </w:tc>
        <w:tc>
          <w:tcPr>
            <w:tcW w:w="160" w:type="dxa"/>
            <w:vAlign w:val="bottom"/>
          </w:tcPr>
          <w:p>
            <w:pPr>
              <w:spacing w:after="0"/>
              <w:rPr>
                <w:sz w:val="20"/>
                <w:szCs w:val="20"/>
                <w:color w:val="auto"/>
              </w:rPr>
            </w:pPr>
          </w:p>
        </w:tc>
        <w:tc>
          <w:tcPr>
            <w:tcW w:w="10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Company’s</w:t>
            </w:r>
          </w:p>
        </w:tc>
        <w:tc>
          <w:tcPr>
            <w:tcW w:w="9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financial</w:t>
            </w:r>
          </w:p>
        </w:tc>
        <w:tc>
          <w:tcPr>
            <w:tcW w:w="10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98"/>
              </w:rPr>
              <w:t>instruments:</w:t>
            </w:r>
          </w:p>
        </w:tc>
        <w:tc>
          <w:tcPr>
            <w:tcW w:w="0" w:type="dxa"/>
            <w:vAlign w:val="bottom"/>
          </w:tcPr>
          <w:p>
            <w:pPr>
              <w:spacing w:after="0"/>
              <w:rPr>
                <w:sz w:val="1"/>
                <w:szCs w:val="1"/>
                <w:color w:val="auto"/>
              </w:rPr>
            </w:pPr>
          </w:p>
        </w:tc>
      </w:tr>
      <w:tr>
        <w:trPr>
          <w:trHeight w:val="257"/>
        </w:trPr>
        <w:tc>
          <w:tcPr>
            <w:tcW w:w="1000" w:type="dxa"/>
            <w:vAlign w:val="bottom"/>
            <w:tcBorders>
              <w:bottom w:val="single" w:sz="8" w:color="DBDBDB"/>
            </w:tcBorders>
          </w:tcPr>
          <w:p>
            <w:pPr>
              <w:spacing w:after="0"/>
              <w:rPr>
                <w:sz w:val="22"/>
                <w:szCs w:val="22"/>
                <w:color w:val="auto"/>
              </w:rPr>
            </w:pPr>
          </w:p>
        </w:tc>
        <w:tc>
          <w:tcPr>
            <w:tcW w:w="300" w:type="dxa"/>
            <w:vAlign w:val="bottom"/>
            <w:tcBorders>
              <w:bottom w:val="single" w:sz="8" w:color="DBDBDB"/>
            </w:tcBorders>
          </w:tcPr>
          <w:p>
            <w:pPr>
              <w:spacing w:after="0"/>
              <w:rPr>
                <w:sz w:val="22"/>
                <w:szCs w:val="22"/>
                <w:color w:val="auto"/>
              </w:rPr>
            </w:pPr>
          </w:p>
        </w:tc>
        <w:tc>
          <w:tcPr>
            <w:tcW w:w="500" w:type="dxa"/>
            <w:vAlign w:val="bottom"/>
            <w:tcBorders>
              <w:bottom w:val="single" w:sz="8" w:color="DBDBDB"/>
            </w:tcBorders>
          </w:tcPr>
          <w:p>
            <w:pPr>
              <w:spacing w:after="0"/>
              <w:rPr>
                <w:sz w:val="22"/>
                <w:szCs w:val="22"/>
                <w:color w:val="auto"/>
              </w:rPr>
            </w:pPr>
          </w:p>
        </w:tc>
        <w:tc>
          <w:tcPr>
            <w:tcW w:w="840" w:type="dxa"/>
            <w:vAlign w:val="bottom"/>
            <w:tcBorders>
              <w:bottom w:val="single" w:sz="8" w:color="DBDBDB"/>
            </w:tcBorders>
          </w:tcPr>
          <w:p>
            <w:pPr>
              <w:spacing w:after="0"/>
              <w:rPr>
                <w:sz w:val="22"/>
                <w:szCs w:val="22"/>
                <w:color w:val="auto"/>
              </w:rPr>
            </w:pPr>
          </w:p>
        </w:tc>
        <w:tc>
          <w:tcPr>
            <w:tcW w:w="440" w:type="dxa"/>
            <w:vAlign w:val="bottom"/>
            <w:tcBorders>
              <w:bottom w:val="single" w:sz="8" w:color="DBDBDB"/>
            </w:tcBorders>
          </w:tcPr>
          <w:p>
            <w:pPr>
              <w:spacing w:after="0"/>
              <w:rPr>
                <w:sz w:val="22"/>
                <w:szCs w:val="22"/>
                <w:color w:val="auto"/>
              </w:rPr>
            </w:pPr>
          </w:p>
        </w:tc>
        <w:tc>
          <w:tcPr>
            <w:tcW w:w="500" w:type="dxa"/>
            <w:vAlign w:val="bottom"/>
            <w:tcBorders>
              <w:bottom w:val="single" w:sz="8" w:color="DBDBDB"/>
            </w:tcBorders>
          </w:tcPr>
          <w:p>
            <w:pPr>
              <w:spacing w:after="0"/>
              <w:rPr>
                <w:sz w:val="22"/>
                <w:szCs w:val="22"/>
                <w:color w:val="auto"/>
              </w:rPr>
            </w:pPr>
          </w:p>
        </w:tc>
        <w:tc>
          <w:tcPr>
            <w:tcW w:w="900" w:type="dxa"/>
            <w:vAlign w:val="bottom"/>
            <w:tcBorders>
              <w:bottom w:val="single" w:sz="8" w:color="DBDBDB"/>
            </w:tcBorders>
          </w:tcPr>
          <w:p>
            <w:pPr>
              <w:spacing w:after="0"/>
              <w:rPr>
                <w:sz w:val="22"/>
                <w:szCs w:val="22"/>
                <w:color w:val="auto"/>
              </w:rPr>
            </w:pPr>
          </w:p>
        </w:tc>
        <w:tc>
          <w:tcPr>
            <w:tcW w:w="460" w:type="dxa"/>
            <w:vAlign w:val="bottom"/>
            <w:tcBorders>
              <w:bottom w:val="single" w:sz="8" w:color="DBDBDB"/>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34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100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500" w:type="dxa"/>
            <w:vAlign w:val="bottom"/>
            <w:shd w:val="clear" w:color="auto" w:fill="DBDBDB"/>
          </w:tcPr>
          <w:p>
            <w:pPr>
              <w:spacing w:after="0"/>
              <w:rPr>
                <w:sz w:val="19"/>
                <w:szCs w:val="19"/>
                <w:color w:val="auto"/>
              </w:rPr>
            </w:pPr>
          </w:p>
        </w:tc>
        <w:tc>
          <w:tcPr>
            <w:tcW w:w="840" w:type="dxa"/>
            <w:vAlign w:val="bottom"/>
            <w:shd w:val="clear" w:color="auto" w:fill="DBDBDB"/>
          </w:tcPr>
          <w:p>
            <w:pPr>
              <w:spacing w:after="0"/>
              <w:rPr>
                <w:sz w:val="19"/>
                <w:szCs w:val="19"/>
                <w:color w:val="auto"/>
              </w:rPr>
            </w:pPr>
          </w:p>
        </w:tc>
        <w:tc>
          <w:tcPr>
            <w:tcW w:w="440" w:type="dxa"/>
            <w:vAlign w:val="bottom"/>
            <w:shd w:val="clear" w:color="auto" w:fill="DBDBDB"/>
          </w:tcPr>
          <w:p>
            <w:pPr>
              <w:spacing w:after="0"/>
              <w:rPr>
                <w:sz w:val="19"/>
                <w:szCs w:val="19"/>
                <w:color w:val="auto"/>
              </w:rPr>
            </w:pPr>
          </w:p>
        </w:tc>
        <w:tc>
          <w:tcPr>
            <w:tcW w:w="500" w:type="dxa"/>
            <w:vAlign w:val="bottom"/>
            <w:shd w:val="clear" w:color="auto" w:fill="DBDBDB"/>
          </w:tcPr>
          <w:p>
            <w:pPr>
              <w:spacing w:after="0"/>
              <w:rPr>
                <w:sz w:val="19"/>
                <w:szCs w:val="19"/>
                <w:color w:val="auto"/>
              </w:rPr>
            </w:pPr>
          </w:p>
        </w:tc>
        <w:tc>
          <w:tcPr>
            <w:tcW w:w="900" w:type="dxa"/>
            <w:vAlign w:val="bottom"/>
            <w:shd w:val="clear" w:color="auto" w:fill="DBDBDB"/>
          </w:tcPr>
          <w:p>
            <w:pPr>
              <w:spacing w:after="0"/>
              <w:rPr>
                <w:sz w:val="19"/>
                <w:szCs w:val="19"/>
                <w:color w:val="auto"/>
              </w:rPr>
            </w:pPr>
          </w:p>
        </w:tc>
        <w:tc>
          <w:tcPr>
            <w:tcW w:w="460" w:type="dxa"/>
            <w:vAlign w:val="bottom"/>
            <w:shd w:val="clear" w:color="auto" w:fill="DBDBDB"/>
          </w:tcPr>
          <w:p>
            <w:pPr>
              <w:spacing w:after="0"/>
              <w:rPr>
                <w:sz w:val="19"/>
                <w:szCs w:val="19"/>
                <w:color w:val="auto"/>
              </w:rPr>
            </w:pPr>
          </w:p>
        </w:tc>
        <w:tc>
          <w:tcPr>
            <w:tcW w:w="340" w:type="dxa"/>
            <w:vAlign w:val="bottom"/>
            <w:tcBorders>
              <w:bottom w:val="single" w:sz="8" w:color="auto"/>
            </w:tcBorders>
            <w:shd w:val="clear" w:color="auto" w:fill="DBDBDB"/>
          </w:tcPr>
          <w:p>
            <w:pPr>
              <w:spacing w:after="0"/>
              <w:rPr>
                <w:sz w:val="19"/>
                <w:szCs w:val="19"/>
                <w:color w:val="auto"/>
              </w:rPr>
            </w:pPr>
          </w:p>
        </w:tc>
        <w:tc>
          <w:tcPr>
            <w:tcW w:w="780" w:type="dxa"/>
            <w:vAlign w:val="bottom"/>
            <w:tcBorders>
              <w:bottom w:val="single" w:sz="8" w:color="auto"/>
            </w:tcBorders>
            <w:shd w:val="clear" w:color="auto" w:fill="DBDBDB"/>
          </w:tcPr>
          <w:p>
            <w:pPr>
              <w:spacing w:after="0"/>
              <w:rPr>
                <w:sz w:val="19"/>
                <w:szCs w:val="19"/>
                <w:color w:val="auto"/>
              </w:rPr>
            </w:pPr>
          </w:p>
        </w:tc>
        <w:tc>
          <w:tcPr>
            <w:tcW w:w="1080" w:type="dxa"/>
            <w:vAlign w:val="bottom"/>
            <w:tcBorders>
              <w:bottom w:val="single" w:sz="8" w:color="auto"/>
            </w:tcBorders>
            <w:gridSpan w:val="2"/>
            <w:shd w:val="clear" w:color="auto" w:fill="DBDBDB"/>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80" w:type="dxa"/>
            <w:vAlign w:val="bottom"/>
            <w:tcBorders>
              <w:bottom w:val="single" w:sz="8" w:color="auto"/>
            </w:tcBorders>
            <w:shd w:val="clear" w:color="auto" w:fill="DBDBDB"/>
          </w:tcPr>
          <w:p>
            <w:pPr>
              <w:spacing w:after="0"/>
              <w:rPr>
                <w:sz w:val="19"/>
                <w:szCs w:val="19"/>
                <w:color w:val="auto"/>
              </w:rPr>
            </w:pPr>
          </w:p>
        </w:tc>
        <w:tc>
          <w:tcPr>
            <w:tcW w:w="480" w:type="dxa"/>
            <w:vAlign w:val="bottom"/>
            <w:tcBorders>
              <w:bottom w:val="single" w:sz="8" w:color="auto"/>
            </w:tcBorders>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60" w:type="dxa"/>
            <w:vAlign w:val="bottom"/>
            <w:tcBorders>
              <w:bottom w:val="single" w:sz="8" w:color="auto"/>
            </w:tcBorders>
            <w:shd w:val="clear" w:color="auto" w:fill="DBDBDB"/>
          </w:tcPr>
          <w:p>
            <w:pPr>
              <w:spacing w:after="0"/>
              <w:rPr>
                <w:sz w:val="19"/>
                <w:szCs w:val="19"/>
                <w:color w:val="auto"/>
              </w:rPr>
            </w:pPr>
          </w:p>
        </w:tc>
        <w:tc>
          <w:tcPr>
            <w:tcW w:w="1000" w:type="dxa"/>
            <w:vAlign w:val="bottom"/>
            <w:tcBorders>
              <w:bottom w:val="single" w:sz="8" w:color="auto"/>
            </w:tcBorders>
            <w:shd w:val="clear" w:color="auto" w:fill="DBDBDB"/>
          </w:tcPr>
          <w:p>
            <w:pPr>
              <w:spacing w:after="0"/>
              <w:rPr>
                <w:sz w:val="19"/>
                <w:szCs w:val="19"/>
                <w:color w:val="auto"/>
              </w:rPr>
            </w:pPr>
          </w:p>
        </w:tc>
        <w:tc>
          <w:tcPr>
            <w:tcW w:w="640" w:type="dxa"/>
            <w:vAlign w:val="bottom"/>
            <w:tcBorders>
              <w:bottom w:val="single" w:sz="8" w:color="auto"/>
            </w:tcBorders>
            <w:gridSpan w:val="2"/>
            <w:shd w:val="clear" w:color="auto" w:fill="DBDBDB"/>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00" w:type="dxa"/>
            <w:vAlign w:val="bottom"/>
            <w:tcBorders>
              <w:bottom w:val="single" w:sz="8" w:color="auto"/>
            </w:tcBorders>
            <w:shd w:val="clear" w:color="auto" w:fill="DBDBDB"/>
          </w:tcPr>
          <w:p>
            <w:pPr>
              <w:spacing w:after="0"/>
              <w:rPr>
                <w:sz w:val="19"/>
                <w:szCs w:val="19"/>
                <w:color w:val="auto"/>
              </w:rPr>
            </w:pPr>
          </w:p>
        </w:tc>
        <w:tc>
          <w:tcPr>
            <w:tcW w:w="960" w:type="dxa"/>
            <w:vAlign w:val="bottom"/>
            <w:tcBorders>
              <w:bottom w:val="single" w:sz="8" w:color="auto"/>
            </w:tcBorders>
            <w:shd w:val="clear" w:color="auto" w:fill="DBDBDB"/>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13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5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w w:val="98"/>
              </w:rPr>
              <w:t>Carrying</w:t>
            </w:r>
          </w:p>
        </w:tc>
        <w:tc>
          <w:tcPr>
            <w:tcW w:w="380" w:type="dxa"/>
            <w:vAlign w:val="bottom"/>
          </w:tcPr>
          <w:p>
            <w:pPr>
              <w:spacing w:after="0"/>
              <w:rPr>
                <w:sz w:val="14"/>
                <w:szCs w:val="14"/>
                <w:color w:val="auto"/>
              </w:rPr>
            </w:pPr>
          </w:p>
        </w:tc>
        <w:tc>
          <w:tcPr>
            <w:tcW w:w="1660" w:type="dxa"/>
            <w:vAlign w:val="bottom"/>
            <w:gridSpan w:val="4"/>
            <w:vMerge w:val="restart"/>
          </w:tcPr>
          <w:p>
            <w:pPr>
              <w:ind w:left="42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60" w:type="dxa"/>
            <w:vAlign w:val="bottom"/>
          </w:tcPr>
          <w:p>
            <w:pPr>
              <w:spacing w:after="0"/>
              <w:rPr>
                <w:sz w:val="14"/>
                <w:szCs w:val="14"/>
                <w:color w:val="auto"/>
              </w:rPr>
            </w:pPr>
          </w:p>
        </w:tc>
        <w:tc>
          <w:tcPr>
            <w:tcW w:w="1000" w:type="dxa"/>
            <w:vAlign w:val="bottom"/>
          </w:tcPr>
          <w:p>
            <w:pPr>
              <w:jc w:val="center"/>
              <w:ind w:left="70"/>
              <w:spacing w:after="0" w:line="169" w:lineRule="exact"/>
              <w:rPr>
                <w:sz w:val="20"/>
                <w:szCs w:val="20"/>
                <w:color w:val="auto"/>
              </w:rPr>
            </w:pPr>
            <w:r>
              <w:rPr>
                <w:rFonts w:ascii="Times New Roman" w:cs="Times New Roman" w:eastAsia="Times New Roman" w:hAnsi="Times New Roman"/>
                <w:sz w:val="18"/>
                <w:szCs w:val="18"/>
                <w:b w:val="1"/>
                <w:bCs w:val="1"/>
                <w:color w:val="auto"/>
              </w:rPr>
              <w:t>Carrying</w:t>
            </w: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40" w:type="dxa"/>
            <w:vAlign w:val="bottom"/>
            <w:gridSpan w:val="3"/>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0" w:type="dxa"/>
            <w:vAlign w:val="bottom"/>
          </w:tcPr>
          <w:p>
            <w:pPr>
              <w:spacing w:after="0"/>
              <w:rPr>
                <w:sz w:val="1"/>
                <w:szCs w:val="1"/>
                <w:color w:val="auto"/>
              </w:rPr>
            </w:pPr>
          </w:p>
        </w:tc>
      </w:tr>
      <w:tr>
        <w:trPr>
          <w:trHeight w:val="243"/>
        </w:trPr>
        <w:tc>
          <w:tcPr>
            <w:tcW w:w="1300" w:type="dxa"/>
            <w:vAlign w:val="bottom"/>
            <w:gridSpan w:val="2"/>
            <w:vMerge w:val="continue"/>
          </w:tcPr>
          <w:p>
            <w:pPr>
              <w:spacing w:after="0"/>
              <w:rPr>
                <w:sz w:val="21"/>
                <w:szCs w:val="21"/>
                <w:color w:val="auto"/>
              </w:rPr>
            </w:pPr>
          </w:p>
        </w:tc>
        <w:tc>
          <w:tcPr>
            <w:tcW w:w="5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380" w:type="dxa"/>
            <w:vAlign w:val="bottom"/>
          </w:tcPr>
          <w:p>
            <w:pPr>
              <w:spacing w:after="0"/>
              <w:rPr>
                <w:sz w:val="21"/>
                <w:szCs w:val="21"/>
                <w:color w:val="auto"/>
              </w:rPr>
            </w:pPr>
          </w:p>
        </w:tc>
        <w:tc>
          <w:tcPr>
            <w:tcW w:w="1660" w:type="dxa"/>
            <w:vAlign w:val="bottom"/>
            <w:gridSpan w:val="4"/>
            <w:vMerge w:val="continue"/>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40" w:type="dxa"/>
            <w:vAlign w:val="bottom"/>
            <w:gridSpan w:val="3"/>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1800" w:type="dxa"/>
            <w:vAlign w:val="bottom"/>
            <w:tcBorders>
              <w:top w:val="single" w:sz="8" w:color="auto"/>
            </w:tcBorders>
            <w:gridSpan w:val="3"/>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Balance sheet assets:</w:t>
            </w:r>
          </w:p>
        </w:tc>
        <w:tc>
          <w:tcPr>
            <w:tcW w:w="840" w:type="dxa"/>
            <w:vAlign w:val="bottom"/>
            <w:tcBorders>
              <w:top w:val="single" w:sz="8" w:color="auto"/>
            </w:tcBorders>
            <w:shd w:val="clear" w:color="auto" w:fill="DBDBDB"/>
          </w:tcPr>
          <w:p>
            <w:pPr>
              <w:spacing w:after="0"/>
              <w:rPr>
                <w:sz w:val="19"/>
                <w:szCs w:val="19"/>
                <w:color w:val="auto"/>
              </w:rPr>
            </w:pPr>
          </w:p>
        </w:tc>
        <w:tc>
          <w:tcPr>
            <w:tcW w:w="440" w:type="dxa"/>
            <w:vAlign w:val="bottom"/>
            <w:tcBorders>
              <w:top w:val="single" w:sz="8" w:color="auto"/>
            </w:tcBorders>
            <w:shd w:val="clear" w:color="auto" w:fill="DBDBDB"/>
          </w:tcPr>
          <w:p>
            <w:pPr>
              <w:spacing w:after="0"/>
              <w:rPr>
                <w:sz w:val="19"/>
                <w:szCs w:val="19"/>
                <w:color w:val="auto"/>
              </w:rPr>
            </w:pPr>
          </w:p>
        </w:tc>
        <w:tc>
          <w:tcPr>
            <w:tcW w:w="500" w:type="dxa"/>
            <w:vAlign w:val="bottom"/>
            <w:tcBorders>
              <w:top w:val="single" w:sz="8" w:color="auto"/>
            </w:tcBorders>
            <w:shd w:val="clear" w:color="auto" w:fill="DBDBDB"/>
          </w:tcPr>
          <w:p>
            <w:pPr>
              <w:spacing w:after="0"/>
              <w:rPr>
                <w:sz w:val="19"/>
                <w:szCs w:val="19"/>
                <w:color w:val="auto"/>
              </w:rPr>
            </w:pPr>
          </w:p>
        </w:tc>
        <w:tc>
          <w:tcPr>
            <w:tcW w:w="900" w:type="dxa"/>
            <w:vAlign w:val="bottom"/>
            <w:tcBorders>
              <w:top w:val="single" w:sz="8" w:color="auto"/>
            </w:tcBorders>
            <w:shd w:val="clear" w:color="auto" w:fill="DBDBDB"/>
          </w:tcPr>
          <w:p>
            <w:pPr>
              <w:spacing w:after="0"/>
              <w:rPr>
                <w:sz w:val="19"/>
                <w:szCs w:val="19"/>
                <w:color w:val="auto"/>
              </w:rPr>
            </w:pPr>
          </w:p>
        </w:tc>
        <w:tc>
          <w:tcPr>
            <w:tcW w:w="460" w:type="dxa"/>
            <w:vAlign w:val="bottom"/>
            <w:tcBorders>
              <w:top w:val="single" w:sz="8" w:color="auto"/>
            </w:tcBorders>
            <w:shd w:val="clear" w:color="auto" w:fill="DBDBDB"/>
          </w:tcPr>
          <w:p>
            <w:pPr>
              <w:spacing w:after="0"/>
              <w:rPr>
                <w:sz w:val="19"/>
                <w:szCs w:val="19"/>
                <w:color w:val="auto"/>
              </w:rPr>
            </w:pPr>
          </w:p>
        </w:tc>
        <w:tc>
          <w:tcPr>
            <w:tcW w:w="340" w:type="dxa"/>
            <w:vAlign w:val="bottom"/>
            <w:tcBorders>
              <w:top w:val="single" w:sz="8" w:color="auto"/>
            </w:tcBorders>
            <w:shd w:val="clear" w:color="auto" w:fill="DBDBDB"/>
          </w:tcPr>
          <w:p>
            <w:pPr>
              <w:spacing w:after="0"/>
              <w:rPr>
                <w:sz w:val="19"/>
                <w:szCs w:val="19"/>
                <w:color w:val="auto"/>
              </w:rPr>
            </w:pPr>
          </w:p>
        </w:tc>
        <w:tc>
          <w:tcPr>
            <w:tcW w:w="780" w:type="dxa"/>
            <w:vAlign w:val="bottom"/>
            <w:tcBorders>
              <w:top w:val="single" w:sz="8" w:color="auto"/>
            </w:tcBorders>
            <w:shd w:val="clear" w:color="auto" w:fill="DBDBDB"/>
          </w:tcPr>
          <w:p>
            <w:pPr>
              <w:spacing w:after="0"/>
              <w:rPr>
                <w:sz w:val="19"/>
                <w:szCs w:val="19"/>
                <w:color w:val="auto"/>
              </w:rPr>
            </w:pPr>
          </w:p>
        </w:tc>
        <w:tc>
          <w:tcPr>
            <w:tcW w:w="380" w:type="dxa"/>
            <w:vAlign w:val="bottom"/>
            <w:tcBorders>
              <w:top w:val="single" w:sz="8" w:color="auto"/>
            </w:tcBorders>
            <w:shd w:val="clear" w:color="auto" w:fill="DBDBDB"/>
          </w:tcPr>
          <w:p>
            <w:pPr>
              <w:spacing w:after="0"/>
              <w:rPr>
                <w:sz w:val="19"/>
                <w:szCs w:val="19"/>
                <w:color w:val="auto"/>
              </w:rPr>
            </w:pPr>
          </w:p>
        </w:tc>
        <w:tc>
          <w:tcPr>
            <w:tcW w:w="700" w:type="dxa"/>
            <w:vAlign w:val="bottom"/>
            <w:tcBorders>
              <w:top w:val="single" w:sz="8" w:color="auto"/>
            </w:tcBorders>
            <w:shd w:val="clear" w:color="auto" w:fill="DBDBDB"/>
          </w:tcPr>
          <w:p>
            <w:pPr>
              <w:spacing w:after="0"/>
              <w:rPr>
                <w:sz w:val="19"/>
                <w:szCs w:val="19"/>
                <w:color w:val="auto"/>
              </w:rPr>
            </w:pPr>
          </w:p>
        </w:tc>
        <w:tc>
          <w:tcPr>
            <w:tcW w:w="380" w:type="dxa"/>
            <w:vAlign w:val="bottom"/>
            <w:tcBorders>
              <w:top w:val="single" w:sz="8" w:color="auto"/>
            </w:tcBorders>
            <w:shd w:val="clear" w:color="auto" w:fill="DBDBDB"/>
          </w:tcPr>
          <w:p>
            <w:pPr>
              <w:spacing w:after="0"/>
              <w:rPr>
                <w:sz w:val="19"/>
                <w:szCs w:val="19"/>
                <w:color w:val="auto"/>
              </w:rPr>
            </w:pPr>
          </w:p>
        </w:tc>
        <w:tc>
          <w:tcPr>
            <w:tcW w:w="480" w:type="dxa"/>
            <w:vAlign w:val="bottom"/>
            <w:tcBorders>
              <w:top w:val="single" w:sz="8" w:color="auto"/>
            </w:tcBorders>
            <w:shd w:val="clear" w:color="auto" w:fill="DBDBDB"/>
          </w:tcPr>
          <w:p>
            <w:pPr>
              <w:spacing w:after="0"/>
              <w:rPr>
                <w:sz w:val="19"/>
                <w:szCs w:val="19"/>
                <w:color w:val="auto"/>
              </w:rPr>
            </w:pPr>
          </w:p>
        </w:tc>
        <w:tc>
          <w:tcPr>
            <w:tcW w:w="100" w:type="dxa"/>
            <w:vAlign w:val="bottom"/>
            <w:tcBorders>
              <w:top w:val="single" w:sz="8" w:color="auto"/>
            </w:tcBorders>
            <w:shd w:val="clear" w:color="auto" w:fill="DBDBDB"/>
          </w:tcPr>
          <w:p>
            <w:pPr>
              <w:spacing w:after="0"/>
              <w:rPr>
                <w:sz w:val="19"/>
                <w:szCs w:val="19"/>
                <w:color w:val="auto"/>
              </w:rPr>
            </w:pPr>
          </w:p>
        </w:tc>
        <w:tc>
          <w:tcPr>
            <w:tcW w:w="160" w:type="dxa"/>
            <w:vAlign w:val="bottom"/>
            <w:tcBorders>
              <w:top w:val="single" w:sz="8" w:color="auto"/>
            </w:tcBorders>
            <w:shd w:val="clear" w:color="auto" w:fill="DBDBDB"/>
          </w:tcPr>
          <w:p>
            <w:pPr>
              <w:spacing w:after="0"/>
              <w:rPr>
                <w:sz w:val="19"/>
                <w:szCs w:val="19"/>
                <w:color w:val="auto"/>
              </w:rPr>
            </w:pPr>
          </w:p>
        </w:tc>
        <w:tc>
          <w:tcPr>
            <w:tcW w:w="1000" w:type="dxa"/>
            <w:vAlign w:val="bottom"/>
            <w:tcBorders>
              <w:top w:val="single" w:sz="8" w:color="auto"/>
            </w:tcBorders>
            <w:shd w:val="clear" w:color="auto" w:fill="DBDBDB"/>
          </w:tcPr>
          <w:p>
            <w:pPr>
              <w:spacing w:after="0"/>
              <w:rPr>
                <w:sz w:val="19"/>
                <w:szCs w:val="19"/>
                <w:color w:val="auto"/>
              </w:rPr>
            </w:pPr>
          </w:p>
        </w:tc>
        <w:tc>
          <w:tcPr>
            <w:tcW w:w="340" w:type="dxa"/>
            <w:vAlign w:val="bottom"/>
            <w:tcBorders>
              <w:top w:val="single" w:sz="8" w:color="auto"/>
            </w:tcBorders>
            <w:shd w:val="clear" w:color="auto" w:fill="DBDBDB"/>
          </w:tcPr>
          <w:p>
            <w:pPr>
              <w:spacing w:after="0"/>
              <w:rPr>
                <w:sz w:val="19"/>
                <w:szCs w:val="19"/>
                <w:color w:val="auto"/>
              </w:rPr>
            </w:pPr>
          </w:p>
        </w:tc>
        <w:tc>
          <w:tcPr>
            <w:tcW w:w="300" w:type="dxa"/>
            <w:vAlign w:val="bottom"/>
            <w:tcBorders>
              <w:top w:val="single" w:sz="8" w:color="auto"/>
            </w:tcBorders>
            <w:shd w:val="clear" w:color="auto" w:fill="DBDBDB"/>
          </w:tcPr>
          <w:p>
            <w:pPr>
              <w:spacing w:after="0"/>
              <w:rPr>
                <w:sz w:val="19"/>
                <w:szCs w:val="19"/>
                <w:color w:val="auto"/>
              </w:rPr>
            </w:pPr>
          </w:p>
        </w:tc>
        <w:tc>
          <w:tcPr>
            <w:tcW w:w="300" w:type="dxa"/>
            <w:vAlign w:val="bottom"/>
            <w:tcBorders>
              <w:top w:val="single" w:sz="8" w:color="auto"/>
            </w:tcBorders>
            <w:shd w:val="clear" w:color="auto" w:fill="DBDBDB"/>
          </w:tcPr>
          <w:p>
            <w:pPr>
              <w:spacing w:after="0"/>
              <w:rPr>
                <w:sz w:val="19"/>
                <w:szCs w:val="19"/>
                <w:color w:val="auto"/>
              </w:rPr>
            </w:pPr>
          </w:p>
        </w:tc>
        <w:tc>
          <w:tcPr>
            <w:tcW w:w="960" w:type="dxa"/>
            <w:vAlign w:val="bottom"/>
            <w:tcBorders>
              <w:top w:val="single" w:sz="8" w:color="auto"/>
            </w:tcBorders>
            <w:shd w:val="clear" w:color="auto" w:fill="DBDBDB"/>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64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372,468</w:t>
            </w:r>
          </w:p>
        </w:tc>
        <w:tc>
          <w:tcPr>
            <w:tcW w:w="70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372,468</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200,942</w:t>
            </w:r>
          </w:p>
        </w:tc>
        <w:tc>
          <w:tcPr>
            <w:tcW w:w="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200,942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640" w:type="dxa"/>
            <w:vAlign w:val="bottom"/>
            <w:gridSpan w:val="4"/>
            <w:shd w:val="clear" w:color="auto" w:fill="DBDBDB"/>
          </w:tcPr>
          <w:p>
            <w:pPr>
              <w:ind w:left="360"/>
              <w:spacing w:after="0"/>
              <w:rPr>
                <w:sz w:val="20"/>
                <w:szCs w:val="20"/>
                <w:color w:val="auto"/>
              </w:rPr>
            </w:pPr>
            <w:r>
              <w:rPr>
                <w:rFonts w:ascii="Times New Roman" w:cs="Times New Roman" w:eastAsia="Times New Roman" w:hAnsi="Times New Roman"/>
                <w:sz w:val="18"/>
                <w:szCs w:val="18"/>
                <w:color w:val="auto"/>
              </w:rPr>
              <w:t>Investment securities</w:t>
            </w:r>
          </w:p>
        </w:tc>
        <w:tc>
          <w:tcPr>
            <w:tcW w:w="440" w:type="dxa"/>
            <w:vAlign w:val="bottom"/>
            <w:shd w:val="clear" w:color="auto" w:fill="DBDBDB"/>
          </w:tcPr>
          <w:p>
            <w:pPr>
              <w:spacing w:after="0"/>
              <w:rPr>
                <w:sz w:val="19"/>
                <w:szCs w:val="19"/>
                <w:color w:val="auto"/>
              </w:rPr>
            </w:pPr>
          </w:p>
        </w:tc>
        <w:tc>
          <w:tcPr>
            <w:tcW w:w="500" w:type="dxa"/>
            <w:vAlign w:val="bottom"/>
            <w:shd w:val="clear" w:color="auto" w:fill="DBDBDB"/>
          </w:tcPr>
          <w:p>
            <w:pPr>
              <w:spacing w:after="0"/>
              <w:rPr>
                <w:sz w:val="19"/>
                <w:szCs w:val="19"/>
                <w:color w:val="auto"/>
              </w:rPr>
            </w:pPr>
          </w:p>
        </w:tc>
        <w:tc>
          <w:tcPr>
            <w:tcW w:w="900" w:type="dxa"/>
            <w:vAlign w:val="bottom"/>
            <w:shd w:val="clear" w:color="auto" w:fill="DBDBDB"/>
          </w:tcPr>
          <w:p>
            <w:pPr>
              <w:spacing w:after="0"/>
              <w:rPr>
                <w:sz w:val="19"/>
                <w:szCs w:val="19"/>
                <w:color w:val="auto"/>
              </w:rPr>
            </w:pPr>
          </w:p>
        </w:tc>
        <w:tc>
          <w:tcPr>
            <w:tcW w:w="460" w:type="dxa"/>
            <w:vAlign w:val="bottom"/>
            <w:shd w:val="clear" w:color="auto" w:fill="DBDBDB"/>
          </w:tcPr>
          <w:p>
            <w:pPr>
              <w:spacing w:after="0"/>
              <w:rPr>
                <w:sz w:val="19"/>
                <w:szCs w:val="19"/>
                <w:color w:val="auto"/>
              </w:rPr>
            </w:pPr>
          </w:p>
        </w:tc>
        <w:tc>
          <w:tcPr>
            <w:tcW w:w="340" w:type="dxa"/>
            <w:vAlign w:val="bottom"/>
            <w:shd w:val="clear" w:color="auto" w:fill="DBDBDB"/>
          </w:tcPr>
          <w:p>
            <w:pPr>
              <w:spacing w:after="0"/>
              <w:rPr>
                <w:sz w:val="19"/>
                <w:szCs w:val="19"/>
                <w:color w:val="auto"/>
              </w:rPr>
            </w:pPr>
          </w:p>
        </w:tc>
        <w:tc>
          <w:tcPr>
            <w:tcW w:w="1160" w:type="dxa"/>
            <w:vAlign w:val="bottom"/>
            <w:gridSpan w:val="2"/>
            <w:shd w:val="clear" w:color="auto" w:fill="DBDBDB"/>
          </w:tcPr>
          <w:p>
            <w:pPr>
              <w:jc w:val="right"/>
              <w:ind w:right="10"/>
              <w:spacing w:after="0"/>
              <w:rPr>
                <w:sz w:val="20"/>
                <w:szCs w:val="20"/>
                <w:color w:val="auto"/>
              </w:rPr>
            </w:pPr>
            <w:r>
              <w:rPr>
                <w:rFonts w:ascii="Times New Roman" w:cs="Times New Roman" w:eastAsia="Times New Roman" w:hAnsi="Times New Roman"/>
                <w:sz w:val="18"/>
                <w:szCs w:val="18"/>
                <w:color w:val="auto"/>
              </w:rPr>
              <w:t>627,117</w:t>
            </w:r>
          </w:p>
        </w:tc>
        <w:tc>
          <w:tcPr>
            <w:tcW w:w="700" w:type="dxa"/>
            <w:vAlign w:val="bottom"/>
            <w:shd w:val="clear" w:color="auto" w:fill="DBDBDB"/>
          </w:tcPr>
          <w:p>
            <w:pPr>
              <w:spacing w:after="0"/>
              <w:rPr>
                <w:sz w:val="19"/>
                <w:szCs w:val="19"/>
                <w:color w:val="auto"/>
              </w:rPr>
            </w:pPr>
          </w:p>
        </w:tc>
        <w:tc>
          <w:tcPr>
            <w:tcW w:w="860" w:type="dxa"/>
            <w:vAlign w:val="bottom"/>
            <w:gridSpan w:val="2"/>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627,117</w:t>
            </w:r>
          </w:p>
        </w:tc>
        <w:tc>
          <w:tcPr>
            <w:tcW w:w="10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1340" w:type="dxa"/>
            <w:vAlign w:val="bottom"/>
            <w:gridSpan w:val="2"/>
            <w:shd w:val="clear" w:color="auto" w:fill="DBDBDB"/>
          </w:tcPr>
          <w:p>
            <w:pPr>
              <w:jc w:val="right"/>
              <w:ind w:right="10"/>
              <w:spacing w:after="0"/>
              <w:rPr>
                <w:sz w:val="20"/>
                <w:szCs w:val="20"/>
                <w:color w:val="auto"/>
              </w:rPr>
            </w:pPr>
            <w:r>
              <w:rPr>
                <w:rFonts w:ascii="Times New Roman" w:cs="Times New Roman" w:eastAsia="Times New Roman" w:hAnsi="Times New Roman"/>
                <w:sz w:val="18"/>
                <w:szCs w:val="18"/>
                <w:color w:val="auto"/>
              </w:rPr>
              <w:t>754,468</w:t>
            </w:r>
          </w:p>
        </w:tc>
        <w:tc>
          <w:tcPr>
            <w:tcW w:w="30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9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754,468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3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Loans, net</w:t>
            </w:r>
          </w:p>
        </w:tc>
        <w:tc>
          <w:tcPr>
            <w:tcW w:w="5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1,001,229</w:t>
            </w:r>
          </w:p>
        </w:tc>
        <w:tc>
          <w:tcPr>
            <w:tcW w:w="70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962,223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1,069,367</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1,004,682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640" w:type="dxa"/>
            <w:vAlign w:val="bottom"/>
            <w:tcBorders>
              <w:bottom w:val="single" w:sz="8" w:color="auto"/>
            </w:tcBorders>
            <w:gridSpan w:val="4"/>
            <w:shd w:val="clear" w:color="auto" w:fill="DBDBDB"/>
          </w:tcPr>
          <w:p>
            <w:pPr>
              <w:ind w:left="360"/>
              <w:spacing w:after="0"/>
              <w:rPr>
                <w:sz w:val="20"/>
                <w:szCs w:val="20"/>
                <w:color w:val="auto"/>
              </w:rPr>
            </w:pPr>
            <w:r>
              <w:rPr>
                <w:rFonts w:ascii="Times New Roman" w:cs="Times New Roman" w:eastAsia="Times New Roman" w:hAnsi="Times New Roman"/>
                <w:sz w:val="18"/>
                <w:szCs w:val="18"/>
                <w:color w:val="auto"/>
              </w:rPr>
              <w:t>Accrued interest receivable</w:t>
            </w:r>
          </w:p>
        </w:tc>
        <w:tc>
          <w:tcPr>
            <w:tcW w:w="440" w:type="dxa"/>
            <w:vAlign w:val="bottom"/>
            <w:tcBorders>
              <w:bottom w:val="single" w:sz="8" w:color="auto"/>
            </w:tcBorders>
            <w:shd w:val="clear" w:color="auto" w:fill="DBDBDB"/>
          </w:tcPr>
          <w:p>
            <w:pPr>
              <w:spacing w:after="0"/>
              <w:rPr>
                <w:sz w:val="19"/>
                <w:szCs w:val="19"/>
                <w:color w:val="auto"/>
              </w:rPr>
            </w:pPr>
          </w:p>
        </w:tc>
        <w:tc>
          <w:tcPr>
            <w:tcW w:w="500" w:type="dxa"/>
            <w:vAlign w:val="bottom"/>
            <w:tcBorders>
              <w:bottom w:val="single" w:sz="8" w:color="auto"/>
            </w:tcBorders>
            <w:shd w:val="clear" w:color="auto" w:fill="DBDBDB"/>
          </w:tcPr>
          <w:p>
            <w:pPr>
              <w:spacing w:after="0"/>
              <w:rPr>
                <w:sz w:val="19"/>
                <w:szCs w:val="19"/>
                <w:color w:val="auto"/>
              </w:rPr>
            </w:pPr>
          </w:p>
        </w:tc>
        <w:tc>
          <w:tcPr>
            <w:tcW w:w="900" w:type="dxa"/>
            <w:vAlign w:val="bottom"/>
            <w:tcBorders>
              <w:bottom w:val="single" w:sz="8" w:color="auto"/>
            </w:tcBorders>
            <w:shd w:val="clear" w:color="auto" w:fill="DBDBDB"/>
          </w:tcPr>
          <w:p>
            <w:pPr>
              <w:spacing w:after="0"/>
              <w:rPr>
                <w:sz w:val="19"/>
                <w:szCs w:val="19"/>
                <w:color w:val="auto"/>
              </w:rPr>
            </w:pPr>
          </w:p>
        </w:tc>
        <w:tc>
          <w:tcPr>
            <w:tcW w:w="460" w:type="dxa"/>
            <w:vAlign w:val="bottom"/>
            <w:tcBorders>
              <w:bottom w:val="single" w:sz="8" w:color="auto"/>
            </w:tcBorders>
            <w:shd w:val="clear" w:color="auto" w:fill="DBDBDB"/>
          </w:tcPr>
          <w:p>
            <w:pPr>
              <w:spacing w:after="0"/>
              <w:rPr>
                <w:sz w:val="19"/>
                <w:szCs w:val="19"/>
                <w:color w:val="auto"/>
              </w:rPr>
            </w:pPr>
          </w:p>
        </w:tc>
        <w:tc>
          <w:tcPr>
            <w:tcW w:w="340" w:type="dxa"/>
            <w:vAlign w:val="bottom"/>
            <w:tcBorders>
              <w:bottom w:val="single" w:sz="8" w:color="auto"/>
            </w:tcBorders>
            <w:shd w:val="clear" w:color="auto" w:fill="DBDBDB"/>
          </w:tcPr>
          <w:p>
            <w:pPr>
              <w:spacing w:after="0"/>
              <w:rPr>
                <w:sz w:val="19"/>
                <w:szCs w:val="19"/>
                <w:color w:val="auto"/>
              </w:rPr>
            </w:pPr>
          </w:p>
        </w:tc>
        <w:tc>
          <w:tcPr>
            <w:tcW w:w="1160" w:type="dxa"/>
            <w:vAlign w:val="bottom"/>
            <w:tcBorders>
              <w:bottom w:val="single" w:sz="8" w:color="auto"/>
            </w:tcBorders>
            <w:gridSpan w:val="2"/>
            <w:shd w:val="clear" w:color="auto" w:fill="DBDBDB"/>
          </w:tcPr>
          <w:p>
            <w:pPr>
              <w:jc w:val="right"/>
              <w:ind w:right="10"/>
              <w:spacing w:after="0"/>
              <w:rPr>
                <w:sz w:val="20"/>
                <w:szCs w:val="20"/>
                <w:color w:val="auto"/>
              </w:rPr>
            </w:pPr>
            <w:r>
              <w:rPr>
                <w:rFonts w:ascii="Times New Roman" w:cs="Times New Roman" w:eastAsia="Times New Roman" w:hAnsi="Times New Roman"/>
                <w:sz w:val="18"/>
                <w:szCs w:val="18"/>
                <w:color w:val="auto"/>
              </w:rPr>
              <w:t>8,450</w:t>
            </w:r>
          </w:p>
        </w:tc>
        <w:tc>
          <w:tcPr>
            <w:tcW w:w="700" w:type="dxa"/>
            <w:vAlign w:val="bottom"/>
            <w:tcBorders>
              <w:bottom w:val="single" w:sz="8" w:color="auto"/>
            </w:tcBorders>
            <w:shd w:val="clear" w:color="auto" w:fill="DBDBDB"/>
          </w:tcPr>
          <w:p>
            <w:pPr>
              <w:spacing w:after="0"/>
              <w:rPr>
                <w:sz w:val="19"/>
                <w:szCs w:val="19"/>
                <w:color w:val="auto"/>
              </w:rPr>
            </w:pPr>
          </w:p>
        </w:tc>
        <w:tc>
          <w:tcPr>
            <w:tcW w:w="380" w:type="dxa"/>
            <w:vAlign w:val="bottom"/>
            <w:tcBorders>
              <w:bottom w:val="single" w:sz="8" w:color="auto"/>
            </w:tcBorders>
            <w:shd w:val="clear" w:color="auto" w:fill="DBDBDB"/>
          </w:tcPr>
          <w:p>
            <w:pPr>
              <w:spacing w:after="0"/>
              <w:rPr>
                <w:sz w:val="19"/>
                <w:szCs w:val="19"/>
                <w:color w:val="auto"/>
              </w:rPr>
            </w:pPr>
          </w:p>
        </w:tc>
        <w:tc>
          <w:tcPr>
            <w:tcW w:w="48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w w:val="93"/>
              </w:rPr>
              <w:t>8,450</w:t>
            </w:r>
          </w:p>
        </w:tc>
        <w:tc>
          <w:tcPr>
            <w:tcW w:w="100" w:type="dxa"/>
            <w:vAlign w:val="bottom"/>
            <w:tcBorders>
              <w:bottom w:val="single" w:sz="8" w:color="auto"/>
            </w:tcBorders>
            <w:shd w:val="clear" w:color="auto" w:fill="DBDBDB"/>
          </w:tcPr>
          <w:p>
            <w:pPr>
              <w:spacing w:after="0"/>
              <w:rPr>
                <w:sz w:val="19"/>
                <w:szCs w:val="19"/>
                <w:color w:val="auto"/>
              </w:rPr>
            </w:pPr>
          </w:p>
        </w:tc>
        <w:tc>
          <w:tcPr>
            <w:tcW w:w="160" w:type="dxa"/>
            <w:vAlign w:val="bottom"/>
            <w:tcBorders>
              <w:bottom w:val="single" w:sz="8" w:color="auto"/>
            </w:tcBorders>
            <w:shd w:val="clear" w:color="auto" w:fill="DBDBDB"/>
          </w:tcPr>
          <w:p>
            <w:pPr>
              <w:spacing w:after="0"/>
              <w:rPr>
                <w:sz w:val="19"/>
                <w:szCs w:val="19"/>
                <w:color w:val="auto"/>
              </w:rPr>
            </w:pPr>
          </w:p>
        </w:tc>
        <w:tc>
          <w:tcPr>
            <w:tcW w:w="1340" w:type="dxa"/>
            <w:vAlign w:val="bottom"/>
            <w:tcBorders>
              <w:bottom w:val="single" w:sz="8" w:color="auto"/>
            </w:tcBorders>
            <w:gridSpan w:val="2"/>
            <w:shd w:val="clear" w:color="auto" w:fill="DBDBDB"/>
          </w:tcPr>
          <w:p>
            <w:pPr>
              <w:jc w:val="right"/>
              <w:ind w:right="10"/>
              <w:spacing w:after="0"/>
              <w:rPr>
                <w:sz w:val="20"/>
                <w:szCs w:val="20"/>
                <w:color w:val="auto"/>
              </w:rPr>
            </w:pPr>
            <w:r>
              <w:rPr>
                <w:rFonts w:ascii="Times New Roman" w:cs="Times New Roman" w:eastAsia="Times New Roman" w:hAnsi="Times New Roman"/>
                <w:sz w:val="18"/>
                <w:szCs w:val="18"/>
                <w:color w:val="auto"/>
              </w:rPr>
              <w:t>8,297</w:t>
            </w:r>
          </w:p>
        </w:tc>
        <w:tc>
          <w:tcPr>
            <w:tcW w:w="300" w:type="dxa"/>
            <w:vAlign w:val="bottom"/>
            <w:tcBorders>
              <w:bottom w:val="single" w:sz="8" w:color="auto"/>
            </w:tcBorders>
            <w:shd w:val="clear" w:color="auto" w:fill="DBDBDB"/>
          </w:tcPr>
          <w:p>
            <w:pPr>
              <w:spacing w:after="0"/>
              <w:rPr>
                <w:sz w:val="19"/>
                <w:szCs w:val="19"/>
                <w:color w:val="auto"/>
              </w:rPr>
            </w:pPr>
          </w:p>
        </w:tc>
        <w:tc>
          <w:tcPr>
            <w:tcW w:w="300" w:type="dxa"/>
            <w:vAlign w:val="bottom"/>
            <w:tcBorders>
              <w:bottom w:val="single" w:sz="8" w:color="auto"/>
            </w:tcBorders>
            <w:shd w:val="clear" w:color="auto" w:fill="DBDBDB"/>
          </w:tcPr>
          <w:p>
            <w:pPr>
              <w:spacing w:after="0"/>
              <w:rPr>
                <w:sz w:val="19"/>
                <w:szCs w:val="19"/>
                <w:color w:val="auto"/>
              </w:rPr>
            </w:pPr>
          </w:p>
        </w:tc>
        <w:tc>
          <w:tcPr>
            <w:tcW w:w="96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8,297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300" w:type="dxa"/>
            <w:vAlign w:val="bottom"/>
            <w:tcBorders>
              <w:bottom w:val="single" w:sz="8" w:color="auto"/>
            </w:tcBorders>
            <w:gridSpan w:val="2"/>
          </w:tcPr>
          <w:p>
            <w:pPr>
              <w:ind w:left="680"/>
              <w:spacing w:after="0"/>
              <w:rPr>
                <w:sz w:val="20"/>
                <w:szCs w:val="20"/>
                <w:color w:val="auto"/>
              </w:rPr>
            </w:pPr>
            <w:r>
              <w:rPr>
                <w:rFonts w:ascii="Times New Roman" w:cs="Times New Roman" w:eastAsia="Times New Roman" w:hAnsi="Times New Roman"/>
                <w:sz w:val="18"/>
                <w:szCs w:val="18"/>
                <w:color w:val="auto"/>
              </w:rPr>
              <w:t>Total</w:t>
            </w:r>
          </w:p>
        </w:tc>
        <w:tc>
          <w:tcPr>
            <w:tcW w:w="5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2,009,264</w:t>
            </w:r>
          </w:p>
        </w:tc>
        <w:tc>
          <w:tcPr>
            <w:tcW w:w="7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1,970,258</w:t>
            </w: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2,033,074</w:t>
            </w:r>
          </w:p>
        </w:tc>
        <w:tc>
          <w:tcPr>
            <w:tcW w:w="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1,968,389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1000" w:type="dxa"/>
            <w:vAlign w:val="bottom"/>
            <w:shd w:val="clear" w:color="auto" w:fill="DBDBDB"/>
          </w:tcPr>
          <w:p>
            <w:pPr>
              <w:spacing w:after="0"/>
              <w:rPr>
                <w:sz w:val="21"/>
                <w:szCs w:val="21"/>
                <w:color w:val="auto"/>
              </w:rPr>
            </w:pPr>
          </w:p>
        </w:tc>
        <w:tc>
          <w:tcPr>
            <w:tcW w:w="300" w:type="dxa"/>
            <w:vAlign w:val="bottom"/>
            <w:shd w:val="clear" w:color="auto" w:fill="DBDBDB"/>
          </w:tcPr>
          <w:p>
            <w:pPr>
              <w:spacing w:after="0"/>
              <w:rPr>
                <w:sz w:val="21"/>
                <w:szCs w:val="21"/>
                <w:color w:val="auto"/>
              </w:rPr>
            </w:pPr>
          </w:p>
        </w:tc>
        <w:tc>
          <w:tcPr>
            <w:tcW w:w="500" w:type="dxa"/>
            <w:vAlign w:val="bottom"/>
            <w:shd w:val="clear" w:color="auto" w:fill="DBDBDB"/>
          </w:tcPr>
          <w:p>
            <w:pPr>
              <w:spacing w:after="0"/>
              <w:rPr>
                <w:sz w:val="21"/>
                <w:szCs w:val="21"/>
                <w:color w:val="auto"/>
              </w:rPr>
            </w:pPr>
          </w:p>
        </w:tc>
        <w:tc>
          <w:tcPr>
            <w:tcW w:w="840" w:type="dxa"/>
            <w:vAlign w:val="bottom"/>
            <w:shd w:val="clear" w:color="auto" w:fill="DBDBDB"/>
          </w:tcPr>
          <w:p>
            <w:pPr>
              <w:spacing w:after="0"/>
              <w:rPr>
                <w:sz w:val="21"/>
                <w:szCs w:val="21"/>
                <w:color w:val="auto"/>
              </w:rPr>
            </w:pPr>
          </w:p>
        </w:tc>
        <w:tc>
          <w:tcPr>
            <w:tcW w:w="440" w:type="dxa"/>
            <w:vAlign w:val="bottom"/>
            <w:shd w:val="clear" w:color="auto" w:fill="DBDBDB"/>
          </w:tcPr>
          <w:p>
            <w:pPr>
              <w:spacing w:after="0"/>
              <w:rPr>
                <w:sz w:val="21"/>
                <w:szCs w:val="21"/>
                <w:color w:val="auto"/>
              </w:rPr>
            </w:pPr>
          </w:p>
        </w:tc>
        <w:tc>
          <w:tcPr>
            <w:tcW w:w="500" w:type="dxa"/>
            <w:vAlign w:val="bottom"/>
            <w:shd w:val="clear" w:color="auto" w:fill="DBDBDB"/>
          </w:tcPr>
          <w:p>
            <w:pPr>
              <w:spacing w:after="0"/>
              <w:rPr>
                <w:sz w:val="21"/>
                <w:szCs w:val="21"/>
                <w:color w:val="auto"/>
              </w:rPr>
            </w:pPr>
          </w:p>
        </w:tc>
        <w:tc>
          <w:tcPr>
            <w:tcW w:w="900" w:type="dxa"/>
            <w:vAlign w:val="bottom"/>
            <w:shd w:val="clear" w:color="auto" w:fill="DBDBDB"/>
          </w:tcPr>
          <w:p>
            <w:pPr>
              <w:spacing w:after="0"/>
              <w:rPr>
                <w:sz w:val="21"/>
                <w:szCs w:val="21"/>
                <w:color w:val="auto"/>
              </w:rPr>
            </w:pPr>
          </w:p>
        </w:tc>
        <w:tc>
          <w:tcPr>
            <w:tcW w:w="460" w:type="dxa"/>
            <w:vAlign w:val="bottom"/>
            <w:shd w:val="clear" w:color="auto" w:fill="DBDBDB"/>
          </w:tcPr>
          <w:p>
            <w:pPr>
              <w:spacing w:after="0"/>
              <w:rPr>
                <w:sz w:val="21"/>
                <w:szCs w:val="21"/>
                <w:color w:val="auto"/>
              </w:rPr>
            </w:pPr>
          </w:p>
        </w:tc>
        <w:tc>
          <w:tcPr>
            <w:tcW w:w="340" w:type="dxa"/>
            <w:vAlign w:val="bottom"/>
            <w:shd w:val="clear" w:color="auto" w:fill="DBDBDB"/>
          </w:tcPr>
          <w:p>
            <w:pPr>
              <w:spacing w:after="0"/>
              <w:rPr>
                <w:sz w:val="21"/>
                <w:szCs w:val="21"/>
                <w:color w:val="auto"/>
              </w:rPr>
            </w:pPr>
          </w:p>
        </w:tc>
        <w:tc>
          <w:tcPr>
            <w:tcW w:w="780" w:type="dxa"/>
            <w:vAlign w:val="bottom"/>
            <w:shd w:val="clear" w:color="auto" w:fill="DBDBDB"/>
          </w:tcPr>
          <w:p>
            <w:pPr>
              <w:spacing w:after="0"/>
              <w:rPr>
                <w:sz w:val="21"/>
                <w:szCs w:val="21"/>
                <w:color w:val="auto"/>
              </w:rPr>
            </w:pPr>
          </w:p>
        </w:tc>
        <w:tc>
          <w:tcPr>
            <w:tcW w:w="380" w:type="dxa"/>
            <w:vAlign w:val="bottom"/>
            <w:shd w:val="clear" w:color="auto" w:fill="DBDBDB"/>
          </w:tcPr>
          <w:p>
            <w:pPr>
              <w:spacing w:after="0"/>
              <w:rPr>
                <w:sz w:val="21"/>
                <w:szCs w:val="21"/>
                <w:color w:val="auto"/>
              </w:rPr>
            </w:pPr>
          </w:p>
        </w:tc>
        <w:tc>
          <w:tcPr>
            <w:tcW w:w="700" w:type="dxa"/>
            <w:vAlign w:val="bottom"/>
            <w:shd w:val="clear" w:color="auto" w:fill="DBDBDB"/>
          </w:tcPr>
          <w:p>
            <w:pPr>
              <w:spacing w:after="0"/>
              <w:rPr>
                <w:sz w:val="21"/>
                <w:szCs w:val="21"/>
                <w:color w:val="auto"/>
              </w:rPr>
            </w:pPr>
          </w:p>
        </w:tc>
        <w:tc>
          <w:tcPr>
            <w:tcW w:w="380" w:type="dxa"/>
            <w:vAlign w:val="bottom"/>
            <w:shd w:val="clear" w:color="auto" w:fill="DBDBDB"/>
          </w:tcPr>
          <w:p>
            <w:pPr>
              <w:spacing w:after="0"/>
              <w:rPr>
                <w:sz w:val="21"/>
                <w:szCs w:val="21"/>
                <w:color w:val="auto"/>
              </w:rPr>
            </w:pPr>
          </w:p>
        </w:tc>
        <w:tc>
          <w:tcPr>
            <w:tcW w:w="480" w:type="dxa"/>
            <w:vAlign w:val="bottom"/>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160" w:type="dxa"/>
            <w:vAlign w:val="bottom"/>
            <w:shd w:val="clear" w:color="auto" w:fill="DBDBDB"/>
          </w:tcPr>
          <w:p>
            <w:pPr>
              <w:spacing w:after="0"/>
              <w:rPr>
                <w:sz w:val="21"/>
                <w:szCs w:val="21"/>
                <w:color w:val="auto"/>
              </w:rPr>
            </w:pPr>
          </w:p>
        </w:tc>
        <w:tc>
          <w:tcPr>
            <w:tcW w:w="1000" w:type="dxa"/>
            <w:vAlign w:val="bottom"/>
            <w:shd w:val="clear" w:color="auto" w:fill="DBDBDB"/>
          </w:tcPr>
          <w:p>
            <w:pPr>
              <w:spacing w:after="0"/>
              <w:rPr>
                <w:sz w:val="21"/>
                <w:szCs w:val="21"/>
                <w:color w:val="auto"/>
              </w:rPr>
            </w:pPr>
          </w:p>
        </w:tc>
        <w:tc>
          <w:tcPr>
            <w:tcW w:w="340" w:type="dxa"/>
            <w:vAlign w:val="bottom"/>
            <w:shd w:val="clear" w:color="auto" w:fill="DBDBDB"/>
          </w:tcPr>
          <w:p>
            <w:pPr>
              <w:spacing w:after="0"/>
              <w:rPr>
                <w:sz w:val="21"/>
                <w:szCs w:val="21"/>
                <w:color w:val="auto"/>
              </w:rPr>
            </w:pPr>
          </w:p>
        </w:tc>
        <w:tc>
          <w:tcPr>
            <w:tcW w:w="300" w:type="dxa"/>
            <w:vAlign w:val="bottom"/>
            <w:shd w:val="clear" w:color="auto" w:fill="DBDBDB"/>
          </w:tcPr>
          <w:p>
            <w:pPr>
              <w:spacing w:after="0"/>
              <w:rPr>
                <w:sz w:val="21"/>
                <w:szCs w:val="21"/>
                <w:color w:val="auto"/>
              </w:rPr>
            </w:pPr>
          </w:p>
        </w:tc>
        <w:tc>
          <w:tcPr>
            <w:tcW w:w="300" w:type="dxa"/>
            <w:vAlign w:val="bottom"/>
            <w:shd w:val="clear" w:color="auto" w:fill="DBDBDB"/>
          </w:tcPr>
          <w:p>
            <w:pPr>
              <w:spacing w:after="0"/>
              <w:rPr>
                <w:sz w:val="21"/>
                <w:szCs w:val="21"/>
                <w:color w:val="auto"/>
              </w:rPr>
            </w:pPr>
          </w:p>
        </w:tc>
        <w:tc>
          <w:tcPr>
            <w:tcW w:w="960" w:type="dxa"/>
            <w:vAlign w:val="bottom"/>
            <w:shd w:val="clear" w:color="auto" w:fill="DBDBDB"/>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18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w w:val="99"/>
              </w:rPr>
              <w:t>Balance sheet liabilities:</w:t>
            </w:r>
          </w:p>
        </w:tc>
        <w:tc>
          <w:tcPr>
            <w:tcW w:w="8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00" w:type="dxa"/>
            <w:vAlign w:val="bottom"/>
            <w:shd w:val="clear" w:color="auto" w:fill="DBDBDB"/>
          </w:tcPr>
          <w:p>
            <w:pPr>
              <w:ind w:left="360"/>
              <w:spacing w:after="0"/>
              <w:rPr>
                <w:sz w:val="20"/>
                <w:szCs w:val="20"/>
                <w:color w:val="auto"/>
              </w:rPr>
            </w:pPr>
            <w:r>
              <w:rPr>
                <w:rFonts w:ascii="Times New Roman" w:cs="Times New Roman" w:eastAsia="Times New Roman" w:hAnsi="Times New Roman"/>
                <w:sz w:val="18"/>
                <w:szCs w:val="18"/>
                <w:color w:val="auto"/>
                <w:w w:val="98"/>
              </w:rPr>
              <w:t>Deposits</w:t>
            </w:r>
          </w:p>
        </w:tc>
        <w:tc>
          <w:tcPr>
            <w:tcW w:w="300" w:type="dxa"/>
            <w:vAlign w:val="bottom"/>
            <w:shd w:val="clear" w:color="auto" w:fill="DBDBDB"/>
          </w:tcPr>
          <w:p>
            <w:pPr>
              <w:spacing w:after="0"/>
              <w:rPr>
                <w:sz w:val="19"/>
                <w:szCs w:val="19"/>
                <w:color w:val="auto"/>
              </w:rPr>
            </w:pPr>
          </w:p>
        </w:tc>
        <w:tc>
          <w:tcPr>
            <w:tcW w:w="500" w:type="dxa"/>
            <w:vAlign w:val="bottom"/>
            <w:shd w:val="clear" w:color="auto" w:fill="DBDBDB"/>
          </w:tcPr>
          <w:p>
            <w:pPr>
              <w:spacing w:after="0"/>
              <w:rPr>
                <w:sz w:val="19"/>
                <w:szCs w:val="19"/>
                <w:color w:val="auto"/>
              </w:rPr>
            </w:pPr>
          </w:p>
        </w:tc>
        <w:tc>
          <w:tcPr>
            <w:tcW w:w="840" w:type="dxa"/>
            <w:vAlign w:val="bottom"/>
            <w:shd w:val="clear" w:color="auto" w:fill="DBDBDB"/>
          </w:tcPr>
          <w:p>
            <w:pPr>
              <w:spacing w:after="0"/>
              <w:rPr>
                <w:sz w:val="19"/>
                <w:szCs w:val="19"/>
                <w:color w:val="auto"/>
              </w:rPr>
            </w:pPr>
          </w:p>
        </w:tc>
        <w:tc>
          <w:tcPr>
            <w:tcW w:w="440" w:type="dxa"/>
            <w:vAlign w:val="bottom"/>
            <w:shd w:val="clear" w:color="auto" w:fill="DBDBDB"/>
          </w:tcPr>
          <w:p>
            <w:pPr>
              <w:spacing w:after="0"/>
              <w:rPr>
                <w:sz w:val="19"/>
                <w:szCs w:val="19"/>
                <w:color w:val="auto"/>
              </w:rPr>
            </w:pPr>
          </w:p>
        </w:tc>
        <w:tc>
          <w:tcPr>
            <w:tcW w:w="500" w:type="dxa"/>
            <w:vAlign w:val="bottom"/>
            <w:shd w:val="clear" w:color="auto" w:fill="DBDBDB"/>
          </w:tcPr>
          <w:p>
            <w:pPr>
              <w:spacing w:after="0"/>
              <w:rPr>
                <w:sz w:val="19"/>
                <w:szCs w:val="19"/>
                <w:color w:val="auto"/>
              </w:rPr>
            </w:pPr>
          </w:p>
        </w:tc>
        <w:tc>
          <w:tcPr>
            <w:tcW w:w="900" w:type="dxa"/>
            <w:vAlign w:val="bottom"/>
            <w:shd w:val="clear" w:color="auto" w:fill="DBDBDB"/>
          </w:tcPr>
          <w:p>
            <w:pPr>
              <w:spacing w:after="0"/>
              <w:rPr>
                <w:sz w:val="19"/>
                <w:szCs w:val="19"/>
                <w:color w:val="auto"/>
              </w:rPr>
            </w:pPr>
          </w:p>
        </w:tc>
        <w:tc>
          <w:tcPr>
            <w:tcW w:w="800" w:type="dxa"/>
            <w:vAlign w:val="bottom"/>
            <w:gridSpan w:val="2"/>
            <w:shd w:val="clear" w:color="auto" w:fill="DBDBDB"/>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DBDBDB"/>
          </w:tcPr>
          <w:p>
            <w:pPr>
              <w:jc w:val="right"/>
              <w:ind w:right="10"/>
              <w:spacing w:after="0"/>
              <w:rPr>
                <w:sz w:val="20"/>
                <w:szCs w:val="20"/>
                <w:color w:val="auto"/>
              </w:rPr>
            </w:pPr>
            <w:r>
              <w:rPr>
                <w:rFonts w:ascii="Times New Roman" w:cs="Times New Roman" w:eastAsia="Times New Roman" w:hAnsi="Times New Roman"/>
                <w:sz w:val="18"/>
                <w:szCs w:val="18"/>
                <w:color w:val="auto"/>
              </w:rPr>
              <w:t>1,140,814</w:t>
            </w:r>
          </w:p>
        </w:tc>
        <w:tc>
          <w:tcPr>
            <w:tcW w:w="700" w:type="dxa"/>
            <w:vAlign w:val="bottom"/>
            <w:shd w:val="clear" w:color="auto" w:fill="DBDBDB"/>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1,140,814</w:t>
            </w:r>
          </w:p>
        </w:tc>
        <w:tc>
          <w:tcPr>
            <w:tcW w:w="100" w:type="dxa"/>
            <w:vAlign w:val="bottom"/>
            <w:shd w:val="clear" w:color="auto" w:fill="DBDBDB"/>
          </w:tcPr>
          <w:p>
            <w:pPr>
              <w:spacing w:after="0"/>
              <w:rPr>
                <w:sz w:val="19"/>
                <w:szCs w:val="19"/>
                <w:color w:val="auto"/>
              </w:rPr>
            </w:pPr>
          </w:p>
        </w:tc>
        <w:tc>
          <w:tcPr>
            <w:tcW w:w="1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DBDBDB"/>
          </w:tcPr>
          <w:p>
            <w:pPr>
              <w:jc w:val="right"/>
              <w:ind w:right="10"/>
              <w:spacing w:after="0"/>
              <w:rPr>
                <w:sz w:val="20"/>
                <w:szCs w:val="20"/>
                <w:color w:val="auto"/>
              </w:rPr>
            </w:pPr>
            <w:r>
              <w:rPr>
                <w:rFonts w:ascii="Times New Roman" w:cs="Times New Roman" w:eastAsia="Times New Roman" w:hAnsi="Times New Roman"/>
                <w:sz w:val="18"/>
                <w:szCs w:val="18"/>
                <w:color w:val="auto"/>
              </w:rPr>
              <w:t>1,257,217</w:t>
            </w:r>
          </w:p>
        </w:tc>
        <w:tc>
          <w:tcPr>
            <w:tcW w:w="30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shd w:val="clear" w:color="auto" w:fill="DBDBDB"/>
          </w:tcPr>
          <w:p>
            <w:pPr>
              <w:spacing w:after="0"/>
              <w:rPr>
                <w:sz w:val="19"/>
                <w:szCs w:val="19"/>
                <w:color w:val="auto"/>
              </w:rPr>
            </w:pPr>
          </w:p>
        </w:tc>
        <w:tc>
          <w:tcPr>
            <w:tcW w:w="9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1,257,217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64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auto"/>
              </w:rPr>
              <w:t>Accounts and drafts payable</w:t>
            </w:r>
          </w:p>
        </w:tc>
        <w:tc>
          <w:tcPr>
            <w:tcW w:w="4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1,071,369</w:t>
            </w:r>
          </w:p>
        </w:tc>
        <w:tc>
          <w:tcPr>
            <w:tcW w:w="70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1,071,369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1,067,600</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1,067,600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40" w:type="dxa"/>
            <w:vAlign w:val="bottom"/>
            <w:tcBorders>
              <w:bottom w:val="single" w:sz="8" w:color="auto"/>
            </w:tcBorders>
            <w:gridSpan w:val="4"/>
            <w:shd w:val="clear" w:color="auto" w:fill="DBDBDB"/>
          </w:tcPr>
          <w:p>
            <w:pPr>
              <w:ind w:left="360"/>
              <w:spacing w:after="0"/>
              <w:rPr>
                <w:sz w:val="20"/>
                <w:szCs w:val="20"/>
                <w:color w:val="auto"/>
              </w:rPr>
            </w:pPr>
            <w:r>
              <w:rPr>
                <w:rFonts w:ascii="Times New Roman" w:cs="Times New Roman" w:eastAsia="Times New Roman" w:hAnsi="Times New Roman"/>
                <w:sz w:val="18"/>
                <w:szCs w:val="18"/>
                <w:color w:val="auto"/>
              </w:rPr>
              <w:t>Accrued interest payable</w:t>
            </w:r>
          </w:p>
        </w:tc>
        <w:tc>
          <w:tcPr>
            <w:tcW w:w="440" w:type="dxa"/>
            <w:vAlign w:val="bottom"/>
            <w:tcBorders>
              <w:bottom w:val="single" w:sz="8" w:color="auto"/>
            </w:tcBorders>
            <w:shd w:val="clear" w:color="auto" w:fill="DBDBDB"/>
          </w:tcPr>
          <w:p>
            <w:pPr>
              <w:spacing w:after="0"/>
              <w:rPr>
                <w:sz w:val="19"/>
                <w:szCs w:val="19"/>
                <w:color w:val="auto"/>
              </w:rPr>
            </w:pPr>
          </w:p>
        </w:tc>
        <w:tc>
          <w:tcPr>
            <w:tcW w:w="500" w:type="dxa"/>
            <w:vAlign w:val="bottom"/>
            <w:tcBorders>
              <w:bottom w:val="single" w:sz="8" w:color="auto"/>
            </w:tcBorders>
            <w:shd w:val="clear" w:color="auto" w:fill="DBDBDB"/>
          </w:tcPr>
          <w:p>
            <w:pPr>
              <w:spacing w:after="0"/>
              <w:rPr>
                <w:sz w:val="19"/>
                <w:szCs w:val="19"/>
                <w:color w:val="auto"/>
              </w:rPr>
            </w:pPr>
          </w:p>
        </w:tc>
        <w:tc>
          <w:tcPr>
            <w:tcW w:w="900" w:type="dxa"/>
            <w:vAlign w:val="bottom"/>
            <w:tcBorders>
              <w:bottom w:val="single" w:sz="8" w:color="auto"/>
            </w:tcBorders>
            <w:shd w:val="clear" w:color="auto" w:fill="DBDBDB"/>
          </w:tcPr>
          <w:p>
            <w:pPr>
              <w:spacing w:after="0"/>
              <w:rPr>
                <w:sz w:val="19"/>
                <w:szCs w:val="19"/>
                <w:color w:val="auto"/>
              </w:rPr>
            </w:pPr>
          </w:p>
        </w:tc>
        <w:tc>
          <w:tcPr>
            <w:tcW w:w="460" w:type="dxa"/>
            <w:vAlign w:val="bottom"/>
            <w:tcBorders>
              <w:bottom w:val="single" w:sz="8" w:color="auto"/>
            </w:tcBorders>
            <w:shd w:val="clear" w:color="auto" w:fill="DBDBDB"/>
          </w:tcPr>
          <w:p>
            <w:pPr>
              <w:spacing w:after="0"/>
              <w:rPr>
                <w:sz w:val="19"/>
                <w:szCs w:val="19"/>
                <w:color w:val="auto"/>
              </w:rPr>
            </w:pPr>
          </w:p>
        </w:tc>
        <w:tc>
          <w:tcPr>
            <w:tcW w:w="340" w:type="dxa"/>
            <w:vAlign w:val="bottom"/>
            <w:tcBorders>
              <w:bottom w:val="single" w:sz="8" w:color="auto"/>
            </w:tcBorders>
            <w:shd w:val="clear" w:color="auto" w:fill="DBDBDB"/>
          </w:tcPr>
          <w:p>
            <w:pPr>
              <w:spacing w:after="0"/>
              <w:rPr>
                <w:sz w:val="19"/>
                <w:szCs w:val="19"/>
                <w:color w:val="auto"/>
              </w:rPr>
            </w:pPr>
          </w:p>
        </w:tc>
        <w:tc>
          <w:tcPr>
            <w:tcW w:w="780" w:type="dxa"/>
            <w:vAlign w:val="bottom"/>
            <w:tcBorders>
              <w:bottom w:val="single" w:sz="8" w:color="auto"/>
            </w:tcBorders>
            <w:shd w:val="clear" w:color="auto" w:fill="DBDBDB"/>
          </w:tcPr>
          <w:p>
            <w:pPr>
              <w:spacing w:after="0"/>
              <w:rPr>
                <w:sz w:val="19"/>
                <w:szCs w:val="19"/>
                <w:color w:val="auto"/>
              </w:rPr>
            </w:pPr>
          </w:p>
        </w:tc>
        <w:tc>
          <w:tcPr>
            <w:tcW w:w="380" w:type="dxa"/>
            <w:vAlign w:val="bottom"/>
            <w:tcBorders>
              <w:bottom w:val="single" w:sz="8" w:color="auto"/>
            </w:tcBorders>
            <w:shd w:val="clear" w:color="auto" w:fill="DBDBDB"/>
          </w:tcPr>
          <w:p>
            <w:pPr>
              <w:jc w:val="right"/>
              <w:ind w:right="10"/>
              <w:spacing w:after="0"/>
              <w:rPr>
                <w:sz w:val="20"/>
                <w:szCs w:val="20"/>
                <w:color w:val="auto"/>
              </w:rPr>
            </w:pPr>
            <w:r>
              <w:rPr>
                <w:rFonts w:ascii="Times New Roman" w:cs="Times New Roman" w:eastAsia="Times New Roman" w:hAnsi="Times New Roman"/>
                <w:sz w:val="18"/>
                <w:szCs w:val="18"/>
                <w:color w:val="auto"/>
                <w:w w:val="96"/>
              </w:rPr>
              <w:t>635</w:t>
            </w:r>
          </w:p>
        </w:tc>
        <w:tc>
          <w:tcPr>
            <w:tcW w:w="700" w:type="dxa"/>
            <w:vAlign w:val="bottom"/>
            <w:tcBorders>
              <w:bottom w:val="single" w:sz="8" w:color="auto"/>
            </w:tcBorders>
            <w:shd w:val="clear" w:color="auto" w:fill="DBDBDB"/>
          </w:tcPr>
          <w:p>
            <w:pPr>
              <w:spacing w:after="0"/>
              <w:rPr>
                <w:sz w:val="19"/>
                <w:szCs w:val="19"/>
                <w:color w:val="auto"/>
              </w:rPr>
            </w:pPr>
          </w:p>
        </w:tc>
        <w:tc>
          <w:tcPr>
            <w:tcW w:w="380" w:type="dxa"/>
            <w:vAlign w:val="bottom"/>
            <w:tcBorders>
              <w:bottom w:val="single" w:sz="8" w:color="auto"/>
            </w:tcBorders>
            <w:shd w:val="clear" w:color="auto" w:fill="DBDBDB"/>
          </w:tcPr>
          <w:p>
            <w:pPr>
              <w:spacing w:after="0"/>
              <w:rPr>
                <w:sz w:val="19"/>
                <w:szCs w:val="19"/>
                <w:color w:val="auto"/>
              </w:rPr>
            </w:pPr>
          </w:p>
        </w:tc>
        <w:tc>
          <w:tcPr>
            <w:tcW w:w="48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635</w:t>
            </w:r>
          </w:p>
        </w:tc>
        <w:tc>
          <w:tcPr>
            <w:tcW w:w="100" w:type="dxa"/>
            <w:vAlign w:val="bottom"/>
            <w:tcBorders>
              <w:bottom w:val="single" w:sz="8" w:color="auto"/>
            </w:tcBorders>
            <w:shd w:val="clear" w:color="auto" w:fill="DBDBDB"/>
          </w:tcPr>
          <w:p>
            <w:pPr>
              <w:spacing w:after="0"/>
              <w:rPr>
                <w:sz w:val="19"/>
                <w:szCs w:val="19"/>
                <w:color w:val="auto"/>
              </w:rPr>
            </w:pPr>
          </w:p>
        </w:tc>
        <w:tc>
          <w:tcPr>
            <w:tcW w:w="160" w:type="dxa"/>
            <w:vAlign w:val="bottom"/>
            <w:tcBorders>
              <w:bottom w:val="single" w:sz="8" w:color="auto"/>
            </w:tcBorders>
            <w:shd w:val="clear" w:color="auto" w:fill="DBDBDB"/>
          </w:tcPr>
          <w:p>
            <w:pPr>
              <w:spacing w:after="0"/>
              <w:rPr>
                <w:sz w:val="19"/>
                <w:szCs w:val="19"/>
                <w:color w:val="auto"/>
              </w:rPr>
            </w:pPr>
          </w:p>
        </w:tc>
        <w:tc>
          <w:tcPr>
            <w:tcW w:w="1000" w:type="dxa"/>
            <w:vAlign w:val="bottom"/>
            <w:tcBorders>
              <w:bottom w:val="single" w:sz="8" w:color="auto"/>
            </w:tcBorders>
            <w:shd w:val="clear" w:color="auto" w:fill="DBDBDB"/>
          </w:tcPr>
          <w:p>
            <w:pPr>
              <w:spacing w:after="0"/>
              <w:rPr>
                <w:sz w:val="19"/>
                <w:szCs w:val="19"/>
                <w:color w:val="auto"/>
              </w:rPr>
            </w:pPr>
          </w:p>
        </w:tc>
        <w:tc>
          <w:tcPr>
            <w:tcW w:w="340" w:type="dxa"/>
            <w:vAlign w:val="bottom"/>
            <w:tcBorders>
              <w:bottom w:val="single" w:sz="8" w:color="auto"/>
            </w:tcBorders>
            <w:shd w:val="clear" w:color="auto" w:fill="DBDBDB"/>
          </w:tcPr>
          <w:p>
            <w:pPr>
              <w:jc w:val="right"/>
              <w:ind w:right="10"/>
              <w:spacing w:after="0"/>
              <w:rPr>
                <w:sz w:val="20"/>
                <w:szCs w:val="20"/>
                <w:color w:val="auto"/>
              </w:rPr>
            </w:pPr>
            <w:r>
              <w:rPr>
                <w:rFonts w:ascii="Times New Roman" w:cs="Times New Roman" w:eastAsia="Times New Roman" w:hAnsi="Times New Roman"/>
                <w:sz w:val="18"/>
                <w:szCs w:val="18"/>
                <w:color w:val="auto"/>
              </w:rPr>
              <w:t>66</w:t>
            </w:r>
          </w:p>
        </w:tc>
        <w:tc>
          <w:tcPr>
            <w:tcW w:w="300" w:type="dxa"/>
            <w:vAlign w:val="bottom"/>
            <w:tcBorders>
              <w:bottom w:val="single" w:sz="8" w:color="auto"/>
            </w:tcBorders>
            <w:shd w:val="clear" w:color="auto" w:fill="DBDBDB"/>
          </w:tcPr>
          <w:p>
            <w:pPr>
              <w:spacing w:after="0"/>
              <w:rPr>
                <w:sz w:val="19"/>
                <w:szCs w:val="19"/>
                <w:color w:val="auto"/>
              </w:rPr>
            </w:pPr>
          </w:p>
        </w:tc>
        <w:tc>
          <w:tcPr>
            <w:tcW w:w="300" w:type="dxa"/>
            <w:vAlign w:val="bottom"/>
            <w:tcBorders>
              <w:bottom w:val="single" w:sz="8" w:color="auto"/>
            </w:tcBorders>
            <w:shd w:val="clear" w:color="auto" w:fill="DBDBDB"/>
          </w:tcPr>
          <w:p>
            <w:pPr>
              <w:spacing w:after="0"/>
              <w:rPr>
                <w:sz w:val="19"/>
                <w:szCs w:val="19"/>
                <w:color w:val="auto"/>
              </w:rPr>
            </w:pPr>
          </w:p>
        </w:tc>
        <w:tc>
          <w:tcPr>
            <w:tcW w:w="96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300" w:type="dxa"/>
            <w:vAlign w:val="bottom"/>
            <w:tcBorders>
              <w:bottom w:val="single" w:sz="8" w:color="auto"/>
            </w:tcBorders>
            <w:gridSpan w:val="2"/>
          </w:tcPr>
          <w:p>
            <w:pPr>
              <w:ind w:left="680"/>
              <w:spacing w:after="0"/>
              <w:rPr>
                <w:sz w:val="20"/>
                <w:szCs w:val="20"/>
                <w:color w:val="auto"/>
              </w:rPr>
            </w:pPr>
            <w:r>
              <w:rPr>
                <w:rFonts w:ascii="Times New Roman" w:cs="Times New Roman" w:eastAsia="Times New Roman" w:hAnsi="Times New Roman"/>
                <w:sz w:val="18"/>
                <w:szCs w:val="18"/>
                <w:color w:val="auto"/>
              </w:rPr>
              <w:t>Total</w:t>
            </w:r>
          </w:p>
        </w:tc>
        <w:tc>
          <w:tcPr>
            <w:tcW w:w="5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2,212,818</w:t>
            </w:r>
          </w:p>
        </w:tc>
        <w:tc>
          <w:tcPr>
            <w:tcW w:w="7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2,212,818</w:t>
            </w: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2,324,883</w:t>
            </w:r>
          </w:p>
        </w:tc>
        <w:tc>
          <w:tcPr>
            <w:tcW w:w="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2,324,883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methods and assumptions were used to estimate the fair value of each class of financial instruments for which it is practicable to estimate that value: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Cash and Cash Equivalents </w:t>
      </w:r>
      <w:r>
        <w:rPr>
          <w:rFonts w:ascii="Times New Roman" w:cs="Times New Roman" w:eastAsia="Times New Roman" w:hAnsi="Times New Roman"/>
          <w:sz w:val="18"/>
          <w:szCs w:val="18"/>
          <w:color w:val="auto"/>
        </w:rPr>
        <w:t>The carrying amount approximates fair value.</w:t>
      </w:r>
    </w:p>
    <w:p>
      <w:pPr>
        <w:spacing w:after="0" w:line="22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Investment Securities </w:t>
      </w:r>
      <w:r>
        <w:rPr>
          <w:rFonts w:ascii="Times New Roman" w:cs="Times New Roman" w:eastAsia="Times New Roman" w:hAnsi="Times New Roman"/>
          <w:sz w:val="18"/>
          <w:szCs w:val="18"/>
          <w:color w:val="auto"/>
        </w:rPr>
        <w:t>The fair value is measured on a recurring basis using Level 2 valuations. Refer to Note 3 - Investment Securities, for fair value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unrealized gains and losses by investment type.</w:t>
      </w:r>
    </w:p>
    <w:p>
      <w:pPr>
        <w:spacing w:after="0" w:line="15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Loans </w:t>
      </w:r>
      <w:r>
        <w:rPr>
          <w:rFonts w:ascii="Times New Roman" w:cs="Times New Roman" w:eastAsia="Times New Roman" w:hAnsi="Times New Roman"/>
          <w:sz w:val="18"/>
          <w:szCs w:val="18"/>
          <w:color w:val="auto"/>
        </w:rPr>
        <w:t>The fair value is estimated using present values of future cash flows discounted at risk-adjusted interest rates for each loan category designated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management and is therefore a Level 3 valuation. Management believes that the risk factor embedded in the interest rates along with the allowance for credit losses approximates a fair valuation.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Accrued Interest Receivable </w:t>
      </w:r>
      <w:r>
        <w:rPr>
          <w:rFonts w:ascii="Times New Roman" w:cs="Times New Roman" w:eastAsia="Times New Roman" w:hAnsi="Times New Roman"/>
          <w:sz w:val="18"/>
          <w:szCs w:val="18"/>
          <w:color w:val="auto"/>
        </w:rPr>
        <w:t>The carrying amount approximates fair value.</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Deposits </w:t>
      </w:r>
      <w:r>
        <w:rPr>
          <w:rFonts w:ascii="Times New Roman" w:cs="Times New Roman" w:eastAsia="Times New Roman" w:hAnsi="Times New Roman"/>
          <w:sz w:val="18"/>
          <w:szCs w:val="18"/>
          <w:color w:val="auto"/>
        </w:rPr>
        <w:t>The fair value of demand deposits, savings deposits and certain money market deposits is the amount payable on demand at the reporting date.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fair value of fixed-maturity certificates of deposit is estimated using the rates currently offered for deposits of similar remaining maturities and therefore, is a Level 2 valuation. The fair value estimates above do not include the benefit that results from the low-cost funding provided by the deposit liabilities compared to the cost of borrowing funds in the market or the benefit derived from the customer relationship inherent in existing deposits.</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Accounts and Drafts Payable </w:t>
      </w:r>
      <w:r>
        <w:rPr>
          <w:rFonts w:ascii="Times New Roman" w:cs="Times New Roman" w:eastAsia="Times New Roman" w:hAnsi="Times New Roman"/>
          <w:sz w:val="18"/>
          <w:szCs w:val="18"/>
          <w:color w:val="auto"/>
        </w:rPr>
        <w:t>The carrying amount approximates fair value.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Accrued Interest </w:t>
      </w:r>
      <w:r>
        <w:rPr>
          <w:rFonts w:ascii="Times New Roman" w:cs="Times New Roman" w:eastAsia="Times New Roman" w:hAnsi="Times New Roman"/>
          <w:sz w:val="18"/>
          <w:szCs w:val="18"/>
          <w:color w:val="auto"/>
        </w:rPr>
        <w:t>The carrying amount approximates fair value.</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Limitations </w:t>
      </w:r>
      <w:r>
        <w:rPr>
          <w:rFonts w:ascii="Times New Roman" w:cs="Times New Roman" w:eastAsia="Times New Roman" w:hAnsi="Times New Roman"/>
          <w:sz w:val="18"/>
          <w:szCs w:val="18"/>
          <w:color w:val="auto"/>
        </w:rPr>
        <w:t>Fair value estimates are based on existing on- and off-balance sheet financial instruments without attempting to estimate the value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anticipated future business and the value of assets and liabilities that are not considered financial instruments. Other significant assets or liabilities that are not considered financial assets or liabilities include premises and equipment and the benefit that results from the low-cost funding provided by the deposit liabilities compared to the cost of borrowing funds in the market (core deposit intangible). In addition, tax ramifications related to the realization of the unrealized gains and losses can have a significant effect on fair value estimates and have not been considered in any of the estimates.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is party to financial instruments with off-balance sheet risk in the normal course of business to meet the financing needs of its customers. These financial instruments include commitments to extend credit, commercial letters of credit and standby letters of credit. The Company’s maximum potential exposure to credit loss in the event of nonperformance by the other party to the financial instrument for commitments to extend credit, commercial letters of credit and standby letters of credit is represented by the contractual amounts of those instruments. At December 31, 2023, an allowance for unfunded commitments of $132,000 had been recorded, as compared to $232,000 at December 31, 2022. See Note 1 "Summary of Significant Accounting Policies" for information related to CECL.</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Commitments to extend credit are agreements to lend to a customer as long as there is no violation of any condition established in the contract. Commercial and standby letters of credit are commitments issued by the Company to guarantee the performance of a customer to a third party. These off-balance sheet financial instruments generally have fixed expiration dates or other termination clauses and may require payment of a fee. The approximate remaining terms of commercial and standby letters of credit range from less than one to five years. Since these financial instruments may expire without being drawn upon, the total amounts do not necessarily represent future cash requirements. Commitments to extend credit and letters of credit are subject to the same underwriting standards as those financial instruments included on the consolidated balance sheets. The Company evaluates each customer’s credit-worthiness on a case-by-case basis. The amount of collateral obtained, if deemed necessary upon extension of the credit, is based on management’s credit evaluation of the borrower. Collateral held varies, but is generally accounts receivable, inventory, residential or income-producing commercial property or equipment. In the event of nonperformance, the Company may obtain and liquidate the collateral to recover amounts paid under its guarantees on these financial instruments.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8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shows commitments to extend credit, standby letters of credit and commercial letters:</w:t>
            </w: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43"/>
        </w:trPr>
        <w:tc>
          <w:tcPr>
            <w:tcW w:w="8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760" w:type="dxa"/>
            <w:vAlign w:val="bottom"/>
            <w:gridSpan w:val="2"/>
          </w:tcPr>
          <w:p>
            <w:pPr>
              <w:spacing w:after="0"/>
              <w:rPr>
                <w:sz w:val="21"/>
                <w:szCs w:val="21"/>
                <w:color w:val="auto"/>
              </w:rPr>
            </w:pPr>
          </w:p>
        </w:tc>
        <w:tc>
          <w:tcPr>
            <w:tcW w:w="960" w:type="dxa"/>
            <w:vAlign w:val="bottom"/>
          </w:tcPr>
          <w:p>
            <w:pPr>
              <w:spacing w:after="0"/>
              <w:rPr>
                <w:sz w:val="21"/>
                <w:szCs w:val="21"/>
                <w:color w:val="auto"/>
              </w:rPr>
            </w:pPr>
          </w:p>
        </w:tc>
      </w:tr>
      <w:tr>
        <w:trPr>
          <w:trHeight w:val="230"/>
        </w:trPr>
        <w:tc>
          <w:tcPr>
            <w:tcW w:w="8180" w:type="dxa"/>
            <w:vAlign w:val="bottom"/>
            <w:shd w:val="clear" w:color="auto" w:fill="DBDBDB"/>
          </w:tcPr>
          <w:p>
            <w:pPr>
              <w:spacing w:after="0"/>
              <w:rPr>
                <w:sz w:val="19"/>
                <w:szCs w:val="19"/>
                <w:color w:val="auto"/>
              </w:rPr>
            </w:pPr>
          </w:p>
        </w:tc>
        <w:tc>
          <w:tcPr>
            <w:tcW w:w="340" w:type="dxa"/>
            <w:vAlign w:val="bottom"/>
            <w:tcBorders>
              <w:bottom w:val="single" w:sz="8" w:color="auto"/>
            </w:tcBorders>
            <w:shd w:val="clear" w:color="auto" w:fill="DBDBDB"/>
          </w:tcPr>
          <w:p>
            <w:pPr>
              <w:spacing w:after="0"/>
              <w:rPr>
                <w:sz w:val="19"/>
                <w:szCs w:val="19"/>
                <w:color w:val="auto"/>
              </w:rPr>
            </w:pPr>
          </w:p>
        </w:tc>
        <w:tc>
          <w:tcPr>
            <w:tcW w:w="1760" w:type="dxa"/>
            <w:vAlign w:val="bottom"/>
            <w:tcBorders>
              <w:bottom w:val="single" w:sz="8" w:color="auto"/>
            </w:tcBorders>
            <w:gridSpan w:val="2"/>
            <w:shd w:val="clear" w:color="auto" w:fill="DBDBDB"/>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60" w:type="dxa"/>
            <w:vAlign w:val="bottom"/>
            <w:tcBorders>
              <w:bottom w:val="single" w:sz="8" w:color="auto"/>
            </w:tcBorders>
            <w:shd w:val="clear" w:color="auto" w:fill="DBDBDB"/>
          </w:tcPr>
          <w:p>
            <w:pPr>
              <w:spacing w:after="0"/>
              <w:rPr>
                <w:sz w:val="19"/>
                <w:szCs w:val="19"/>
                <w:color w:val="auto"/>
              </w:rPr>
            </w:pPr>
          </w:p>
        </w:tc>
      </w:tr>
      <w:tr>
        <w:trPr>
          <w:trHeight w:val="223"/>
        </w:trPr>
        <w:tc>
          <w:tcPr>
            <w:tcW w:w="8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6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3"/>
        </w:trPr>
        <w:tc>
          <w:tcPr>
            <w:tcW w:w="818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Commitments to extend credit</w:t>
            </w:r>
          </w:p>
        </w:tc>
        <w:tc>
          <w:tcPr>
            <w:tcW w:w="340" w:type="dxa"/>
            <w:vAlign w:val="bottom"/>
            <w:shd w:val="clear" w:color="auto" w:fill="DBDBDB"/>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DBDBDB"/>
          </w:tcPr>
          <w:p>
            <w:pPr>
              <w:jc w:val="right"/>
              <w:ind w:right="10"/>
              <w:spacing w:after="0"/>
              <w:rPr>
                <w:sz w:val="20"/>
                <w:szCs w:val="20"/>
                <w:color w:val="auto"/>
              </w:rPr>
            </w:pPr>
            <w:r>
              <w:rPr>
                <w:rFonts w:ascii="Times New Roman" w:cs="Times New Roman" w:eastAsia="Times New Roman" w:hAnsi="Times New Roman"/>
                <w:sz w:val="18"/>
                <w:szCs w:val="18"/>
                <w:color w:val="auto"/>
              </w:rPr>
              <w:t>196,064</w:t>
            </w:r>
          </w:p>
        </w:tc>
        <w:tc>
          <w:tcPr>
            <w:tcW w:w="600" w:type="dxa"/>
            <w:vAlign w:val="bottom"/>
            <w:shd w:val="clear" w:color="auto" w:fill="DBDBDB"/>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237,006</w:t>
            </w: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Standby letters of credit</w:t>
            </w:r>
          </w:p>
        </w:tc>
        <w:tc>
          <w:tcPr>
            <w:tcW w:w="340" w:type="dxa"/>
            <w:vAlign w:val="bottom"/>
          </w:tcPr>
          <w:p>
            <w:pPr>
              <w:spacing w:after="0"/>
              <w:rPr>
                <w:sz w:val="19"/>
                <w:szCs w:val="19"/>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13,614</w:t>
            </w:r>
          </w:p>
        </w:tc>
        <w:tc>
          <w:tcPr>
            <w:tcW w:w="6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14,494</w:t>
            </w:r>
          </w:p>
        </w:tc>
      </w:tr>
      <w:tr>
        <w:trPr>
          <w:trHeight w:val="229"/>
        </w:trPr>
        <w:tc>
          <w:tcPr>
            <w:tcW w:w="8180" w:type="dxa"/>
            <w:vAlign w:val="bottom"/>
            <w:tcBorders>
              <w:bottom w:val="single" w:sz="8" w:color="auto"/>
            </w:tcBorders>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Commercial letters of credit</w:t>
            </w:r>
          </w:p>
        </w:tc>
        <w:tc>
          <w:tcPr>
            <w:tcW w:w="340" w:type="dxa"/>
            <w:vAlign w:val="bottom"/>
            <w:tcBorders>
              <w:bottom w:val="single" w:sz="8" w:color="auto"/>
            </w:tcBorders>
            <w:shd w:val="clear" w:color="auto" w:fill="DBDBDB"/>
          </w:tcPr>
          <w:p>
            <w:pPr>
              <w:spacing w:after="0"/>
              <w:rPr>
                <w:sz w:val="19"/>
                <w:szCs w:val="19"/>
                <w:color w:val="auto"/>
              </w:rPr>
            </w:pPr>
          </w:p>
        </w:tc>
        <w:tc>
          <w:tcPr>
            <w:tcW w:w="1160" w:type="dxa"/>
            <w:vAlign w:val="bottom"/>
            <w:tcBorders>
              <w:bottom w:val="single" w:sz="8" w:color="auto"/>
            </w:tcBorders>
            <w:shd w:val="clear" w:color="auto" w:fill="DBDBDB"/>
          </w:tcPr>
          <w:p>
            <w:pPr>
              <w:jc w:val="right"/>
              <w:ind w:right="10"/>
              <w:spacing w:after="0"/>
              <w:rPr>
                <w:sz w:val="20"/>
                <w:szCs w:val="20"/>
                <w:color w:val="auto"/>
              </w:rPr>
            </w:pPr>
            <w:r>
              <w:rPr>
                <w:rFonts w:ascii="Times New Roman" w:cs="Times New Roman" w:eastAsia="Times New Roman" w:hAnsi="Times New Roman"/>
                <w:sz w:val="18"/>
                <w:szCs w:val="18"/>
                <w:color w:val="auto"/>
              </w:rPr>
              <w:t>353</w:t>
            </w:r>
          </w:p>
        </w:tc>
        <w:tc>
          <w:tcPr>
            <w:tcW w:w="600" w:type="dxa"/>
            <w:vAlign w:val="bottom"/>
            <w:tcBorders>
              <w:bottom w:val="single" w:sz="8" w:color="auto"/>
            </w:tcBorders>
            <w:shd w:val="clear" w:color="auto" w:fill="DBDBDB"/>
          </w:tcPr>
          <w:p>
            <w:pPr>
              <w:spacing w:after="0"/>
              <w:rPr>
                <w:sz w:val="19"/>
                <w:szCs w:val="19"/>
                <w:color w:val="auto"/>
              </w:rPr>
            </w:pPr>
          </w:p>
        </w:tc>
        <w:tc>
          <w:tcPr>
            <w:tcW w:w="96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354</w:t>
            </w:r>
          </w:p>
        </w:tc>
      </w:tr>
    </w:tbl>
    <w:p>
      <w:pPr>
        <w:spacing w:after="0" w:line="2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fair value of commitments to extend credit and standby letters of credit is estimated using the fees currently charged to enter into similar agreements, taking into account the remaining terms of the agreements, the likelihood of the counterparties drawing on such financial instruments and the present credit worthiness of such counterparties. The Company believes such commitments have been made at terms which are competitive in the markets in which it operates; however, no premium or discount is offered thereon.</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and its subsidiaries are not involved in any pending proceedings other than ordinary routine litigation incidental to their businesses. Management believes none of these proceedings, if determined adversely, would have a material effect on the business or financial condition of the Company or its subsidiaries.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from Contracts with Customers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is recognized as the obligation to the customer is satisfied. The following is detail of the Company’s revenue from contracts with clients.</w:t>
      </w:r>
    </w:p>
    <w:p>
      <w:pPr>
        <w:spacing w:after="0" w:line="19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Processing fees </w:t>
      </w:r>
      <w:r>
        <w:rPr>
          <w:rFonts w:ascii="Times New Roman" w:cs="Times New Roman" w:eastAsia="Times New Roman" w:hAnsi="Times New Roman"/>
          <w:sz w:val="18"/>
          <w:szCs w:val="18"/>
          <w:color w:val="auto"/>
        </w:rPr>
        <w:t>– The Company earns fees on a per-item or monthly basis for the invoice processing services rendered on behalf of customers. Per-item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fees are recognized at the point in time when the performance obligation is satisfied. Monthly fees are earned over the course of a month, representing the period over which the performance obligation is satisfied. The contracts have no significant impact of variable consideration and no significant financing components.</w:t>
      </w:r>
    </w:p>
    <w:p>
      <w:pPr>
        <w:spacing w:after="0" w:line="13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Financial fees </w:t>
      </w:r>
      <w:r>
        <w:rPr>
          <w:rFonts w:ascii="Times New Roman" w:cs="Times New Roman" w:eastAsia="Times New Roman" w:hAnsi="Times New Roman"/>
          <w:sz w:val="18"/>
          <w:szCs w:val="18"/>
          <w:color w:val="auto"/>
        </w:rPr>
        <w:t>– The Company earns fees on a transaction level basis for invoice payment services when making customer payments. Fees are recognized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at the point in time when the payment transactions are made, which is when the performance obligation is satisfied. The contracts have no significant impact of variable consideration and no significant financing components.</w:t>
      </w:r>
    </w:p>
    <w:p>
      <w:pPr>
        <w:spacing w:after="0" w:line="13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Bank service fees </w:t>
      </w:r>
      <w:r>
        <w:rPr>
          <w:rFonts w:ascii="Times New Roman" w:cs="Times New Roman" w:eastAsia="Times New Roman" w:hAnsi="Times New Roman"/>
          <w:sz w:val="18"/>
          <w:szCs w:val="18"/>
          <w:color w:val="auto"/>
        </w:rPr>
        <w:t>– Revenue from service fees consists of service charges and fees on deposit accounts under depository agreements with customers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provide access to deposited funds. Service charges on deposit accounts are transaction-based fees that are recognized at the point in time when the performance obligation is satisfied. The contracts have no significant impact of variable consideration and no significant financing components.</w:t>
      </w:r>
    </w:p>
    <w:p>
      <w:pPr>
        <w:spacing w:after="0" w:line="14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presents non-interest income, segregated by revenue streams in-scope and out-of-scope for the years ended December 31, 2023, 2022 and 2021.</w:t>
      </w:r>
    </w:p>
    <w:p>
      <w:pPr>
        <w:spacing w:after="0" w:line="207"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6520" w:type="dxa"/>
            <w:vAlign w:val="bottom"/>
            <w:shd w:val="clear" w:color="auto" w:fill="DBDBDB"/>
          </w:tcPr>
          <w:p>
            <w:pPr>
              <w:spacing w:after="0"/>
              <w:rPr>
                <w:sz w:val="19"/>
                <w:szCs w:val="19"/>
                <w:color w:val="auto"/>
              </w:rPr>
            </w:pPr>
          </w:p>
        </w:tc>
        <w:tc>
          <w:tcPr>
            <w:tcW w:w="340" w:type="dxa"/>
            <w:vAlign w:val="bottom"/>
            <w:tcBorders>
              <w:bottom w:val="single" w:sz="8" w:color="auto"/>
            </w:tcBorders>
            <w:shd w:val="clear" w:color="auto" w:fill="DBDBDB"/>
          </w:tcPr>
          <w:p>
            <w:pPr>
              <w:spacing w:after="0"/>
              <w:rPr>
                <w:sz w:val="19"/>
                <w:szCs w:val="19"/>
                <w:color w:val="auto"/>
              </w:rPr>
            </w:pPr>
          </w:p>
        </w:tc>
        <w:tc>
          <w:tcPr>
            <w:tcW w:w="3340" w:type="dxa"/>
            <w:vAlign w:val="bottom"/>
            <w:tcBorders>
              <w:bottom w:val="single" w:sz="8" w:color="auto"/>
            </w:tcBorders>
            <w:gridSpan w:val="6"/>
            <w:shd w:val="clear" w:color="auto" w:fill="DBDBDB"/>
          </w:tcPr>
          <w:p>
            <w:pPr>
              <w:jc w:val="right"/>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c>
          <w:tcPr>
            <w:tcW w:w="960" w:type="dxa"/>
            <w:vAlign w:val="bottom"/>
            <w:tcBorders>
              <w:bottom w:val="single" w:sz="8" w:color="auto"/>
            </w:tcBorders>
            <w:shd w:val="clear" w:color="auto" w:fill="DBDBDB"/>
          </w:tcPr>
          <w:p>
            <w:pPr>
              <w:spacing w:after="0"/>
              <w:rPr>
                <w:sz w:val="19"/>
                <w:szCs w:val="19"/>
                <w:color w:val="auto"/>
              </w:rPr>
            </w:pPr>
          </w:p>
        </w:tc>
      </w:tr>
      <w:tr>
        <w:trPr>
          <w:trHeight w:val="223"/>
        </w:trPr>
        <w:tc>
          <w:tcPr>
            <w:tcW w:w="6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652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Fee revenue and other income</w:t>
            </w:r>
          </w:p>
        </w:tc>
        <w:tc>
          <w:tcPr>
            <w:tcW w:w="340" w:type="dxa"/>
            <w:vAlign w:val="bottom"/>
            <w:shd w:val="clear" w:color="auto" w:fill="DBDBDB"/>
          </w:tcPr>
          <w:p>
            <w:pPr>
              <w:spacing w:after="0"/>
              <w:rPr>
                <w:sz w:val="19"/>
                <w:szCs w:val="19"/>
                <w:color w:val="auto"/>
              </w:rPr>
            </w:pPr>
          </w:p>
        </w:tc>
        <w:tc>
          <w:tcPr>
            <w:tcW w:w="11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340" w:type="dxa"/>
            <w:vAlign w:val="bottom"/>
            <w:shd w:val="clear" w:color="auto" w:fill="DBDBDB"/>
          </w:tcPr>
          <w:p>
            <w:pPr>
              <w:spacing w:after="0"/>
              <w:rPr>
                <w:sz w:val="19"/>
                <w:szCs w:val="19"/>
                <w:color w:val="auto"/>
              </w:rPr>
            </w:pPr>
          </w:p>
        </w:tc>
        <w:tc>
          <w:tcPr>
            <w:tcW w:w="11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520" w:type="dxa"/>
            <w:vAlign w:val="bottom"/>
            <w:shd w:val="clear" w:color="auto" w:fill="DBDBDB"/>
          </w:tcPr>
          <w:p>
            <w:pPr>
              <w:spacing w:after="0"/>
              <w:rPr>
                <w:sz w:val="19"/>
                <w:szCs w:val="19"/>
                <w:color w:val="auto"/>
              </w:rPr>
            </w:pPr>
          </w:p>
        </w:tc>
        <w:tc>
          <w:tcPr>
            <w:tcW w:w="960" w:type="dxa"/>
            <w:vAlign w:val="bottom"/>
            <w:shd w:val="clear" w:color="auto" w:fill="DBDBDB"/>
          </w:tcPr>
          <w:p>
            <w:pPr>
              <w:spacing w:after="0"/>
              <w:rPr>
                <w:sz w:val="19"/>
                <w:szCs w:val="19"/>
                <w:color w:val="auto"/>
              </w:rPr>
            </w:pPr>
          </w:p>
        </w:tc>
      </w:tr>
      <w:tr>
        <w:trPr>
          <w:trHeight w:val="229"/>
        </w:trPr>
        <w:tc>
          <w:tcPr>
            <w:tcW w:w="6520" w:type="dxa"/>
            <w:vAlign w:val="bottom"/>
          </w:tcPr>
          <w:p>
            <w:pPr>
              <w:ind w:left="360"/>
              <w:spacing w:after="0"/>
              <w:rPr>
                <w:sz w:val="20"/>
                <w:szCs w:val="20"/>
                <w:color w:val="auto"/>
              </w:rPr>
            </w:pPr>
            <w:r>
              <w:rPr>
                <w:rFonts w:ascii="Times New Roman" w:cs="Times New Roman" w:eastAsia="Times New Roman" w:hAnsi="Times New Roman"/>
                <w:sz w:val="18"/>
                <w:szCs w:val="18"/>
                <w:i w:val="1"/>
                <w:iCs w:val="1"/>
                <w:color w:val="auto"/>
              </w:rPr>
              <w:t>In-scope of ASC 606</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6520" w:type="dxa"/>
            <w:vAlign w:val="bottom"/>
            <w:shd w:val="clear" w:color="auto" w:fill="DBDBDB"/>
          </w:tcPr>
          <w:p>
            <w:pPr>
              <w:ind w:left="680"/>
              <w:spacing w:after="0"/>
              <w:rPr>
                <w:sz w:val="20"/>
                <w:szCs w:val="20"/>
                <w:color w:val="auto"/>
              </w:rPr>
            </w:pPr>
            <w:r>
              <w:rPr>
                <w:rFonts w:ascii="Times New Roman" w:cs="Times New Roman" w:eastAsia="Times New Roman" w:hAnsi="Times New Roman"/>
                <w:sz w:val="18"/>
                <w:szCs w:val="18"/>
                <w:color w:val="auto"/>
              </w:rPr>
              <w:t>Processing fees</w:t>
            </w:r>
          </w:p>
        </w:tc>
        <w:tc>
          <w:tcPr>
            <w:tcW w:w="340" w:type="dxa"/>
            <w:vAlign w:val="bottom"/>
            <w:shd w:val="clear" w:color="auto" w:fill="DBDBDB"/>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79,566</w:t>
            </w:r>
          </w:p>
        </w:tc>
        <w:tc>
          <w:tcPr>
            <w:tcW w:w="100" w:type="dxa"/>
            <w:vAlign w:val="bottom"/>
            <w:shd w:val="clear" w:color="auto" w:fill="DBDBDB"/>
          </w:tcPr>
          <w:p>
            <w:pPr>
              <w:spacing w:after="0"/>
              <w:rPr>
                <w:sz w:val="19"/>
                <w:szCs w:val="19"/>
                <w:color w:val="auto"/>
              </w:rPr>
            </w:pPr>
          </w:p>
        </w:tc>
        <w:tc>
          <w:tcPr>
            <w:tcW w:w="340" w:type="dxa"/>
            <w:vAlign w:val="bottom"/>
            <w:shd w:val="clear" w:color="auto" w:fill="DBDBDB"/>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76,470</w:t>
            </w:r>
          </w:p>
        </w:tc>
        <w:tc>
          <w:tcPr>
            <w:tcW w:w="100" w:type="dxa"/>
            <w:vAlign w:val="bottom"/>
            <w:shd w:val="clear" w:color="auto" w:fill="DBDBDB"/>
          </w:tcPr>
          <w:p>
            <w:pPr>
              <w:spacing w:after="0"/>
              <w:rPr>
                <w:sz w:val="19"/>
                <w:szCs w:val="19"/>
                <w:color w:val="auto"/>
              </w:rPr>
            </w:pPr>
          </w:p>
        </w:tc>
        <w:tc>
          <w:tcPr>
            <w:tcW w:w="520" w:type="dxa"/>
            <w:vAlign w:val="bottom"/>
            <w:shd w:val="clear" w:color="auto" w:fill="DBDBDB"/>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74,589</w:t>
            </w:r>
          </w:p>
        </w:tc>
      </w:tr>
      <w:tr>
        <w:trPr>
          <w:trHeight w:val="230"/>
        </w:trPr>
        <w:tc>
          <w:tcPr>
            <w:tcW w:w="6520" w:type="dxa"/>
            <w:vAlign w:val="bottom"/>
            <w:tcBorders>
              <w:bottom w:val="single" w:sz="8" w:color="DBDBDB"/>
            </w:tcBorders>
          </w:tcPr>
          <w:p>
            <w:pPr>
              <w:ind w:left="680"/>
              <w:spacing w:after="0"/>
              <w:rPr>
                <w:sz w:val="20"/>
                <w:szCs w:val="20"/>
                <w:color w:val="auto"/>
              </w:rPr>
            </w:pPr>
            <w:r>
              <w:rPr>
                <w:rFonts w:ascii="Times New Roman" w:cs="Times New Roman" w:eastAsia="Times New Roman" w:hAnsi="Times New Roman"/>
                <w:sz w:val="18"/>
                <w:szCs w:val="18"/>
                <w:color w:val="auto"/>
              </w:rPr>
              <w:t>Financial fees</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45,985</w:t>
            </w:r>
          </w:p>
        </w:tc>
        <w:tc>
          <w:tcPr>
            <w:tcW w:w="100" w:type="dxa"/>
            <w:vAlign w:val="bottom"/>
            <w:tcBorders>
              <w:bottom w:val="single" w:sz="8" w:color="DBDBDB"/>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43,757</w:t>
            </w:r>
          </w:p>
        </w:tc>
        <w:tc>
          <w:tcPr>
            <w:tcW w:w="100" w:type="dxa"/>
            <w:vAlign w:val="bottom"/>
            <w:tcBorders>
              <w:bottom w:val="single" w:sz="8" w:color="DBDBDB"/>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32,733</w:t>
            </w:r>
          </w:p>
        </w:tc>
      </w:tr>
      <w:tr>
        <w:trPr>
          <w:trHeight w:val="223"/>
        </w:trPr>
        <w:tc>
          <w:tcPr>
            <w:tcW w:w="6520" w:type="dxa"/>
            <w:vAlign w:val="bottom"/>
            <w:shd w:val="clear" w:color="auto" w:fill="DBDBDB"/>
          </w:tcPr>
          <w:p>
            <w:pPr>
              <w:ind w:left="1160"/>
              <w:spacing w:after="0"/>
              <w:rPr>
                <w:sz w:val="20"/>
                <w:szCs w:val="20"/>
                <w:color w:val="auto"/>
              </w:rPr>
            </w:pPr>
            <w:r>
              <w:rPr>
                <w:rFonts w:ascii="Times New Roman" w:cs="Times New Roman" w:eastAsia="Times New Roman" w:hAnsi="Times New Roman"/>
                <w:sz w:val="18"/>
                <w:szCs w:val="18"/>
                <w:color w:val="auto"/>
              </w:rPr>
              <w:t>Information services payment and processing revenue</w:t>
            </w:r>
          </w:p>
        </w:tc>
        <w:tc>
          <w:tcPr>
            <w:tcW w:w="340" w:type="dxa"/>
            <w:vAlign w:val="bottom"/>
            <w:shd w:val="clear" w:color="auto" w:fill="DBDBDB"/>
          </w:tcPr>
          <w:p>
            <w:pPr>
              <w:spacing w:after="0"/>
              <w:rPr>
                <w:sz w:val="19"/>
                <w:szCs w:val="19"/>
                <w:color w:val="auto"/>
              </w:rPr>
            </w:pPr>
          </w:p>
        </w:tc>
        <w:tc>
          <w:tcPr>
            <w:tcW w:w="11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125,551</w:t>
            </w:r>
          </w:p>
        </w:tc>
        <w:tc>
          <w:tcPr>
            <w:tcW w:w="100" w:type="dxa"/>
            <w:vAlign w:val="bottom"/>
            <w:shd w:val="clear" w:color="auto" w:fill="DBDBDB"/>
          </w:tcPr>
          <w:p>
            <w:pPr>
              <w:spacing w:after="0"/>
              <w:rPr>
                <w:sz w:val="19"/>
                <w:szCs w:val="19"/>
                <w:color w:val="auto"/>
              </w:rPr>
            </w:pPr>
          </w:p>
        </w:tc>
        <w:tc>
          <w:tcPr>
            <w:tcW w:w="340" w:type="dxa"/>
            <w:vAlign w:val="bottom"/>
            <w:shd w:val="clear" w:color="auto" w:fill="DBDBDB"/>
          </w:tcPr>
          <w:p>
            <w:pPr>
              <w:spacing w:after="0"/>
              <w:rPr>
                <w:sz w:val="19"/>
                <w:szCs w:val="19"/>
                <w:color w:val="auto"/>
              </w:rPr>
            </w:pPr>
          </w:p>
        </w:tc>
        <w:tc>
          <w:tcPr>
            <w:tcW w:w="11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120,227</w:t>
            </w:r>
          </w:p>
        </w:tc>
        <w:tc>
          <w:tcPr>
            <w:tcW w:w="100" w:type="dxa"/>
            <w:vAlign w:val="bottom"/>
            <w:shd w:val="clear" w:color="auto" w:fill="DBDBDB"/>
          </w:tcPr>
          <w:p>
            <w:pPr>
              <w:spacing w:after="0"/>
              <w:rPr>
                <w:sz w:val="19"/>
                <w:szCs w:val="19"/>
                <w:color w:val="auto"/>
              </w:rPr>
            </w:pPr>
          </w:p>
        </w:tc>
        <w:tc>
          <w:tcPr>
            <w:tcW w:w="520" w:type="dxa"/>
            <w:vAlign w:val="bottom"/>
            <w:shd w:val="clear" w:color="auto" w:fill="DBDBDB"/>
          </w:tcPr>
          <w:p>
            <w:pPr>
              <w:spacing w:after="0"/>
              <w:rPr>
                <w:sz w:val="19"/>
                <w:szCs w:val="19"/>
                <w:color w:val="auto"/>
              </w:rPr>
            </w:pPr>
          </w:p>
        </w:tc>
        <w:tc>
          <w:tcPr>
            <w:tcW w:w="9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107,322</w:t>
            </w:r>
          </w:p>
        </w:tc>
      </w:tr>
      <w:tr>
        <w:trPr>
          <w:trHeight w:val="230"/>
        </w:trPr>
        <w:tc>
          <w:tcPr>
            <w:tcW w:w="6520" w:type="dxa"/>
            <w:vAlign w:val="bottom"/>
            <w:tcBorders>
              <w:bottom w:val="single" w:sz="8" w:color="DBDBDB"/>
            </w:tcBorders>
          </w:tcPr>
          <w:p>
            <w:pPr>
              <w:ind w:left="680"/>
              <w:spacing w:after="0"/>
              <w:rPr>
                <w:sz w:val="20"/>
                <w:szCs w:val="20"/>
                <w:color w:val="auto"/>
              </w:rPr>
            </w:pPr>
            <w:r>
              <w:rPr>
                <w:rFonts w:ascii="Times New Roman" w:cs="Times New Roman" w:eastAsia="Times New Roman" w:hAnsi="Times New Roman"/>
                <w:sz w:val="18"/>
                <w:szCs w:val="18"/>
                <w:color w:val="auto"/>
              </w:rPr>
              <w:t>Bank service fees</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1,063</w:t>
            </w:r>
          </w:p>
        </w:tc>
        <w:tc>
          <w:tcPr>
            <w:tcW w:w="100" w:type="dxa"/>
            <w:vAlign w:val="bottom"/>
            <w:tcBorders>
              <w:bottom w:val="single" w:sz="8" w:color="DBDBDB"/>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1,430</w:t>
            </w:r>
          </w:p>
        </w:tc>
        <w:tc>
          <w:tcPr>
            <w:tcW w:w="100" w:type="dxa"/>
            <w:vAlign w:val="bottom"/>
            <w:tcBorders>
              <w:bottom w:val="single" w:sz="8" w:color="DBDBDB"/>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1,369</w:t>
            </w:r>
          </w:p>
        </w:tc>
      </w:tr>
      <w:tr>
        <w:trPr>
          <w:trHeight w:val="223"/>
        </w:trPr>
        <w:tc>
          <w:tcPr>
            <w:tcW w:w="6520" w:type="dxa"/>
            <w:vAlign w:val="bottom"/>
            <w:shd w:val="clear" w:color="auto" w:fill="DBDBDB"/>
          </w:tcPr>
          <w:p>
            <w:pPr>
              <w:ind w:left="240"/>
              <w:spacing w:after="0"/>
              <w:rPr>
                <w:sz w:val="20"/>
                <w:szCs w:val="20"/>
                <w:color w:val="auto"/>
              </w:rPr>
            </w:pPr>
            <w:r>
              <w:rPr>
                <w:rFonts w:ascii="Times New Roman" w:cs="Times New Roman" w:eastAsia="Times New Roman" w:hAnsi="Times New Roman"/>
                <w:sz w:val="18"/>
                <w:szCs w:val="18"/>
                <w:color w:val="auto"/>
              </w:rPr>
              <w:t xml:space="preserve">Fee revenue </w:t>
            </w:r>
            <w:r>
              <w:rPr>
                <w:rFonts w:ascii="Times New Roman" w:cs="Times New Roman" w:eastAsia="Times New Roman" w:hAnsi="Times New Roman"/>
                <w:sz w:val="18"/>
                <w:szCs w:val="18"/>
                <w:i w:val="1"/>
                <w:iCs w:val="1"/>
                <w:color w:val="auto"/>
              </w:rPr>
              <w:t>(in-scope of ASC 606)</w:t>
            </w:r>
          </w:p>
        </w:tc>
        <w:tc>
          <w:tcPr>
            <w:tcW w:w="340" w:type="dxa"/>
            <w:vAlign w:val="bottom"/>
            <w:shd w:val="clear" w:color="auto" w:fill="DBDBDB"/>
          </w:tcPr>
          <w:p>
            <w:pPr>
              <w:spacing w:after="0"/>
              <w:rPr>
                <w:sz w:val="19"/>
                <w:szCs w:val="19"/>
                <w:color w:val="auto"/>
              </w:rPr>
            </w:pPr>
          </w:p>
        </w:tc>
        <w:tc>
          <w:tcPr>
            <w:tcW w:w="11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126,614</w:t>
            </w:r>
          </w:p>
        </w:tc>
        <w:tc>
          <w:tcPr>
            <w:tcW w:w="100" w:type="dxa"/>
            <w:vAlign w:val="bottom"/>
            <w:shd w:val="clear" w:color="auto" w:fill="DBDBDB"/>
          </w:tcPr>
          <w:p>
            <w:pPr>
              <w:spacing w:after="0"/>
              <w:rPr>
                <w:sz w:val="19"/>
                <w:szCs w:val="19"/>
                <w:color w:val="auto"/>
              </w:rPr>
            </w:pPr>
          </w:p>
        </w:tc>
        <w:tc>
          <w:tcPr>
            <w:tcW w:w="340" w:type="dxa"/>
            <w:vAlign w:val="bottom"/>
            <w:shd w:val="clear" w:color="auto" w:fill="DBDBDB"/>
          </w:tcPr>
          <w:p>
            <w:pPr>
              <w:spacing w:after="0"/>
              <w:rPr>
                <w:sz w:val="19"/>
                <w:szCs w:val="19"/>
                <w:color w:val="auto"/>
              </w:rPr>
            </w:pPr>
          </w:p>
        </w:tc>
        <w:tc>
          <w:tcPr>
            <w:tcW w:w="11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121,657</w:t>
            </w:r>
          </w:p>
        </w:tc>
        <w:tc>
          <w:tcPr>
            <w:tcW w:w="100" w:type="dxa"/>
            <w:vAlign w:val="bottom"/>
            <w:shd w:val="clear" w:color="auto" w:fill="DBDBDB"/>
          </w:tcPr>
          <w:p>
            <w:pPr>
              <w:spacing w:after="0"/>
              <w:rPr>
                <w:sz w:val="19"/>
                <w:szCs w:val="19"/>
                <w:color w:val="auto"/>
              </w:rPr>
            </w:pPr>
          </w:p>
        </w:tc>
        <w:tc>
          <w:tcPr>
            <w:tcW w:w="520" w:type="dxa"/>
            <w:vAlign w:val="bottom"/>
            <w:shd w:val="clear" w:color="auto" w:fill="DBDBDB"/>
          </w:tcPr>
          <w:p>
            <w:pPr>
              <w:spacing w:after="0"/>
              <w:rPr>
                <w:sz w:val="19"/>
                <w:szCs w:val="19"/>
                <w:color w:val="auto"/>
              </w:rPr>
            </w:pPr>
          </w:p>
        </w:tc>
        <w:tc>
          <w:tcPr>
            <w:tcW w:w="9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108,691</w:t>
            </w:r>
          </w:p>
        </w:tc>
      </w:tr>
      <w:tr>
        <w:trPr>
          <w:trHeight w:val="230"/>
        </w:trPr>
        <w:tc>
          <w:tcPr>
            <w:tcW w:w="6520" w:type="dxa"/>
            <w:vAlign w:val="bottom"/>
            <w:tcBorders>
              <w:bottom w:val="single" w:sz="8" w:color="DBDBDB"/>
            </w:tcBorders>
          </w:tcPr>
          <w:p>
            <w:pPr>
              <w:ind w:left="240"/>
              <w:spacing w:after="0"/>
              <w:rPr>
                <w:sz w:val="20"/>
                <w:szCs w:val="20"/>
                <w:color w:val="auto"/>
              </w:rPr>
            </w:pPr>
            <w:r>
              <w:rPr>
                <w:rFonts w:ascii="Times New Roman" w:cs="Times New Roman" w:eastAsia="Times New Roman" w:hAnsi="Times New Roman"/>
                <w:sz w:val="18"/>
                <w:szCs w:val="18"/>
                <w:color w:val="auto"/>
              </w:rPr>
              <w:t xml:space="preserve">Other income </w:t>
            </w:r>
            <w:r>
              <w:rPr>
                <w:rFonts w:ascii="Times New Roman" w:cs="Times New Roman" w:eastAsia="Times New Roman" w:hAnsi="Times New Roman"/>
                <w:sz w:val="18"/>
                <w:szCs w:val="18"/>
                <w:i w:val="1"/>
                <w:iCs w:val="1"/>
                <w:color w:val="auto"/>
              </w:rPr>
              <w:t>(out-of-scope of ASC 606)</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3,853</w:t>
            </w:r>
          </w:p>
        </w:tc>
        <w:tc>
          <w:tcPr>
            <w:tcW w:w="100" w:type="dxa"/>
            <w:vAlign w:val="bottom"/>
            <w:tcBorders>
              <w:bottom w:val="single" w:sz="8" w:color="DBDBDB"/>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3,325</w:t>
            </w:r>
          </w:p>
        </w:tc>
        <w:tc>
          <w:tcPr>
            <w:tcW w:w="100" w:type="dxa"/>
            <w:vAlign w:val="bottom"/>
            <w:tcBorders>
              <w:bottom w:val="single" w:sz="8" w:color="DBDBDB"/>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23"/>
        </w:trPr>
        <w:tc>
          <w:tcPr>
            <w:tcW w:w="6520" w:type="dxa"/>
            <w:vAlign w:val="bottom"/>
            <w:tcBorders>
              <w:bottom w:val="single" w:sz="8" w:color="auto"/>
            </w:tcBorders>
            <w:shd w:val="clear" w:color="auto" w:fill="DBDBDB"/>
          </w:tcPr>
          <w:p>
            <w:pPr>
              <w:ind w:left="1160"/>
              <w:spacing w:after="0"/>
              <w:rPr>
                <w:sz w:val="20"/>
                <w:szCs w:val="20"/>
                <w:color w:val="auto"/>
              </w:rPr>
            </w:pPr>
            <w:r>
              <w:rPr>
                <w:rFonts w:ascii="Times New Roman" w:cs="Times New Roman" w:eastAsia="Times New Roman" w:hAnsi="Times New Roman"/>
                <w:sz w:val="18"/>
                <w:szCs w:val="18"/>
                <w:color w:val="auto"/>
              </w:rPr>
              <w:t>Total fee revenue and other income</w:t>
            </w:r>
          </w:p>
        </w:tc>
        <w:tc>
          <w:tcPr>
            <w:tcW w:w="340" w:type="dxa"/>
            <w:vAlign w:val="bottom"/>
            <w:tcBorders>
              <w:bottom w:val="single" w:sz="8" w:color="auto"/>
            </w:tcBorders>
            <w:shd w:val="clear" w:color="auto" w:fill="DBDBDB"/>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130,467</w:t>
            </w:r>
          </w:p>
        </w:tc>
        <w:tc>
          <w:tcPr>
            <w:tcW w:w="100" w:type="dxa"/>
            <w:vAlign w:val="bottom"/>
            <w:tcBorders>
              <w:bottom w:val="single" w:sz="8" w:color="auto"/>
            </w:tcBorders>
            <w:shd w:val="clear" w:color="auto" w:fill="DBDBDB"/>
          </w:tcPr>
          <w:p>
            <w:pPr>
              <w:spacing w:after="0"/>
              <w:rPr>
                <w:sz w:val="19"/>
                <w:szCs w:val="19"/>
                <w:color w:val="auto"/>
              </w:rPr>
            </w:pPr>
          </w:p>
        </w:tc>
        <w:tc>
          <w:tcPr>
            <w:tcW w:w="340" w:type="dxa"/>
            <w:vAlign w:val="bottom"/>
            <w:tcBorders>
              <w:bottom w:val="single" w:sz="8" w:color="auto"/>
            </w:tcBorders>
            <w:shd w:val="clear" w:color="auto" w:fill="DBDBDB"/>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124,982</w:t>
            </w:r>
          </w:p>
        </w:tc>
        <w:tc>
          <w:tcPr>
            <w:tcW w:w="100" w:type="dxa"/>
            <w:vAlign w:val="bottom"/>
            <w:tcBorders>
              <w:bottom w:val="single" w:sz="8" w:color="auto"/>
            </w:tcBorders>
            <w:shd w:val="clear" w:color="auto" w:fill="DBDBDB"/>
          </w:tcPr>
          <w:p>
            <w:pPr>
              <w:spacing w:after="0"/>
              <w:rPr>
                <w:sz w:val="19"/>
                <w:szCs w:val="19"/>
                <w:color w:val="auto"/>
              </w:rPr>
            </w:pPr>
          </w:p>
        </w:tc>
        <w:tc>
          <w:tcPr>
            <w:tcW w:w="520" w:type="dxa"/>
            <w:vAlign w:val="bottom"/>
            <w:tcBorders>
              <w:bottom w:val="single" w:sz="8" w:color="auto"/>
            </w:tcBorders>
            <w:shd w:val="clear" w:color="auto" w:fill="DBDBDB"/>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109,691</w:t>
            </w: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Industry Segment Information</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services provided by the Company are classified into two reportable segments: Information Services and Banking Services. Each of these segments provides distinct services that are marketed through different channels. They are managed separately due to their unique service and processing requirements.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Information Services segment provides transportation, energy, telecommunication, and environmental invoice processing and payment services to large corporations. In addition, this segment provides church management software and on-line generosity services primarily for faith-based ministries. The Banking Services segment provides banking services primarily to privately held businesses, franchise restaurants and faith-based ministries, as well as supporting the banking needs of the Information Services segment.</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accounting policies for segments are the same as those described in Note 1 of this report. Management evaluates segment performance based on pre-tax income after allocations for corporate expenses. Transactions between segments are accounted for at what management believes to be fair value.</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Substantially all revenue originates from, and all long-lived assets are located within the United States, and no revenue from any customer of any segment exceeds 10% of the Company’s consolidated revenue.</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Funding sources represent average balances and deposits generated by Information Services and Banking Services and there is no allocation methodology used. Banking Services interest income is determined by actual interest income on loans minus actual interest expense paid on deposits plus/minus an allocation for interest income or expense dependent on the remaining available liquidity of the segment. Information Services interest income is determined by multiplying available liquidity by actual yields on short-term investments and investment securities.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difference between total segment interest income and overall total Company interest income is included in Corporate, Eliminations, and Other.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Summarized information about the Company’s operations in each industry segment for the years ended December 31, 2023, 2022 and 2021 is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34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Information</w:t>
            </w:r>
          </w:p>
        </w:tc>
        <w:tc>
          <w:tcPr>
            <w:tcW w:w="300" w:type="dxa"/>
            <w:vAlign w:val="bottom"/>
          </w:tcPr>
          <w:p>
            <w:pPr>
              <w:spacing w:after="0"/>
              <w:rPr>
                <w:sz w:val="17"/>
                <w:szCs w:val="17"/>
                <w:color w:val="auto"/>
              </w:rPr>
            </w:pPr>
          </w:p>
        </w:tc>
        <w:tc>
          <w:tcPr>
            <w:tcW w:w="1240" w:type="dxa"/>
            <w:vAlign w:val="bottom"/>
            <w:vMerge w:val="restart"/>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Banking</w:t>
            </w:r>
          </w:p>
        </w:tc>
        <w:tc>
          <w:tcPr>
            <w:tcW w:w="260" w:type="dxa"/>
            <w:vAlign w:val="bottom"/>
          </w:tcPr>
          <w:p>
            <w:pPr>
              <w:spacing w:after="0"/>
              <w:rPr>
                <w:sz w:val="17"/>
                <w:szCs w:val="17"/>
                <w:color w:val="auto"/>
              </w:rPr>
            </w:pPr>
          </w:p>
        </w:tc>
        <w:tc>
          <w:tcPr>
            <w:tcW w:w="134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Corporate,</w:t>
            </w:r>
          </w:p>
        </w:tc>
        <w:tc>
          <w:tcPr>
            <w:tcW w:w="3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38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1420" w:type="dxa"/>
            <w:vAlign w:val="bottom"/>
          </w:tcPr>
          <w:p>
            <w:pPr>
              <w:spacing w:after="0"/>
              <w:rPr>
                <w:sz w:val="15"/>
                <w:szCs w:val="15"/>
                <w:color w:val="auto"/>
              </w:rPr>
            </w:pPr>
          </w:p>
        </w:tc>
        <w:tc>
          <w:tcPr>
            <w:tcW w:w="134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24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340" w:type="dxa"/>
            <w:vAlign w:val="bottom"/>
          </w:tcPr>
          <w:p>
            <w:pPr>
              <w:jc w:val="center"/>
              <w:ind w:right="150"/>
              <w:spacing w:after="0" w:line="176" w:lineRule="exact"/>
              <w:rPr>
                <w:sz w:val="20"/>
                <w:szCs w:val="20"/>
                <w:color w:val="auto"/>
              </w:rPr>
            </w:pPr>
            <w:r>
              <w:rPr>
                <w:rFonts w:ascii="Times New Roman" w:cs="Times New Roman" w:eastAsia="Times New Roman" w:hAnsi="Times New Roman"/>
                <w:sz w:val="18"/>
                <w:szCs w:val="18"/>
                <w:b w:val="1"/>
                <w:bCs w:val="1"/>
                <w:color w:val="auto"/>
                <w:w w:val="99"/>
              </w:rPr>
              <w:t>Eliminations</w:t>
            </w:r>
          </w:p>
        </w:tc>
        <w:tc>
          <w:tcPr>
            <w:tcW w:w="380" w:type="dxa"/>
            <w:vAlign w:val="bottom"/>
          </w:tcPr>
          <w:p>
            <w:pPr>
              <w:spacing w:after="0"/>
              <w:rPr>
                <w:sz w:val="15"/>
                <w:szCs w:val="15"/>
                <w:color w:val="auto"/>
              </w:rPr>
            </w:pPr>
          </w:p>
        </w:tc>
        <w:tc>
          <w:tcPr>
            <w:tcW w:w="1160" w:type="dxa"/>
            <w:vAlign w:val="bottom"/>
            <w:vMerge w:val="restart"/>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3"/>
        </w:trPr>
        <w:tc>
          <w:tcPr>
            <w:tcW w:w="3800" w:type="dxa"/>
            <w:vAlign w:val="bottom"/>
            <w:tcBorders>
              <w:bottom w:val="single" w:sz="8" w:color="auto"/>
            </w:tcBorders>
            <w:vMerge w:val="continue"/>
          </w:tcPr>
          <w:p>
            <w:pPr>
              <w:spacing w:after="0"/>
              <w:rPr>
                <w:sz w:val="21"/>
                <w:szCs w:val="21"/>
                <w:color w:val="auto"/>
              </w:rPr>
            </w:pPr>
          </w:p>
        </w:tc>
        <w:tc>
          <w:tcPr>
            <w:tcW w:w="142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Services</w:t>
            </w:r>
          </w:p>
        </w:tc>
        <w:tc>
          <w:tcPr>
            <w:tcW w:w="30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Services</w:t>
            </w:r>
          </w:p>
        </w:tc>
        <w:tc>
          <w:tcPr>
            <w:tcW w:w="2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and Other</w:t>
            </w:r>
          </w:p>
        </w:tc>
        <w:tc>
          <w:tcPr>
            <w:tcW w:w="3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80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2023</w:t>
            </w:r>
          </w:p>
        </w:tc>
        <w:tc>
          <w:tcPr>
            <w:tcW w:w="1420" w:type="dxa"/>
            <w:vAlign w:val="bottom"/>
            <w:shd w:val="clear" w:color="auto" w:fill="DBDBDB"/>
          </w:tcPr>
          <w:p>
            <w:pPr>
              <w:spacing w:after="0"/>
              <w:rPr>
                <w:sz w:val="21"/>
                <w:szCs w:val="21"/>
                <w:color w:val="auto"/>
              </w:rPr>
            </w:pPr>
          </w:p>
        </w:tc>
        <w:tc>
          <w:tcPr>
            <w:tcW w:w="1340" w:type="dxa"/>
            <w:vAlign w:val="bottom"/>
            <w:shd w:val="clear" w:color="auto" w:fill="DBDBDB"/>
          </w:tcPr>
          <w:p>
            <w:pPr>
              <w:spacing w:after="0"/>
              <w:rPr>
                <w:sz w:val="21"/>
                <w:szCs w:val="21"/>
                <w:color w:val="auto"/>
              </w:rPr>
            </w:pPr>
          </w:p>
        </w:tc>
        <w:tc>
          <w:tcPr>
            <w:tcW w:w="300" w:type="dxa"/>
            <w:vAlign w:val="bottom"/>
            <w:shd w:val="clear" w:color="auto" w:fill="DBDBDB"/>
          </w:tcPr>
          <w:p>
            <w:pPr>
              <w:spacing w:after="0"/>
              <w:rPr>
                <w:sz w:val="21"/>
                <w:szCs w:val="21"/>
                <w:color w:val="auto"/>
              </w:rPr>
            </w:pPr>
          </w:p>
        </w:tc>
        <w:tc>
          <w:tcPr>
            <w:tcW w:w="1240" w:type="dxa"/>
            <w:vAlign w:val="bottom"/>
            <w:shd w:val="clear" w:color="auto" w:fill="DBDBDB"/>
          </w:tcPr>
          <w:p>
            <w:pPr>
              <w:spacing w:after="0"/>
              <w:rPr>
                <w:sz w:val="21"/>
                <w:szCs w:val="21"/>
                <w:color w:val="auto"/>
              </w:rPr>
            </w:pPr>
          </w:p>
        </w:tc>
        <w:tc>
          <w:tcPr>
            <w:tcW w:w="260" w:type="dxa"/>
            <w:vAlign w:val="bottom"/>
            <w:shd w:val="clear" w:color="auto" w:fill="DBDBDB"/>
          </w:tcPr>
          <w:p>
            <w:pPr>
              <w:spacing w:after="0"/>
              <w:rPr>
                <w:sz w:val="21"/>
                <w:szCs w:val="21"/>
                <w:color w:val="auto"/>
              </w:rPr>
            </w:pPr>
          </w:p>
        </w:tc>
        <w:tc>
          <w:tcPr>
            <w:tcW w:w="1340" w:type="dxa"/>
            <w:vAlign w:val="bottom"/>
            <w:shd w:val="clear" w:color="auto" w:fill="DBDBDB"/>
          </w:tcPr>
          <w:p>
            <w:pPr>
              <w:spacing w:after="0"/>
              <w:rPr>
                <w:sz w:val="21"/>
                <w:szCs w:val="21"/>
                <w:color w:val="auto"/>
              </w:rPr>
            </w:pPr>
          </w:p>
        </w:tc>
        <w:tc>
          <w:tcPr>
            <w:tcW w:w="380" w:type="dxa"/>
            <w:vAlign w:val="bottom"/>
            <w:shd w:val="clear" w:color="auto" w:fill="DBDBDB"/>
          </w:tcPr>
          <w:p>
            <w:pPr>
              <w:spacing w:after="0"/>
              <w:rPr>
                <w:sz w:val="21"/>
                <w:szCs w:val="21"/>
                <w:color w:val="auto"/>
              </w:rPr>
            </w:pPr>
          </w:p>
        </w:tc>
        <w:tc>
          <w:tcPr>
            <w:tcW w:w="1160" w:type="dxa"/>
            <w:vAlign w:val="bottom"/>
            <w:shd w:val="clear" w:color="auto" w:fill="DBDBDB"/>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8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Fee income</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126,766</w:t>
            </w:r>
          </w:p>
        </w:tc>
        <w:tc>
          <w:tcPr>
            <w:tcW w:w="3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2,713</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988</w:t>
            </w:r>
          </w:p>
        </w:tc>
        <w:tc>
          <w:tcPr>
            <w:tcW w:w="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130,467</w:t>
            </w:r>
          </w:p>
        </w:tc>
        <w:tc>
          <w:tcPr>
            <w:tcW w:w="0" w:type="dxa"/>
            <w:vAlign w:val="bottom"/>
          </w:tcPr>
          <w:p>
            <w:pPr>
              <w:spacing w:after="0"/>
              <w:rPr>
                <w:sz w:val="1"/>
                <w:szCs w:val="1"/>
                <w:color w:val="auto"/>
              </w:rPr>
            </w:pPr>
          </w:p>
        </w:tc>
      </w:tr>
      <w:tr>
        <w:trPr>
          <w:trHeight w:val="263"/>
        </w:trPr>
        <w:tc>
          <w:tcPr>
            <w:tcW w:w="3800" w:type="dxa"/>
            <w:vAlign w:val="bottom"/>
            <w:shd w:val="clear" w:color="auto" w:fill="DBDBDB"/>
          </w:tcPr>
          <w:p>
            <w:pPr>
              <w:ind w:left="300"/>
              <w:spacing w:after="0"/>
              <w:rPr>
                <w:sz w:val="20"/>
                <w:szCs w:val="20"/>
                <w:color w:val="auto"/>
              </w:rPr>
            </w:pPr>
            <w:r>
              <w:rPr>
                <w:rFonts w:ascii="Times New Roman" w:cs="Times New Roman" w:eastAsia="Times New Roman" w:hAnsi="Times New Roman"/>
                <w:sz w:val="18"/>
                <w:szCs w:val="18"/>
                <w:color w:val="auto"/>
              </w:rPr>
              <w:t>Interest income</w:t>
            </w:r>
          </w:p>
        </w:tc>
        <w:tc>
          <w:tcPr>
            <w:tcW w:w="1420" w:type="dxa"/>
            <w:vAlign w:val="bottom"/>
            <w:shd w:val="clear" w:color="auto" w:fill="DBDBDB"/>
          </w:tcPr>
          <w:p>
            <w:pPr>
              <w:spacing w:after="0"/>
              <w:rPr>
                <w:sz w:val="22"/>
                <w:szCs w:val="22"/>
                <w:color w:val="auto"/>
              </w:rPr>
            </w:pPr>
          </w:p>
        </w:tc>
        <w:tc>
          <w:tcPr>
            <w:tcW w:w="1340" w:type="dxa"/>
            <w:vAlign w:val="bottom"/>
            <w:shd w:val="clear" w:color="auto" w:fill="DBDBDB"/>
          </w:tcPr>
          <w:p>
            <w:pPr>
              <w:jc w:val="right"/>
              <w:ind w:right="30"/>
              <w:spacing w:after="0"/>
              <w:rPr>
                <w:sz w:val="20"/>
                <w:szCs w:val="20"/>
                <w:color w:val="auto"/>
              </w:rPr>
            </w:pPr>
            <w:r>
              <w:rPr>
                <w:rFonts w:ascii="Times New Roman" w:cs="Times New Roman" w:eastAsia="Times New Roman" w:hAnsi="Times New Roman"/>
                <w:sz w:val="18"/>
                <w:szCs w:val="18"/>
                <w:color w:val="auto"/>
              </w:rPr>
              <w:t>39,899</w:t>
            </w:r>
          </w:p>
        </w:tc>
        <w:tc>
          <w:tcPr>
            <w:tcW w:w="300" w:type="dxa"/>
            <w:vAlign w:val="bottom"/>
            <w:shd w:val="clear" w:color="auto" w:fill="DBDBDB"/>
          </w:tcPr>
          <w:p>
            <w:pPr>
              <w:spacing w:after="0"/>
              <w:rPr>
                <w:sz w:val="22"/>
                <w:szCs w:val="22"/>
                <w:color w:val="auto"/>
              </w:rPr>
            </w:pPr>
          </w:p>
        </w:tc>
        <w:tc>
          <w:tcPr>
            <w:tcW w:w="1240" w:type="dxa"/>
            <w:vAlign w:val="bottom"/>
            <w:shd w:val="clear" w:color="auto" w:fill="DBDBDB"/>
          </w:tcPr>
          <w:p>
            <w:pPr>
              <w:jc w:val="right"/>
              <w:ind w:right="10"/>
              <w:spacing w:after="0"/>
              <w:rPr>
                <w:sz w:val="20"/>
                <w:szCs w:val="20"/>
                <w:color w:val="auto"/>
              </w:rPr>
            </w:pPr>
            <w:r>
              <w:rPr>
                <w:rFonts w:ascii="Times New Roman" w:cs="Times New Roman" w:eastAsia="Times New Roman" w:hAnsi="Times New Roman"/>
                <w:sz w:val="18"/>
                <w:szCs w:val="18"/>
                <w:color w:val="auto"/>
              </w:rPr>
              <w:t>54,696</w:t>
            </w:r>
          </w:p>
        </w:tc>
        <w:tc>
          <w:tcPr>
            <w:tcW w:w="260" w:type="dxa"/>
            <w:vAlign w:val="bottom"/>
            <w:shd w:val="clear" w:color="auto" w:fill="DBDBDB"/>
          </w:tcPr>
          <w:p>
            <w:pPr>
              <w:spacing w:after="0"/>
              <w:rPr>
                <w:sz w:val="22"/>
                <w:szCs w:val="22"/>
                <w:color w:val="auto"/>
              </w:rPr>
            </w:pPr>
          </w:p>
        </w:tc>
        <w:tc>
          <w:tcPr>
            <w:tcW w:w="13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(11,835)</w:t>
            </w:r>
          </w:p>
        </w:tc>
        <w:tc>
          <w:tcPr>
            <w:tcW w:w="380" w:type="dxa"/>
            <w:vAlign w:val="bottom"/>
            <w:shd w:val="clear" w:color="auto" w:fill="DBDBDB"/>
          </w:tcPr>
          <w:p>
            <w:pPr>
              <w:spacing w:after="0"/>
              <w:rPr>
                <w:sz w:val="22"/>
                <w:szCs w:val="22"/>
                <w:color w:val="auto"/>
              </w:rPr>
            </w:pPr>
          </w:p>
        </w:tc>
        <w:tc>
          <w:tcPr>
            <w:tcW w:w="11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82,760</w:t>
            </w:r>
          </w:p>
        </w:tc>
        <w:tc>
          <w:tcPr>
            <w:tcW w:w="0" w:type="dxa"/>
            <w:vAlign w:val="bottom"/>
          </w:tcPr>
          <w:p>
            <w:pPr>
              <w:spacing w:after="0"/>
              <w:rPr>
                <w:sz w:val="1"/>
                <w:szCs w:val="1"/>
                <w:color w:val="auto"/>
              </w:rPr>
            </w:pPr>
          </w:p>
        </w:tc>
      </w:tr>
      <w:tr>
        <w:trPr>
          <w:trHeight w:val="250"/>
        </w:trPr>
        <w:tc>
          <w:tcPr>
            <w:tcW w:w="38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Interest expense</w:t>
            </w:r>
          </w:p>
        </w:tc>
        <w:tc>
          <w:tcPr>
            <w:tcW w:w="142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1,191</w:t>
            </w:r>
          </w:p>
        </w:tc>
        <w:tc>
          <w:tcPr>
            <w:tcW w:w="30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28,029</w:t>
            </w: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(12,954)</w:t>
            </w:r>
          </w:p>
        </w:tc>
        <w:tc>
          <w:tcPr>
            <w:tcW w:w="3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16,266</w:t>
            </w:r>
          </w:p>
        </w:tc>
        <w:tc>
          <w:tcPr>
            <w:tcW w:w="0" w:type="dxa"/>
            <w:vAlign w:val="bottom"/>
          </w:tcPr>
          <w:p>
            <w:pPr>
              <w:spacing w:after="0"/>
              <w:rPr>
                <w:sz w:val="1"/>
                <w:szCs w:val="1"/>
                <w:color w:val="auto"/>
              </w:rPr>
            </w:pPr>
          </w:p>
        </w:tc>
      </w:tr>
      <w:tr>
        <w:trPr>
          <w:trHeight w:val="263"/>
        </w:trPr>
        <w:tc>
          <w:tcPr>
            <w:tcW w:w="3800" w:type="dxa"/>
            <w:vAlign w:val="bottom"/>
            <w:shd w:val="clear" w:color="auto" w:fill="DBDBDB"/>
          </w:tcPr>
          <w:p>
            <w:pPr>
              <w:ind w:left="300"/>
              <w:spacing w:after="0"/>
              <w:rPr>
                <w:sz w:val="20"/>
                <w:szCs w:val="20"/>
                <w:color w:val="auto"/>
              </w:rPr>
            </w:pPr>
            <w:r>
              <w:rPr>
                <w:rFonts w:ascii="Times New Roman" w:cs="Times New Roman" w:eastAsia="Times New Roman" w:hAnsi="Times New Roman"/>
                <w:sz w:val="18"/>
                <w:szCs w:val="18"/>
                <w:color w:val="auto"/>
              </w:rPr>
              <w:t>Intersegment income (expense)</w:t>
            </w:r>
          </w:p>
        </w:tc>
        <w:tc>
          <w:tcPr>
            <w:tcW w:w="1420" w:type="dxa"/>
            <w:vAlign w:val="bottom"/>
            <w:shd w:val="clear" w:color="auto" w:fill="DBDBDB"/>
          </w:tcPr>
          <w:p>
            <w:pPr>
              <w:spacing w:after="0"/>
              <w:rPr>
                <w:sz w:val="22"/>
                <w:szCs w:val="22"/>
                <w:color w:val="auto"/>
              </w:rPr>
            </w:pPr>
          </w:p>
        </w:tc>
        <w:tc>
          <w:tcPr>
            <w:tcW w:w="13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(4,270)</w:t>
            </w:r>
          </w:p>
        </w:tc>
        <w:tc>
          <w:tcPr>
            <w:tcW w:w="300" w:type="dxa"/>
            <w:vAlign w:val="bottom"/>
            <w:shd w:val="clear" w:color="auto" w:fill="DBDBDB"/>
          </w:tcPr>
          <w:p>
            <w:pPr>
              <w:spacing w:after="0"/>
              <w:rPr>
                <w:sz w:val="22"/>
                <w:szCs w:val="22"/>
                <w:color w:val="auto"/>
              </w:rPr>
            </w:pPr>
          </w:p>
        </w:tc>
        <w:tc>
          <w:tcPr>
            <w:tcW w:w="1240" w:type="dxa"/>
            <w:vAlign w:val="bottom"/>
            <w:shd w:val="clear" w:color="auto" w:fill="DBDBDB"/>
          </w:tcPr>
          <w:p>
            <w:pPr>
              <w:jc w:val="right"/>
              <w:ind w:right="10"/>
              <w:spacing w:after="0"/>
              <w:rPr>
                <w:sz w:val="20"/>
                <w:szCs w:val="20"/>
                <w:color w:val="auto"/>
              </w:rPr>
            </w:pPr>
            <w:r>
              <w:rPr>
                <w:rFonts w:ascii="Times New Roman" w:cs="Times New Roman" w:eastAsia="Times New Roman" w:hAnsi="Times New Roman"/>
                <w:sz w:val="18"/>
                <w:szCs w:val="18"/>
                <w:color w:val="auto"/>
              </w:rPr>
              <w:t>4,270</w:t>
            </w:r>
          </w:p>
        </w:tc>
        <w:tc>
          <w:tcPr>
            <w:tcW w:w="260" w:type="dxa"/>
            <w:vAlign w:val="bottom"/>
            <w:shd w:val="clear" w:color="auto" w:fill="DBDBDB"/>
          </w:tcPr>
          <w:p>
            <w:pPr>
              <w:spacing w:after="0"/>
              <w:rPr>
                <w:sz w:val="22"/>
                <w:szCs w:val="22"/>
                <w:color w:val="auto"/>
              </w:rPr>
            </w:pPr>
          </w:p>
        </w:tc>
        <w:tc>
          <w:tcPr>
            <w:tcW w:w="1340" w:type="dxa"/>
            <w:vAlign w:val="bottom"/>
            <w:shd w:val="clear" w:color="auto" w:fill="DBDBDB"/>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DBDBDB"/>
          </w:tcPr>
          <w:p>
            <w:pPr>
              <w:spacing w:after="0"/>
              <w:rPr>
                <w:sz w:val="22"/>
                <w:szCs w:val="22"/>
                <w:color w:val="auto"/>
              </w:rPr>
            </w:pPr>
          </w:p>
        </w:tc>
        <w:tc>
          <w:tcPr>
            <w:tcW w:w="11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38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Pre-tax income</w:t>
            </w:r>
          </w:p>
        </w:tc>
        <w:tc>
          <w:tcPr>
            <w:tcW w:w="142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23,662</w:t>
            </w:r>
          </w:p>
        </w:tc>
        <w:tc>
          <w:tcPr>
            <w:tcW w:w="30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11,587</w:t>
            </w:r>
          </w:p>
        </w:tc>
        <w:tc>
          <w:tcPr>
            <w:tcW w:w="26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2,107</w:t>
            </w:r>
          </w:p>
        </w:tc>
        <w:tc>
          <w:tcPr>
            <w:tcW w:w="3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37,356</w:t>
            </w:r>
          </w:p>
        </w:tc>
        <w:tc>
          <w:tcPr>
            <w:tcW w:w="0" w:type="dxa"/>
            <w:vAlign w:val="bottom"/>
          </w:tcPr>
          <w:p>
            <w:pPr>
              <w:spacing w:after="0"/>
              <w:rPr>
                <w:sz w:val="1"/>
                <w:szCs w:val="1"/>
                <w:color w:val="auto"/>
              </w:rPr>
            </w:pPr>
          </w:p>
        </w:tc>
      </w:tr>
      <w:tr>
        <w:trPr>
          <w:trHeight w:val="263"/>
        </w:trPr>
        <w:tc>
          <w:tcPr>
            <w:tcW w:w="3800" w:type="dxa"/>
            <w:vAlign w:val="bottom"/>
            <w:shd w:val="clear" w:color="auto" w:fill="DBDBDB"/>
          </w:tcPr>
          <w:p>
            <w:pPr>
              <w:ind w:left="300"/>
              <w:spacing w:after="0"/>
              <w:rPr>
                <w:sz w:val="20"/>
                <w:szCs w:val="20"/>
                <w:color w:val="auto"/>
              </w:rPr>
            </w:pPr>
            <w:r>
              <w:rPr>
                <w:rFonts w:ascii="Times New Roman" w:cs="Times New Roman" w:eastAsia="Times New Roman" w:hAnsi="Times New Roman"/>
                <w:sz w:val="18"/>
                <w:szCs w:val="18"/>
                <w:color w:val="auto"/>
              </w:rPr>
              <w:t>Goodwill</w:t>
            </w:r>
          </w:p>
        </w:tc>
        <w:tc>
          <w:tcPr>
            <w:tcW w:w="1420" w:type="dxa"/>
            <w:vAlign w:val="bottom"/>
            <w:shd w:val="clear" w:color="auto" w:fill="DBDBDB"/>
          </w:tcPr>
          <w:p>
            <w:pPr>
              <w:spacing w:after="0"/>
              <w:rPr>
                <w:sz w:val="22"/>
                <w:szCs w:val="22"/>
                <w:color w:val="auto"/>
              </w:rPr>
            </w:pPr>
          </w:p>
        </w:tc>
        <w:tc>
          <w:tcPr>
            <w:tcW w:w="1340" w:type="dxa"/>
            <w:vAlign w:val="bottom"/>
            <w:shd w:val="clear" w:color="auto" w:fill="DBDBDB"/>
          </w:tcPr>
          <w:p>
            <w:pPr>
              <w:jc w:val="right"/>
              <w:ind w:right="30"/>
              <w:spacing w:after="0"/>
              <w:rPr>
                <w:sz w:val="20"/>
                <w:szCs w:val="20"/>
                <w:color w:val="auto"/>
              </w:rPr>
            </w:pPr>
            <w:r>
              <w:rPr>
                <w:rFonts w:ascii="Times New Roman" w:cs="Times New Roman" w:eastAsia="Times New Roman" w:hAnsi="Times New Roman"/>
                <w:sz w:val="18"/>
                <w:szCs w:val="18"/>
                <w:color w:val="auto"/>
              </w:rPr>
              <w:t>17,173</w:t>
            </w:r>
          </w:p>
        </w:tc>
        <w:tc>
          <w:tcPr>
            <w:tcW w:w="300" w:type="dxa"/>
            <w:vAlign w:val="bottom"/>
            <w:shd w:val="clear" w:color="auto" w:fill="DBDBDB"/>
          </w:tcPr>
          <w:p>
            <w:pPr>
              <w:spacing w:after="0"/>
              <w:rPr>
                <w:sz w:val="22"/>
                <w:szCs w:val="22"/>
                <w:color w:val="auto"/>
              </w:rPr>
            </w:pPr>
          </w:p>
        </w:tc>
        <w:tc>
          <w:tcPr>
            <w:tcW w:w="1240" w:type="dxa"/>
            <w:vAlign w:val="bottom"/>
            <w:shd w:val="clear" w:color="auto" w:fill="DBDBDB"/>
          </w:tcPr>
          <w:p>
            <w:pPr>
              <w:jc w:val="right"/>
              <w:ind w:right="10"/>
              <w:spacing w:after="0"/>
              <w:rPr>
                <w:sz w:val="20"/>
                <w:szCs w:val="20"/>
                <w:color w:val="auto"/>
              </w:rPr>
            </w:pPr>
            <w:r>
              <w:rPr>
                <w:rFonts w:ascii="Times New Roman" w:cs="Times New Roman" w:eastAsia="Times New Roman" w:hAnsi="Times New Roman"/>
                <w:sz w:val="18"/>
                <w:szCs w:val="18"/>
                <w:color w:val="auto"/>
              </w:rPr>
              <w:t>136</w:t>
            </w:r>
          </w:p>
        </w:tc>
        <w:tc>
          <w:tcPr>
            <w:tcW w:w="260" w:type="dxa"/>
            <w:vAlign w:val="bottom"/>
            <w:shd w:val="clear" w:color="auto" w:fill="DBDBDB"/>
          </w:tcPr>
          <w:p>
            <w:pPr>
              <w:spacing w:after="0"/>
              <w:rPr>
                <w:sz w:val="22"/>
                <w:szCs w:val="22"/>
                <w:color w:val="auto"/>
              </w:rPr>
            </w:pPr>
          </w:p>
        </w:tc>
        <w:tc>
          <w:tcPr>
            <w:tcW w:w="1340" w:type="dxa"/>
            <w:vAlign w:val="bottom"/>
            <w:shd w:val="clear" w:color="auto" w:fill="DBDBDB"/>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DBDBDB"/>
          </w:tcPr>
          <w:p>
            <w:pPr>
              <w:spacing w:after="0"/>
              <w:rPr>
                <w:sz w:val="22"/>
                <w:szCs w:val="22"/>
                <w:color w:val="auto"/>
              </w:rPr>
            </w:pPr>
          </w:p>
        </w:tc>
        <w:tc>
          <w:tcPr>
            <w:tcW w:w="11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17,309</w:t>
            </w:r>
          </w:p>
        </w:tc>
        <w:tc>
          <w:tcPr>
            <w:tcW w:w="0" w:type="dxa"/>
            <w:vAlign w:val="bottom"/>
          </w:tcPr>
          <w:p>
            <w:pPr>
              <w:spacing w:after="0"/>
              <w:rPr>
                <w:sz w:val="1"/>
                <w:szCs w:val="1"/>
                <w:color w:val="auto"/>
              </w:rPr>
            </w:pPr>
          </w:p>
        </w:tc>
      </w:tr>
      <w:tr>
        <w:trPr>
          <w:trHeight w:val="250"/>
        </w:trPr>
        <w:tc>
          <w:tcPr>
            <w:tcW w:w="38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142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3,345</w:t>
            </w:r>
          </w:p>
        </w:tc>
        <w:tc>
          <w:tcPr>
            <w:tcW w:w="30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3,345</w:t>
            </w:r>
          </w:p>
        </w:tc>
        <w:tc>
          <w:tcPr>
            <w:tcW w:w="0" w:type="dxa"/>
            <w:vAlign w:val="bottom"/>
          </w:tcPr>
          <w:p>
            <w:pPr>
              <w:spacing w:after="0"/>
              <w:rPr>
                <w:sz w:val="1"/>
                <w:szCs w:val="1"/>
                <w:color w:val="auto"/>
              </w:rPr>
            </w:pPr>
          </w:p>
        </w:tc>
      </w:tr>
      <w:tr>
        <w:trPr>
          <w:trHeight w:val="263"/>
        </w:trPr>
        <w:tc>
          <w:tcPr>
            <w:tcW w:w="3800" w:type="dxa"/>
            <w:vAlign w:val="bottom"/>
            <w:shd w:val="clear" w:color="auto" w:fill="DBDBDB"/>
          </w:tcPr>
          <w:p>
            <w:pPr>
              <w:ind w:left="300"/>
              <w:spacing w:after="0"/>
              <w:rPr>
                <w:sz w:val="20"/>
                <w:szCs w:val="20"/>
                <w:color w:val="auto"/>
              </w:rPr>
            </w:pPr>
            <w:r>
              <w:rPr>
                <w:rFonts w:ascii="Times New Roman" w:cs="Times New Roman" w:eastAsia="Times New Roman" w:hAnsi="Times New Roman"/>
                <w:sz w:val="18"/>
                <w:szCs w:val="18"/>
                <w:color w:val="auto"/>
              </w:rPr>
              <w:t>Total assets</w:t>
            </w:r>
          </w:p>
        </w:tc>
        <w:tc>
          <w:tcPr>
            <w:tcW w:w="1420" w:type="dxa"/>
            <w:vAlign w:val="bottom"/>
            <w:shd w:val="clear" w:color="auto" w:fill="DBDBDB"/>
          </w:tcPr>
          <w:p>
            <w:pPr>
              <w:spacing w:after="0"/>
              <w:rPr>
                <w:sz w:val="22"/>
                <w:szCs w:val="22"/>
                <w:color w:val="auto"/>
              </w:rPr>
            </w:pPr>
          </w:p>
        </w:tc>
        <w:tc>
          <w:tcPr>
            <w:tcW w:w="1340" w:type="dxa"/>
            <w:vAlign w:val="bottom"/>
            <w:shd w:val="clear" w:color="auto" w:fill="DBDBDB"/>
          </w:tcPr>
          <w:p>
            <w:pPr>
              <w:jc w:val="right"/>
              <w:ind w:right="30"/>
              <w:spacing w:after="0"/>
              <w:rPr>
                <w:sz w:val="20"/>
                <w:szCs w:val="20"/>
                <w:color w:val="auto"/>
              </w:rPr>
            </w:pPr>
            <w:r>
              <w:rPr>
                <w:rFonts w:ascii="Times New Roman" w:cs="Times New Roman" w:eastAsia="Times New Roman" w:hAnsi="Times New Roman"/>
                <w:sz w:val="18"/>
                <w:szCs w:val="18"/>
                <w:color w:val="auto"/>
              </w:rPr>
              <w:t>1,586,388</w:t>
            </w:r>
          </w:p>
        </w:tc>
        <w:tc>
          <w:tcPr>
            <w:tcW w:w="300" w:type="dxa"/>
            <w:vAlign w:val="bottom"/>
            <w:shd w:val="clear" w:color="auto" w:fill="DBDBDB"/>
          </w:tcPr>
          <w:p>
            <w:pPr>
              <w:spacing w:after="0"/>
              <w:rPr>
                <w:sz w:val="22"/>
                <w:szCs w:val="22"/>
                <w:color w:val="auto"/>
              </w:rPr>
            </w:pPr>
          </w:p>
        </w:tc>
        <w:tc>
          <w:tcPr>
            <w:tcW w:w="1240" w:type="dxa"/>
            <w:vAlign w:val="bottom"/>
            <w:shd w:val="clear" w:color="auto" w:fill="DBDBDB"/>
          </w:tcPr>
          <w:p>
            <w:pPr>
              <w:jc w:val="right"/>
              <w:ind w:right="10"/>
              <w:spacing w:after="0"/>
              <w:rPr>
                <w:sz w:val="20"/>
                <w:szCs w:val="20"/>
                <w:color w:val="auto"/>
              </w:rPr>
            </w:pPr>
            <w:r>
              <w:rPr>
                <w:rFonts w:ascii="Times New Roman" w:cs="Times New Roman" w:eastAsia="Times New Roman" w:hAnsi="Times New Roman"/>
                <w:sz w:val="18"/>
                <w:szCs w:val="18"/>
                <w:color w:val="auto"/>
              </w:rPr>
              <w:t>1,103,173</w:t>
            </w:r>
          </w:p>
        </w:tc>
        <w:tc>
          <w:tcPr>
            <w:tcW w:w="260" w:type="dxa"/>
            <w:vAlign w:val="bottom"/>
            <w:shd w:val="clear" w:color="auto" w:fill="DBDBDB"/>
          </w:tcPr>
          <w:p>
            <w:pPr>
              <w:spacing w:after="0"/>
              <w:rPr>
                <w:sz w:val="22"/>
                <w:szCs w:val="22"/>
                <w:color w:val="auto"/>
              </w:rPr>
            </w:pPr>
          </w:p>
        </w:tc>
        <w:tc>
          <w:tcPr>
            <w:tcW w:w="13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(210,939)</w:t>
            </w:r>
          </w:p>
        </w:tc>
        <w:tc>
          <w:tcPr>
            <w:tcW w:w="380" w:type="dxa"/>
            <w:vAlign w:val="bottom"/>
            <w:shd w:val="clear" w:color="auto" w:fill="DBDBDB"/>
          </w:tcPr>
          <w:p>
            <w:pPr>
              <w:spacing w:after="0"/>
              <w:rPr>
                <w:sz w:val="22"/>
                <w:szCs w:val="22"/>
                <w:color w:val="auto"/>
              </w:rPr>
            </w:pPr>
          </w:p>
        </w:tc>
        <w:tc>
          <w:tcPr>
            <w:tcW w:w="11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2,478,622</w:t>
            </w:r>
          </w:p>
        </w:tc>
        <w:tc>
          <w:tcPr>
            <w:tcW w:w="0" w:type="dxa"/>
            <w:vAlign w:val="bottom"/>
          </w:tcPr>
          <w:p>
            <w:pPr>
              <w:spacing w:after="0"/>
              <w:rPr>
                <w:sz w:val="1"/>
                <w:szCs w:val="1"/>
                <w:color w:val="auto"/>
              </w:rPr>
            </w:pPr>
          </w:p>
        </w:tc>
      </w:tr>
      <w:tr>
        <w:trPr>
          <w:trHeight w:val="250"/>
        </w:trPr>
        <w:tc>
          <w:tcPr>
            <w:tcW w:w="380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Average funding sources</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1,353,499</w:t>
            </w:r>
          </w:p>
        </w:tc>
        <w:tc>
          <w:tcPr>
            <w:tcW w:w="3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810,903</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2,164,402</w:t>
            </w:r>
          </w:p>
        </w:tc>
        <w:tc>
          <w:tcPr>
            <w:tcW w:w="0" w:type="dxa"/>
            <w:vAlign w:val="bottom"/>
          </w:tcPr>
          <w:p>
            <w:pPr>
              <w:spacing w:after="0"/>
              <w:rPr>
                <w:sz w:val="1"/>
                <w:szCs w:val="1"/>
                <w:color w:val="auto"/>
              </w:rPr>
            </w:pPr>
          </w:p>
        </w:tc>
      </w:tr>
      <w:tr>
        <w:trPr>
          <w:trHeight w:val="256"/>
        </w:trPr>
        <w:tc>
          <w:tcPr>
            <w:tcW w:w="380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2022</w:t>
            </w:r>
          </w:p>
        </w:tc>
        <w:tc>
          <w:tcPr>
            <w:tcW w:w="1420" w:type="dxa"/>
            <w:vAlign w:val="bottom"/>
            <w:shd w:val="clear" w:color="auto" w:fill="DBDBDB"/>
          </w:tcPr>
          <w:p>
            <w:pPr>
              <w:spacing w:after="0"/>
              <w:rPr>
                <w:sz w:val="22"/>
                <w:szCs w:val="22"/>
                <w:color w:val="auto"/>
              </w:rPr>
            </w:pPr>
          </w:p>
        </w:tc>
        <w:tc>
          <w:tcPr>
            <w:tcW w:w="1340" w:type="dxa"/>
            <w:vAlign w:val="bottom"/>
            <w:shd w:val="clear" w:color="auto" w:fill="DBDBDB"/>
          </w:tcPr>
          <w:p>
            <w:pPr>
              <w:spacing w:after="0"/>
              <w:rPr>
                <w:sz w:val="22"/>
                <w:szCs w:val="22"/>
                <w:color w:val="auto"/>
              </w:rPr>
            </w:pPr>
          </w:p>
        </w:tc>
        <w:tc>
          <w:tcPr>
            <w:tcW w:w="300" w:type="dxa"/>
            <w:vAlign w:val="bottom"/>
            <w:shd w:val="clear" w:color="auto" w:fill="DBDBDB"/>
          </w:tcPr>
          <w:p>
            <w:pPr>
              <w:spacing w:after="0"/>
              <w:rPr>
                <w:sz w:val="22"/>
                <w:szCs w:val="22"/>
                <w:color w:val="auto"/>
              </w:rPr>
            </w:pPr>
          </w:p>
        </w:tc>
        <w:tc>
          <w:tcPr>
            <w:tcW w:w="1240" w:type="dxa"/>
            <w:vAlign w:val="bottom"/>
            <w:shd w:val="clear" w:color="auto" w:fill="DBDBDB"/>
          </w:tcPr>
          <w:p>
            <w:pPr>
              <w:spacing w:after="0"/>
              <w:rPr>
                <w:sz w:val="22"/>
                <w:szCs w:val="22"/>
                <w:color w:val="auto"/>
              </w:rPr>
            </w:pPr>
          </w:p>
        </w:tc>
        <w:tc>
          <w:tcPr>
            <w:tcW w:w="260" w:type="dxa"/>
            <w:vAlign w:val="bottom"/>
            <w:shd w:val="clear" w:color="auto" w:fill="DBDBDB"/>
          </w:tcPr>
          <w:p>
            <w:pPr>
              <w:spacing w:after="0"/>
              <w:rPr>
                <w:sz w:val="22"/>
                <w:szCs w:val="22"/>
                <w:color w:val="auto"/>
              </w:rPr>
            </w:pPr>
          </w:p>
        </w:tc>
        <w:tc>
          <w:tcPr>
            <w:tcW w:w="1340" w:type="dxa"/>
            <w:vAlign w:val="bottom"/>
            <w:shd w:val="clear" w:color="auto" w:fill="DBDBDB"/>
          </w:tcPr>
          <w:p>
            <w:pPr>
              <w:spacing w:after="0"/>
              <w:rPr>
                <w:sz w:val="22"/>
                <w:szCs w:val="22"/>
                <w:color w:val="auto"/>
              </w:rPr>
            </w:pPr>
          </w:p>
        </w:tc>
        <w:tc>
          <w:tcPr>
            <w:tcW w:w="380" w:type="dxa"/>
            <w:vAlign w:val="bottom"/>
            <w:shd w:val="clear" w:color="auto" w:fill="DBDBDB"/>
          </w:tcPr>
          <w:p>
            <w:pPr>
              <w:spacing w:after="0"/>
              <w:rPr>
                <w:sz w:val="22"/>
                <w:szCs w:val="22"/>
                <w:color w:val="auto"/>
              </w:rPr>
            </w:pPr>
          </w:p>
        </w:tc>
        <w:tc>
          <w:tcPr>
            <w:tcW w:w="1160" w:type="dxa"/>
            <w:vAlign w:val="bottom"/>
            <w:shd w:val="clear" w:color="auto" w:fill="DBDBDB"/>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8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Fee income</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120,234</w:t>
            </w:r>
          </w:p>
        </w:tc>
        <w:tc>
          <w:tcPr>
            <w:tcW w:w="3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3,606</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1,142</w:t>
            </w:r>
          </w:p>
        </w:tc>
        <w:tc>
          <w:tcPr>
            <w:tcW w:w="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124,982</w:t>
            </w:r>
          </w:p>
        </w:tc>
        <w:tc>
          <w:tcPr>
            <w:tcW w:w="0" w:type="dxa"/>
            <w:vAlign w:val="bottom"/>
          </w:tcPr>
          <w:p>
            <w:pPr>
              <w:spacing w:after="0"/>
              <w:rPr>
                <w:sz w:val="1"/>
                <w:szCs w:val="1"/>
                <w:color w:val="auto"/>
              </w:rPr>
            </w:pPr>
          </w:p>
        </w:tc>
      </w:tr>
      <w:tr>
        <w:trPr>
          <w:trHeight w:val="263"/>
        </w:trPr>
        <w:tc>
          <w:tcPr>
            <w:tcW w:w="3800" w:type="dxa"/>
            <w:vAlign w:val="bottom"/>
            <w:shd w:val="clear" w:color="auto" w:fill="DBDBDB"/>
          </w:tcPr>
          <w:p>
            <w:pPr>
              <w:ind w:left="300"/>
              <w:spacing w:after="0"/>
              <w:rPr>
                <w:sz w:val="20"/>
                <w:szCs w:val="20"/>
                <w:color w:val="auto"/>
              </w:rPr>
            </w:pPr>
            <w:r>
              <w:rPr>
                <w:rFonts w:ascii="Times New Roman" w:cs="Times New Roman" w:eastAsia="Times New Roman" w:hAnsi="Times New Roman"/>
                <w:sz w:val="18"/>
                <w:szCs w:val="18"/>
                <w:color w:val="auto"/>
              </w:rPr>
              <w:t>Interest income</w:t>
            </w:r>
          </w:p>
        </w:tc>
        <w:tc>
          <w:tcPr>
            <w:tcW w:w="1420" w:type="dxa"/>
            <w:vAlign w:val="bottom"/>
            <w:shd w:val="clear" w:color="auto" w:fill="DBDBDB"/>
          </w:tcPr>
          <w:p>
            <w:pPr>
              <w:spacing w:after="0"/>
              <w:rPr>
                <w:sz w:val="22"/>
                <w:szCs w:val="22"/>
                <w:color w:val="auto"/>
              </w:rPr>
            </w:pPr>
          </w:p>
        </w:tc>
        <w:tc>
          <w:tcPr>
            <w:tcW w:w="1340" w:type="dxa"/>
            <w:vAlign w:val="bottom"/>
            <w:shd w:val="clear" w:color="auto" w:fill="DBDBDB"/>
          </w:tcPr>
          <w:p>
            <w:pPr>
              <w:jc w:val="right"/>
              <w:ind w:right="30"/>
              <w:spacing w:after="0"/>
              <w:rPr>
                <w:sz w:val="20"/>
                <w:szCs w:val="20"/>
                <w:color w:val="auto"/>
              </w:rPr>
            </w:pPr>
            <w:r>
              <w:rPr>
                <w:rFonts w:ascii="Times New Roman" w:cs="Times New Roman" w:eastAsia="Times New Roman" w:hAnsi="Times New Roman"/>
                <w:sz w:val="18"/>
                <w:szCs w:val="18"/>
                <w:color w:val="auto"/>
              </w:rPr>
              <w:t>28,528</w:t>
            </w:r>
          </w:p>
        </w:tc>
        <w:tc>
          <w:tcPr>
            <w:tcW w:w="300" w:type="dxa"/>
            <w:vAlign w:val="bottom"/>
            <w:shd w:val="clear" w:color="auto" w:fill="DBDBDB"/>
          </w:tcPr>
          <w:p>
            <w:pPr>
              <w:spacing w:after="0"/>
              <w:rPr>
                <w:sz w:val="22"/>
                <w:szCs w:val="22"/>
                <w:color w:val="auto"/>
              </w:rPr>
            </w:pPr>
          </w:p>
        </w:tc>
        <w:tc>
          <w:tcPr>
            <w:tcW w:w="1240" w:type="dxa"/>
            <w:vAlign w:val="bottom"/>
            <w:shd w:val="clear" w:color="auto" w:fill="DBDBDB"/>
          </w:tcPr>
          <w:p>
            <w:pPr>
              <w:jc w:val="right"/>
              <w:ind w:right="10"/>
              <w:spacing w:after="0"/>
              <w:rPr>
                <w:sz w:val="20"/>
                <w:szCs w:val="20"/>
                <w:color w:val="auto"/>
              </w:rPr>
            </w:pPr>
            <w:r>
              <w:rPr>
                <w:rFonts w:ascii="Times New Roman" w:cs="Times New Roman" w:eastAsia="Times New Roman" w:hAnsi="Times New Roman"/>
                <w:sz w:val="18"/>
                <w:szCs w:val="18"/>
                <w:color w:val="auto"/>
              </w:rPr>
              <w:t>40,913</w:t>
            </w:r>
          </w:p>
        </w:tc>
        <w:tc>
          <w:tcPr>
            <w:tcW w:w="260" w:type="dxa"/>
            <w:vAlign w:val="bottom"/>
            <w:shd w:val="clear" w:color="auto" w:fill="DBDBDB"/>
          </w:tcPr>
          <w:p>
            <w:pPr>
              <w:spacing w:after="0"/>
              <w:rPr>
                <w:sz w:val="22"/>
                <w:szCs w:val="22"/>
                <w:color w:val="auto"/>
              </w:rPr>
            </w:pPr>
          </w:p>
        </w:tc>
        <w:tc>
          <w:tcPr>
            <w:tcW w:w="13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(7,115)</w:t>
            </w:r>
          </w:p>
        </w:tc>
        <w:tc>
          <w:tcPr>
            <w:tcW w:w="380" w:type="dxa"/>
            <w:vAlign w:val="bottom"/>
            <w:shd w:val="clear" w:color="auto" w:fill="DBDBDB"/>
          </w:tcPr>
          <w:p>
            <w:pPr>
              <w:spacing w:after="0"/>
              <w:rPr>
                <w:sz w:val="22"/>
                <w:szCs w:val="22"/>
                <w:color w:val="auto"/>
              </w:rPr>
            </w:pPr>
          </w:p>
        </w:tc>
        <w:tc>
          <w:tcPr>
            <w:tcW w:w="11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62,326</w:t>
            </w:r>
          </w:p>
        </w:tc>
        <w:tc>
          <w:tcPr>
            <w:tcW w:w="0" w:type="dxa"/>
            <w:vAlign w:val="bottom"/>
          </w:tcPr>
          <w:p>
            <w:pPr>
              <w:spacing w:after="0"/>
              <w:rPr>
                <w:sz w:val="1"/>
                <w:szCs w:val="1"/>
                <w:color w:val="auto"/>
              </w:rPr>
            </w:pPr>
          </w:p>
        </w:tc>
      </w:tr>
      <w:tr>
        <w:trPr>
          <w:trHeight w:val="250"/>
        </w:trPr>
        <w:tc>
          <w:tcPr>
            <w:tcW w:w="38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Interest expense</w:t>
            </w:r>
          </w:p>
        </w:tc>
        <w:tc>
          <w:tcPr>
            <w:tcW w:w="142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166</w:t>
            </w:r>
          </w:p>
        </w:tc>
        <w:tc>
          <w:tcPr>
            <w:tcW w:w="30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4,143</w:t>
            </w: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(827)</w:t>
            </w:r>
          </w:p>
        </w:tc>
        <w:tc>
          <w:tcPr>
            <w:tcW w:w="3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3,482</w:t>
            </w:r>
          </w:p>
        </w:tc>
        <w:tc>
          <w:tcPr>
            <w:tcW w:w="0" w:type="dxa"/>
            <w:vAlign w:val="bottom"/>
          </w:tcPr>
          <w:p>
            <w:pPr>
              <w:spacing w:after="0"/>
              <w:rPr>
                <w:sz w:val="1"/>
                <w:szCs w:val="1"/>
                <w:color w:val="auto"/>
              </w:rPr>
            </w:pPr>
          </w:p>
        </w:tc>
      </w:tr>
      <w:tr>
        <w:trPr>
          <w:trHeight w:val="263"/>
        </w:trPr>
        <w:tc>
          <w:tcPr>
            <w:tcW w:w="3800" w:type="dxa"/>
            <w:vAlign w:val="bottom"/>
            <w:shd w:val="clear" w:color="auto" w:fill="DBDBDB"/>
          </w:tcPr>
          <w:p>
            <w:pPr>
              <w:ind w:left="300"/>
              <w:spacing w:after="0"/>
              <w:rPr>
                <w:sz w:val="20"/>
                <w:szCs w:val="20"/>
                <w:color w:val="auto"/>
              </w:rPr>
            </w:pPr>
            <w:r>
              <w:rPr>
                <w:rFonts w:ascii="Times New Roman" w:cs="Times New Roman" w:eastAsia="Times New Roman" w:hAnsi="Times New Roman"/>
                <w:sz w:val="18"/>
                <w:szCs w:val="18"/>
                <w:color w:val="auto"/>
              </w:rPr>
              <w:t>Intersegment income (expense)</w:t>
            </w:r>
          </w:p>
        </w:tc>
        <w:tc>
          <w:tcPr>
            <w:tcW w:w="1420" w:type="dxa"/>
            <w:vAlign w:val="bottom"/>
            <w:shd w:val="clear" w:color="auto" w:fill="DBDBDB"/>
          </w:tcPr>
          <w:p>
            <w:pPr>
              <w:spacing w:after="0"/>
              <w:rPr>
                <w:sz w:val="22"/>
                <w:szCs w:val="22"/>
                <w:color w:val="auto"/>
              </w:rPr>
            </w:pPr>
          </w:p>
        </w:tc>
        <w:tc>
          <w:tcPr>
            <w:tcW w:w="13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(3,350)</w:t>
            </w:r>
          </w:p>
        </w:tc>
        <w:tc>
          <w:tcPr>
            <w:tcW w:w="300" w:type="dxa"/>
            <w:vAlign w:val="bottom"/>
            <w:shd w:val="clear" w:color="auto" w:fill="DBDBDB"/>
          </w:tcPr>
          <w:p>
            <w:pPr>
              <w:spacing w:after="0"/>
              <w:rPr>
                <w:sz w:val="22"/>
                <w:szCs w:val="22"/>
                <w:color w:val="auto"/>
              </w:rPr>
            </w:pPr>
          </w:p>
        </w:tc>
        <w:tc>
          <w:tcPr>
            <w:tcW w:w="1240" w:type="dxa"/>
            <w:vAlign w:val="bottom"/>
            <w:shd w:val="clear" w:color="auto" w:fill="DBDBDB"/>
          </w:tcPr>
          <w:p>
            <w:pPr>
              <w:jc w:val="right"/>
              <w:ind w:right="10"/>
              <w:spacing w:after="0"/>
              <w:rPr>
                <w:sz w:val="20"/>
                <w:szCs w:val="20"/>
                <w:color w:val="auto"/>
              </w:rPr>
            </w:pPr>
            <w:r>
              <w:rPr>
                <w:rFonts w:ascii="Times New Roman" w:cs="Times New Roman" w:eastAsia="Times New Roman" w:hAnsi="Times New Roman"/>
                <w:sz w:val="18"/>
                <w:szCs w:val="18"/>
                <w:color w:val="auto"/>
              </w:rPr>
              <w:t>3,350</w:t>
            </w:r>
          </w:p>
        </w:tc>
        <w:tc>
          <w:tcPr>
            <w:tcW w:w="260" w:type="dxa"/>
            <w:vAlign w:val="bottom"/>
            <w:shd w:val="clear" w:color="auto" w:fill="DBDBDB"/>
          </w:tcPr>
          <w:p>
            <w:pPr>
              <w:spacing w:after="0"/>
              <w:rPr>
                <w:sz w:val="22"/>
                <w:szCs w:val="22"/>
                <w:color w:val="auto"/>
              </w:rPr>
            </w:pPr>
          </w:p>
        </w:tc>
        <w:tc>
          <w:tcPr>
            <w:tcW w:w="1340" w:type="dxa"/>
            <w:vAlign w:val="bottom"/>
            <w:shd w:val="clear" w:color="auto" w:fill="DBDBDB"/>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DBDBDB"/>
          </w:tcPr>
          <w:p>
            <w:pPr>
              <w:spacing w:after="0"/>
              <w:rPr>
                <w:sz w:val="22"/>
                <w:szCs w:val="22"/>
                <w:color w:val="auto"/>
              </w:rPr>
            </w:pPr>
          </w:p>
        </w:tc>
        <w:tc>
          <w:tcPr>
            <w:tcW w:w="11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38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Pre-tax income</w:t>
            </w:r>
          </w:p>
        </w:tc>
        <w:tc>
          <w:tcPr>
            <w:tcW w:w="142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26,478</w:t>
            </w:r>
          </w:p>
        </w:tc>
        <w:tc>
          <w:tcPr>
            <w:tcW w:w="30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21,566</w:t>
            </w: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(5,144)</w:t>
            </w:r>
          </w:p>
        </w:tc>
        <w:tc>
          <w:tcPr>
            <w:tcW w:w="3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42,900</w:t>
            </w:r>
          </w:p>
        </w:tc>
        <w:tc>
          <w:tcPr>
            <w:tcW w:w="0" w:type="dxa"/>
            <w:vAlign w:val="bottom"/>
          </w:tcPr>
          <w:p>
            <w:pPr>
              <w:spacing w:after="0"/>
              <w:rPr>
                <w:sz w:val="1"/>
                <w:szCs w:val="1"/>
                <w:color w:val="auto"/>
              </w:rPr>
            </w:pPr>
          </w:p>
        </w:tc>
      </w:tr>
      <w:tr>
        <w:trPr>
          <w:trHeight w:val="263"/>
        </w:trPr>
        <w:tc>
          <w:tcPr>
            <w:tcW w:w="3800" w:type="dxa"/>
            <w:vAlign w:val="bottom"/>
            <w:shd w:val="clear" w:color="auto" w:fill="DBDBDB"/>
          </w:tcPr>
          <w:p>
            <w:pPr>
              <w:ind w:left="300"/>
              <w:spacing w:after="0"/>
              <w:rPr>
                <w:sz w:val="20"/>
                <w:szCs w:val="20"/>
                <w:color w:val="auto"/>
              </w:rPr>
            </w:pPr>
            <w:r>
              <w:rPr>
                <w:rFonts w:ascii="Times New Roman" w:cs="Times New Roman" w:eastAsia="Times New Roman" w:hAnsi="Times New Roman"/>
                <w:sz w:val="18"/>
                <w:szCs w:val="18"/>
                <w:color w:val="auto"/>
              </w:rPr>
              <w:t>Goodwill</w:t>
            </w:r>
          </w:p>
        </w:tc>
        <w:tc>
          <w:tcPr>
            <w:tcW w:w="1420" w:type="dxa"/>
            <w:vAlign w:val="bottom"/>
            <w:shd w:val="clear" w:color="auto" w:fill="DBDBDB"/>
          </w:tcPr>
          <w:p>
            <w:pPr>
              <w:spacing w:after="0"/>
              <w:rPr>
                <w:sz w:val="22"/>
                <w:szCs w:val="22"/>
                <w:color w:val="auto"/>
              </w:rPr>
            </w:pPr>
          </w:p>
        </w:tc>
        <w:tc>
          <w:tcPr>
            <w:tcW w:w="1340" w:type="dxa"/>
            <w:vAlign w:val="bottom"/>
            <w:shd w:val="clear" w:color="auto" w:fill="DBDBDB"/>
          </w:tcPr>
          <w:p>
            <w:pPr>
              <w:jc w:val="right"/>
              <w:ind w:right="30"/>
              <w:spacing w:after="0"/>
              <w:rPr>
                <w:sz w:val="20"/>
                <w:szCs w:val="20"/>
                <w:color w:val="auto"/>
              </w:rPr>
            </w:pPr>
            <w:r>
              <w:rPr>
                <w:rFonts w:ascii="Times New Roman" w:cs="Times New Roman" w:eastAsia="Times New Roman" w:hAnsi="Times New Roman"/>
                <w:sz w:val="18"/>
                <w:szCs w:val="18"/>
                <w:color w:val="auto"/>
              </w:rPr>
              <w:t>17,173</w:t>
            </w:r>
          </w:p>
        </w:tc>
        <w:tc>
          <w:tcPr>
            <w:tcW w:w="300" w:type="dxa"/>
            <w:vAlign w:val="bottom"/>
            <w:shd w:val="clear" w:color="auto" w:fill="DBDBDB"/>
          </w:tcPr>
          <w:p>
            <w:pPr>
              <w:spacing w:after="0"/>
              <w:rPr>
                <w:sz w:val="22"/>
                <w:szCs w:val="22"/>
                <w:color w:val="auto"/>
              </w:rPr>
            </w:pPr>
          </w:p>
        </w:tc>
        <w:tc>
          <w:tcPr>
            <w:tcW w:w="1240" w:type="dxa"/>
            <w:vAlign w:val="bottom"/>
            <w:shd w:val="clear" w:color="auto" w:fill="DBDBDB"/>
          </w:tcPr>
          <w:p>
            <w:pPr>
              <w:jc w:val="right"/>
              <w:ind w:right="10"/>
              <w:spacing w:after="0"/>
              <w:rPr>
                <w:sz w:val="20"/>
                <w:szCs w:val="20"/>
                <w:color w:val="auto"/>
              </w:rPr>
            </w:pPr>
            <w:r>
              <w:rPr>
                <w:rFonts w:ascii="Times New Roman" w:cs="Times New Roman" w:eastAsia="Times New Roman" w:hAnsi="Times New Roman"/>
                <w:sz w:val="18"/>
                <w:szCs w:val="18"/>
                <w:color w:val="auto"/>
              </w:rPr>
              <w:t>136</w:t>
            </w:r>
          </w:p>
        </w:tc>
        <w:tc>
          <w:tcPr>
            <w:tcW w:w="260" w:type="dxa"/>
            <w:vAlign w:val="bottom"/>
            <w:shd w:val="clear" w:color="auto" w:fill="DBDBDB"/>
          </w:tcPr>
          <w:p>
            <w:pPr>
              <w:spacing w:after="0"/>
              <w:rPr>
                <w:sz w:val="22"/>
                <w:szCs w:val="22"/>
                <w:color w:val="auto"/>
              </w:rPr>
            </w:pPr>
          </w:p>
        </w:tc>
        <w:tc>
          <w:tcPr>
            <w:tcW w:w="1340" w:type="dxa"/>
            <w:vAlign w:val="bottom"/>
            <w:shd w:val="clear" w:color="auto" w:fill="DBDBDB"/>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DBDBDB"/>
          </w:tcPr>
          <w:p>
            <w:pPr>
              <w:spacing w:after="0"/>
              <w:rPr>
                <w:sz w:val="22"/>
                <w:szCs w:val="22"/>
                <w:color w:val="auto"/>
              </w:rPr>
            </w:pPr>
          </w:p>
        </w:tc>
        <w:tc>
          <w:tcPr>
            <w:tcW w:w="11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17,309</w:t>
            </w:r>
          </w:p>
        </w:tc>
        <w:tc>
          <w:tcPr>
            <w:tcW w:w="0" w:type="dxa"/>
            <w:vAlign w:val="bottom"/>
          </w:tcPr>
          <w:p>
            <w:pPr>
              <w:spacing w:after="0"/>
              <w:rPr>
                <w:sz w:val="1"/>
                <w:szCs w:val="1"/>
                <w:color w:val="auto"/>
              </w:rPr>
            </w:pPr>
          </w:p>
        </w:tc>
      </w:tr>
      <w:tr>
        <w:trPr>
          <w:trHeight w:val="250"/>
        </w:trPr>
        <w:tc>
          <w:tcPr>
            <w:tcW w:w="38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142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4,126</w:t>
            </w:r>
          </w:p>
        </w:tc>
        <w:tc>
          <w:tcPr>
            <w:tcW w:w="30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4,126</w:t>
            </w:r>
          </w:p>
        </w:tc>
        <w:tc>
          <w:tcPr>
            <w:tcW w:w="0" w:type="dxa"/>
            <w:vAlign w:val="bottom"/>
          </w:tcPr>
          <w:p>
            <w:pPr>
              <w:spacing w:after="0"/>
              <w:rPr>
                <w:sz w:val="1"/>
                <w:szCs w:val="1"/>
                <w:color w:val="auto"/>
              </w:rPr>
            </w:pPr>
          </w:p>
        </w:tc>
      </w:tr>
      <w:tr>
        <w:trPr>
          <w:trHeight w:val="263"/>
        </w:trPr>
        <w:tc>
          <w:tcPr>
            <w:tcW w:w="3800" w:type="dxa"/>
            <w:vAlign w:val="bottom"/>
            <w:shd w:val="clear" w:color="auto" w:fill="DBDBDB"/>
          </w:tcPr>
          <w:p>
            <w:pPr>
              <w:ind w:left="300"/>
              <w:spacing w:after="0"/>
              <w:rPr>
                <w:sz w:val="20"/>
                <w:szCs w:val="20"/>
                <w:color w:val="auto"/>
              </w:rPr>
            </w:pPr>
            <w:r>
              <w:rPr>
                <w:rFonts w:ascii="Times New Roman" w:cs="Times New Roman" w:eastAsia="Times New Roman" w:hAnsi="Times New Roman"/>
                <w:sz w:val="18"/>
                <w:szCs w:val="18"/>
                <w:color w:val="auto"/>
              </w:rPr>
              <w:t>Total assets</w:t>
            </w:r>
          </w:p>
        </w:tc>
        <w:tc>
          <w:tcPr>
            <w:tcW w:w="1420" w:type="dxa"/>
            <w:vAlign w:val="bottom"/>
            <w:shd w:val="clear" w:color="auto" w:fill="DBDBDB"/>
          </w:tcPr>
          <w:p>
            <w:pPr>
              <w:spacing w:after="0"/>
              <w:rPr>
                <w:sz w:val="22"/>
                <w:szCs w:val="22"/>
                <w:color w:val="auto"/>
              </w:rPr>
            </w:pPr>
          </w:p>
        </w:tc>
        <w:tc>
          <w:tcPr>
            <w:tcW w:w="1340" w:type="dxa"/>
            <w:vAlign w:val="bottom"/>
            <w:shd w:val="clear" w:color="auto" w:fill="DBDBDB"/>
          </w:tcPr>
          <w:p>
            <w:pPr>
              <w:jc w:val="right"/>
              <w:ind w:right="30"/>
              <w:spacing w:after="0"/>
              <w:rPr>
                <w:sz w:val="20"/>
                <w:szCs w:val="20"/>
                <w:color w:val="auto"/>
              </w:rPr>
            </w:pPr>
            <w:r>
              <w:rPr>
                <w:rFonts w:ascii="Times New Roman" w:cs="Times New Roman" w:eastAsia="Times New Roman" w:hAnsi="Times New Roman"/>
                <w:sz w:val="18"/>
                <w:szCs w:val="18"/>
                <w:color w:val="auto"/>
              </w:rPr>
              <w:t>1,595,939</w:t>
            </w:r>
          </w:p>
        </w:tc>
        <w:tc>
          <w:tcPr>
            <w:tcW w:w="300" w:type="dxa"/>
            <w:vAlign w:val="bottom"/>
            <w:shd w:val="clear" w:color="auto" w:fill="DBDBDB"/>
          </w:tcPr>
          <w:p>
            <w:pPr>
              <w:spacing w:after="0"/>
              <w:rPr>
                <w:sz w:val="22"/>
                <w:szCs w:val="22"/>
                <w:color w:val="auto"/>
              </w:rPr>
            </w:pPr>
          </w:p>
        </w:tc>
        <w:tc>
          <w:tcPr>
            <w:tcW w:w="1240" w:type="dxa"/>
            <w:vAlign w:val="bottom"/>
            <w:shd w:val="clear" w:color="auto" w:fill="DBDBDB"/>
          </w:tcPr>
          <w:p>
            <w:pPr>
              <w:jc w:val="right"/>
              <w:ind w:right="10"/>
              <w:spacing w:after="0"/>
              <w:rPr>
                <w:sz w:val="20"/>
                <w:szCs w:val="20"/>
                <w:color w:val="auto"/>
              </w:rPr>
            </w:pPr>
            <w:r>
              <w:rPr>
                <w:rFonts w:ascii="Times New Roman" w:cs="Times New Roman" w:eastAsia="Times New Roman" w:hAnsi="Times New Roman"/>
                <w:sz w:val="18"/>
                <w:szCs w:val="18"/>
                <w:color w:val="auto"/>
              </w:rPr>
              <w:t>1,182,439</w:t>
            </w:r>
          </w:p>
        </w:tc>
        <w:tc>
          <w:tcPr>
            <w:tcW w:w="260" w:type="dxa"/>
            <w:vAlign w:val="bottom"/>
            <w:shd w:val="clear" w:color="auto" w:fill="DBDBDB"/>
          </w:tcPr>
          <w:p>
            <w:pPr>
              <w:spacing w:after="0"/>
              <w:rPr>
                <w:sz w:val="22"/>
                <w:szCs w:val="22"/>
                <w:color w:val="auto"/>
              </w:rPr>
            </w:pPr>
          </w:p>
        </w:tc>
        <w:tc>
          <w:tcPr>
            <w:tcW w:w="13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(205,355)</w:t>
            </w:r>
          </w:p>
        </w:tc>
        <w:tc>
          <w:tcPr>
            <w:tcW w:w="380" w:type="dxa"/>
            <w:vAlign w:val="bottom"/>
            <w:shd w:val="clear" w:color="auto" w:fill="DBDBDB"/>
          </w:tcPr>
          <w:p>
            <w:pPr>
              <w:spacing w:after="0"/>
              <w:rPr>
                <w:sz w:val="22"/>
                <w:szCs w:val="22"/>
                <w:color w:val="auto"/>
              </w:rPr>
            </w:pPr>
          </w:p>
        </w:tc>
        <w:tc>
          <w:tcPr>
            <w:tcW w:w="11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2,573,023</w:t>
            </w:r>
          </w:p>
        </w:tc>
        <w:tc>
          <w:tcPr>
            <w:tcW w:w="0" w:type="dxa"/>
            <w:vAlign w:val="bottom"/>
          </w:tcPr>
          <w:p>
            <w:pPr>
              <w:spacing w:after="0"/>
              <w:rPr>
                <w:sz w:val="1"/>
                <w:szCs w:val="1"/>
                <w:color w:val="auto"/>
              </w:rPr>
            </w:pPr>
          </w:p>
        </w:tc>
      </w:tr>
      <w:tr>
        <w:trPr>
          <w:trHeight w:val="250"/>
        </w:trPr>
        <w:tc>
          <w:tcPr>
            <w:tcW w:w="380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Average funding sources</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1,379,355</w:t>
            </w:r>
          </w:p>
        </w:tc>
        <w:tc>
          <w:tcPr>
            <w:tcW w:w="3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953,346</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2,332,701</w:t>
            </w:r>
          </w:p>
        </w:tc>
        <w:tc>
          <w:tcPr>
            <w:tcW w:w="0" w:type="dxa"/>
            <w:vAlign w:val="bottom"/>
          </w:tcPr>
          <w:p>
            <w:pPr>
              <w:spacing w:after="0"/>
              <w:rPr>
                <w:sz w:val="1"/>
                <w:szCs w:val="1"/>
                <w:color w:val="auto"/>
              </w:rPr>
            </w:pPr>
          </w:p>
        </w:tc>
      </w:tr>
      <w:tr>
        <w:trPr>
          <w:trHeight w:val="257"/>
        </w:trPr>
        <w:tc>
          <w:tcPr>
            <w:tcW w:w="380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2021</w:t>
            </w:r>
          </w:p>
        </w:tc>
        <w:tc>
          <w:tcPr>
            <w:tcW w:w="1420" w:type="dxa"/>
            <w:vAlign w:val="bottom"/>
            <w:shd w:val="clear" w:color="auto" w:fill="DBDBDB"/>
          </w:tcPr>
          <w:p>
            <w:pPr>
              <w:spacing w:after="0"/>
              <w:rPr>
                <w:sz w:val="22"/>
                <w:szCs w:val="22"/>
                <w:color w:val="auto"/>
              </w:rPr>
            </w:pPr>
          </w:p>
        </w:tc>
        <w:tc>
          <w:tcPr>
            <w:tcW w:w="1340" w:type="dxa"/>
            <w:vAlign w:val="bottom"/>
            <w:shd w:val="clear" w:color="auto" w:fill="DBDBDB"/>
          </w:tcPr>
          <w:p>
            <w:pPr>
              <w:spacing w:after="0"/>
              <w:rPr>
                <w:sz w:val="22"/>
                <w:szCs w:val="22"/>
                <w:color w:val="auto"/>
              </w:rPr>
            </w:pPr>
          </w:p>
        </w:tc>
        <w:tc>
          <w:tcPr>
            <w:tcW w:w="300" w:type="dxa"/>
            <w:vAlign w:val="bottom"/>
            <w:shd w:val="clear" w:color="auto" w:fill="DBDBDB"/>
          </w:tcPr>
          <w:p>
            <w:pPr>
              <w:spacing w:after="0"/>
              <w:rPr>
                <w:sz w:val="22"/>
                <w:szCs w:val="22"/>
                <w:color w:val="auto"/>
              </w:rPr>
            </w:pPr>
          </w:p>
        </w:tc>
        <w:tc>
          <w:tcPr>
            <w:tcW w:w="1240" w:type="dxa"/>
            <w:vAlign w:val="bottom"/>
            <w:shd w:val="clear" w:color="auto" w:fill="DBDBDB"/>
          </w:tcPr>
          <w:p>
            <w:pPr>
              <w:spacing w:after="0"/>
              <w:rPr>
                <w:sz w:val="22"/>
                <w:szCs w:val="22"/>
                <w:color w:val="auto"/>
              </w:rPr>
            </w:pPr>
          </w:p>
        </w:tc>
        <w:tc>
          <w:tcPr>
            <w:tcW w:w="260" w:type="dxa"/>
            <w:vAlign w:val="bottom"/>
            <w:shd w:val="clear" w:color="auto" w:fill="DBDBDB"/>
          </w:tcPr>
          <w:p>
            <w:pPr>
              <w:spacing w:after="0"/>
              <w:rPr>
                <w:sz w:val="22"/>
                <w:szCs w:val="22"/>
                <w:color w:val="auto"/>
              </w:rPr>
            </w:pPr>
          </w:p>
        </w:tc>
        <w:tc>
          <w:tcPr>
            <w:tcW w:w="1340" w:type="dxa"/>
            <w:vAlign w:val="bottom"/>
            <w:shd w:val="clear" w:color="auto" w:fill="DBDBDB"/>
          </w:tcPr>
          <w:p>
            <w:pPr>
              <w:spacing w:after="0"/>
              <w:rPr>
                <w:sz w:val="22"/>
                <w:szCs w:val="22"/>
                <w:color w:val="auto"/>
              </w:rPr>
            </w:pPr>
          </w:p>
        </w:tc>
        <w:tc>
          <w:tcPr>
            <w:tcW w:w="380" w:type="dxa"/>
            <w:vAlign w:val="bottom"/>
            <w:shd w:val="clear" w:color="auto" w:fill="DBDBDB"/>
          </w:tcPr>
          <w:p>
            <w:pPr>
              <w:spacing w:after="0"/>
              <w:rPr>
                <w:sz w:val="22"/>
                <w:szCs w:val="22"/>
                <w:color w:val="auto"/>
              </w:rPr>
            </w:pPr>
          </w:p>
        </w:tc>
        <w:tc>
          <w:tcPr>
            <w:tcW w:w="1160" w:type="dxa"/>
            <w:vAlign w:val="bottom"/>
            <w:shd w:val="clear" w:color="auto" w:fill="DBDBDB"/>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8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Fee income</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106,678</w:t>
            </w:r>
          </w:p>
        </w:tc>
        <w:tc>
          <w:tcPr>
            <w:tcW w:w="3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1,405</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1,608</w:t>
            </w:r>
          </w:p>
        </w:tc>
        <w:tc>
          <w:tcPr>
            <w:tcW w:w="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109,691</w:t>
            </w:r>
          </w:p>
        </w:tc>
        <w:tc>
          <w:tcPr>
            <w:tcW w:w="0" w:type="dxa"/>
            <w:vAlign w:val="bottom"/>
          </w:tcPr>
          <w:p>
            <w:pPr>
              <w:spacing w:after="0"/>
              <w:rPr>
                <w:sz w:val="1"/>
                <w:szCs w:val="1"/>
                <w:color w:val="auto"/>
              </w:rPr>
            </w:pPr>
          </w:p>
        </w:tc>
      </w:tr>
      <w:tr>
        <w:trPr>
          <w:trHeight w:val="263"/>
        </w:trPr>
        <w:tc>
          <w:tcPr>
            <w:tcW w:w="3800" w:type="dxa"/>
            <w:vAlign w:val="bottom"/>
            <w:shd w:val="clear" w:color="auto" w:fill="DBDBDB"/>
          </w:tcPr>
          <w:p>
            <w:pPr>
              <w:ind w:left="300"/>
              <w:spacing w:after="0"/>
              <w:rPr>
                <w:sz w:val="20"/>
                <w:szCs w:val="20"/>
                <w:color w:val="auto"/>
              </w:rPr>
            </w:pPr>
            <w:r>
              <w:rPr>
                <w:rFonts w:ascii="Times New Roman" w:cs="Times New Roman" w:eastAsia="Times New Roman" w:hAnsi="Times New Roman"/>
                <w:sz w:val="18"/>
                <w:szCs w:val="18"/>
                <w:color w:val="auto"/>
              </w:rPr>
              <w:t>Interest income</w:t>
            </w:r>
          </w:p>
        </w:tc>
        <w:tc>
          <w:tcPr>
            <w:tcW w:w="1420" w:type="dxa"/>
            <w:vAlign w:val="bottom"/>
            <w:shd w:val="clear" w:color="auto" w:fill="DBDBDB"/>
          </w:tcPr>
          <w:p>
            <w:pPr>
              <w:spacing w:after="0"/>
              <w:rPr>
                <w:sz w:val="22"/>
                <w:szCs w:val="22"/>
                <w:color w:val="auto"/>
              </w:rPr>
            </w:pPr>
          </w:p>
        </w:tc>
        <w:tc>
          <w:tcPr>
            <w:tcW w:w="1340" w:type="dxa"/>
            <w:vAlign w:val="bottom"/>
            <w:shd w:val="clear" w:color="auto" w:fill="DBDBDB"/>
          </w:tcPr>
          <w:p>
            <w:pPr>
              <w:jc w:val="right"/>
              <w:ind w:right="30"/>
              <w:spacing w:after="0"/>
              <w:rPr>
                <w:sz w:val="20"/>
                <w:szCs w:val="20"/>
                <w:color w:val="auto"/>
              </w:rPr>
            </w:pPr>
            <w:r>
              <w:rPr>
                <w:rFonts w:ascii="Times New Roman" w:cs="Times New Roman" w:eastAsia="Times New Roman" w:hAnsi="Times New Roman"/>
                <w:sz w:val="18"/>
                <w:szCs w:val="18"/>
                <w:color w:val="auto"/>
              </w:rPr>
              <w:t>24,332</w:t>
            </w:r>
          </w:p>
        </w:tc>
        <w:tc>
          <w:tcPr>
            <w:tcW w:w="300" w:type="dxa"/>
            <w:vAlign w:val="bottom"/>
            <w:shd w:val="clear" w:color="auto" w:fill="DBDBDB"/>
          </w:tcPr>
          <w:p>
            <w:pPr>
              <w:spacing w:after="0"/>
              <w:rPr>
                <w:sz w:val="22"/>
                <w:szCs w:val="22"/>
                <w:color w:val="auto"/>
              </w:rPr>
            </w:pPr>
          </w:p>
        </w:tc>
        <w:tc>
          <w:tcPr>
            <w:tcW w:w="1240" w:type="dxa"/>
            <w:vAlign w:val="bottom"/>
            <w:shd w:val="clear" w:color="auto" w:fill="DBDBDB"/>
          </w:tcPr>
          <w:p>
            <w:pPr>
              <w:jc w:val="right"/>
              <w:ind w:right="10"/>
              <w:spacing w:after="0"/>
              <w:rPr>
                <w:sz w:val="20"/>
                <w:szCs w:val="20"/>
                <w:color w:val="auto"/>
              </w:rPr>
            </w:pPr>
            <w:r>
              <w:rPr>
                <w:rFonts w:ascii="Times New Roman" w:cs="Times New Roman" w:eastAsia="Times New Roman" w:hAnsi="Times New Roman"/>
                <w:sz w:val="18"/>
                <w:szCs w:val="18"/>
                <w:color w:val="auto"/>
              </w:rPr>
              <w:t>24,732</w:t>
            </w:r>
          </w:p>
        </w:tc>
        <w:tc>
          <w:tcPr>
            <w:tcW w:w="260" w:type="dxa"/>
            <w:vAlign w:val="bottom"/>
            <w:shd w:val="clear" w:color="auto" w:fill="DBDBDB"/>
          </w:tcPr>
          <w:p>
            <w:pPr>
              <w:spacing w:after="0"/>
              <w:rPr>
                <w:sz w:val="22"/>
                <w:szCs w:val="22"/>
                <w:color w:val="auto"/>
              </w:rPr>
            </w:pPr>
          </w:p>
        </w:tc>
        <w:tc>
          <w:tcPr>
            <w:tcW w:w="13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(3,567)</w:t>
            </w:r>
          </w:p>
        </w:tc>
        <w:tc>
          <w:tcPr>
            <w:tcW w:w="380" w:type="dxa"/>
            <w:vAlign w:val="bottom"/>
            <w:shd w:val="clear" w:color="auto" w:fill="DBDBDB"/>
          </w:tcPr>
          <w:p>
            <w:pPr>
              <w:spacing w:after="0"/>
              <w:rPr>
                <w:sz w:val="22"/>
                <w:szCs w:val="22"/>
                <w:color w:val="auto"/>
              </w:rPr>
            </w:pPr>
          </w:p>
        </w:tc>
        <w:tc>
          <w:tcPr>
            <w:tcW w:w="11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45,497</w:t>
            </w:r>
          </w:p>
        </w:tc>
        <w:tc>
          <w:tcPr>
            <w:tcW w:w="0" w:type="dxa"/>
            <w:vAlign w:val="bottom"/>
          </w:tcPr>
          <w:p>
            <w:pPr>
              <w:spacing w:after="0"/>
              <w:rPr>
                <w:sz w:val="1"/>
                <w:szCs w:val="1"/>
                <w:color w:val="auto"/>
              </w:rPr>
            </w:pPr>
          </w:p>
        </w:tc>
      </w:tr>
      <w:tr>
        <w:trPr>
          <w:trHeight w:val="250"/>
        </w:trPr>
        <w:tc>
          <w:tcPr>
            <w:tcW w:w="38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Interest expense</w:t>
            </w:r>
          </w:p>
        </w:tc>
        <w:tc>
          <w:tcPr>
            <w:tcW w:w="142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1,171</w:t>
            </w:r>
          </w:p>
        </w:tc>
        <w:tc>
          <w:tcPr>
            <w:tcW w:w="26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1,171</w:t>
            </w:r>
          </w:p>
        </w:tc>
        <w:tc>
          <w:tcPr>
            <w:tcW w:w="0" w:type="dxa"/>
            <w:vAlign w:val="bottom"/>
          </w:tcPr>
          <w:p>
            <w:pPr>
              <w:spacing w:after="0"/>
              <w:rPr>
                <w:sz w:val="1"/>
                <w:szCs w:val="1"/>
                <w:color w:val="auto"/>
              </w:rPr>
            </w:pPr>
          </w:p>
        </w:tc>
      </w:tr>
      <w:tr>
        <w:trPr>
          <w:trHeight w:val="263"/>
        </w:trPr>
        <w:tc>
          <w:tcPr>
            <w:tcW w:w="3800" w:type="dxa"/>
            <w:vAlign w:val="bottom"/>
            <w:shd w:val="clear" w:color="auto" w:fill="DBDBDB"/>
          </w:tcPr>
          <w:p>
            <w:pPr>
              <w:ind w:left="300"/>
              <w:spacing w:after="0"/>
              <w:rPr>
                <w:sz w:val="20"/>
                <w:szCs w:val="20"/>
                <w:color w:val="auto"/>
              </w:rPr>
            </w:pPr>
            <w:r>
              <w:rPr>
                <w:rFonts w:ascii="Times New Roman" w:cs="Times New Roman" w:eastAsia="Times New Roman" w:hAnsi="Times New Roman"/>
                <w:sz w:val="18"/>
                <w:szCs w:val="18"/>
                <w:color w:val="auto"/>
              </w:rPr>
              <w:t>Intersegment income (expense)</w:t>
            </w:r>
          </w:p>
        </w:tc>
        <w:tc>
          <w:tcPr>
            <w:tcW w:w="1420" w:type="dxa"/>
            <w:vAlign w:val="bottom"/>
            <w:shd w:val="clear" w:color="auto" w:fill="DBDBDB"/>
          </w:tcPr>
          <w:p>
            <w:pPr>
              <w:spacing w:after="0"/>
              <w:rPr>
                <w:sz w:val="22"/>
                <w:szCs w:val="22"/>
                <w:color w:val="auto"/>
              </w:rPr>
            </w:pPr>
          </w:p>
        </w:tc>
        <w:tc>
          <w:tcPr>
            <w:tcW w:w="13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(3,222)</w:t>
            </w:r>
          </w:p>
        </w:tc>
        <w:tc>
          <w:tcPr>
            <w:tcW w:w="300" w:type="dxa"/>
            <w:vAlign w:val="bottom"/>
            <w:shd w:val="clear" w:color="auto" w:fill="DBDBDB"/>
          </w:tcPr>
          <w:p>
            <w:pPr>
              <w:spacing w:after="0"/>
              <w:rPr>
                <w:sz w:val="22"/>
                <w:szCs w:val="22"/>
                <w:color w:val="auto"/>
              </w:rPr>
            </w:pPr>
          </w:p>
        </w:tc>
        <w:tc>
          <w:tcPr>
            <w:tcW w:w="1240" w:type="dxa"/>
            <w:vAlign w:val="bottom"/>
            <w:shd w:val="clear" w:color="auto" w:fill="DBDBDB"/>
          </w:tcPr>
          <w:p>
            <w:pPr>
              <w:jc w:val="right"/>
              <w:ind w:right="10"/>
              <w:spacing w:after="0"/>
              <w:rPr>
                <w:sz w:val="20"/>
                <w:szCs w:val="20"/>
                <w:color w:val="auto"/>
              </w:rPr>
            </w:pPr>
            <w:r>
              <w:rPr>
                <w:rFonts w:ascii="Times New Roman" w:cs="Times New Roman" w:eastAsia="Times New Roman" w:hAnsi="Times New Roman"/>
                <w:sz w:val="18"/>
                <w:szCs w:val="18"/>
                <w:color w:val="auto"/>
              </w:rPr>
              <w:t>3,222</w:t>
            </w:r>
          </w:p>
        </w:tc>
        <w:tc>
          <w:tcPr>
            <w:tcW w:w="260" w:type="dxa"/>
            <w:vAlign w:val="bottom"/>
            <w:shd w:val="clear" w:color="auto" w:fill="DBDBDB"/>
          </w:tcPr>
          <w:p>
            <w:pPr>
              <w:spacing w:after="0"/>
              <w:rPr>
                <w:sz w:val="22"/>
                <w:szCs w:val="22"/>
                <w:color w:val="auto"/>
              </w:rPr>
            </w:pPr>
          </w:p>
        </w:tc>
        <w:tc>
          <w:tcPr>
            <w:tcW w:w="1340" w:type="dxa"/>
            <w:vAlign w:val="bottom"/>
            <w:shd w:val="clear" w:color="auto" w:fill="DBDBDB"/>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DBDBDB"/>
          </w:tcPr>
          <w:p>
            <w:pPr>
              <w:spacing w:after="0"/>
              <w:rPr>
                <w:sz w:val="22"/>
                <w:szCs w:val="22"/>
                <w:color w:val="auto"/>
              </w:rPr>
            </w:pPr>
          </w:p>
        </w:tc>
        <w:tc>
          <w:tcPr>
            <w:tcW w:w="11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38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Pre-tax income</w:t>
            </w:r>
          </w:p>
        </w:tc>
        <w:tc>
          <w:tcPr>
            <w:tcW w:w="142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25,446</w:t>
            </w:r>
          </w:p>
        </w:tc>
        <w:tc>
          <w:tcPr>
            <w:tcW w:w="30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11,004</w:t>
            </w: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(2,629)</w:t>
            </w:r>
          </w:p>
        </w:tc>
        <w:tc>
          <w:tcPr>
            <w:tcW w:w="3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33,821</w:t>
            </w:r>
          </w:p>
        </w:tc>
        <w:tc>
          <w:tcPr>
            <w:tcW w:w="0" w:type="dxa"/>
            <w:vAlign w:val="bottom"/>
          </w:tcPr>
          <w:p>
            <w:pPr>
              <w:spacing w:after="0"/>
              <w:rPr>
                <w:sz w:val="1"/>
                <w:szCs w:val="1"/>
                <w:color w:val="auto"/>
              </w:rPr>
            </w:pPr>
          </w:p>
        </w:tc>
      </w:tr>
      <w:tr>
        <w:trPr>
          <w:trHeight w:val="263"/>
        </w:trPr>
        <w:tc>
          <w:tcPr>
            <w:tcW w:w="3800" w:type="dxa"/>
            <w:vAlign w:val="bottom"/>
            <w:shd w:val="clear" w:color="auto" w:fill="DBDBDB"/>
          </w:tcPr>
          <w:p>
            <w:pPr>
              <w:ind w:left="300"/>
              <w:spacing w:after="0"/>
              <w:rPr>
                <w:sz w:val="20"/>
                <w:szCs w:val="20"/>
                <w:color w:val="auto"/>
              </w:rPr>
            </w:pPr>
            <w:r>
              <w:rPr>
                <w:rFonts w:ascii="Times New Roman" w:cs="Times New Roman" w:eastAsia="Times New Roman" w:hAnsi="Times New Roman"/>
                <w:sz w:val="18"/>
                <w:szCs w:val="18"/>
                <w:color w:val="auto"/>
              </w:rPr>
              <w:t>Goodwill</w:t>
            </w:r>
          </w:p>
        </w:tc>
        <w:tc>
          <w:tcPr>
            <w:tcW w:w="1420" w:type="dxa"/>
            <w:vAlign w:val="bottom"/>
            <w:shd w:val="clear" w:color="auto" w:fill="DBDBDB"/>
          </w:tcPr>
          <w:p>
            <w:pPr>
              <w:spacing w:after="0"/>
              <w:rPr>
                <w:sz w:val="22"/>
                <w:szCs w:val="22"/>
                <w:color w:val="auto"/>
              </w:rPr>
            </w:pPr>
          </w:p>
        </w:tc>
        <w:tc>
          <w:tcPr>
            <w:tcW w:w="1340" w:type="dxa"/>
            <w:vAlign w:val="bottom"/>
            <w:shd w:val="clear" w:color="auto" w:fill="DBDBDB"/>
          </w:tcPr>
          <w:p>
            <w:pPr>
              <w:jc w:val="right"/>
              <w:ind w:right="30"/>
              <w:spacing w:after="0"/>
              <w:rPr>
                <w:sz w:val="20"/>
                <w:szCs w:val="20"/>
                <w:color w:val="auto"/>
              </w:rPr>
            </w:pPr>
            <w:r>
              <w:rPr>
                <w:rFonts w:ascii="Times New Roman" w:cs="Times New Roman" w:eastAsia="Times New Roman" w:hAnsi="Times New Roman"/>
                <w:sz w:val="18"/>
                <w:szCs w:val="18"/>
                <w:color w:val="auto"/>
              </w:rPr>
              <w:t>14,126</w:t>
            </w:r>
          </w:p>
        </w:tc>
        <w:tc>
          <w:tcPr>
            <w:tcW w:w="300" w:type="dxa"/>
            <w:vAlign w:val="bottom"/>
            <w:shd w:val="clear" w:color="auto" w:fill="DBDBDB"/>
          </w:tcPr>
          <w:p>
            <w:pPr>
              <w:spacing w:after="0"/>
              <w:rPr>
                <w:sz w:val="22"/>
                <w:szCs w:val="22"/>
                <w:color w:val="auto"/>
              </w:rPr>
            </w:pPr>
          </w:p>
        </w:tc>
        <w:tc>
          <w:tcPr>
            <w:tcW w:w="1240" w:type="dxa"/>
            <w:vAlign w:val="bottom"/>
            <w:shd w:val="clear" w:color="auto" w:fill="DBDBDB"/>
          </w:tcPr>
          <w:p>
            <w:pPr>
              <w:jc w:val="right"/>
              <w:ind w:right="10"/>
              <w:spacing w:after="0"/>
              <w:rPr>
                <w:sz w:val="20"/>
                <w:szCs w:val="20"/>
                <w:color w:val="auto"/>
              </w:rPr>
            </w:pPr>
            <w:r>
              <w:rPr>
                <w:rFonts w:ascii="Times New Roman" w:cs="Times New Roman" w:eastAsia="Times New Roman" w:hAnsi="Times New Roman"/>
                <w:sz w:val="18"/>
                <w:szCs w:val="18"/>
                <w:color w:val="auto"/>
              </w:rPr>
              <w:t>136</w:t>
            </w:r>
          </w:p>
        </w:tc>
        <w:tc>
          <w:tcPr>
            <w:tcW w:w="260" w:type="dxa"/>
            <w:vAlign w:val="bottom"/>
            <w:shd w:val="clear" w:color="auto" w:fill="DBDBDB"/>
          </w:tcPr>
          <w:p>
            <w:pPr>
              <w:spacing w:after="0"/>
              <w:rPr>
                <w:sz w:val="22"/>
                <w:szCs w:val="22"/>
                <w:color w:val="auto"/>
              </w:rPr>
            </w:pPr>
          </w:p>
        </w:tc>
        <w:tc>
          <w:tcPr>
            <w:tcW w:w="1340" w:type="dxa"/>
            <w:vAlign w:val="bottom"/>
            <w:shd w:val="clear" w:color="auto" w:fill="DBDBDB"/>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DBDBDB"/>
          </w:tcPr>
          <w:p>
            <w:pPr>
              <w:spacing w:after="0"/>
              <w:rPr>
                <w:sz w:val="22"/>
                <w:szCs w:val="22"/>
                <w:color w:val="auto"/>
              </w:rPr>
            </w:pPr>
          </w:p>
        </w:tc>
        <w:tc>
          <w:tcPr>
            <w:tcW w:w="11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14,262</w:t>
            </w:r>
          </w:p>
        </w:tc>
        <w:tc>
          <w:tcPr>
            <w:tcW w:w="0" w:type="dxa"/>
            <w:vAlign w:val="bottom"/>
          </w:tcPr>
          <w:p>
            <w:pPr>
              <w:spacing w:after="0"/>
              <w:rPr>
                <w:sz w:val="1"/>
                <w:szCs w:val="1"/>
                <w:color w:val="auto"/>
              </w:rPr>
            </w:pPr>
          </w:p>
        </w:tc>
      </w:tr>
      <w:tr>
        <w:trPr>
          <w:trHeight w:val="250"/>
        </w:trPr>
        <w:tc>
          <w:tcPr>
            <w:tcW w:w="38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142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2,564</w:t>
            </w:r>
          </w:p>
        </w:tc>
        <w:tc>
          <w:tcPr>
            <w:tcW w:w="30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2,564</w:t>
            </w:r>
          </w:p>
        </w:tc>
        <w:tc>
          <w:tcPr>
            <w:tcW w:w="0" w:type="dxa"/>
            <w:vAlign w:val="bottom"/>
          </w:tcPr>
          <w:p>
            <w:pPr>
              <w:spacing w:after="0"/>
              <w:rPr>
                <w:sz w:val="1"/>
                <w:szCs w:val="1"/>
                <w:color w:val="auto"/>
              </w:rPr>
            </w:pPr>
          </w:p>
        </w:tc>
      </w:tr>
      <w:tr>
        <w:trPr>
          <w:trHeight w:val="263"/>
        </w:trPr>
        <w:tc>
          <w:tcPr>
            <w:tcW w:w="3800" w:type="dxa"/>
            <w:vAlign w:val="bottom"/>
            <w:shd w:val="clear" w:color="auto" w:fill="DBDBDB"/>
          </w:tcPr>
          <w:p>
            <w:pPr>
              <w:ind w:left="300"/>
              <w:spacing w:after="0"/>
              <w:rPr>
                <w:sz w:val="20"/>
                <w:szCs w:val="20"/>
                <w:color w:val="auto"/>
              </w:rPr>
            </w:pPr>
            <w:r>
              <w:rPr>
                <w:rFonts w:ascii="Times New Roman" w:cs="Times New Roman" w:eastAsia="Times New Roman" w:hAnsi="Times New Roman"/>
                <w:sz w:val="18"/>
                <w:szCs w:val="18"/>
                <w:color w:val="auto"/>
              </w:rPr>
              <w:t>Total assets</w:t>
            </w:r>
          </w:p>
        </w:tc>
        <w:tc>
          <w:tcPr>
            <w:tcW w:w="1420" w:type="dxa"/>
            <w:vAlign w:val="bottom"/>
            <w:shd w:val="clear" w:color="auto" w:fill="DBDBDB"/>
          </w:tcPr>
          <w:p>
            <w:pPr>
              <w:spacing w:after="0"/>
              <w:rPr>
                <w:sz w:val="22"/>
                <w:szCs w:val="22"/>
                <w:color w:val="auto"/>
              </w:rPr>
            </w:pPr>
          </w:p>
        </w:tc>
        <w:tc>
          <w:tcPr>
            <w:tcW w:w="1340" w:type="dxa"/>
            <w:vAlign w:val="bottom"/>
            <w:shd w:val="clear" w:color="auto" w:fill="DBDBDB"/>
          </w:tcPr>
          <w:p>
            <w:pPr>
              <w:jc w:val="right"/>
              <w:ind w:right="30"/>
              <w:spacing w:after="0"/>
              <w:rPr>
                <w:sz w:val="20"/>
                <w:szCs w:val="20"/>
                <w:color w:val="auto"/>
              </w:rPr>
            </w:pPr>
            <w:r>
              <w:rPr>
                <w:rFonts w:ascii="Times New Roman" w:cs="Times New Roman" w:eastAsia="Times New Roman" w:hAnsi="Times New Roman"/>
                <w:sz w:val="18"/>
                <w:szCs w:val="18"/>
                <w:color w:val="auto"/>
              </w:rPr>
              <w:t>1,450,594</w:t>
            </w:r>
          </w:p>
        </w:tc>
        <w:tc>
          <w:tcPr>
            <w:tcW w:w="300" w:type="dxa"/>
            <w:vAlign w:val="bottom"/>
            <w:shd w:val="clear" w:color="auto" w:fill="DBDBDB"/>
          </w:tcPr>
          <w:p>
            <w:pPr>
              <w:spacing w:after="0"/>
              <w:rPr>
                <w:sz w:val="22"/>
                <w:szCs w:val="22"/>
                <w:color w:val="auto"/>
              </w:rPr>
            </w:pPr>
          </w:p>
        </w:tc>
        <w:tc>
          <w:tcPr>
            <w:tcW w:w="1240" w:type="dxa"/>
            <w:vAlign w:val="bottom"/>
            <w:shd w:val="clear" w:color="auto" w:fill="DBDBDB"/>
          </w:tcPr>
          <w:p>
            <w:pPr>
              <w:jc w:val="right"/>
              <w:ind w:right="10"/>
              <w:spacing w:after="0"/>
              <w:rPr>
                <w:sz w:val="20"/>
                <w:szCs w:val="20"/>
                <w:color w:val="auto"/>
              </w:rPr>
            </w:pPr>
            <w:r>
              <w:rPr>
                <w:rFonts w:ascii="Times New Roman" w:cs="Times New Roman" w:eastAsia="Times New Roman" w:hAnsi="Times New Roman"/>
                <w:sz w:val="18"/>
                <w:szCs w:val="18"/>
                <w:color w:val="auto"/>
              </w:rPr>
              <w:t>1,090,626</w:t>
            </w:r>
          </w:p>
        </w:tc>
        <w:tc>
          <w:tcPr>
            <w:tcW w:w="260" w:type="dxa"/>
            <w:vAlign w:val="bottom"/>
            <w:shd w:val="clear" w:color="auto" w:fill="DBDBDB"/>
          </w:tcPr>
          <w:p>
            <w:pPr>
              <w:spacing w:after="0"/>
              <w:rPr>
                <w:sz w:val="22"/>
                <w:szCs w:val="22"/>
                <w:color w:val="auto"/>
              </w:rPr>
            </w:pPr>
          </w:p>
        </w:tc>
        <w:tc>
          <w:tcPr>
            <w:tcW w:w="1340" w:type="dxa"/>
            <w:vAlign w:val="bottom"/>
            <w:shd w:val="clear" w:color="auto" w:fill="DBDBDB"/>
          </w:tcPr>
          <w:p>
            <w:pPr>
              <w:jc w:val="right"/>
              <w:ind w:right="30"/>
              <w:spacing w:after="0"/>
              <w:rPr>
                <w:sz w:val="20"/>
                <w:szCs w:val="20"/>
                <w:color w:val="auto"/>
              </w:rPr>
            </w:pPr>
            <w:r>
              <w:rPr>
                <w:rFonts w:ascii="Times New Roman" w:cs="Times New Roman" w:eastAsia="Times New Roman" w:hAnsi="Times New Roman"/>
                <w:sz w:val="18"/>
                <w:szCs w:val="18"/>
                <w:color w:val="auto"/>
              </w:rPr>
              <w:t>13,681</w:t>
            </w:r>
          </w:p>
        </w:tc>
        <w:tc>
          <w:tcPr>
            <w:tcW w:w="380" w:type="dxa"/>
            <w:vAlign w:val="bottom"/>
            <w:shd w:val="clear" w:color="auto" w:fill="DBDBDB"/>
          </w:tcPr>
          <w:p>
            <w:pPr>
              <w:spacing w:after="0"/>
              <w:rPr>
                <w:sz w:val="22"/>
                <w:szCs w:val="22"/>
                <w:color w:val="auto"/>
              </w:rPr>
            </w:pPr>
          </w:p>
        </w:tc>
        <w:tc>
          <w:tcPr>
            <w:tcW w:w="11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2,554,901</w:t>
            </w:r>
          </w:p>
        </w:tc>
        <w:tc>
          <w:tcPr>
            <w:tcW w:w="0" w:type="dxa"/>
            <w:vAlign w:val="bottom"/>
          </w:tcPr>
          <w:p>
            <w:pPr>
              <w:spacing w:after="0"/>
              <w:rPr>
                <w:sz w:val="1"/>
                <w:szCs w:val="1"/>
                <w:color w:val="auto"/>
              </w:rPr>
            </w:pPr>
          </w:p>
        </w:tc>
      </w:tr>
      <w:tr>
        <w:trPr>
          <w:trHeight w:val="250"/>
        </w:trPr>
        <w:tc>
          <w:tcPr>
            <w:tcW w:w="380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Average funding sources</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1,150,493</w:t>
            </w:r>
          </w:p>
        </w:tc>
        <w:tc>
          <w:tcPr>
            <w:tcW w:w="3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876,018</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2,026,511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leases certain premises under operating leases. As of December 31, 2023, the Company had lease liabilities of $8.5 million and right-of-use assets of $8.1 million. Lease liabilities and right-of-use assets are reflected in other liabilities and other assets, respectively. Included in occupancy expense on the consolidated statements of income for 2023 was operating lease cost of $1.4 million, short-term lease cost of $278,000, and there was no variable lease cost. The Company paid cash of $1.3 million for operating lease amounts included in the measurement of lease liabilities for the year ended December 31, 2023. No right-of-use assets were obtained in exchange for lease liabilities during the year ended December 31, 2023.</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2023, the weighted average remaining lease term for the operating leases was 7.3 years and the weighted average discount rate used in the measurement of operating lease liabilities was 3.57%. Certain of the Company’s leases contain options to renew the lease; however, these renewal options are not included in the calculation of the lease liabilities as they are not reasonably certain to be exercised.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A maturity analysis of operating lease liabilities and undiscounted cash flows as of December 31, 2023 is as follows:</w:t>
            </w:r>
          </w:p>
        </w:tc>
        <w:tc>
          <w:tcPr>
            <w:tcW w:w="8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910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820" w:type="dxa"/>
            <w:vAlign w:val="bottom"/>
          </w:tcPr>
          <w:p>
            <w:pPr>
              <w:spacing w:after="0"/>
              <w:rPr>
                <w:sz w:val="24"/>
                <w:szCs w:val="24"/>
                <w:color w:val="auto"/>
              </w:rPr>
            </w:pP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1"/>
        </w:trPr>
        <w:tc>
          <w:tcPr>
            <w:tcW w:w="9100" w:type="dxa"/>
            <w:vAlign w:val="bottom"/>
            <w:tcBorders>
              <w:bottom w:val="single" w:sz="8" w:color="auto"/>
            </w:tcBorders>
            <w:vMerge w:val="continue"/>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52"/>
        </w:trPr>
        <w:tc>
          <w:tcPr>
            <w:tcW w:w="910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Lease payments due</w:t>
            </w:r>
          </w:p>
        </w:tc>
        <w:tc>
          <w:tcPr>
            <w:tcW w:w="820" w:type="dxa"/>
            <w:vAlign w:val="bottom"/>
            <w:shd w:val="clear" w:color="auto" w:fill="DBDBDB"/>
          </w:tcPr>
          <w:p>
            <w:pPr>
              <w:spacing w:after="0"/>
              <w:rPr>
                <w:sz w:val="21"/>
                <w:szCs w:val="21"/>
                <w:color w:val="auto"/>
              </w:rPr>
            </w:pPr>
          </w:p>
        </w:tc>
        <w:tc>
          <w:tcPr>
            <w:tcW w:w="1320" w:type="dxa"/>
            <w:vAlign w:val="bottom"/>
            <w:shd w:val="clear" w:color="auto" w:fill="DBDBDB"/>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91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Less than 1 year</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1,327</w:t>
            </w:r>
          </w:p>
        </w:tc>
        <w:tc>
          <w:tcPr>
            <w:tcW w:w="0" w:type="dxa"/>
            <w:vAlign w:val="bottom"/>
          </w:tcPr>
          <w:p>
            <w:pPr>
              <w:spacing w:after="0"/>
              <w:rPr>
                <w:sz w:val="1"/>
                <w:szCs w:val="1"/>
                <w:color w:val="auto"/>
              </w:rPr>
            </w:pPr>
          </w:p>
        </w:tc>
      </w:tr>
      <w:tr>
        <w:trPr>
          <w:trHeight w:val="263"/>
        </w:trPr>
        <w:tc>
          <w:tcPr>
            <w:tcW w:w="9100" w:type="dxa"/>
            <w:vAlign w:val="bottom"/>
            <w:shd w:val="clear" w:color="auto" w:fill="DBDBDB"/>
          </w:tcPr>
          <w:p>
            <w:pPr>
              <w:ind w:left="300"/>
              <w:spacing w:after="0"/>
              <w:rPr>
                <w:sz w:val="20"/>
                <w:szCs w:val="20"/>
                <w:color w:val="auto"/>
              </w:rPr>
            </w:pPr>
            <w:r>
              <w:rPr>
                <w:rFonts w:ascii="Times New Roman" w:cs="Times New Roman" w:eastAsia="Times New Roman" w:hAnsi="Times New Roman"/>
                <w:sz w:val="18"/>
                <w:szCs w:val="18"/>
                <w:color w:val="auto"/>
              </w:rPr>
              <w:t>1-2 years</w:t>
            </w:r>
          </w:p>
        </w:tc>
        <w:tc>
          <w:tcPr>
            <w:tcW w:w="820" w:type="dxa"/>
            <w:vAlign w:val="bottom"/>
            <w:shd w:val="clear" w:color="auto" w:fill="DBDBDB"/>
          </w:tcPr>
          <w:p>
            <w:pPr>
              <w:spacing w:after="0"/>
              <w:rPr>
                <w:sz w:val="22"/>
                <w:szCs w:val="22"/>
                <w:color w:val="auto"/>
              </w:rPr>
            </w:pPr>
          </w:p>
        </w:tc>
        <w:tc>
          <w:tcPr>
            <w:tcW w:w="13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1,345</w:t>
            </w:r>
          </w:p>
        </w:tc>
        <w:tc>
          <w:tcPr>
            <w:tcW w:w="0" w:type="dxa"/>
            <w:vAlign w:val="bottom"/>
          </w:tcPr>
          <w:p>
            <w:pPr>
              <w:spacing w:after="0"/>
              <w:rPr>
                <w:sz w:val="1"/>
                <w:szCs w:val="1"/>
                <w:color w:val="auto"/>
              </w:rPr>
            </w:pPr>
          </w:p>
        </w:tc>
      </w:tr>
      <w:tr>
        <w:trPr>
          <w:trHeight w:val="250"/>
        </w:trPr>
        <w:tc>
          <w:tcPr>
            <w:tcW w:w="91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2-3 years</w:t>
            </w:r>
          </w:p>
        </w:tc>
        <w:tc>
          <w:tcPr>
            <w:tcW w:w="8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1,351</w:t>
            </w:r>
          </w:p>
        </w:tc>
        <w:tc>
          <w:tcPr>
            <w:tcW w:w="0" w:type="dxa"/>
            <w:vAlign w:val="bottom"/>
          </w:tcPr>
          <w:p>
            <w:pPr>
              <w:spacing w:after="0"/>
              <w:rPr>
                <w:sz w:val="1"/>
                <w:szCs w:val="1"/>
                <w:color w:val="auto"/>
              </w:rPr>
            </w:pPr>
          </w:p>
        </w:tc>
      </w:tr>
      <w:tr>
        <w:trPr>
          <w:trHeight w:val="263"/>
        </w:trPr>
        <w:tc>
          <w:tcPr>
            <w:tcW w:w="9100" w:type="dxa"/>
            <w:vAlign w:val="bottom"/>
            <w:shd w:val="clear" w:color="auto" w:fill="DBDBDB"/>
          </w:tcPr>
          <w:p>
            <w:pPr>
              <w:ind w:left="300"/>
              <w:spacing w:after="0"/>
              <w:rPr>
                <w:sz w:val="20"/>
                <w:szCs w:val="20"/>
                <w:color w:val="auto"/>
              </w:rPr>
            </w:pPr>
            <w:r>
              <w:rPr>
                <w:rFonts w:ascii="Times New Roman" w:cs="Times New Roman" w:eastAsia="Times New Roman" w:hAnsi="Times New Roman"/>
                <w:sz w:val="18"/>
                <w:szCs w:val="18"/>
                <w:color w:val="auto"/>
              </w:rPr>
              <w:t>3-4 years</w:t>
            </w:r>
          </w:p>
        </w:tc>
        <w:tc>
          <w:tcPr>
            <w:tcW w:w="820" w:type="dxa"/>
            <w:vAlign w:val="bottom"/>
            <w:shd w:val="clear" w:color="auto" w:fill="DBDBDB"/>
          </w:tcPr>
          <w:p>
            <w:pPr>
              <w:spacing w:after="0"/>
              <w:rPr>
                <w:sz w:val="22"/>
                <w:szCs w:val="22"/>
                <w:color w:val="auto"/>
              </w:rPr>
            </w:pPr>
          </w:p>
        </w:tc>
        <w:tc>
          <w:tcPr>
            <w:tcW w:w="13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1,357</w:t>
            </w:r>
          </w:p>
        </w:tc>
        <w:tc>
          <w:tcPr>
            <w:tcW w:w="0" w:type="dxa"/>
            <w:vAlign w:val="bottom"/>
          </w:tcPr>
          <w:p>
            <w:pPr>
              <w:spacing w:after="0"/>
              <w:rPr>
                <w:sz w:val="1"/>
                <w:szCs w:val="1"/>
                <w:color w:val="auto"/>
              </w:rPr>
            </w:pPr>
          </w:p>
        </w:tc>
      </w:tr>
      <w:tr>
        <w:trPr>
          <w:trHeight w:val="250"/>
        </w:trPr>
        <w:tc>
          <w:tcPr>
            <w:tcW w:w="91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4-5 years</w:t>
            </w:r>
          </w:p>
        </w:tc>
        <w:tc>
          <w:tcPr>
            <w:tcW w:w="8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1,315</w:t>
            </w:r>
          </w:p>
        </w:tc>
        <w:tc>
          <w:tcPr>
            <w:tcW w:w="0" w:type="dxa"/>
            <w:vAlign w:val="bottom"/>
          </w:tcPr>
          <w:p>
            <w:pPr>
              <w:spacing w:after="0"/>
              <w:rPr>
                <w:sz w:val="1"/>
                <w:szCs w:val="1"/>
                <w:color w:val="auto"/>
              </w:rPr>
            </w:pPr>
          </w:p>
        </w:tc>
      </w:tr>
      <w:tr>
        <w:trPr>
          <w:trHeight w:val="257"/>
        </w:trPr>
        <w:tc>
          <w:tcPr>
            <w:tcW w:w="9100" w:type="dxa"/>
            <w:vAlign w:val="bottom"/>
            <w:tcBorders>
              <w:bottom w:val="single" w:sz="8" w:color="auto"/>
            </w:tcBorders>
            <w:shd w:val="clear" w:color="auto" w:fill="DBDBDB"/>
          </w:tcPr>
          <w:p>
            <w:pPr>
              <w:ind w:left="300"/>
              <w:spacing w:after="0"/>
              <w:rPr>
                <w:sz w:val="20"/>
                <w:szCs w:val="20"/>
                <w:color w:val="auto"/>
              </w:rPr>
            </w:pPr>
            <w:r>
              <w:rPr>
                <w:rFonts w:ascii="Times New Roman" w:cs="Times New Roman" w:eastAsia="Times New Roman" w:hAnsi="Times New Roman"/>
                <w:sz w:val="18"/>
                <w:szCs w:val="18"/>
                <w:color w:val="auto"/>
              </w:rPr>
              <w:t>Over 5 years</w:t>
            </w:r>
          </w:p>
        </w:tc>
        <w:tc>
          <w:tcPr>
            <w:tcW w:w="820" w:type="dxa"/>
            <w:vAlign w:val="bottom"/>
            <w:tcBorders>
              <w:bottom w:val="single" w:sz="8" w:color="auto"/>
            </w:tcBorders>
            <w:shd w:val="clear" w:color="auto" w:fill="DBDBDB"/>
          </w:tcPr>
          <w:p>
            <w:pPr>
              <w:spacing w:after="0"/>
              <w:rPr>
                <w:sz w:val="22"/>
                <w:szCs w:val="22"/>
                <w:color w:val="auto"/>
              </w:rPr>
            </w:pPr>
          </w:p>
        </w:tc>
        <w:tc>
          <w:tcPr>
            <w:tcW w:w="132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2,904</w:t>
            </w:r>
          </w:p>
        </w:tc>
        <w:tc>
          <w:tcPr>
            <w:tcW w:w="0" w:type="dxa"/>
            <w:vAlign w:val="bottom"/>
          </w:tcPr>
          <w:p>
            <w:pPr>
              <w:spacing w:after="0"/>
              <w:rPr>
                <w:sz w:val="1"/>
                <w:szCs w:val="1"/>
                <w:color w:val="auto"/>
              </w:rPr>
            </w:pPr>
          </w:p>
        </w:tc>
      </w:tr>
      <w:tr>
        <w:trPr>
          <w:trHeight w:val="250"/>
        </w:trPr>
        <w:tc>
          <w:tcPr>
            <w:tcW w:w="91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Total undiscounted cash flows</w:t>
            </w:r>
          </w:p>
        </w:tc>
        <w:tc>
          <w:tcPr>
            <w:tcW w:w="8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9,599</w:t>
            </w:r>
          </w:p>
        </w:tc>
        <w:tc>
          <w:tcPr>
            <w:tcW w:w="0" w:type="dxa"/>
            <w:vAlign w:val="bottom"/>
          </w:tcPr>
          <w:p>
            <w:pPr>
              <w:spacing w:after="0"/>
              <w:rPr>
                <w:sz w:val="1"/>
                <w:szCs w:val="1"/>
                <w:color w:val="auto"/>
              </w:rPr>
            </w:pPr>
          </w:p>
        </w:tc>
      </w:tr>
      <w:tr>
        <w:trPr>
          <w:trHeight w:val="257"/>
        </w:trPr>
        <w:tc>
          <w:tcPr>
            <w:tcW w:w="9100" w:type="dxa"/>
            <w:vAlign w:val="bottom"/>
            <w:tcBorders>
              <w:bottom w:val="single" w:sz="8" w:color="auto"/>
            </w:tcBorders>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Discount on cash flows</w:t>
            </w:r>
          </w:p>
        </w:tc>
        <w:tc>
          <w:tcPr>
            <w:tcW w:w="820" w:type="dxa"/>
            <w:vAlign w:val="bottom"/>
            <w:tcBorders>
              <w:bottom w:val="single" w:sz="8" w:color="auto"/>
            </w:tcBorders>
            <w:shd w:val="clear" w:color="auto" w:fill="DBDBDB"/>
          </w:tcPr>
          <w:p>
            <w:pPr>
              <w:spacing w:after="0"/>
              <w:rPr>
                <w:sz w:val="22"/>
                <w:szCs w:val="22"/>
                <w:color w:val="auto"/>
              </w:rPr>
            </w:pPr>
          </w:p>
        </w:tc>
        <w:tc>
          <w:tcPr>
            <w:tcW w:w="132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1,122</w:t>
            </w:r>
          </w:p>
        </w:tc>
        <w:tc>
          <w:tcPr>
            <w:tcW w:w="0" w:type="dxa"/>
            <w:vAlign w:val="bottom"/>
          </w:tcPr>
          <w:p>
            <w:pPr>
              <w:spacing w:after="0"/>
              <w:rPr>
                <w:sz w:val="1"/>
                <w:szCs w:val="1"/>
                <w:color w:val="auto"/>
              </w:rPr>
            </w:pPr>
          </w:p>
        </w:tc>
      </w:tr>
      <w:tr>
        <w:trPr>
          <w:trHeight w:val="250"/>
        </w:trPr>
        <w:tc>
          <w:tcPr>
            <w:tcW w:w="91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Total lease liability</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8,477</w:t>
            </w: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were no sale and leaseback transactions, leveraged leases, or lease transactions with related parties during the year ended December 31, 2023. At December 31, 2023, the Company did not have any leases that had not yet commenced.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19</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Subsequent Events</w:t>
      </w:r>
    </w:p>
    <w:p>
      <w:pPr>
        <w:spacing w:after="0" w:line="20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In accordance with FASB ASC 855, </w:t>
      </w:r>
      <w:r>
        <w:rPr>
          <w:rFonts w:ascii="Times New Roman" w:cs="Times New Roman" w:eastAsia="Times New Roman" w:hAnsi="Times New Roman"/>
          <w:sz w:val="18"/>
          <w:szCs w:val="18"/>
          <w:i w:val="1"/>
          <w:iCs w:val="1"/>
          <w:color w:val="auto"/>
        </w:rPr>
        <w:t>Subsequent Events</w:t>
      </w:r>
      <w:r>
        <w:rPr>
          <w:rFonts w:ascii="Times New Roman" w:cs="Times New Roman" w:eastAsia="Times New Roman" w:hAnsi="Times New Roman"/>
          <w:sz w:val="18"/>
          <w:szCs w:val="18"/>
          <w:color w:val="auto"/>
        </w:rPr>
        <w:t>, the Company has evaluated subsequent events after the consolidated balance sheet date of December 31, 2023, and there were no events identified that would require additional disclosures to prevent the Company’s consolidated financial statements from being misleading.</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20</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Financial Information of Parent Company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Following are the condensed balance sheets of the Company (parent company only) and the related condensed statements of income and cash flows.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00" w:type="dxa"/>
            <w:vAlign w:val="bottom"/>
            <w:shd w:val="clear" w:color="auto" w:fill="DBDBDB"/>
          </w:tcPr>
          <w:p>
            <w:pPr>
              <w:spacing w:after="0"/>
              <w:rPr>
                <w:sz w:val="17"/>
                <w:szCs w:val="17"/>
                <w:color w:val="auto"/>
              </w:rPr>
            </w:pPr>
          </w:p>
        </w:tc>
        <w:tc>
          <w:tcPr>
            <w:tcW w:w="3680" w:type="dxa"/>
            <w:vAlign w:val="bottom"/>
            <w:shd w:val="clear" w:color="auto" w:fill="DBDBDB"/>
          </w:tcPr>
          <w:p>
            <w:pPr>
              <w:spacing w:after="0"/>
              <w:rPr>
                <w:sz w:val="17"/>
                <w:szCs w:val="17"/>
                <w:color w:val="auto"/>
              </w:rPr>
            </w:pPr>
          </w:p>
        </w:tc>
        <w:tc>
          <w:tcPr>
            <w:tcW w:w="300" w:type="dxa"/>
            <w:vAlign w:val="bottom"/>
            <w:shd w:val="clear" w:color="auto" w:fill="DBDBDB"/>
          </w:tcPr>
          <w:p>
            <w:pPr>
              <w:spacing w:after="0"/>
              <w:rPr>
                <w:sz w:val="17"/>
                <w:szCs w:val="17"/>
                <w:color w:val="auto"/>
              </w:rPr>
            </w:pPr>
          </w:p>
        </w:tc>
        <w:tc>
          <w:tcPr>
            <w:tcW w:w="2760" w:type="dxa"/>
            <w:vAlign w:val="bottom"/>
            <w:gridSpan w:val="4"/>
            <w:shd w:val="clear" w:color="auto" w:fill="DBDBDB"/>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Condensed Balance Sheets</w:t>
            </w:r>
          </w:p>
        </w:tc>
        <w:tc>
          <w:tcPr>
            <w:tcW w:w="0" w:type="dxa"/>
            <w:vAlign w:val="bottom"/>
          </w:tcPr>
          <w:p>
            <w:pPr>
              <w:spacing w:after="0"/>
              <w:rPr>
                <w:sz w:val="1"/>
                <w:szCs w:val="1"/>
                <w:color w:val="auto"/>
              </w:rPr>
            </w:pPr>
          </w:p>
        </w:tc>
      </w:tr>
      <w:tr>
        <w:trPr>
          <w:trHeight w:val="243"/>
        </w:trPr>
        <w:tc>
          <w:tcPr>
            <w:tcW w:w="4500" w:type="dxa"/>
            <w:vAlign w:val="bottom"/>
            <w:shd w:val="clear" w:color="auto" w:fill="DBDBDB"/>
          </w:tcPr>
          <w:p>
            <w:pPr>
              <w:spacing w:after="0"/>
              <w:rPr>
                <w:sz w:val="21"/>
                <w:szCs w:val="21"/>
                <w:color w:val="auto"/>
              </w:rPr>
            </w:pPr>
          </w:p>
        </w:tc>
        <w:tc>
          <w:tcPr>
            <w:tcW w:w="3680" w:type="dxa"/>
            <w:vAlign w:val="bottom"/>
            <w:shd w:val="clear" w:color="auto" w:fill="DBDBDB"/>
          </w:tcPr>
          <w:p>
            <w:pPr>
              <w:spacing w:after="0"/>
              <w:rPr>
                <w:sz w:val="21"/>
                <w:szCs w:val="21"/>
                <w:color w:val="auto"/>
              </w:rPr>
            </w:pPr>
          </w:p>
        </w:tc>
        <w:tc>
          <w:tcPr>
            <w:tcW w:w="300" w:type="dxa"/>
            <w:vAlign w:val="bottom"/>
            <w:tcBorders>
              <w:bottom w:val="single" w:sz="8" w:color="auto"/>
            </w:tcBorders>
            <w:shd w:val="clear" w:color="auto" w:fill="DBDBDB"/>
          </w:tcPr>
          <w:p>
            <w:pPr>
              <w:spacing w:after="0"/>
              <w:rPr>
                <w:sz w:val="21"/>
                <w:szCs w:val="21"/>
                <w:color w:val="auto"/>
              </w:rPr>
            </w:pPr>
          </w:p>
        </w:tc>
        <w:tc>
          <w:tcPr>
            <w:tcW w:w="1800" w:type="dxa"/>
            <w:vAlign w:val="bottom"/>
            <w:tcBorders>
              <w:bottom w:val="single" w:sz="8" w:color="auto"/>
            </w:tcBorders>
            <w:gridSpan w:val="3"/>
            <w:shd w:val="clear" w:color="auto" w:fill="DBDBDB"/>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60" w:type="dxa"/>
            <w:vAlign w:val="bottom"/>
            <w:tcBorders>
              <w:bottom w:val="single" w:sz="8" w:color="auto"/>
            </w:tcBorders>
            <w:shd w:val="clear" w:color="auto" w:fill="DBDBDB"/>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68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0" w:type="dxa"/>
            <w:vAlign w:val="bottom"/>
          </w:tcPr>
          <w:p>
            <w:pPr>
              <w:spacing w:after="0"/>
              <w:rPr>
                <w:sz w:val="1"/>
                <w:szCs w:val="1"/>
                <w:color w:val="auto"/>
              </w:rPr>
            </w:pPr>
          </w:p>
        </w:tc>
      </w:tr>
      <w:tr>
        <w:trPr>
          <w:trHeight w:val="257"/>
        </w:trPr>
        <w:tc>
          <w:tcPr>
            <w:tcW w:w="450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680" w:type="dxa"/>
            <w:vAlign w:val="bottom"/>
            <w:shd w:val="clear" w:color="auto" w:fill="DBDBDB"/>
          </w:tcPr>
          <w:p>
            <w:pPr>
              <w:spacing w:after="0"/>
              <w:rPr>
                <w:sz w:val="22"/>
                <w:szCs w:val="22"/>
                <w:color w:val="auto"/>
              </w:rPr>
            </w:pPr>
          </w:p>
        </w:tc>
        <w:tc>
          <w:tcPr>
            <w:tcW w:w="300" w:type="dxa"/>
            <w:vAlign w:val="bottom"/>
            <w:shd w:val="clear" w:color="auto" w:fill="DBDBDB"/>
          </w:tcPr>
          <w:p>
            <w:pPr>
              <w:spacing w:after="0"/>
              <w:rPr>
                <w:sz w:val="22"/>
                <w:szCs w:val="22"/>
                <w:color w:val="auto"/>
              </w:rPr>
            </w:pPr>
          </w:p>
        </w:tc>
        <w:tc>
          <w:tcPr>
            <w:tcW w:w="1180" w:type="dxa"/>
            <w:vAlign w:val="bottom"/>
            <w:shd w:val="clear" w:color="auto" w:fill="DBDBDB"/>
          </w:tcPr>
          <w:p>
            <w:pPr>
              <w:spacing w:after="0"/>
              <w:rPr>
                <w:sz w:val="22"/>
                <w:szCs w:val="22"/>
                <w:color w:val="auto"/>
              </w:rPr>
            </w:pPr>
          </w:p>
        </w:tc>
        <w:tc>
          <w:tcPr>
            <w:tcW w:w="100" w:type="dxa"/>
            <w:vAlign w:val="bottom"/>
            <w:shd w:val="clear" w:color="auto" w:fill="DBDBDB"/>
          </w:tcPr>
          <w:p>
            <w:pPr>
              <w:spacing w:after="0"/>
              <w:rPr>
                <w:sz w:val="22"/>
                <w:szCs w:val="22"/>
                <w:color w:val="auto"/>
              </w:rPr>
            </w:pPr>
          </w:p>
        </w:tc>
        <w:tc>
          <w:tcPr>
            <w:tcW w:w="520" w:type="dxa"/>
            <w:vAlign w:val="bottom"/>
            <w:shd w:val="clear" w:color="auto" w:fill="DBDBDB"/>
          </w:tcPr>
          <w:p>
            <w:pPr>
              <w:spacing w:after="0"/>
              <w:rPr>
                <w:sz w:val="22"/>
                <w:szCs w:val="22"/>
                <w:color w:val="auto"/>
              </w:rPr>
            </w:pPr>
          </w:p>
        </w:tc>
        <w:tc>
          <w:tcPr>
            <w:tcW w:w="960" w:type="dxa"/>
            <w:vAlign w:val="bottom"/>
            <w:shd w:val="clear" w:color="auto" w:fill="DBDBDB"/>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due from banks</w:t>
            </w:r>
          </w:p>
        </w:tc>
        <w:tc>
          <w:tcPr>
            <w:tcW w:w="3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17,003</w:t>
            </w:r>
          </w:p>
        </w:tc>
        <w:tc>
          <w:tcPr>
            <w:tcW w:w="100" w:type="dxa"/>
            <w:vAlign w:val="bottom"/>
          </w:tcPr>
          <w:p>
            <w:pPr>
              <w:spacing w:after="0"/>
              <w:rPr>
                <w:sz w:val="21"/>
                <w:szCs w:val="21"/>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5,081</w:t>
            </w:r>
          </w:p>
        </w:tc>
        <w:tc>
          <w:tcPr>
            <w:tcW w:w="0" w:type="dxa"/>
            <w:vAlign w:val="bottom"/>
          </w:tcPr>
          <w:p>
            <w:pPr>
              <w:spacing w:after="0"/>
              <w:rPr>
                <w:sz w:val="1"/>
                <w:szCs w:val="1"/>
                <w:color w:val="auto"/>
              </w:rPr>
            </w:pPr>
          </w:p>
        </w:tc>
      </w:tr>
      <w:tr>
        <w:trPr>
          <w:trHeight w:val="263"/>
        </w:trPr>
        <w:tc>
          <w:tcPr>
            <w:tcW w:w="450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Short-term investments</w:t>
            </w:r>
          </w:p>
        </w:tc>
        <w:tc>
          <w:tcPr>
            <w:tcW w:w="3680" w:type="dxa"/>
            <w:vAlign w:val="bottom"/>
            <w:shd w:val="clear" w:color="auto" w:fill="DBDBDB"/>
          </w:tcPr>
          <w:p>
            <w:pPr>
              <w:spacing w:after="0"/>
              <w:rPr>
                <w:sz w:val="22"/>
                <w:szCs w:val="22"/>
                <w:color w:val="auto"/>
              </w:rPr>
            </w:pPr>
          </w:p>
        </w:tc>
        <w:tc>
          <w:tcPr>
            <w:tcW w:w="300" w:type="dxa"/>
            <w:vAlign w:val="bottom"/>
            <w:shd w:val="clear" w:color="auto" w:fill="DBDBDB"/>
          </w:tcPr>
          <w:p>
            <w:pPr>
              <w:spacing w:after="0"/>
              <w:rPr>
                <w:sz w:val="22"/>
                <w:szCs w:val="22"/>
                <w:color w:val="auto"/>
              </w:rPr>
            </w:pPr>
          </w:p>
        </w:tc>
        <w:tc>
          <w:tcPr>
            <w:tcW w:w="11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186,169</w:t>
            </w:r>
          </w:p>
        </w:tc>
        <w:tc>
          <w:tcPr>
            <w:tcW w:w="100" w:type="dxa"/>
            <w:vAlign w:val="bottom"/>
            <w:shd w:val="clear" w:color="auto" w:fill="DBDBDB"/>
          </w:tcPr>
          <w:p>
            <w:pPr>
              <w:spacing w:after="0"/>
              <w:rPr>
                <w:sz w:val="22"/>
                <w:szCs w:val="22"/>
                <w:color w:val="auto"/>
              </w:rPr>
            </w:pPr>
          </w:p>
        </w:tc>
        <w:tc>
          <w:tcPr>
            <w:tcW w:w="520" w:type="dxa"/>
            <w:vAlign w:val="bottom"/>
            <w:shd w:val="clear" w:color="auto" w:fill="DBDBDB"/>
          </w:tcPr>
          <w:p>
            <w:pPr>
              <w:spacing w:after="0"/>
              <w:rPr>
                <w:sz w:val="22"/>
                <w:szCs w:val="22"/>
                <w:color w:val="auto"/>
              </w:rPr>
            </w:pPr>
          </w:p>
        </w:tc>
        <w:tc>
          <w:tcPr>
            <w:tcW w:w="9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26,834</w:t>
            </w:r>
          </w:p>
        </w:tc>
        <w:tc>
          <w:tcPr>
            <w:tcW w:w="0" w:type="dxa"/>
            <w:vAlign w:val="bottom"/>
          </w:tcPr>
          <w:p>
            <w:pPr>
              <w:spacing w:after="0"/>
              <w:rPr>
                <w:sz w:val="1"/>
                <w:szCs w:val="1"/>
                <w:color w:val="auto"/>
              </w:rPr>
            </w:pPr>
          </w:p>
        </w:tc>
      </w:tr>
      <w:tr>
        <w:trPr>
          <w:trHeight w:val="250"/>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Securities available-for-sale, at fair value</w:t>
            </w:r>
          </w:p>
        </w:tc>
        <w:tc>
          <w:tcPr>
            <w:tcW w:w="36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399,339</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490,829</w:t>
            </w:r>
          </w:p>
        </w:tc>
        <w:tc>
          <w:tcPr>
            <w:tcW w:w="0" w:type="dxa"/>
            <w:vAlign w:val="bottom"/>
          </w:tcPr>
          <w:p>
            <w:pPr>
              <w:spacing w:after="0"/>
              <w:rPr>
                <w:sz w:val="1"/>
                <w:szCs w:val="1"/>
                <w:color w:val="auto"/>
              </w:rPr>
            </w:pPr>
          </w:p>
        </w:tc>
      </w:tr>
      <w:tr>
        <w:trPr>
          <w:trHeight w:val="263"/>
        </w:trPr>
        <w:tc>
          <w:tcPr>
            <w:tcW w:w="450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Loans, net</w:t>
            </w:r>
          </w:p>
        </w:tc>
        <w:tc>
          <w:tcPr>
            <w:tcW w:w="3680" w:type="dxa"/>
            <w:vAlign w:val="bottom"/>
            <w:shd w:val="clear" w:color="auto" w:fill="DBDBDB"/>
          </w:tcPr>
          <w:p>
            <w:pPr>
              <w:spacing w:after="0"/>
              <w:rPr>
                <w:sz w:val="22"/>
                <w:szCs w:val="22"/>
                <w:color w:val="auto"/>
              </w:rPr>
            </w:pPr>
          </w:p>
        </w:tc>
        <w:tc>
          <w:tcPr>
            <w:tcW w:w="300" w:type="dxa"/>
            <w:vAlign w:val="bottom"/>
            <w:shd w:val="clear" w:color="auto" w:fill="DBDBDB"/>
          </w:tcPr>
          <w:p>
            <w:pPr>
              <w:spacing w:after="0"/>
              <w:rPr>
                <w:sz w:val="22"/>
                <w:szCs w:val="22"/>
                <w:color w:val="auto"/>
              </w:rPr>
            </w:pPr>
          </w:p>
        </w:tc>
        <w:tc>
          <w:tcPr>
            <w:tcW w:w="11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70,833</w:t>
            </w:r>
          </w:p>
        </w:tc>
        <w:tc>
          <w:tcPr>
            <w:tcW w:w="100" w:type="dxa"/>
            <w:vAlign w:val="bottom"/>
            <w:shd w:val="clear" w:color="auto" w:fill="DBDBDB"/>
          </w:tcPr>
          <w:p>
            <w:pPr>
              <w:spacing w:after="0"/>
              <w:rPr>
                <w:sz w:val="22"/>
                <w:szCs w:val="22"/>
                <w:color w:val="auto"/>
              </w:rPr>
            </w:pPr>
          </w:p>
        </w:tc>
        <w:tc>
          <w:tcPr>
            <w:tcW w:w="520" w:type="dxa"/>
            <w:vAlign w:val="bottom"/>
            <w:shd w:val="clear" w:color="auto" w:fill="DBDBDB"/>
          </w:tcPr>
          <w:p>
            <w:pPr>
              <w:spacing w:after="0"/>
              <w:rPr>
                <w:sz w:val="22"/>
                <w:szCs w:val="22"/>
                <w:color w:val="auto"/>
              </w:rPr>
            </w:pPr>
          </w:p>
        </w:tc>
        <w:tc>
          <w:tcPr>
            <w:tcW w:w="9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74,810</w:t>
            </w:r>
          </w:p>
        </w:tc>
        <w:tc>
          <w:tcPr>
            <w:tcW w:w="0" w:type="dxa"/>
            <w:vAlign w:val="bottom"/>
          </w:tcPr>
          <w:p>
            <w:pPr>
              <w:spacing w:after="0"/>
              <w:rPr>
                <w:sz w:val="1"/>
                <w:szCs w:val="1"/>
                <w:color w:val="auto"/>
              </w:rPr>
            </w:pPr>
          </w:p>
        </w:tc>
      </w:tr>
      <w:tr>
        <w:trPr>
          <w:trHeight w:val="250"/>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Payments in advance of funding</w:t>
            </w:r>
          </w:p>
        </w:tc>
        <w:tc>
          <w:tcPr>
            <w:tcW w:w="36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198,861</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293,775</w:t>
            </w:r>
          </w:p>
        </w:tc>
        <w:tc>
          <w:tcPr>
            <w:tcW w:w="0" w:type="dxa"/>
            <w:vAlign w:val="bottom"/>
          </w:tcPr>
          <w:p>
            <w:pPr>
              <w:spacing w:after="0"/>
              <w:rPr>
                <w:sz w:val="1"/>
                <w:szCs w:val="1"/>
                <w:color w:val="auto"/>
              </w:rPr>
            </w:pPr>
          </w:p>
        </w:tc>
      </w:tr>
      <w:tr>
        <w:trPr>
          <w:trHeight w:val="263"/>
        </w:trPr>
        <w:tc>
          <w:tcPr>
            <w:tcW w:w="450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Investments in subsidiaries</w:t>
            </w:r>
          </w:p>
        </w:tc>
        <w:tc>
          <w:tcPr>
            <w:tcW w:w="3680" w:type="dxa"/>
            <w:vAlign w:val="bottom"/>
            <w:shd w:val="clear" w:color="auto" w:fill="DBDBDB"/>
          </w:tcPr>
          <w:p>
            <w:pPr>
              <w:spacing w:after="0"/>
              <w:rPr>
                <w:sz w:val="22"/>
                <w:szCs w:val="22"/>
                <w:color w:val="auto"/>
              </w:rPr>
            </w:pPr>
          </w:p>
        </w:tc>
        <w:tc>
          <w:tcPr>
            <w:tcW w:w="300" w:type="dxa"/>
            <w:vAlign w:val="bottom"/>
            <w:shd w:val="clear" w:color="auto" w:fill="DBDBDB"/>
          </w:tcPr>
          <w:p>
            <w:pPr>
              <w:spacing w:after="0"/>
              <w:rPr>
                <w:sz w:val="22"/>
                <w:szCs w:val="22"/>
                <w:color w:val="auto"/>
              </w:rPr>
            </w:pPr>
          </w:p>
        </w:tc>
        <w:tc>
          <w:tcPr>
            <w:tcW w:w="11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188,304</w:t>
            </w:r>
          </w:p>
        </w:tc>
        <w:tc>
          <w:tcPr>
            <w:tcW w:w="100" w:type="dxa"/>
            <w:vAlign w:val="bottom"/>
            <w:shd w:val="clear" w:color="auto" w:fill="DBDBDB"/>
          </w:tcPr>
          <w:p>
            <w:pPr>
              <w:spacing w:after="0"/>
              <w:rPr>
                <w:sz w:val="22"/>
                <w:szCs w:val="22"/>
                <w:color w:val="auto"/>
              </w:rPr>
            </w:pPr>
          </w:p>
        </w:tc>
        <w:tc>
          <w:tcPr>
            <w:tcW w:w="520" w:type="dxa"/>
            <w:vAlign w:val="bottom"/>
            <w:shd w:val="clear" w:color="auto" w:fill="DBDBDB"/>
          </w:tcPr>
          <w:p>
            <w:pPr>
              <w:spacing w:after="0"/>
              <w:rPr>
                <w:sz w:val="22"/>
                <w:szCs w:val="22"/>
                <w:color w:val="auto"/>
              </w:rPr>
            </w:pPr>
          </w:p>
        </w:tc>
        <w:tc>
          <w:tcPr>
            <w:tcW w:w="9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164,907</w:t>
            </w:r>
          </w:p>
        </w:tc>
        <w:tc>
          <w:tcPr>
            <w:tcW w:w="0" w:type="dxa"/>
            <w:vAlign w:val="bottom"/>
          </w:tcPr>
          <w:p>
            <w:pPr>
              <w:spacing w:after="0"/>
              <w:rPr>
                <w:sz w:val="1"/>
                <w:szCs w:val="1"/>
                <w:color w:val="auto"/>
              </w:rPr>
            </w:pPr>
          </w:p>
        </w:tc>
      </w:tr>
      <w:tr>
        <w:trPr>
          <w:trHeight w:val="250"/>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Premises and equipment, net</w:t>
            </w:r>
          </w:p>
        </w:tc>
        <w:tc>
          <w:tcPr>
            <w:tcW w:w="36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29,765</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19,525</w:t>
            </w:r>
          </w:p>
        </w:tc>
        <w:tc>
          <w:tcPr>
            <w:tcW w:w="0" w:type="dxa"/>
            <w:vAlign w:val="bottom"/>
          </w:tcPr>
          <w:p>
            <w:pPr>
              <w:spacing w:after="0"/>
              <w:rPr>
                <w:sz w:val="1"/>
                <w:szCs w:val="1"/>
                <w:color w:val="auto"/>
              </w:rPr>
            </w:pPr>
          </w:p>
        </w:tc>
      </w:tr>
      <w:tr>
        <w:trPr>
          <w:trHeight w:val="263"/>
        </w:trPr>
        <w:tc>
          <w:tcPr>
            <w:tcW w:w="450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Investments in bank-owned life insurance</w:t>
            </w:r>
          </w:p>
        </w:tc>
        <w:tc>
          <w:tcPr>
            <w:tcW w:w="3680" w:type="dxa"/>
            <w:vAlign w:val="bottom"/>
            <w:shd w:val="clear" w:color="auto" w:fill="DBDBDB"/>
          </w:tcPr>
          <w:p>
            <w:pPr>
              <w:spacing w:after="0"/>
              <w:rPr>
                <w:sz w:val="22"/>
                <w:szCs w:val="22"/>
                <w:color w:val="auto"/>
              </w:rPr>
            </w:pPr>
          </w:p>
        </w:tc>
        <w:tc>
          <w:tcPr>
            <w:tcW w:w="300" w:type="dxa"/>
            <w:vAlign w:val="bottom"/>
            <w:shd w:val="clear" w:color="auto" w:fill="DBDBDB"/>
          </w:tcPr>
          <w:p>
            <w:pPr>
              <w:spacing w:after="0"/>
              <w:rPr>
                <w:sz w:val="22"/>
                <w:szCs w:val="22"/>
                <w:color w:val="auto"/>
              </w:rPr>
            </w:pPr>
          </w:p>
        </w:tc>
        <w:tc>
          <w:tcPr>
            <w:tcW w:w="11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49,159</w:t>
            </w:r>
          </w:p>
        </w:tc>
        <w:tc>
          <w:tcPr>
            <w:tcW w:w="100" w:type="dxa"/>
            <w:vAlign w:val="bottom"/>
            <w:shd w:val="clear" w:color="auto" w:fill="DBDBDB"/>
          </w:tcPr>
          <w:p>
            <w:pPr>
              <w:spacing w:after="0"/>
              <w:rPr>
                <w:sz w:val="22"/>
                <w:szCs w:val="22"/>
                <w:color w:val="auto"/>
              </w:rPr>
            </w:pPr>
          </w:p>
        </w:tc>
        <w:tc>
          <w:tcPr>
            <w:tcW w:w="520" w:type="dxa"/>
            <w:vAlign w:val="bottom"/>
            <w:shd w:val="clear" w:color="auto" w:fill="DBDBDB"/>
          </w:tcPr>
          <w:p>
            <w:pPr>
              <w:spacing w:after="0"/>
              <w:rPr>
                <w:sz w:val="22"/>
                <w:szCs w:val="22"/>
                <w:color w:val="auto"/>
              </w:rPr>
            </w:pPr>
          </w:p>
        </w:tc>
        <w:tc>
          <w:tcPr>
            <w:tcW w:w="9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47,998</w:t>
            </w:r>
          </w:p>
        </w:tc>
        <w:tc>
          <w:tcPr>
            <w:tcW w:w="0" w:type="dxa"/>
            <w:vAlign w:val="bottom"/>
          </w:tcPr>
          <w:p>
            <w:pPr>
              <w:spacing w:after="0"/>
              <w:rPr>
                <w:sz w:val="1"/>
                <w:szCs w:val="1"/>
                <w:color w:val="auto"/>
              </w:rPr>
            </w:pPr>
          </w:p>
        </w:tc>
      </w:tr>
      <w:tr>
        <w:trPr>
          <w:trHeight w:val="250"/>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36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17,172</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17,172</w:t>
            </w:r>
          </w:p>
        </w:tc>
        <w:tc>
          <w:tcPr>
            <w:tcW w:w="0" w:type="dxa"/>
            <w:vAlign w:val="bottom"/>
          </w:tcPr>
          <w:p>
            <w:pPr>
              <w:spacing w:after="0"/>
              <w:rPr>
                <w:sz w:val="1"/>
                <w:szCs w:val="1"/>
                <w:color w:val="auto"/>
              </w:rPr>
            </w:pPr>
          </w:p>
        </w:tc>
      </w:tr>
      <w:tr>
        <w:trPr>
          <w:trHeight w:val="263"/>
        </w:trPr>
        <w:tc>
          <w:tcPr>
            <w:tcW w:w="450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3680" w:type="dxa"/>
            <w:vAlign w:val="bottom"/>
            <w:shd w:val="clear" w:color="auto" w:fill="DBDBDB"/>
          </w:tcPr>
          <w:p>
            <w:pPr>
              <w:spacing w:after="0"/>
              <w:rPr>
                <w:sz w:val="22"/>
                <w:szCs w:val="22"/>
                <w:color w:val="auto"/>
              </w:rPr>
            </w:pPr>
          </w:p>
        </w:tc>
        <w:tc>
          <w:tcPr>
            <w:tcW w:w="300" w:type="dxa"/>
            <w:vAlign w:val="bottom"/>
            <w:shd w:val="clear" w:color="auto" w:fill="DBDBDB"/>
          </w:tcPr>
          <w:p>
            <w:pPr>
              <w:spacing w:after="0"/>
              <w:rPr>
                <w:sz w:val="22"/>
                <w:szCs w:val="22"/>
                <w:color w:val="auto"/>
              </w:rPr>
            </w:pPr>
          </w:p>
        </w:tc>
        <w:tc>
          <w:tcPr>
            <w:tcW w:w="11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3,346</w:t>
            </w:r>
          </w:p>
        </w:tc>
        <w:tc>
          <w:tcPr>
            <w:tcW w:w="100" w:type="dxa"/>
            <w:vAlign w:val="bottom"/>
            <w:shd w:val="clear" w:color="auto" w:fill="DBDBDB"/>
          </w:tcPr>
          <w:p>
            <w:pPr>
              <w:spacing w:after="0"/>
              <w:rPr>
                <w:sz w:val="22"/>
                <w:szCs w:val="22"/>
                <w:color w:val="auto"/>
              </w:rPr>
            </w:pPr>
          </w:p>
        </w:tc>
        <w:tc>
          <w:tcPr>
            <w:tcW w:w="520" w:type="dxa"/>
            <w:vAlign w:val="bottom"/>
            <w:shd w:val="clear" w:color="auto" w:fill="DBDBDB"/>
          </w:tcPr>
          <w:p>
            <w:pPr>
              <w:spacing w:after="0"/>
              <w:rPr>
                <w:sz w:val="22"/>
                <w:szCs w:val="22"/>
                <w:color w:val="auto"/>
              </w:rPr>
            </w:pPr>
          </w:p>
        </w:tc>
        <w:tc>
          <w:tcPr>
            <w:tcW w:w="9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4,126</w:t>
            </w:r>
          </w:p>
        </w:tc>
        <w:tc>
          <w:tcPr>
            <w:tcW w:w="0" w:type="dxa"/>
            <w:vAlign w:val="bottom"/>
          </w:tcPr>
          <w:p>
            <w:pPr>
              <w:spacing w:after="0"/>
              <w:rPr>
                <w:sz w:val="1"/>
                <w:szCs w:val="1"/>
                <w:color w:val="auto"/>
              </w:rPr>
            </w:pPr>
          </w:p>
        </w:tc>
      </w:tr>
      <w:tr>
        <w:trPr>
          <w:trHeight w:val="250"/>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and drafts receivable from customers</w:t>
            </w:r>
          </w:p>
        </w:tc>
        <w:tc>
          <w:tcPr>
            <w:tcW w:w="36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110,651</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95,779</w:t>
            </w:r>
          </w:p>
        </w:tc>
        <w:tc>
          <w:tcPr>
            <w:tcW w:w="0" w:type="dxa"/>
            <w:vAlign w:val="bottom"/>
          </w:tcPr>
          <w:p>
            <w:pPr>
              <w:spacing w:after="0"/>
              <w:rPr>
                <w:sz w:val="1"/>
                <w:szCs w:val="1"/>
                <w:color w:val="auto"/>
              </w:rPr>
            </w:pPr>
          </w:p>
        </w:tc>
      </w:tr>
      <w:tr>
        <w:trPr>
          <w:trHeight w:val="257"/>
        </w:trPr>
        <w:tc>
          <w:tcPr>
            <w:tcW w:w="450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3680" w:type="dxa"/>
            <w:vAlign w:val="bottom"/>
            <w:shd w:val="clear" w:color="auto" w:fill="DBDBDB"/>
          </w:tcPr>
          <w:p>
            <w:pPr>
              <w:spacing w:after="0"/>
              <w:rPr>
                <w:sz w:val="22"/>
                <w:szCs w:val="22"/>
                <w:color w:val="auto"/>
              </w:rPr>
            </w:pPr>
          </w:p>
        </w:tc>
        <w:tc>
          <w:tcPr>
            <w:tcW w:w="300" w:type="dxa"/>
            <w:vAlign w:val="bottom"/>
            <w:tcBorders>
              <w:bottom w:val="single" w:sz="8" w:color="auto"/>
            </w:tcBorders>
            <w:shd w:val="clear" w:color="auto" w:fill="DBDBDB"/>
          </w:tcPr>
          <w:p>
            <w:pPr>
              <w:spacing w:after="0"/>
              <w:rPr>
                <w:sz w:val="22"/>
                <w:szCs w:val="22"/>
                <w:color w:val="auto"/>
              </w:rPr>
            </w:pPr>
          </w:p>
        </w:tc>
        <w:tc>
          <w:tcPr>
            <w:tcW w:w="118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51,180</w:t>
            </w:r>
          </w:p>
        </w:tc>
        <w:tc>
          <w:tcPr>
            <w:tcW w:w="100" w:type="dxa"/>
            <w:vAlign w:val="bottom"/>
            <w:shd w:val="clear" w:color="auto" w:fill="DBDBDB"/>
          </w:tcPr>
          <w:p>
            <w:pPr>
              <w:spacing w:after="0"/>
              <w:rPr>
                <w:sz w:val="22"/>
                <w:szCs w:val="22"/>
                <w:color w:val="auto"/>
              </w:rPr>
            </w:pPr>
          </w:p>
        </w:tc>
        <w:tc>
          <w:tcPr>
            <w:tcW w:w="520" w:type="dxa"/>
            <w:vAlign w:val="bottom"/>
            <w:tcBorders>
              <w:bottom w:val="single" w:sz="8" w:color="auto"/>
            </w:tcBorders>
            <w:shd w:val="clear" w:color="auto" w:fill="DBDBDB"/>
          </w:tcPr>
          <w:p>
            <w:pPr>
              <w:spacing w:after="0"/>
              <w:rPr>
                <w:sz w:val="22"/>
                <w:szCs w:val="22"/>
                <w:color w:val="auto"/>
              </w:rPr>
            </w:pPr>
          </w:p>
        </w:tc>
        <w:tc>
          <w:tcPr>
            <w:tcW w:w="96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50,331</w:t>
            </w:r>
          </w:p>
        </w:tc>
        <w:tc>
          <w:tcPr>
            <w:tcW w:w="0" w:type="dxa"/>
            <w:vAlign w:val="bottom"/>
          </w:tcPr>
          <w:p>
            <w:pPr>
              <w:spacing w:after="0"/>
              <w:rPr>
                <w:sz w:val="1"/>
                <w:szCs w:val="1"/>
                <w:color w:val="auto"/>
              </w:rPr>
            </w:pPr>
          </w:p>
        </w:tc>
      </w:tr>
      <w:tr>
        <w:trPr>
          <w:trHeight w:val="256"/>
        </w:trPr>
        <w:tc>
          <w:tcPr>
            <w:tcW w:w="45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Total assets</w:t>
            </w:r>
          </w:p>
        </w:tc>
        <w:tc>
          <w:tcPr>
            <w:tcW w:w="3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1,321,782</w:t>
            </w:r>
          </w:p>
        </w:tc>
        <w:tc>
          <w:tcPr>
            <w:tcW w:w="100" w:type="dxa"/>
            <w:vAlign w:val="bottom"/>
          </w:tcPr>
          <w:p>
            <w:pPr>
              <w:spacing w:after="0"/>
              <w:rPr>
                <w:sz w:val="22"/>
                <w:szCs w:val="22"/>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1,291,167</w:t>
            </w:r>
          </w:p>
        </w:tc>
        <w:tc>
          <w:tcPr>
            <w:tcW w:w="0" w:type="dxa"/>
            <w:vAlign w:val="bottom"/>
          </w:tcPr>
          <w:p>
            <w:pPr>
              <w:spacing w:after="0"/>
              <w:rPr>
                <w:sz w:val="1"/>
                <w:szCs w:val="1"/>
                <w:color w:val="auto"/>
              </w:rPr>
            </w:pPr>
          </w:p>
        </w:tc>
      </w:tr>
      <w:tr>
        <w:trPr>
          <w:trHeight w:val="20"/>
        </w:trPr>
        <w:tc>
          <w:tcPr>
            <w:tcW w:w="4500" w:type="dxa"/>
            <w:vAlign w:val="bottom"/>
            <w:tcBorders>
              <w:bottom w:val="single" w:sz="8" w:color="DBDBDB"/>
            </w:tcBorders>
          </w:tcPr>
          <w:p>
            <w:pPr>
              <w:spacing w:after="0" w:line="20" w:lineRule="exact"/>
              <w:rPr>
                <w:sz w:val="1"/>
                <w:szCs w:val="1"/>
                <w:color w:val="auto"/>
              </w:rPr>
            </w:pPr>
          </w:p>
        </w:tc>
        <w:tc>
          <w:tcPr>
            <w:tcW w:w="3680" w:type="dxa"/>
            <w:vAlign w:val="bottom"/>
            <w:tcBorders>
              <w:bottom w:val="single" w:sz="8" w:color="DBDBDB"/>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50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368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118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520" w:type="dxa"/>
            <w:vAlign w:val="bottom"/>
            <w:shd w:val="clear" w:color="auto" w:fill="DBDBDB"/>
          </w:tcPr>
          <w:p>
            <w:pPr>
              <w:spacing w:after="0"/>
              <w:rPr>
                <w:sz w:val="19"/>
                <w:szCs w:val="19"/>
                <w:color w:val="auto"/>
              </w:rPr>
            </w:pPr>
          </w:p>
        </w:tc>
        <w:tc>
          <w:tcPr>
            <w:tcW w:w="96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36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450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Accounts and drafts payable</w:t>
            </w:r>
          </w:p>
        </w:tc>
        <w:tc>
          <w:tcPr>
            <w:tcW w:w="3980" w:type="dxa"/>
            <w:vAlign w:val="bottom"/>
            <w:gridSpan w:val="2"/>
            <w:shd w:val="clear" w:color="auto" w:fill="DBDBDB"/>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1,069,338</w:t>
            </w:r>
          </w:p>
        </w:tc>
        <w:tc>
          <w:tcPr>
            <w:tcW w:w="100" w:type="dxa"/>
            <w:vAlign w:val="bottom"/>
            <w:shd w:val="clear" w:color="auto" w:fill="DBDBDB"/>
          </w:tcPr>
          <w:p>
            <w:pPr>
              <w:spacing w:after="0"/>
              <w:rPr>
                <w:sz w:val="22"/>
                <w:szCs w:val="22"/>
                <w:color w:val="auto"/>
              </w:rPr>
            </w:pPr>
          </w:p>
        </w:tc>
        <w:tc>
          <w:tcPr>
            <w:tcW w:w="520" w:type="dxa"/>
            <w:vAlign w:val="bottom"/>
            <w:shd w:val="clear" w:color="auto" w:fill="DBDBDB"/>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1,057,463</w:t>
            </w:r>
          </w:p>
        </w:tc>
        <w:tc>
          <w:tcPr>
            <w:tcW w:w="0" w:type="dxa"/>
            <w:vAlign w:val="bottom"/>
          </w:tcPr>
          <w:p>
            <w:pPr>
              <w:spacing w:after="0"/>
              <w:rPr>
                <w:sz w:val="1"/>
                <w:szCs w:val="1"/>
                <w:color w:val="auto"/>
              </w:rPr>
            </w:pPr>
          </w:p>
        </w:tc>
      </w:tr>
      <w:tr>
        <w:trPr>
          <w:trHeight w:val="250"/>
        </w:trPr>
        <w:tc>
          <w:tcPr>
            <w:tcW w:w="4500" w:type="dxa"/>
            <w:vAlign w:val="bottom"/>
            <w:tcBorders>
              <w:bottom w:val="single" w:sz="8" w:color="DBDBDB"/>
            </w:tcBorders>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3680" w:type="dxa"/>
            <w:vAlign w:val="bottom"/>
            <w:tcBorders>
              <w:bottom w:val="single" w:sz="8" w:color="DBDBDB"/>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22,635</w:t>
            </w:r>
          </w:p>
        </w:tc>
        <w:tc>
          <w:tcPr>
            <w:tcW w:w="100" w:type="dxa"/>
            <w:vAlign w:val="bottom"/>
            <w:tcBorders>
              <w:bottom w:val="single" w:sz="8" w:color="DBDBDB"/>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27,379</w:t>
            </w:r>
          </w:p>
        </w:tc>
        <w:tc>
          <w:tcPr>
            <w:tcW w:w="0" w:type="dxa"/>
            <w:vAlign w:val="bottom"/>
          </w:tcPr>
          <w:p>
            <w:pPr>
              <w:spacing w:after="0"/>
              <w:rPr>
                <w:sz w:val="1"/>
                <w:szCs w:val="1"/>
                <w:color w:val="auto"/>
              </w:rPr>
            </w:pPr>
          </w:p>
        </w:tc>
      </w:tr>
      <w:tr>
        <w:trPr>
          <w:trHeight w:val="257"/>
        </w:trPr>
        <w:tc>
          <w:tcPr>
            <w:tcW w:w="4500" w:type="dxa"/>
            <w:vAlign w:val="bottom"/>
            <w:shd w:val="clear" w:color="auto" w:fill="DBDBDB"/>
          </w:tcPr>
          <w:p>
            <w:pPr>
              <w:ind w:left="300"/>
              <w:spacing w:after="0"/>
              <w:rPr>
                <w:sz w:val="20"/>
                <w:szCs w:val="20"/>
                <w:color w:val="auto"/>
              </w:rPr>
            </w:pPr>
            <w:r>
              <w:rPr>
                <w:rFonts w:ascii="Times New Roman" w:cs="Times New Roman" w:eastAsia="Times New Roman" w:hAnsi="Times New Roman"/>
                <w:sz w:val="18"/>
                <w:szCs w:val="18"/>
                <w:color w:val="auto"/>
              </w:rPr>
              <w:t>Total liabilities</w:t>
            </w:r>
          </w:p>
        </w:tc>
        <w:tc>
          <w:tcPr>
            <w:tcW w:w="3680" w:type="dxa"/>
            <w:vAlign w:val="bottom"/>
            <w:shd w:val="clear" w:color="auto" w:fill="DBDBDB"/>
          </w:tcPr>
          <w:p>
            <w:pPr>
              <w:spacing w:after="0"/>
              <w:rPr>
                <w:sz w:val="22"/>
                <w:szCs w:val="22"/>
                <w:color w:val="auto"/>
              </w:rPr>
            </w:pPr>
          </w:p>
        </w:tc>
        <w:tc>
          <w:tcPr>
            <w:tcW w:w="300" w:type="dxa"/>
            <w:vAlign w:val="bottom"/>
            <w:shd w:val="clear" w:color="auto" w:fill="DBDBDB"/>
          </w:tcPr>
          <w:p>
            <w:pPr>
              <w:spacing w:after="0"/>
              <w:rPr>
                <w:sz w:val="22"/>
                <w:szCs w:val="22"/>
                <w:color w:val="auto"/>
              </w:rPr>
            </w:pPr>
          </w:p>
        </w:tc>
        <w:tc>
          <w:tcPr>
            <w:tcW w:w="11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1,091,973</w:t>
            </w:r>
          </w:p>
        </w:tc>
        <w:tc>
          <w:tcPr>
            <w:tcW w:w="100" w:type="dxa"/>
            <w:vAlign w:val="bottom"/>
            <w:shd w:val="clear" w:color="auto" w:fill="DBDBDB"/>
          </w:tcPr>
          <w:p>
            <w:pPr>
              <w:spacing w:after="0"/>
              <w:rPr>
                <w:sz w:val="22"/>
                <w:szCs w:val="22"/>
                <w:color w:val="auto"/>
              </w:rPr>
            </w:pPr>
          </w:p>
        </w:tc>
        <w:tc>
          <w:tcPr>
            <w:tcW w:w="520" w:type="dxa"/>
            <w:vAlign w:val="bottom"/>
            <w:shd w:val="clear" w:color="auto" w:fill="DBDBDB"/>
          </w:tcPr>
          <w:p>
            <w:pPr>
              <w:spacing w:after="0"/>
              <w:rPr>
                <w:sz w:val="22"/>
                <w:szCs w:val="22"/>
                <w:color w:val="auto"/>
              </w:rPr>
            </w:pPr>
          </w:p>
        </w:tc>
        <w:tc>
          <w:tcPr>
            <w:tcW w:w="9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1,084,842</w:t>
            </w:r>
          </w:p>
        </w:tc>
        <w:tc>
          <w:tcPr>
            <w:tcW w:w="0" w:type="dxa"/>
            <w:vAlign w:val="bottom"/>
          </w:tcPr>
          <w:p>
            <w:pPr>
              <w:spacing w:after="0"/>
              <w:rPr>
                <w:sz w:val="1"/>
                <w:szCs w:val="1"/>
                <w:color w:val="auto"/>
              </w:rPr>
            </w:pPr>
          </w:p>
        </w:tc>
      </w:tr>
      <w:tr>
        <w:trPr>
          <w:trHeight w:val="250"/>
        </w:trPr>
        <w:tc>
          <w:tcPr>
            <w:tcW w:w="4500" w:type="dxa"/>
            <w:vAlign w:val="bottom"/>
            <w:tcBorders>
              <w:bottom w:val="single" w:sz="8" w:color="DBDBDB"/>
            </w:tcBorders>
          </w:tcPr>
          <w:p>
            <w:pPr>
              <w:ind w:left="30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3680" w:type="dxa"/>
            <w:vAlign w:val="bottom"/>
            <w:tcBorders>
              <w:bottom w:val="single" w:sz="8" w:color="DBDBDB"/>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229,809</w:t>
            </w:r>
          </w:p>
        </w:tc>
        <w:tc>
          <w:tcPr>
            <w:tcW w:w="100" w:type="dxa"/>
            <w:vAlign w:val="bottom"/>
            <w:tcBorders>
              <w:bottom w:val="single" w:sz="8" w:color="DBDBDB"/>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206,325</w:t>
            </w:r>
          </w:p>
        </w:tc>
        <w:tc>
          <w:tcPr>
            <w:tcW w:w="0" w:type="dxa"/>
            <w:vAlign w:val="bottom"/>
          </w:tcPr>
          <w:p>
            <w:pPr>
              <w:spacing w:after="0"/>
              <w:rPr>
                <w:sz w:val="1"/>
                <w:szCs w:val="1"/>
                <w:color w:val="auto"/>
              </w:rPr>
            </w:pPr>
          </w:p>
        </w:tc>
      </w:tr>
      <w:tr>
        <w:trPr>
          <w:trHeight w:val="276"/>
        </w:trPr>
        <w:tc>
          <w:tcPr>
            <w:tcW w:w="4500" w:type="dxa"/>
            <w:vAlign w:val="bottom"/>
            <w:shd w:val="clear" w:color="auto" w:fill="DBDBDB"/>
          </w:tcPr>
          <w:p>
            <w:pPr>
              <w:ind w:left="56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3980" w:type="dxa"/>
            <w:vAlign w:val="bottom"/>
            <w:gridSpan w:val="2"/>
            <w:shd w:val="clear" w:color="auto" w:fill="DBDBDB"/>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1,321,782</w:t>
            </w:r>
          </w:p>
        </w:tc>
        <w:tc>
          <w:tcPr>
            <w:tcW w:w="100" w:type="dxa"/>
            <w:vAlign w:val="bottom"/>
            <w:shd w:val="clear" w:color="auto" w:fill="DBDBDB"/>
          </w:tcPr>
          <w:p>
            <w:pPr>
              <w:spacing w:after="0"/>
              <w:rPr>
                <w:sz w:val="24"/>
                <w:szCs w:val="24"/>
                <w:color w:val="auto"/>
              </w:rPr>
            </w:pPr>
          </w:p>
        </w:tc>
        <w:tc>
          <w:tcPr>
            <w:tcW w:w="520" w:type="dxa"/>
            <w:vAlign w:val="bottom"/>
            <w:shd w:val="clear" w:color="auto" w:fill="DBDBDB"/>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1,291,167</w:t>
            </w:r>
          </w:p>
        </w:tc>
        <w:tc>
          <w:tcPr>
            <w:tcW w:w="0" w:type="dxa"/>
            <w:vAlign w:val="bottom"/>
          </w:tcPr>
          <w:p>
            <w:pPr>
              <w:spacing w:after="0"/>
              <w:rPr>
                <w:sz w:val="1"/>
                <w:szCs w:val="1"/>
                <w:color w:val="auto"/>
              </w:rPr>
            </w:pPr>
          </w:p>
        </w:tc>
      </w:tr>
      <w:tr>
        <w:trPr>
          <w:trHeight w:val="20"/>
        </w:trPr>
        <w:tc>
          <w:tcPr>
            <w:tcW w:w="4500" w:type="dxa"/>
            <w:vAlign w:val="bottom"/>
            <w:tcBorders>
              <w:top w:val="single" w:sz="8" w:color="DBDBDB"/>
            </w:tcBorders>
          </w:tcPr>
          <w:p>
            <w:pPr>
              <w:spacing w:after="0" w:line="20" w:lineRule="exact"/>
              <w:rPr>
                <w:sz w:val="1"/>
                <w:szCs w:val="1"/>
                <w:color w:val="auto"/>
              </w:rPr>
            </w:pPr>
          </w:p>
        </w:tc>
        <w:tc>
          <w:tcPr>
            <w:tcW w:w="3680" w:type="dxa"/>
            <w:vAlign w:val="bottom"/>
            <w:tcBorders>
              <w:top w:val="single" w:sz="8" w:color="DBDBDB"/>
              <w:bottom w:val="single" w:sz="8" w:color="DBDBDB"/>
            </w:tcBorders>
            <w:vMerge w:val="restart"/>
          </w:tcPr>
          <w:p>
            <w:pPr>
              <w:jc w:val="right"/>
              <w:ind w:right="2370"/>
              <w:spacing w:after="0"/>
              <w:rPr>
                <w:sz w:val="20"/>
                <w:szCs w:val="20"/>
                <w:color w:val="auto"/>
              </w:rPr>
            </w:pPr>
            <w:r>
              <w:rPr>
                <w:rFonts w:ascii="Times New Roman" w:cs="Times New Roman" w:eastAsia="Times New Roman" w:hAnsi="Times New Roman"/>
                <w:sz w:val="18"/>
                <w:szCs w:val="18"/>
                <w:color w:val="auto"/>
              </w:rPr>
              <w:t>74</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9"/>
        </w:trPr>
        <w:tc>
          <w:tcPr>
            <w:tcW w:w="4500" w:type="dxa"/>
            <w:vAlign w:val="bottom"/>
          </w:tcPr>
          <w:p>
            <w:pPr>
              <w:spacing w:after="0"/>
              <w:rPr>
                <w:sz w:val="24"/>
                <w:szCs w:val="24"/>
                <w:color w:val="auto"/>
              </w:rPr>
            </w:pPr>
          </w:p>
        </w:tc>
        <w:tc>
          <w:tcPr>
            <w:tcW w:w="368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500" w:type="dxa"/>
            <w:vAlign w:val="bottom"/>
            <w:tcBorders>
              <w:bottom w:val="single" w:sz="8" w:color="9A9A9A"/>
            </w:tcBorders>
          </w:tcPr>
          <w:p>
            <w:pPr>
              <w:spacing w:after="0"/>
              <w:rPr>
                <w:sz w:val="10"/>
                <w:szCs w:val="10"/>
                <w:color w:val="auto"/>
              </w:rPr>
            </w:pPr>
          </w:p>
        </w:tc>
        <w:tc>
          <w:tcPr>
            <w:tcW w:w="36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60" w:type="dxa"/>
            <w:vAlign w:val="bottom"/>
            <w:shd w:val="clear" w:color="auto" w:fill="DBDBDB"/>
          </w:tcPr>
          <w:p>
            <w:pPr>
              <w:spacing w:after="0"/>
              <w:rPr>
                <w:sz w:val="17"/>
                <w:szCs w:val="17"/>
                <w:color w:val="auto"/>
              </w:rPr>
            </w:pPr>
          </w:p>
        </w:tc>
        <w:tc>
          <w:tcPr>
            <w:tcW w:w="1540" w:type="dxa"/>
            <w:vAlign w:val="bottom"/>
            <w:shd w:val="clear" w:color="auto" w:fill="DBDBDB"/>
          </w:tcPr>
          <w:p>
            <w:pPr>
              <w:spacing w:after="0"/>
              <w:rPr>
                <w:sz w:val="17"/>
                <w:szCs w:val="17"/>
                <w:color w:val="auto"/>
              </w:rPr>
            </w:pPr>
          </w:p>
        </w:tc>
        <w:tc>
          <w:tcPr>
            <w:tcW w:w="340" w:type="dxa"/>
            <w:vAlign w:val="bottom"/>
            <w:shd w:val="clear" w:color="auto" w:fill="DBDBDB"/>
          </w:tcPr>
          <w:p>
            <w:pPr>
              <w:spacing w:after="0"/>
              <w:rPr>
                <w:sz w:val="17"/>
                <w:szCs w:val="17"/>
                <w:color w:val="auto"/>
              </w:rPr>
            </w:pPr>
          </w:p>
        </w:tc>
        <w:tc>
          <w:tcPr>
            <w:tcW w:w="3340" w:type="dxa"/>
            <w:vAlign w:val="bottom"/>
            <w:gridSpan w:val="6"/>
            <w:shd w:val="clear" w:color="auto" w:fill="DBDBDB"/>
          </w:tcPr>
          <w:p>
            <w:pPr>
              <w:jc w:val="center"/>
              <w:ind w:left="530"/>
              <w:spacing w:after="0"/>
              <w:rPr>
                <w:sz w:val="20"/>
                <w:szCs w:val="20"/>
                <w:color w:val="auto"/>
              </w:rPr>
            </w:pPr>
            <w:r>
              <w:rPr>
                <w:rFonts w:ascii="Times New Roman" w:cs="Times New Roman" w:eastAsia="Times New Roman" w:hAnsi="Times New Roman"/>
                <w:sz w:val="18"/>
                <w:szCs w:val="18"/>
                <w:b w:val="1"/>
                <w:bCs w:val="1"/>
                <w:color w:val="auto"/>
              </w:rPr>
              <w:t>Condensed Statements of Income</w:t>
            </w:r>
          </w:p>
        </w:tc>
        <w:tc>
          <w:tcPr>
            <w:tcW w:w="96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5060" w:type="dxa"/>
            <w:vAlign w:val="bottom"/>
            <w:shd w:val="clear" w:color="auto" w:fill="DBDBDB"/>
          </w:tcPr>
          <w:p>
            <w:pPr>
              <w:spacing w:after="0"/>
              <w:rPr>
                <w:sz w:val="21"/>
                <w:szCs w:val="21"/>
                <w:color w:val="auto"/>
              </w:rPr>
            </w:pPr>
          </w:p>
        </w:tc>
        <w:tc>
          <w:tcPr>
            <w:tcW w:w="1540" w:type="dxa"/>
            <w:vAlign w:val="bottom"/>
            <w:shd w:val="clear" w:color="auto" w:fill="DBDBDB"/>
          </w:tcPr>
          <w:p>
            <w:pPr>
              <w:spacing w:after="0"/>
              <w:rPr>
                <w:sz w:val="21"/>
                <w:szCs w:val="21"/>
                <w:color w:val="auto"/>
              </w:rPr>
            </w:pPr>
          </w:p>
        </w:tc>
        <w:tc>
          <w:tcPr>
            <w:tcW w:w="340" w:type="dxa"/>
            <w:vAlign w:val="bottom"/>
            <w:tcBorders>
              <w:bottom w:val="single" w:sz="8" w:color="auto"/>
            </w:tcBorders>
            <w:shd w:val="clear" w:color="auto" w:fill="DBDBDB"/>
          </w:tcPr>
          <w:p>
            <w:pPr>
              <w:spacing w:after="0"/>
              <w:rPr>
                <w:sz w:val="21"/>
                <w:szCs w:val="21"/>
                <w:color w:val="auto"/>
              </w:rPr>
            </w:pPr>
          </w:p>
        </w:tc>
        <w:tc>
          <w:tcPr>
            <w:tcW w:w="3340" w:type="dxa"/>
            <w:vAlign w:val="bottom"/>
            <w:tcBorders>
              <w:bottom w:val="single" w:sz="8" w:color="auto"/>
            </w:tcBorders>
            <w:gridSpan w:val="6"/>
            <w:shd w:val="clear" w:color="auto" w:fill="DBDBDB"/>
          </w:tcPr>
          <w:p>
            <w:pPr>
              <w:jc w:val="center"/>
              <w:ind w:left="530"/>
              <w:spacing w:after="0"/>
              <w:rPr>
                <w:sz w:val="20"/>
                <w:szCs w:val="20"/>
                <w:color w:val="auto"/>
              </w:rPr>
            </w:pPr>
            <w:r>
              <w:rPr>
                <w:rFonts w:ascii="Times New Roman" w:cs="Times New Roman" w:eastAsia="Times New Roman" w:hAnsi="Times New Roman"/>
                <w:sz w:val="18"/>
                <w:szCs w:val="18"/>
                <w:b w:val="1"/>
                <w:bCs w:val="1"/>
                <w:color w:val="auto"/>
                <w:w w:val="99"/>
              </w:rPr>
              <w:t>For the Years Ended December 31,</w:t>
            </w:r>
          </w:p>
        </w:tc>
        <w:tc>
          <w:tcPr>
            <w:tcW w:w="960" w:type="dxa"/>
            <w:vAlign w:val="bottom"/>
            <w:tcBorders>
              <w:bottom w:val="single" w:sz="8" w:color="auto"/>
            </w:tcBorders>
            <w:shd w:val="clear" w:color="auto" w:fill="DBDBDB"/>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5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263"/>
        </w:trPr>
        <w:tc>
          <w:tcPr>
            <w:tcW w:w="506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Equity in undistributed income of subsidiaries</w:t>
            </w:r>
          </w:p>
        </w:tc>
        <w:tc>
          <w:tcPr>
            <w:tcW w:w="1880" w:type="dxa"/>
            <w:vAlign w:val="bottom"/>
            <w:gridSpan w:val="2"/>
            <w:shd w:val="clear" w:color="auto" w:fill="DBDBDB"/>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19,281</w:t>
            </w:r>
          </w:p>
        </w:tc>
        <w:tc>
          <w:tcPr>
            <w:tcW w:w="100" w:type="dxa"/>
            <w:vAlign w:val="bottom"/>
            <w:shd w:val="clear" w:color="auto" w:fill="DBDBDB"/>
          </w:tcPr>
          <w:p>
            <w:pPr>
              <w:spacing w:after="0"/>
              <w:rPr>
                <w:sz w:val="22"/>
                <w:szCs w:val="22"/>
                <w:color w:val="auto"/>
              </w:rPr>
            </w:pPr>
          </w:p>
        </w:tc>
        <w:tc>
          <w:tcPr>
            <w:tcW w:w="340" w:type="dxa"/>
            <w:vAlign w:val="bottom"/>
            <w:shd w:val="clear" w:color="auto" w:fill="DBDBDB"/>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10,618</w:t>
            </w:r>
          </w:p>
        </w:tc>
        <w:tc>
          <w:tcPr>
            <w:tcW w:w="100" w:type="dxa"/>
            <w:vAlign w:val="bottom"/>
            <w:shd w:val="clear" w:color="auto" w:fill="DBDBDB"/>
          </w:tcPr>
          <w:p>
            <w:pPr>
              <w:spacing w:after="0"/>
              <w:rPr>
                <w:sz w:val="22"/>
                <w:szCs w:val="22"/>
                <w:color w:val="auto"/>
              </w:rPr>
            </w:pPr>
          </w:p>
        </w:tc>
        <w:tc>
          <w:tcPr>
            <w:tcW w:w="520" w:type="dxa"/>
            <w:vAlign w:val="bottom"/>
            <w:shd w:val="clear" w:color="auto" w:fill="DBDBDB"/>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2,252</w:t>
            </w:r>
          </w:p>
        </w:tc>
        <w:tc>
          <w:tcPr>
            <w:tcW w:w="0" w:type="dxa"/>
            <w:vAlign w:val="bottom"/>
          </w:tcPr>
          <w:p>
            <w:pPr>
              <w:spacing w:after="0"/>
              <w:rPr>
                <w:sz w:val="1"/>
                <w:szCs w:val="1"/>
                <w:color w:val="auto"/>
              </w:rPr>
            </w:pPr>
          </w:p>
        </w:tc>
      </w:tr>
      <w:tr>
        <w:trPr>
          <w:trHeight w:val="250"/>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Dividends received from subsidiaries</w:t>
            </w:r>
          </w:p>
        </w:tc>
        <w:tc>
          <w:tcPr>
            <w:tcW w:w="15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0" w:type="dxa"/>
            <w:vAlign w:val="bottom"/>
          </w:tcPr>
          <w:p>
            <w:pPr>
              <w:spacing w:after="0"/>
              <w:rPr>
                <w:sz w:val="1"/>
                <w:szCs w:val="1"/>
                <w:color w:val="auto"/>
              </w:rPr>
            </w:pPr>
          </w:p>
        </w:tc>
      </w:tr>
      <w:tr>
        <w:trPr>
          <w:trHeight w:val="263"/>
        </w:trPr>
        <w:tc>
          <w:tcPr>
            <w:tcW w:w="506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Income from subsidiaries – management fees</w:t>
            </w:r>
          </w:p>
        </w:tc>
        <w:tc>
          <w:tcPr>
            <w:tcW w:w="1540" w:type="dxa"/>
            <w:vAlign w:val="bottom"/>
            <w:shd w:val="clear" w:color="auto" w:fill="DBDBDB"/>
          </w:tcPr>
          <w:p>
            <w:pPr>
              <w:spacing w:after="0"/>
              <w:rPr>
                <w:sz w:val="22"/>
                <w:szCs w:val="22"/>
                <w:color w:val="auto"/>
              </w:rPr>
            </w:pPr>
          </w:p>
        </w:tc>
        <w:tc>
          <w:tcPr>
            <w:tcW w:w="340" w:type="dxa"/>
            <w:vAlign w:val="bottom"/>
            <w:shd w:val="clear" w:color="auto" w:fill="DBDBDB"/>
          </w:tcPr>
          <w:p>
            <w:pPr>
              <w:spacing w:after="0"/>
              <w:rPr>
                <w:sz w:val="22"/>
                <w:szCs w:val="22"/>
                <w:color w:val="auto"/>
              </w:rPr>
            </w:pPr>
          </w:p>
        </w:tc>
        <w:tc>
          <w:tcPr>
            <w:tcW w:w="11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4,230</w:t>
            </w:r>
          </w:p>
        </w:tc>
        <w:tc>
          <w:tcPr>
            <w:tcW w:w="100" w:type="dxa"/>
            <w:vAlign w:val="bottom"/>
            <w:shd w:val="clear" w:color="auto" w:fill="DBDBDB"/>
          </w:tcPr>
          <w:p>
            <w:pPr>
              <w:spacing w:after="0"/>
              <w:rPr>
                <w:sz w:val="22"/>
                <w:szCs w:val="22"/>
                <w:color w:val="auto"/>
              </w:rPr>
            </w:pPr>
          </w:p>
        </w:tc>
        <w:tc>
          <w:tcPr>
            <w:tcW w:w="340" w:type="dxa"/>
            <w:vAlign w:val="bottom"/>
            <w:shd w:val="clear" w:color="auto" w:fill="DBDBDB"/>
          </w:tcPr>
          <w:p>
            <w:pPr>
              <w:spacing w:after="0"/>
              <w:rPr>
                <w:sz w:val="22"/>
                <w:szCs w:val="22"/>
                <w:color w:val="auto"/>
              </w:rPr>
            </w:pPr>
          </w:p>
        </w:tc>
        <w:tc>
          <w:tcPr>
            <w:tcW w:w="11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4,315</w:t>
            </w:r>
          </w:p>
        </w:tc>
        <w:tc>
          <w:tcPr>
            <w:tcW w:w="100" w:type="dxa"/>
            <w:vAlign w:val="bottom"/>
            <w:shd w:val="clear" w:color="auto" w:fill="DBDBDB"/>
          </w:tcPr>
          <w:p>
            <w:pPr>
              <w:spacing w:after="0"/>
              <w:rPr>
                <w:sz w:val="22"/>
                <w:szCs w:val="22"/>
                <w:color w:val="auto"/>
              </w:rPr>
            </w:pPr>
          </w:p>
        </w:tc>
        <w:tc>
          <w:tcPr>
            <w:tcW w:w="520" w:type="dxa"/>
            <w:vAlign w:val="bottom"/>
            <w:shd w:val="clear" w:color="auto" w:fill="DBDBDB"/>
          </w:tcPr>
          <w:p>
            <w:pPr>
              <w:spacing w:after="0"/>
              <w:rPr>
                <w:sz w:val="22"/>
                <w:szCs w:val="22"/>
                <w:color w:val="auto"/>
              </w:rPr>
            </w:pPr>
          </w:p>
        </w:tc>
        <w:tc>
          <w:tcPr>
            <w:tcW w:w="9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3,115</w:t>
            </w:r>
          </w:p>
        </w:tc>
        <w:tc>
          <w:tcPr>
            <w:tcW w:w="0" w:type="dxa"/>
            <w:vAlign w:val="bottom"/>
          </w:tcPr>
          <w:p>
            <w:pPr>
              <w:spacing w:after="0"/>
              <w:rPr>
                <w:sz w:val="1"/>
                <w:szCs w:val="1"/>
                <w:color w:val="auto"/>
              </w:rPr>
            </w:pPr>
          </w:p>
        </w:tc>
      </w:tr>
      <w:tr>
        <w:trPr>
          <w:trHeight w:val="250"/>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Processing fees</w:t>
            </w:r>
          </w:p>
        </w:tc>
        <w:tc>
          <w:tcPr>
            <w:tcW w:w="15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77,219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74,382</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72,579</w:t>
            </w:r>
          </w:p>
        </w:tc>
        <w:tc>
          <w:tcPr>
            <w:tcW w:w="0" w:type="dxa"/>
            <w:vAlign w:val="bottom"/>
          </w:tcPr>
          <w:p>
            <w:pPr>
              <w:spacing w:after="0"/>
              <w:rPr>
                <w:sz w:val="1"/>
                <w:szCs w:val="1"/>
                <w:color w:val="auto"/>
              </w:rPr>
            </w:pPr>
          </w:p>
        </w:tc>
      </w:tr>
      <w:tr>
        <w:trPr>
          <w:trHeight w:val="263"/>
        </w:trPr>
        <w:tc>
          <w:tcPr>
            <w:tcW w:w="506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Financial fees</w:t>
            </w:r>
          </w:p>
        </w:tc>
        <w:tc>
          <w:tcPr>
            <w:tcW w:w="1540" w:type="dxa"/>
            <w:vAlign w:val="bottom"/>
            <w:shd w:val="clear" w:color="auto" w:fill="DBDBDB"/>
          </w:tcPr>
          <w:p>
            <w:pPr>
              <w:spacing w:after="0"/>
              <w:rPr>
                <w:sz w:val="22"/>
                <w:szCs w:val="22"/>
                <w:color w:val="auto"/>
              </w:rPr>
            </w:pPr>
          </w:p>
        </w:tc>
        <w:tc>
          <w:tcPr>
            <w:tcW w:w="340" w:type="dxa"/>
            <w:vAlign w:val="bottom"/>
            <w:shd w:val="clear" w:color="auto" w:fill="DBDBDB"/>
          </w:tcPr>
          <w:p>
            <w:pPr>
              <w:spacing w:after="0"/>
              <w:rPr>
                <w:sz w:val="22"/>
                <w:szCs w:val="22"/>
                <w:color w:val="auto"/>
              </w:rPr>
            </w:pPr>
          </w:p>
        </w:tc>
        <w:tc>
          <w:tcPr>
            <w:tcW w:w="11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44,436</w:t>
            </w:r>
          </w:p>
        </w:tc>
        <w:tc>
          <w:tcPr>
            <w:tcW w:w="100" w:type="dxa"/>
            <w:vAlign w:val="bottom"/>
            <w:shd w:val="clear" w:color="auto" w:fill="DBDBDB"/>
          </w:tcPr>
          <w:p>
            <w:pPr>
              <w:spacing w:after="0"/>
              <w:rPr>
                <w:sz w:val="22"/>
                <w:szCs w:val="22"/>
                <w:color w:val="auto"/>
              </w:rPr>
            </w:pPr>
          </w:p>
        </w:tc>
        <w:tc>
          <w:tcPr>
            <w:tcW w:w="340" w:type="dxa"/>
            <w:vAlign w:val="bottom"/>
            <w:shd w:val="clear" w:color="auto" w:fill="DBDBDB"/>
          </w:tcPr>
          <w:p>
            <w:pPr>
              <w:spacing w:after="0"/>
              <w:rPr>
                <w:sz w:val="22"/>
                <w:szCs w:val="22"/>
                <w:color w:val="auto"/>
              </w:rPr>
            </w:pPr>
          </w:p>
        </w:tc>
        <w:tc>
          <w:tcPr>
            <w:tcW w:w="11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42,243</w:t>
            </w:r>
          </w:p>
        </w:tc>
        <w:tc>
          <w:tcPr>
            <w:tcW w:w="100" w:type="dxa"/>
            <w:vAlign w:val="bottom"/>
            <w:shd w:val="clear" w:color="auto" w:fill="DBDBDB"/>
          </w:tcPr>
          <w:p>
            <w:pPr>
              <w:spacing w:after="0"/>
              <w:rPr>
                <w:sz w:val="22"/>
                <w:szCs w:val="22"/>
                <w:color w:val="auto"/>
              </w:rPr>
            </w:pPr>
          </w:p>
        </w:tc>
        <w:tc>
          <w:tcPr>
            <w:tcW w:w="520" w:type="dxa"/>
            <w:vAlign w:val="bottom"/>
            <w:shd w:val="clear" w:color="auto" w:fill="DBDBDB"/>
          </w:tcPr>
          <w:p>
            <w:pPr>
              <w:spacing w:after="0"/>
              <w:rPr>
                <w:sz w:val="22"/>
                <w:szCs w:val="22"/>
                <w:color w:val="auto"/>
              </w:rPr>
            </w:pPr>
          </w:p>
        </w:tc>
        <w:tc>
          <w:tcPr>
            <w:tcW w:w="9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31,847</w:t>
            </w:r>
          </w:p>
        </w:tc>
        <w:tc>
          <w:tcPr>
            <w:tcW w:w="0" w:type="dxa"/>
            <w:vAlign w:val="bottom"/>
          </w:tcPr>
          <w:p>
            <w:pPr>
              <w:spacing w:after="0"/>
              <w:rPr>
                <w:sz w:val="1"/>
                <w:szCs w:val="1"/>
                <w:color w:val="auto"/>
              </w:rPr>
            </w:pPr>
          </w:p>
        </w:tc>
      </w:tr>
      <w:tr>
        <w:trPr>
          <w:trHeight w:val="250"/>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fees</w:t>
            </w:r>
          </w:p>
        </w:tc>
        <w:tc>
          <w:tcPr>
            <w:tcW w:w="15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2,606</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970</w:t>
            </w:r>
          </w:p>
        </w:tc>
        <w:tc>
          <w:tcPr>
            <w:tcW w:w="0" w:type="dxa"/>
            <w:vAlign w:val="bottom"/>
          </w:tcPr>
          <w:p>
            <w:pPr>
              <w:spacing w:after="0"/>
              <w:rPr>
                <w:sz w:val="1"/>
                <w:szCs w:val="1"/>
                <w:color w:val="auto"/>
              </w:rPr>
            </w:pPr>
          </w:p>
        </w:tc>
      </w:tr>
      <w:tr>
        <w:trPr>
          <w:trHeight w:val="257"/>
        </w:trPr>
        <w:tc>
          <w:tcPr>
            <w:tcW w:w="506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Net interest income after provision for (release of) credit losses</w:t>
            </w:r>
          </w:p>
        </w:tc>
        <w:tc>
          <w:tcPr>
            <w:tcW w:w="1540" w:type="dxa"/>
            <w:vAlign w:val="bottom"/>
            <w:shd w:val="clear" w:color="auto" w:fill="DBDBDB"/>
          </w:tcPr>
          <w:p>
            <w:pPr>
              <w:spacing w:after="0"/>
              <w:rPr>
                <w:sz w:val="22"/>
                <w:szCs w:val="22"/>
                <w:color w:val="auto"/>
              </w:rPr>
            </w:pPr>
          </w:p>
        </w:tc>
        <w:tc>
          <w:tcPr>
            <w:tcW w:w="340" w:type="dxa"/>
            <w:vAlign w:val="bottom"/>
            <w:tcBorders>
              <w:bottom w:val="single" w:sz="8" w:color="auto"/>
            </w:tcBorders>
            <w:shd w:val="clear" w:color="auto" w:fill="DBDBDB"/>
          </w:tcPr>
          <w:p>
            <w:pPr>
              <w:spacing w:after="0"/>
              <w:rPr>
                <w:sz w:val="22"/>
                <w:szCs w:val="22"/>
                <w:color w:val="auto"/>
              </w:rPr>
            </w:pPr>
          </w:p>
        </w:tc>
        <w:tc>
          <w:tcPr>
            <w:tcW w:w="114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19,287</w:t>
            </w:r>
          </w:p>
        </w:tc>
        <w:tc>
          <w:tcPr>
            <w:tcW w:w="100" w:type="dxa"/>
            <w:vAlign w:val="bottom"/>
            <w:tcBorders>
              <w:bottom w:val="single" w:sz="8" w:color="auto"/>
            </w:tcBorders>
            <w:shd w:val="clear" w:color="auto" w:fill="DBDBDB"/>
          </w:tcPr>
          <w:p>
            <w:pPr>
              <w:spacing w:after="0"/>
              <w:rPr>
                <w:sz w:val="22"/>
                <w:szCs w:val="22"/>
                <w:color w:val="auto"/>
              </w:rPr>
            </w:pPr>
          </w:p>
        </w:tc>
        <w:tc>
          <w:tcPr>
            <w:tcW w:w="340" w:type="dxa"/>
            <w:vAlign w:val="bottom"/>
            <w:tcBorders>
              <w:bottom w:val="single" w:sz="8" w:color="auto"/>
            </w:tcBorders>
            <w:shd w:val="clear" w:color="auto" w:fill="DBDBDB"/>
          </w:tcPr>
          <w:p>
            <w:pPr>
              <w:spacing w:after="0"/>
              <w:rPr>
                <w:sz w:val="22"/>
                <w:szCs w:val="22"/>
                <w:color w:val="auto"/>
              </w:rPr>
            </w:pPr>
          </w:p>
        </w:tc>
        <w:tc>
          <w:tcPr>
            <w:tcW w:w="114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13,435</w:t>
            </w:r>
          </w:p>
        </w:tc>
        <w:tc>
          <w:tcPr>
            <w:tcW w:w="100" w:type="dxa"/>
            <w:vAlign w:val="bottom"/>
            <w:tcBorders>
              <w:bottom w:val="single" w:sz="8" w:color="auto"/>
            </w:tcBorders>
            <w:shd w:val="clear" w:color="auto" w:fill="DBDBDB"/>
          </w:tcPr>
          <w:p>
            <w:pPr>
              <w:spacing w:after="0"/>
              <w:rPr>
                <w:sz w:val="22"/>
                <w:szCs w:val="22"/>
                <w:color w:val="auto"/>
              </w:rPr>
            </w:pPr>
          </w:p>
        </w:tc>
        <w:tc>
          <w:tcPr>
            <w:tcW w:w="520" w:type="dxa"/>
            <w:vAlign w:val="bottom"/>
            <w:tcBorders>
              <w:bottom w:val="single" w:sz="8" w:color="auto"/>
            </w:tcBorders>
            <w:shd w:val="clear" w:color="auto" w:fill="DBDBDB"/>
          </w:tcPr>
          <w:p>
            <w:pPr>
              <w:spacing w:after="0"/>
              <w:rPr>
                <w:sz w:val="22"/>
                <w:szCs w:val="22"/>
                <w:color w:val="auto"/>
              </w:rPr>
            </w:pPr>
          </w:p>
        </w:tc>
        <w:tc>
          <w:tcPr>
            <w:tcW w:w="96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11,316</w:t>
            </w:r>
          </w:p>
        </w:tc>
        <w:tc>
          <w:tcPr>
            <w:tcW w:w="0" w:type="dxa"/>
            <w:vAlign w:val="bottom"/>
          </w:tcPr>
          <w:p>
            <w:pPr>
              <w:spacing w:after="0"/>
              <w:rPr>
                <w:sz w:val="1"/>
                <w:szCs w:val="1"/>
                <w:color w:val="auto"/>
              </w:rPr>
            </w:pPr>
          </w:p>
        </w:tc>
      </w:tr>
      <w:tr>
        <w:trPr>
          <w:trHeight w:val="250"/>
        </w:trPr>
        <w:tc>
          <w:tcPr>
            <w:tcW w:w="50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Total revenue</w:t>
            </w:r>
          </w:p>
        </w:tc>
        <w:tc>
          <w:tcPr>
            <w:tcW w:w="15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175,757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162,599</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137,079</w:t>
            </w:r>
          </w:p>
        </w:tc>
        <w:tc>
          <w:tcPr>
            <w:tcW w:w="0" w:type="dxa"/>
            <w:vAlign w:val="bottom"/>
          </w:tcPr>
          <w:p>
            <w:pPr>
              <w:spacing w:after="0"/>
              <w:rPr>
                <w:sz w:val="1"/>
                <w:szCs w:val="1"/>
                <w:color w:val="auto"/>
              </w:rPr>
            </w:pPr>
          </w:p>
        </w:tc>
      </w:tr>
      <w:tr>
        <w:trPr>
          <w:trHeight w:val="263"/>
        </w:trPr>
        <w:tc>
          <w:tcPr>
            <w:tcW w:w="506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Expenses:</w:t>
            </w:r>
          </w:p>
        </w:tc>
        <w:tc>
          <w:tcPr>
            <w:tcW w:w="1540" w:type="dxa"/>
            <w:vAlign w:val="bottom"/>
            <w:shd w:val="clear" w:color="auto" w:fill="DBDBDB"/>
          </w:tcPr>
          <w:p>
            <w:pPr>
              <w:spacing w:after="0"/>
              <w:rPr>
                <w:sz w:val="22"/>
                <w:szCs w:val="22"/>
                <w:color w:val="auto"/>
              </w:rPr>
            </w:pPr>
          </w:p>
        </w:tc>
        <w:tc>
          <w:tcPr>
            <w:tcW w:w="340" w:type="dxa"/>
            <w:vAlign w:val="bottom"/>
            <w:shd w:val="clear" w:color="auto" w:fill="DBDBDB"/>
          </w:tcPr>
          <w:p>
            <w:pPr>
              <w:spacing w:after="0"/>
              <w:rPr>
                <w:sz w:val="22"/>
                <w:szCs w:val="22"/>
                <w:color w:val="auto"/>
              </w:rPr>
            </w:pPr>
          </w:p>
        </w:tc>
        <w:tc>
          <w:tcPr>
            <w:tcW w:w="1140" w:type="dxa"/>
            <w:vAlign w:val="bottom"/>
            <w:shd w:val="clear" w:color="auto" w:fill="DBDBDB"/>
          </w:tcPr>
          <w:p>
            <w:pPr>
              <w:spacing w:after="0"/>
              <w:rPr>
                <w:sz w:val="22"/>
                <w:szCs w:val="22"/>
                <w:color w:val="auto"/>
              </w:rPr>
            </w:pPr>
          </w:p>
        </w:tc>
        <w:tc>
          <w:tcPr>
            <w:tcW w:w="100" w:type="dxa"/>
            <w:vAlign w:val="bottom"/>
            <w:shd w:val="clear" w:color="auto" w:fill="DBDBDB"/>
          </w:tcPr>
          <w:p>
            <w:pPr>
              <w:spacing w:after="0"/>
              <w:rPr>
                <w:sz w:val="22"/>
                <w:szCs w:val="22"/>
                <w:color w:val="auto"/>
              </w:rPr>
            </w:pPr>
          </w:p>
        </w:tc>
        <w:tc>
          <w:tcPr>
            <w:tcW w:w="340" w:type="dxa"/>
            <w:vAlign w:val="bottom"/>
            <w:shd w:val="clear" w:color="auto" w:fill="DBDBDB"/>
          </w:tcPr>
          <w:p>
            <w:pPr>
              <w:spacing w:after="0"/>
              <w:rPr>
                <w:sz w:val="22"/>
                <w:szCs w:val="22"/>
                <w:color w:val="auto"/>
              </w:rPr>
            </w:pPr>
          </w:p>
        </w:tc>
        <w:tc>
          <w:tcPr>
            <w:tcW w:w="1140" w:type="dxa"/>
            <w:vAlign w:val="bottom"/>
            <w:shd w:val="clear" w:color="auto" w:fill="DBDBDB"/>
          </w:tcPr>
          <w:p>
            <w:pPr>
              <w:spacing w:after="0"/>
              <w:rPr>
                <w:sz w:val="22"/>
                <w:szCs w:val="22"/>
                <w:color w:val="auto"/>
              </w:rPr>
            </w:pPr>
          </w:p>
        </w:tc>
        <w:tc>
          <w:tcPr>
            <w:tcW w:w="100" w:type="dxa"/>
            <w:vAlign w:val="bottom"/>
            <w:shd w:val="clear" w:color="auto" w:fill="DBDBDB"/>
          </w:tcPr>
          <w:p>
            <w:pPr>
              <w:spacing w:after="0"/>
              <w:rPr>
                <w:sz w:val="22"/>
                <w:szCs w:val="22"/>
                <w:color w:val="auto"/>
              </w:rPr>
            </w:pPr>
          </w:p>
        </w:tc>
        <w:tc>
          <w:tcPr>
            <w:tcW w:w="520" w:type="dxa"/>
            <w:vAlign w:val="bottom"/>
            <w:shd w:val="clear" w:color="auto" w:fill="DBDBDB"/>
          </w:tcPr>
          <w:p>
            <w:pPr>
              <w:spacing w:after="0"/>
              <w:rPr>
                <w:sz w:val="22"/>
                <w:szCs w:val="22"/>
                <w:color w:val="auto"/>
              </w:rPr>
            </w:pPr>
          </w:p>
        </w:tc>
        <w:tc>
          <w:tcPr>
            <w:tcW w:w="960" w:type="dxa"/>
            <w:vAlign w:val="bottom"/>
            <w:shd w:val="clear" w:color="auto" w:fill="DBDBDB"/>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0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Salaries and employee benefits</w:t>
            </w:r>
          </w:p>
        </w:tc>
        <w:tc>
          <w:tcPr>
            <w:tcW w:w="15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105,114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94,047</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80,434</w:t>
            </w:r>
          </w:p>
        </w:tc>
        <w:tc>
          <w:tcPr>
            <w:tcW w:w="0" w:type="dxa"/>
            <w:vAlign w:val="bottom"/>
          </w:tcPr>
          <w:p>
            <w:pPr>
              <w:spacing w:after="0"/>
              <w:rPr>
                <w:sz w:val="1"/>
                <w:szCs w:val="1"/>
                <w:color w:val="auto"/>
              </w:rPr>
            </w:pPr>
          </w:p>
        </w:tc>
      </w:tr>
      <w:tr>
        <w:trPr>
          <w:trHeight w:val="257"/>
        </w:trPr>
        <w:tc>
          <w:tcPr>
            <w:tcW w:w="5060" w:type="dxa"/>
            <w:vAlign w:val="bottom"/>
            <w:shd w:val="clear" w:color="auto" w:fill="DBDBDB"/>
          </w:tcPr>
          <w:p>
            <w:pPr>
              <w:ind w:left="300"/>
              <w:spacing w:after="0"/>
              <w:rPr>
                <w:sz w:val="20"/>
                <w:szCs w:val="20"/>
                <w:color w:val="auto"/>
              </w:rPr>
            </w:pPr>
            <w:r>
              <w:rPr>
                <w:rFonts w:ascii="Times New Roman" w:cs="Times New Roman" w:eastAsia="Times New Roman" w:hAnsi="Times New Roman"/>
                <w:sz w:val="18"/>
                <w:szCs w:val="18"/>
                <w:color w:val="auto"/>
              </w:rPr>
              <w:t>Other expenses</w:t>
            </w:r>
          </w:p>
        </w:tc>
        <w:tc>
          <w:tcPr>
            <w:tcW w:w="1540" w:type="dxa"/>
            <w:vAlign w:val="bottom"/>
            <w:shd w:val="clear" w:color="auto" w:fill="DBDBDB"/>
          </w:tcPr>
          <w:p>
            <w:pPr>
              <w:spacing w:after="0"/>
              <w:rPr>
                <w:sz w:val="22"/>
                <w:szCs w:val="22"/>
                <w:color w:val="auto"/>
              </w:rPr>
            </w:pPr>
          </w:p>
        </w:tc>
        <w:tc>
          <w:tcPr>
            <w:tcW w:w="340" w:type="dxa"/>
            <w:vAlign w:val="bottom"/>
            <w:tcBorders>
              <w:bottom w:val="single" w:sz="8" w:color="auto"/>
            </w:tcBorders>
            <w:shd w:val="clear" w:color="auto" w:fill="DBDBDB"/>
          </w:tcPr>
          <w:p>
            <w:pPr>
              <w:spacing w:after="0"/>
              <w:rPr>
                <w:sz w:val="22"/>
                <w:szCs w:val="22"/>
                <w:color w:val="auto"/>
              </w:rPr>
            </w:pPr>
          </w:p>
        </w:tc>
        <w:tc>
          <w:tcPr>
            <w:tcW w:w="114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40,440</w:t>
            </w:r>
          </w:p>
        </w:tc>
        <w:tc>
          <w:tcPr>
            <w:tcW w:w="100" w:type="dxa"/>
            <w:vAlign w:val="bottom"/>
            <w:shd w:val="clear" w:color="auto" w:fill="DBDBDB"/>
          </w:tcPr>
          <w:p>
            <w:pPr>
              <w:spacing w:after="0"/>
              <w:rPr>
                <w:sz w:val="22"/>
                <w:szCs w:val="22"/>
                <w:color w:val="auto"/>
              </w:rPr>
            </w:pPr>
          </w:p>
        </w:tc>
        <w:tc>
          <w:tcPr>
            <w:tcW w:w="340" w:type="dxa"/>
            <w:vAlign w:val="bottom"/>
            <w:tcBorders>
              <w:bottom w:val="single" w:sz="8" w:color="auto"/>
            </w:tcBorders>
            <w:shd w:val="clear" w:color="auto" w:fill="DBDBDB"/>
          </w:tcPr>
          <w:p>
            <w:pPr>
              <w:spacing w:after="0"/>
              <w:rPr>
                <w:sz w:val="22"/>
                <w:szCs w:val="22"/>
                <w:color w:val="auto"/>
              </w:rPr>
            </w:pPr>
          </w:p>
        </w:tc>
        <w:tc>
          <w:tcPr>
            <w:tcW w:w="114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32,406</w:t>
            </w:r>
          </w:p>
        </w:tc>
        <w:tc>
          <w:tcPr>
            <w:tcW w:w="100" w:type="dxa"/>
            <w:vAlign w:val="bottom"/>
            <w:shd w:val="clear" w:color="auto" w:fill="DBDBDB"/>
          </w:tcPr>
          <w:p>
            <w:pPr>
              <w:spacing w:after="0"/>
              <w:rPr>
                <w:sz w:val="22"/>
                <w:szCs w:val="22"/>
                <w:color w:val="auto"/>
              </w:rPr>
            </w:pPr>
          </w:p>
        </w:tc>
        <w:tc>
          <w:tcPr>
            <w:tcW w:w="520" w:type="dxa"/>
            <w:vAlign w:val="bottom"/>
            <w:tcBorders>
              <w:bottom w:val="single" w:sz="8" w:color="auto"/>
            </w:tcBorders>
            <w:shd w:val="clear" w:color="auto" w:fill="DBDBDB"/>
          </w:tcPr>
          <w:p>
            <w:pPr>
              <w:spacing w:after="0"/>
              <w:rPr>
                <w:sz w:val="22"/>
                <w:szCs w:val="22"/>
                <w:color w:val="auto"/>
              </w:rPr>
            </w:pPr>
          </w:p>
        </w:tc>
        <w:tc>
          <w:tcPr>
            <w:tcW w:w="96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27,406</w:t>
            </w:r>
          </w:p>
        </w:tc>
        <w:tc>
          <w:tcPr>
            <w:tcW w:w="0" w:type="dxa"/>
            <w:vAlign w:val="bottom"/>
          </w:tcPr>
          <w:p>
            <w:pPr>
              <w:spacing w:after="0"/>
              <w:rPr>
                <w:sz w:val="1"/>
                <w:szCs w:val="1"/>
                <w:color w:val="auto"/>
              </w:rPr>
            </w:pPr>
          </w:p>
        </w:tc>
      </w:tr>
      <w:tr>
        <w:trPr>
          <w:trHeight w:val="250"/>
        </w:trPr>
        <w:tc>
          <w:tcPr>
            <w:tcW w:w="50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Total expenses</w:t>
            </w:r>
          </w:p>
        </w:tc>
        <w:tc>
          <w:tcPr>
            <w:tcW w:w="15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145,554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126,453</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107,840</w:t>
            </w:r>
          </w:p>
        </w:tc>
        <w:tc>
          <w:tcPr>
            <w:tcW w:w="0" w:type="dxa"/>
            <w:vAlign w:val="bottom"/>
          </w:tcPr>
          <w:p>
            <w:pPr>
              <w:spacing w:after="0"/>
              <w:rPr>
                <w:sz w:val="1"/>
                <w:szCs w:val="1"/>
                <w:color w:val="auto"/>
              </w:rPr>
            </w:pPr>
          </w:p>
        </w:tc>
      </w:tr>
      <w:tr>
        <w:trPr>
          <w:trHeight w:val="263"/>
        </w:trPr>
        <w:tc>
          <w:tcPr>
            <w:tcW w:w="506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Income before income tax expense</w:t>
            </w:r>
          </w:p>
        </w:tc>
        <w:tc>
          <w:tcPr>
            <w:tcW w:w="1540" w:type="dxa"/>
            <w:vAlign w:val="bottom"/>
            <w:shd w:val="clear" w:color="auto" w:fill="DBDBDB"/>
          </w:tcPr>
          <w:p>
            <w:pPr>
              <w:spacing w:after="0"/>
              <w:rPr>
                <w:sz w:val="22"/>
                <w:szCs w:val="22"/>
                <w:color w:val="auto"/>
              </w:rPr>
            </w:pPr>
          </w:p>
        </w:tc>
        <w:tc>
          <w:tcPr>
            <w:tcW w:w="340" w:type="dxa"/>
            <w:vAlign w:val="bottom"/>
            <w:shd w:val="clear" w:color="auto" w:fill="DBDBDB"/>
          </w:tcPr>
          <w:p>
            <w:pPr>
              <w:spacing w:after="0"/>
              <w:rPr>
                <w:sz w:val="22"/>
                <w:szCs w:val="22"/>
                <w:color w:val="auto"/>
              </w:rPr>
            </w:pPr>
          </w:p>
        </w:tc>
        <w:tc>
          <w:tcPr>
            <w:tcW w:w="11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30,203</w:t>
            </w:r>
          </w:p>
        </w:tc>
        <w:tc>
          <w:tcPr>
            <w:tcW w:w="100" w:type="dxa"/>
            <w:vAlign w:val="bottom"/>
            <w:shd w:val="clear" w:color="auto" w:fill="DBDBDB"/>
          </w:tcPr>
          <w:p>
            <w:pPr>
              <w:spacing w:after="0"/>
              <w:rPr>
                <w:sz w:val="22"/>
                <w:szCs w:val="22"/>
                <w:color w:val="auto"/>
              </w:rPr>
            </w:pPr>
          </w:p>
        </w:tc>
        <w:tc>
          <w:tcPr>
            <w:tcW w:w="340" w:type="dxa"/>
            <w:vAlign w:val="bottom"/>
            <w:shd w:val="clear" w:color="auto" w:fill="DBDBDB"/>
          </w:tcPr>
          <w:p>
            <w:pPr>
              <w:spacing w:after="0"/>
              <w:rPr>
                <w:sz w:val="22"/>
                <w:szCs w:val="22"/>
                <w:color w:val="auto"/>
              </w:rPr>
            </w:pPr>
          </w:p>
        </w:tc>
        <w:tc>
          <w:tcPr>
            <w:tcW w:w="11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36,146</w:t>
            </w:r>
          </w:p>
        </w:tc>
        <w:tc>
          <w:tcPr>
            <w:tcW w:w="100" w:type="dxa"/>
            <w:vAlign w:val="bottom"/>
            <w:shd w:val="clear" w:color="auto" w:fill="DBDBDB"/>
          </w:tcPr>
          <w:p>
            <w:pPr>
              <w:spacing w:after="0"/>
              <w:rPr>
                <w:sz w:val="22"/>
                <w:szCs w:val="22"/>
                <w:color w:val="auto"/>
              </w:rPr>
            </w:pPr>
          </w:p>
        </w:tc>
        <w:tc>
          <w:tcPr>
            <w:tcW w:w="520" w:type="dxa"/>
            <w:vAlign w:val="bottom"/>
            <w:shd w:val="clear" w:color="auto" w:fill="DBDBDB"/>
          </w:tcPr>
          <w:p>
            <w:pPr>
              <w:spacing w:after="0"/>
              <w:rPr>
                <w:sz w:val="22"/>
                <w:szCs w:val="22"/>
                <w:color w:val="auto"/>
              </w:rPr>
            </w:pPr>
          </w:p>
        </w:tc>
        <w:tc>
          <w:tcPr>
            <w:tcW w:w="9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29,239</w:t>
            </w:r>
          </w:p>
        </w:tc>
        <w:tc>
          <w:tcPr>
            <w:tcW w:w="0" w:type="dxa"/>
            <w:vAlign w:val="bottom"/>
          </w:tcPr>
          <w:p>
            <w:pPr>
              <w:spacing w:after="0"/>
              <w:rPr>
                <w:sz w:val="1"/>
                <w:szCs w:val="1"/>
                <w:color w:val="auto"/>
              </w:rPr>
            </w:pPr>
          </w:p>
        </w:tc>
      </w:tr>
      <w:tr>
        <w:trPr>
          <w:trHeight w:val="250"/>
        </w:trPr>
        <w:tc>
          <w:tcPr>
            <w:tcW w:w="5060" w:type="dxa"/>
            <w:vAlign w:val="bottom"/>
            <w:tcBorders>
              <w:bottom w:val="single" w:sz="8" w:color="DBDBDB"/>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540" w:type="dxa"/>
            <w:vAlign w:val="bottom"/>
            <w:tcBorders>
              <w:bottom w:val="single" w:sz="8" w:color="DBDBDB"/>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tcBorders>
              <w:bottom w:val="single" w:sz="8" w:color="DBDBDB"/>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1,242</w:t>
            </w:r>
          </w:p>
        </w:tc>
        <w:tc>
          <w:tcPr>
            <w:tcW w:w="100" w:type="dxa"/>
            <w:vAlign w:val="bottom"/>
            <w:tcBorders>
              <w:bottom w:val="single" w:sz="8" w:color="DBDBDB"/>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635</w:t>
            </w:r>
          </w:p>
        </w:tc>
        <w:tc>
          <w:tcPr>
            <w:tcW w:w="0" w:type="dxa"/>
            <w:vAlign w:val="bottom"/>
          </w:tcPr>
          <w:p>
            <w:pPr>
              <w:spacing w:after="0"/>
              <w:rPr>
                <w:sz w:val="1"/>
                <w:szCs w:val="1"/>
                <w:color w:val="auto"/>
              </w:rPr>
            </w:pPr>
          </w:p>
        </w:tc>
      </w:tr>
      <w:tr>
        <w:trPr>
          <w:trHeight w:val="277"/>
        </w:trPr>
        <w:tc>
          <w:tcPr>
            <w:tcW w:w="5060" w:type="dxa"/>
            <w:vAlign w:val="bottom"/>
            <w:shd w:val="clear" w:color="auto" w:fill="DBDBDB"/>
          </w:tcPr>
          <w:p>
            <w:pPr>
              <w:ind w:left="560"/>
              <w:spacing w:after="0"/>
              <w:rPr>
                <w:sz w:val="20"/>
                <w:szCs w:val="20"/>
                <w:color w:val="auto"/>
              </w:rPr>
            </w:pPr>
            <w:r>
              <w:rPr>
                <w:rFonts w:ascii="Times New Roman" w:cs="Times New Roman" w:eastAsia="Times New Roman" w:hAnsi="Times New Roman"/>
                <w:sz w:val="18"/>
                <w:szCs w:val="18"/>
                <w:color w:val="auto"/>
              </w:rPr>
              <w:t>Net income</w:t>
            </w:r>
          </w:p>
        </w:tc>
        <w:tc>
          <w:tcPr>
            <w:tcW w:w="1880" w:type="dxa"/>
            <w:vAlign w:val="bottom"/>
            <w:gridSpan w:val="2"/>
            <w:shd w:val="clear" w:color="auto" w:fill="DBDBDB"/>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30,059</w:t>
            </w:r>
          </w:p>
        </w:tc>
        <w:tc>
          <w:tcPr>
            <w:tcW w:w="100" w:type="dxa"/>
            <w:vAlign w:val="bottom"/>
            <w:shd w:val="clear" w:color="auto" w:fill="DBDBDB"/>
          </w:tcPr>
          <w:p>
            <w:pPr>
              <w:spacing w:after="0"/>
              <w:rPr>
                <w:sz w:val="24"/>
                <w:szCs w:val="24"/>
                <w:color w:val="auto"/>
              </w:rPr>
            </w:pPr>
          </w:p>
        </w:tc>
        <w:tc>
          <w:tcPr>
            <w:tcW w:w="340" w:type="dxa"/>
            <w:vAlign w:val="bottom"/>
            <w:shd w:val="clear" w:color="auto" w:fill="DBDBDB"/>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34,904</w:t>
            </w:r>
          </w:p>
        </w:tc>
        <w:tc>
          <w:tcPr>
            <w:tcW w:w="100" w:type="dxa"/>
            <w:vAlign w:val="bottom"/>
            <w:shd w:val="clear" w:color="auto" w:fill="DBDBDB"/>
          </w:tcPr>
          <w:p>
            <w:pPr>
              <w:spacing w:after="0"/>
              <w:rPr>
                <w:sz w:val="24"/>
                <w:szCs w:val="24"/>
                <w:color w:val="auto"/>
              </w:rPr>
            </w:pPr>
          </w:p>
        </w:tc>
        <w:tc>
          <w:tcPr>
            <w:tcW w:w="520" w:type="dxa"/>
            <w:vAlign w:val="bottom"/>
            <w:shd w:val="clear" w:color="auto" w:fill="DBDBDB"/>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28,604</w:t>
            </w:r>
          </w:p>
        </w:tc>
        <w:tc>
          <w:tcPr>
            <w:tcW w:w="0" w:type="dxa"/>
            <w:vAlign w:val="bottom"/>
          </w:tcPr>
          <w:p>
            <w:pPr>
              <w:spacing w:after="0"/>
              <w:rPr>
                <w:sz w:val="1"/>
                <w:szCs w:val="1"/>
                <w:color w:val="auto"/>
              </w:rPr>
            </w:pPr>
          </w:p>
        </w:tc>
      </w:tr>
      <w:tr>
        <w:trPr>
          <w:trHeight w:val="20"/>
        </w:trPr>
        <w:tc>
          <w:tcPr>
            <w:tcW w:w="5060" w:type="dxa"/>
            <w:vAlign w:val="bottom"/>
            <w:tcBorders>
              <w:top w:val="single" w:sz="8" w:color="DBDBDB"/>
            </w:tcBorders>
          </w:tcPr>
          <w:p>
            <w:pPr>
              <w:spacing w:after="0" w:line="20" w:lineRule="exact"/>
              <w:rPr>
                <w:sz w:val="1"/>
                <w:szCs w:val="1"/>
                <w:color w:val="auto"/>
              </w:rPr>
            </w:pPr>
          </w:p>
        </w:tc>
        <w:tc>
          <w:tcPr>
            <w:tcW w:w="1540" w:type="dxa"/>
            <w:vAlign w:val="bottom"/>
            <w:tcBorders>
              <w:top w:val="single" w:sz="8" w:color="DBDBDB"/>
              <w:bottom w:val="single" w:sz="8" w:color="DBDBDB"/>
            </w:tcBorders>
            <w:vMerge w:val="restart"/>
          </w:tcPr>
          <w:p>
            <w:pPr>
              <w:jc w:val="right"/>
              <w:ind w:right="790"/>
              <w:spacing w:after="0"/>
              <w:rPr>
                <w:sz w:val="20"/>
                <w:szCs w:val="20"/>
                <w:color w:val="auto"/>
              </w:rPr>
            </w:pPr>
            <w:r>
              <w:rPr>
                <w:rFonts w:ascii="Times New Roman" w:cs="Times New Roman" w:eastAsia="Times New Roman" w:hAnsi="Times New Roman"/>
                <w:sz w:val="18"/>
                <w:szCs w:val="18"/>
                <w:color w:val="auto"/>
              </w:rPr>
              <w:t>75</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5060" w:type="dxa"/>
            <w:vAlign w:val="bottom"/>
          </w:tcPr>
          <w:p>
            <w:pPr>
              <w:spacing w:after="0"/>
              <w:rPr>
                <w:sz w:val="24"/>
                <w:szCs w:val="24"/>
                <w:color w:val="auto"/>
              </w:rPr>
            </w:pPr>
          </w:p>
        </w:tc>
        <w:tc>
          <w:tcPr>
            <w:tcW w:w="154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060" w:type="dxa"/>
            <w:vAlign w:val="bottom"/>
            <w:tcBorders>
              <w:bottom w:val="single" w:sz="8" w:color="9A9A9A"/>
            </w:tcBorders>
          </w:tcPr>
          <w:p>
            <w:pPr>
              <w:spacing w:after="0"/>
              <w:rPr>
                <w:sz w:val="10"/>
                <w:szCs w:val="10"/>
                <w:color w:val="auto"/>
              </w:rPr>
            </w:pPr>
          </w:p>
        </w:tc>
        <w:tc>
          <w:tcPr>
            <w:tcW w:w="154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00" w:type="dxa"/>
            <w:vAlign w:val="bottom"/>
            <w:shd w:val="clear" w:color="auto" w:fill="DBDBDB"/>
          </w:tcPr>
          <w:p>
            <w:pPr>
              <w:spacing w:after="0"/>
              <w:rPr>
                <w:sz w:val="17"/>
                <w:szCs w:val="17"/>
                <w:color w:val="auto"/>
              </w:rPr>
            </w:pPr>
          </w:p>
        </w:tc>
        <w:tc>
          <w:tcPr>
            <w:tcW w:w="340" w:type="dxa"/>
            <w:vAlign w:val="bottom"/>
            <w:shd w:val="clear" w:color="auto" w:fill="DBDBDB"/>
          </w:tcPr>
          <w:p>
            <w:pPr>
              <w:spacing w:after="0"/>
              <w:rPr>
                <w:sz w:val="17"/>
                <w:szCs w:val="17"/>
                <w:color w:val="auto"/>
              </w:rPr>
            </w:pPr>
          </w:p>
        </w:tc>
        <w:tc>
          <w:tcPr>
            <w:tcW w:w="4300" w:type="dxa"/>
            <w:vAlign w:val="bottom"/>
            <w:gridSpan w:val="7"/>
            <w:shd w:val="clear" w:color="auto" w:fill="DBDBDB"/>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rPr>
              <w:t>Condensed Statements of Cash Flows</w:t>
            </w:r>
          </w:p>
        </w:tc>
        <w:tc>
          <w:tcPr>
            <w:tcW w:w="0" w:type="dxa"/>
            <w:vAlign w:val="bottom"/>
          </w:tcPr>
          <w:p>
            <w:pPr>
              <w:spacing w:after="0"/>
              <w:rPr>
                <w:sz w:val="1"/>
                <w:szCs w:val="1"/>
                <w:color w:val="auto"/>
              </w:rPr>
            </w:pPr>
          </w:p>
        </w:tc>
      </w:tr>
      <w:tr>
        <w:trPr>
          <w:trHeight w:val="243"/>
        </w:trPr>
        <w:tc>
          <w:tcPr>
            <w:tcW w:w="6600" w:type="dxa"/>
            <w:vAlign w:val="bottom"/>
            <w:shd w:val="clear" w:color="auto" w:fill="DBDBDB"/>
          </w:tcPr>
          <w:p>
            <w:pPr>
              <w:spacing w:after="0"/>
              <w:rPr>
                <w:sz w:val="21"/>
                <w:szCs w:val="21"/>
                <w:color w:val="auto"/>
              </w:rPr>
            </w:pPr>
          </w:p>
        </w:tc>
        <w:tc>
          <w:tcPr>
            <w:tcW w:w="340" w:type="dxa"/>
            <w:vAlign w:val="bottom"/>
            <w:tcBorders>
              <w:bottom w:val="single" w:sz="8" w:color="auto"/>
            </w:tcBorders>
            <w:shd w:val="clear" w:color="auto" w:fill="DBDBDB"/>
          </w:tcPr>
          <w:p>
            <w:pPr>
              <w:spacing w:after="0"/>
              <w:rPr>
                <w:sz w:val="21"/>
                <w:szCs w:val="21"/>
                <w:color w:val="auto"/>
              </w:rPr>
            </w:pPr>
          </w:p>
        </w:tc>
        <w:tc>
          <w:tcPr>
            <w:tcW w:w="3340" w:type="dxa"/>
            <w:vAlign w:val="bottom"/>
            <w:tcBorders>
              <w:bottom w:val="single" w:sz="8" w:color="auto"/>
            </w:tcBorders>
            <w:gridSpan w:val="6"/>
            <w:shd w:val="clear" w:color="auto" w:fill="DBDBDB"/>
          </w:tcPr>
          <w:p>
            <w:pPr>
              <w:jc w:val="center"/>
              <w:ind w:left="530"/>
              <w:spacing w:after="0"/>
              <w:rPr>
                <w:sz w:val="20"/>
                <w:szCs w:val="20"/>
                <w:color w:val="auto"/>
              </w:rPr>
            </w:pPr>
            <w:r>
              <w:rPr>
                <w:rFonts w:ascii="Times New Roman" w:cs="Times New Roman" w:eastAsia="Times New Roman" w:hAnsi="Times New Roman"/>
                <w:sz w:val="18"/>
                <w:szCs w:val="18"/>
                <w:b w:val="1"/>
                <w:bCs w:val="1"/>
                <w:color w:val="auto"/>
                <w:w w:val="99"/>
              </w:rPr>
              <w:t>For the Years Ended December 31,</w:t>
            </w:r>
          </w:p>
        </w:tc>
        <w:tc>
          <w:tcPr>
            <w:tcW w:w="960" w:type="dxa"/>
            <w:vAlign w:val="bottom"/>
            <w:tcBorders>
              <w:bottom w:val="single" w:sz="8" w:color="auto"/>
            </w:tcBorders>
            <w:shd w:val="clear" w:color="auto" w:fill="DBDBDB"/>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0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256"/>
        </w:trPr>
        <w:tc>
          <w:tcPr>
            <w:tcW w:w="660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40" w:type="dxa"/>
            <w:vAlign w:val="bottom"/>
            <w:shd w:val="clear" w:color="auto" w:fill="DBDBDB"/>
          </w:tcPr>
          <w:p>
            <w:pPr>
              <w:spacing w:after="0"/>
              <w:rPr>
                <w:sz w:val="22"/>
                <w:szCs w:val="22"/>
                <w:color w:val="auto"/>
              </w:rPr>
            </w:pPr>
          </w:p>
        </w:tc>
        <w:tc>
          <w:tcPr>
            <w:tcW w:w="1140" w:type="dxa"/>
            <w:vAlign w:val="bottom"/>
            <w:shd w:val="clear" w:color="auto" w:fill="DBDBDB"/>
          </w:tcPr>
          <w:p>
            <w:pPr>
              <w:spacing w:after="0"/>
              <w:rPr>
                <w:sz w:val="22"/>
                <w:szCs w:val="22"/>
                <w:color w:val="auto"/>
              </w:rPr>
            </w:pPr>
          </w:p>
        </w:tc>
        <w:tc>
          <w:tcPr>
            <w:tcW w:w="100" w:type="dxa"/>
            <w:vAlign w:val="bottom"/>
            <w:shd w:val="clear" w:color="auto" w:fill="DBDBDB"/>
          </w:tcPr>
          <w:p>
            <w:pPr>
              <w:spacing w:after="0"/>
              <w:rPr>
                <w:sz w:val="22"/>
                <w:szCs w:val="22"/>
                <w:color w:val="auto"/>
              </w:rPr>
            </w:pPr>
          </w:p>
        </w:tc>
        <w:tc>
          <w:tcPr>
            <w:tcW w:w="340" w:type="dxa"/>
            <w:vAlign w:val="bottom"/>
            <w:shd w:val="clear" w:color="auto" w:fill="DBDBDB"/>
          </w:tcPr>
          <w:p>
            <w:pPr>
              <w:spacing w:after="0"/>
              <w:rPr>
                <w:sz w:val="22"/>
                <w:szCs w:val="22"/>
                <w:color w:val="auto"/>
              </w:rPr>
            </w:pPr>
          </w:p>
        </w:tc>
        <w:tc>
          <w:tcPr>
            <w:tcW w:w="1140" w:type="dxa"/>
            <w:vAlign w:val="bottom"/>
            <w:shd w:val="clear" w:color="auto" w:fill="DBDBDB"/>
          </w:tcPr>
          <w:p>
            <w:pPr>
              <w:spacing w:after="0"/>
              <w:rPr>
                <w:sz w:val="22"/>
                <w:szCs w:val="22"/>
                <w:color w:val="auto"/>
              </w:rPr>
            </w:pPr>
          </w:p>
        </w:tc>
        <w:tc>
          <w:tcPr>
            <w:tcW w:w="100" w:type="dxa"/>
            <w:vAlign w:val="bottom"/>
            <w:shd w:val="clear" w:color="auto" w:fill="DBDBDB"/>
          </w:tcPr>
          <w:p>
            <w:pPr>
              <w:spacing w:after="0"/>
              <w:rPr>
                <w:sz w:val="22"/>
                <w:szCs w:val="22"/>
                <w:color w:val="auto"/>
              </w:rPr>
            </w:pPr>
          </w:p>
        </w:tc>
        <w:tc>
          <w:tcPr>
            <w:tcW w:w="520" w:type="dxa"/>
            <w:vAlign w:val="bottom"/>
            <w:shd w:val="clear" w:color="auto" w:fill="DBDBDB"/>
          </w:tcPr>
          <w:p>
            <w:pPr>
              <w:spacing w:after="0"/>
              <w:rPr>
                <w:sz w:val="22"/>
                <w:szCs w:val="22"/>
                <w:color w:val="auto"/>
              </w:rPr>
            </w:pPr>
          </w:p>
        </w:tc>
        <w:tc>
          <w:tcPr>
            <w:tcW w:w="960" w:type="dxa"/>
            <w:vAlign w:val="bottom"/>
            <w:shd w:val="clear" w:color="auto" w:fill="DBDBDB"/>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30,059</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34,904</w:t>
            </w:r>
          </w:p>
        </w:tc>
        <w:tc>
          <w:tcPr>
            <w:tcW w:w="100" w:type="dxa"/>
            <w:vAlign w:val="bottom"/>
          </w:tcPr>
          <w:p>
            <w:pPr>
              <w:spacing w:after="0"/>
              <w:rPr>
                <w:sz w:val="21"/>
                <w:szCs w:val="21"/>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28,604</w:t>
            </w:r>
          </w:p>
        </w:tc>
        <w:tc>
          <w:tcPr>
            <w:tcW w:w="0" w:type="dxa"/>
            <w:vAlign w:val="bottom"/>
          </w:tcPr>
          <w:p>
            <w:pPr>
              <w:spacing w:after="0"/>
              <w:rPr>
                <w:sz w:val="1"/>
                <w:szCs w:val="1"/>
                <w:color w:val="auto"/>
              </w:rPr>
            </w:pPr>
          </w:p>
        </w:tc>
      </w:tr>
      <w:tr>
        <w:trPr>
          <w:trHeight w:val="263"/>
        </w:trPr>
        <w:tc>
          <w:tcPr>
            <w:tcW w:w="660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340" w:type="dxa"/>
            <w:vAlign w:val="bottom"/>
            <w:shd w:val="clear" w:color="auto" w:fill="DBDBDB"/>
          </w:tcPr>
          <w:p>
            <w:pPr>
              <w:spacing w:after="0"/>
              <w:rPr>
                <w:sz w:val="22"/>
                <w:szCs w:val="22"/>
                <w:color w:val="auto"/>
              </w:rPr>
            </w:pPr>
          </w:p>
        </w:tc>
        <w:tc>
          <w:tcPr>
            <w:tcW w:w="1140" w:type="dxa"/>
            <w:vAlign w:val="bottom"/>
            <w:shd w:val="clear" w:color="auto" w:fill="DBDBDB"/>
          </w:tcPr>
          <w:p>
            <w:pPr>
              <w:spacing w:after="0"/>
              <w:rPr>
                <w:sz w:val="22"/>
                <w:szCs w:val="22"/>
                <w:color w:val="auto"/>
              </w:rPr>
            </w:pPr>
          </w:p>
        </w:tc>
        <w:tc>
          <w:tcPr>
            <w:tcW w:w="100" w:type="dxa"/>
            <w:vAlign w:val="bottom"/>
            <w:shd w:val="clear" w:color="auto" w:fill="DBDBDB"/>
          </w:tcPr>
          <w:p>
            <w:pPr>
              <w:spacing w:after="0"/>
              <w:rPr>
                <w:sz w:val="22"/>
                <w:szCs w:val="22"/>
                <w:color w:val="auto"/>
              </w:rPr>
            </w:pPr>
          </w:p>
        </w:tc>
        <w:tc>
          <w:tcPr>
            <w:tcW w:w="340" w:type="dxa"/>
            <w:vAlign w:val="bottom"/>
            <w:shd w:val="clear" w:color="auto" w:fill="DBDBDB"/>
          </w:tcPr>
          <w:p>
            <w:pPr>
              <w:spacing w:after="0"/>
              <w:rPr>
                <w:sz w:val="22"/>
                <w:szCs w:val="22"/>
                <w:color w:val="auto"/>
              </w:rPr>
            </w:pPr>
          </w:p>
        </w:tc>
        <w:tc>
          <w:tcPr>
            <w:tcW w:w="1140" w:type="dxa"/>
            <w:vAlign w:val="bottom"/>
            <w:shd w:val="clear" w:color="auto" w:fill="DBDBDB"/>
          </w:tcPr>
          <w:p>
            <w:pPr>
              <w:spacing w:after="0"/>
              <w:rPr>
                <w:sz w:val="22"/>
                <w:szCs w:val="22"/>
                <w:color w:val="auto"/>
              </w:rPr>
            </w:pPr>
          </w:p>
        </w:tc>
        <w:tc>
          <w:tcPr>
            <w:tcW w:w="100" w:type="dxa"/>
            <w:vAlign w:val="bottom"/>
            <w:shd w:val="clear" w:color="auto" w:fill="DBDBDB"/>
          </w:tcPr>
          <w:p>
            <w:pPr>
              <w:spacing w:after="0"/>
              <w:rPr>
                <w:sz w:val="22"/>
                <w:szCs w:val="22"/>
                <w:color w:val="auto"/>
              </w:rPr>
            </w:pPr>
          </w:p>
        </w:tc>
        <w:tc>
          <w:tcPr>
            <w:tcW w:w="520" w:type="dxa"/>
            <w:vAlign w:val="bottom"/>
            <w:shd w:val="clear" w:color="auto" w:fill="DBDBDB"/>
          </w:tcPr>
          <w:p>
            <w:pPr>
              <w:spacing w:after="0"/>
              <w:rPr>
                <w:sz w:val="22"/>
                <w:szCs w:val="22"/>
                <w:color w:val="auto"/>
              </w:rPr>
            </w:pPr>
          </w:p>
        </w:tc>
        <w:tc>
          <w:tcPr>
            <w:tcW w:w="960" w:type="dxa"/>
            <w:vAlign w:val="bottom"/>
            <w:shd w:val="clear" w:color="auto" w:fill="DBDBDB"/>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66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Equity in undistributed income of subsidiaries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(19,281)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(10,618)</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(2,252)</w:t>
            </w:r>
          </w:p>
        </w:tc>
        <w:tc>
          <w:tcPr>
            <w:tcW w:w="0" w:type="dxa"/>
            <w:vAlign w:val="bottom"/>
          </w:tcPr>
          <w:p>
            <w:pPr>
              <w:spacing w:after="0"/>
              <w:rPr>
                <w:sz w:val="1"/>
                <w:szCs w:val="1"/>
                <w:color w:val="auto"/>
              </w:rPr>
            </w:pPr>
          </w:p>
        </w:tc>
      </w:tr>
      <w:tr>
        <w:trPr>
          <w:trHeight w:val="263"/>
        </w:trPr>
        <w:tc>
          <w:tcPr>
            <w:tcW w:w="6600" w:type="dxa"/>
            <w:vAlign w:val="bottom"/>
            <w:shd w:val="clear" w:color="auto" w:fill="DBDBDB"/>
          </w:tcPr>
          <w:p>
            <w:pPr>
              <w:ind w:left="560"/>
              <w:spacing w:after="0"/>
              <w:rPr>
                <w:sz w:val="20"/>
                <w:szCs w:val="20"/>
                <w:color w:val="auto"/>
              </w:rPr>
            </w:pPr>
            <w:r>
              <w:rPr>
                <w:rFonts w:ascii="Times New Roman" w:cs="Times New Roman" w:eastAsia="Times New Roman" w:hAnsi="Times New Roman"/>
                <w:sz w:val="18"/>
                <w:szCs w:val="18"/>
                <w:color w:val="auto"/>
              </w:rPr>
              <w:t>Net change in other assets</w:t>
            </w:r>
          </w:p>
        </w:tc>
        <w:tc>
          <w:tcPr>
            <w:tcW w:w="340" w:type="dxa"/>
            <w:vAlign w:val="bottom"/>
            <w:shd w:val="clear" w:color="auto" w:fill="DBDBDB"/>
          </w:tcPr>
          <w:p>
            <w:pPr>
              <w:spacing w:after="0"/>
              <w:rPr>
                <w:sz w:val="22"/>
                <w:szCs w:val="22"/>
                <w:color w:val="auto"/>
              </w:rPr>
            </w:pPr>
          </w:p>
        </w:tc>
        <w:tc>
          <w:tcPr>
            <w:tcW w:w="11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(4,427)</w:t>
            </w:r>
          </w:p>
        </w:tc>
        <w:tc>
          <w:tcPr>
            <w:tcW w:w="100" w:type="dxa"/>
            <w:vAlign w:val="bottom"/>
            <w:shd w:val="clear" w:color="auto" w:fill="DBDBDB"/>
          </w:tcPr>
          <w:p>
            <w:pPr>
              <w:spacing w:after="0"/>
              <w:rPr>
                <w:sz w:val="22"/>
                <w:szCs w:val="22"/>
                <w:color w:val="auto"/>
              </w:rPr>
            </w:pPr>
          </w:p>
        </w:tc>
        <w:tc>
          <w:tcPr>
            <w:tcW w:w="340" w:type="dxa"/>
            <w:vAlign w:val="bottom"/>
            <w:shd w:val="clear" w:color="auto" w:fill="DBDBDB"/>
          </w:tcPr>
          <w:p>
            <w:pPr>
              <w:spacing w:after="0"/>
              <w:rPr>
                <w:sz w:val="22"/>
                <w:szCs w:val="22"/>
                <w:color w:val="auto"/>
              </w:rPr>
            </w:pPr>
          </w:p>
        </w:tc>
        <w:tc>
          <w:tcPr>
            <w:tcW w:w="11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(4,640)</w:t>
            </w:r>
          </w:p>
        </w:tc>
        <w:tc>
          <w:tcPr>
            <w:tcW w:w="100" w:type="dxa"/>
            <w:vAlign w:val="bottom"/>
            <w:shd w:val="clear" w:color="auto" w:fill="DBDBDB"/>
          </w:tcPr>
          <w:p>
            <w:pPr>
              <w:spacing w:after="0"/>
              <w:rPr>
                <w:sz w:val="22"/>
                <w:szCs w:val="22"/>
                <w:color w:val="auto"/>
              </w:rPr>
            </w:pPr>
          </w:p>
        </w:tc>
        <w:tc>
          <w:tcPr>
            <w:tcW w:w="520" w:type="dxa"/>
            <w:vAlign w:val="bottom"/>
            <w:shd w:val="clear" w:color="auto" w:fill="DBDBDB"/>
          </w:tcPr>
          <w:p>
            <w:pPr>
              <w:spacing w:after="0"/>
              <w:rPr>
                <w:sz w:val="22"/>
                <w:szCs w:val="22"/>
                <w:color w:val="auto"/>
              </w:rPr>
            </w:pPr>
          </w:p>
        </w:tc>
        <w:tc>
          <w:tcPr>
            <w:tcW w:w="9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0" w:type="dxa"/>
            <w:vAlign w:val="bottom"/>
          </w:tcPr>
          <w:p>
            <w:pPr>
              <w:spacing w:after="0"/>
              <w:rPr>
                <w:sz w:val="1"/>
                <w:szCs w:val="1"/>
                <w:color w:val="auto"/>
              </w:rPr>
            </w:pPr>
          </w:p>
        </w:tc>
      </w:tr>
      <w:tr>
        <w:trPr>
          <w:trHeight w:val="250"/>
        </w:trPr>
        <w:tc>
          <w:tcPr>
            <w:tcW w:w="66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Net change in other liabilities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6,462</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(9,307)</w:t>
            </w:r>
          </w:p>
        </w:tc>
        <w:tc>
          <w:tcPr>
            <w:tcW w:w="0" w:type="dxa"/>
            <w:vAlign w:val="bottom"/>
          </w:tcPr>
          <w:p>
            <w:pPr>
              <w:spacing w:after="0"/>
              <w:rPr>
                <w:sz w:val="1"/>
                <w:szCs w:val="1"/>
                <w:color w:val="auto"/>
              </w:rPr>
            </w:pPr>
          </w:p>
        </w:tc>
      </w:tr>
      <w:tr>
        <w:trPr>
          <w:trHeight w:val="263"/>
        </w:trPr>
        <w:tc>
          <w:tcPr>
            <w:tcW w:w="6600" w:type="dxa"/>
            <w:vAlign w:val="bottom"/>
            <w:shd w:val="clear" w:color="auto" w:fill="DBDBDB"/>
          </w:tcPr>
          <w:p>
            <w:pPr>
              <w:ind w:left="56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40" w:type="dxa"/>
            <w:vAlign w:val="bottom"/>
            <w:shd w:val="clear" w:color="auto" w:fill="DBDBDB"/>
          </w:tcPr>
          <w:p>
            <w:pPr>
              <w:spacing w:after="0"/>
              <w:rPr>
                <w:sz w:val="22"/>
                <w:szCs w:val="22"/>
                <w:color w:val="auto"/>
              </w:rPr>
            </w:pPr>
          </w:p>
        </w:tc>
        <w:tc>
          <w:tcPr>
            <w:tcW w:w="11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4,139</w:t>
            </w:r>
          </w:p>
        </w:tc>
        <w:tc>
          <w:tcPr>
            <w:tcW w:w="100" w:type="dxa"/>
            <w:vAlign w:val="bottom"/>
            <w:shd w:val="clear" w:color="auto" w:fill="DBDBDB"/>
          </w:tcPr>
          <w:p>
            <w:pPr>
              <w:spacing w:after="0"/>
              <w:rPr>
                <w:sz w:val="22"/>
                <w:szCs w:val="22"/>
                <w:color w:val="auto"/>
              </w:rPr>
            </w:pPr>
          </w:p>
        </w:tc>
        <w:tc>
          <w:tcPr>
            <w:tcW w:w="340" w:type="dxa"/>
            <w:vAlign w:val="bottom"/>
            <w:shd w:val="clear" w:color="auto" w:fill="DBDBDB"/>
          </w:tcPr>
          <w:p>
            <w:pPr>
              <w:spacing w:after="0"/>
              <w:rPr>
                <w:sz w:val="22"/>
                <w:szCs w:val="22"/>
                <w:color w:val="auto"/>
              </w:rPr>
            </w:pPr>
          </w:p>
        </w:tc>
        <w:tc>
          <w:tcPr>
            <w:tcW w:w="11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6,732</w:t>
            </w:r>
          </w:p>
        </w:tc>
        <w:tc>
          <w:tcPr>
            <w:tcW w:w="100" w:type="dxa"/>
            <w:vAlign w:val="bottom"/>
            <w:shd w:val="clear" w:color="auto" w:fill="DBDBDB"/>
          </w:tcPr>
          <w:p>
            <w:pPr>
              <w:spacing w:after="0"/>
              <w:rPr>
                <w:sz w:val="22"/>
                <w:szCs w:val="22"/>
                <w:color w:val="auto"/>
              </w:rPr>
            </w:pPr>
          </w:p>
        </w:tc>
        <w:tc>
          <w:tcPr>
            <w:tcW w:w="520" w:type="dxa"/>
            <w:vAlign w:val="bottom"/>
            <w:shd w:val="clear" w:color="auto" w:fill="DBDBDB"/>
          </w:tcPr>
          <w:p>
            <w:pPr>
              <w:spacing w:after="0"/>
              <w:rPr>
                <w:sz w:val="22"/>
                <w:szCs w:val="22"/>
                <w:color w:val="auto"/>
              </w:rPr>
            </w:pPr>
          </w:p>
        </w:tc>
        <w:tc>
          <w:tcPr>
            <w:tcW w:w="9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2,859</w:t>
            </w:r>
          </w:p>
        </w:tc>
        <w:tc>
          <w:tcPr>
            <w:tcW w:w="0" w:type="dxa"/>
            <w:vAlign w:val="bottom"/>
          </w:tcPr>
          <w:p>
            <w:pPr>
              <w:spacing w:after="0"/>
              <w:rPr>
                <w:sz w:val="1"/>
                <w:szCs w:val="1"/>
                <w:color w:val="auto"/>
              </w:rPr>
            </w:pPr>
          </w:p>
        </w:tc>
      </w:tr>
      <w:tr>
        <w:trPr>
          <w:trHeight w:val="250"/>
        </w:trPr>
        <w:tc>
          <w:tcPr>
            <w:tcW w:w="6600" w:type="dxa"/>
            <w:vAlign w:val="bottom"/>
            <w:tcBorders>
              <w:bottom w:val="single" w:sz="8" w:color="DBDBDB"/>
            </w:tcBorders>
          </w:tcPr>
          <w:p>
            <w:pPr>
              <w:ind w:left="560"/>
              <w:spacing w:after="0"/>
              <w:rPr>
                <w:sz w:val="20"/>
                <w:szCs w:val="20"/>
                <w:color w:val="auto"/>
              </w:rPr>
            </w:pPr>
            <w:r>
              <w:rPr>
                <w:rFonts w:ascii="Times New Roman" w:cs="Times New Roman" w:eastAsia="Times New Roman" w:hAnsi="Times New Roman"/>
                <w:sz w:val="18"/>
                <w:szCs w:val="18"/>
                <w:color w:val="auto"/>
              </w:rPr>
              <w:t>Other, net</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10,149</w:t>
            </w:r>
          </w:p>
        </w:tc>
        <w:tc>
          <w:tcPr>
            <w:tcW w:w="100" w:type="dxa"/>
            <w:vAlign w:val="bottom"/>
            <w:tcBorders>
              <w:bottom w:val="single" w:sz="8" w:color="DBDBDB"/>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10,412</w:t>
            </w:r>
          </w:p>
        </w:tc>
        <w:tc>
          <w:tcPr>
            <w:tcW w:w="100" w:type="dxa"/>
            <w:vAlign w:val="bottom"/>
            <w:tcBorders>
              <w:bottom w:val="single" w:sz="8" w:color="DBDBDB"/>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5,921</w:t>
            </w:r>
          </w:p>
        </w:tc>
        <w:tc>
          <w:tcPr>
            <w:tcW w:w="0" w:type="dxa"/>
            <w:vAlign w:val="bottom"/>
          </w:tcPr>
          <w:p>
            <w:pPr>
              <w:spacing w:after="0"/>
              <w:rPr>
                <w:sz w:val="1"/>
                <w:szCs w:val="1"/>
                <w:color w:val="auto"/>
              </w:rPr>
            </w:pPr>
          </w:p>
        </w:tc>
      </w:tr>
      <w:tr>
        <w:trPr>
          <w:trHeight w:val="257"/>
        </w:trPr>
        <w:tc>
          <w:tcPr>
            <w:tcW w:w="6600" w:type="dxa"/>
            <w:vAlign w:val="bottom"/>
            <w:shd w:val="clear" w:color="auto" w:fill="DBDBDB"/>
          </w:tcPr>
          <w:p>
            <w:pPr>
              <w:ind w:left="56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40" w:type="dxa"/>
            <w:vAlign w:val="bottom"/>
            <w:tcBorders>
              <w:bottom w:val="single" w:sz="8" w:color="auto"/>
            </w:tcBorders>
            <w:shd w:val="clear" w:color="auto" w:fill="DBDBDB"/>
          </w:tcPr>
          <w:p>
            <w:pPr>
              <w:spacing w:after="0"/>
              <w:rPr>
                <w:sz w:val="22"/>
                <w:szCs w:val="22"/>
                <w:color w:val="auto"/>
              </w:rPr>
            </w:pPr>
          </w:p>
        </w:tc>
        <w:tc>
          <w:tcPr>
            <w:tcW w:w="114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17,769</w:t>
            </w:r>
          </w:p>
        </w:tc>
        <w:tc>
          <w:tcPr>
            <w:tcW w:w="100" w:type="dxa"/>
            <w:vAlign w:val="bottom"/>
            <w:shd w:val="clear" w:color="auto" w:fill="DBDBDB"/>
          </w:tcPr>
          <w:p>
            <w:pPr>
              <w:spacing w:after="0"/>
              <w:rPr>
                <w:sz w:val="22"/>
                <w:szCs w:val="22"/>
                <w:color w:val="auto"/>
              </w:rPr>
            </w:pPr>
          </w:p>
        </w:tc>
        <w:tc>
          <w:tcPr>
            <w:tcW w:w="340" w:type="dxa"/>
            <w:vAlign w:val="bottom"/>
            <w:tcBorders>
              <w:bottom w:val="single" w:sz="8" w:color="auto"/>
            </w:tcBorders>
            <w:shd w:val="clear" w:color="auto" w:fill="DBDBDB"/>
          </w:tcPr>
          <w:p>
            <w:pPr>
              <w:spacing w:after="0"/>
              <w:rPr>
                <w:sz w:val="22"/>
                <w:szCs w:val="22"/>
                <w:color w:val="auto"/>
              </w:rPr>
            </w:pPr>
          </w:p>
        </w:tc>
        <w:tc>
          <w:tcPr>
            <w:tcW w:w="114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43,252</w:t>
            </w:r>
          </w:p>
        </w:tc>
        <w:tc>
          <w:tcPr>
            <w:tcW w:w="100" w:type="dxa"/>
            <w:vAlign w:val="bottom"/>
            <w:shd w:val="clear" w:color="auto" w:fill="DBDBDB"/>
          </w:tcPr>
          <w:p>
            <w:pPr>
              <w:spacing w:after="0"/>
              <w:rPr>
                <w:sz w:val="22"/>
                <w:szCs w:val="22"/>
                <w:color w:val="auto"/>
              </w:rPr>
            </w:pPr>
          </w:p>
        </w:tc>
        <w:tc>
          <w:tcPr>
            <w:tcW w:w="520" w:type="dxa"/>
            <w:vAlign w:val="bottom"/>
            <w:tcBorders>
              <w:bottom w:val="single" w:sz="8" w:color="auto"/>
            </w:tcBorders>
            <w:shd w:val="clear" w:color="auto" w:fill="DBDBDB"/>
          </w:tcPr>
          <w:p>
            <w:pPr>
              <w:spacing w:after="0"/>
              <w:rPr>
                <w:sz w:val="22"/>
                <w:szCs w:val="22"/>
                <w:color w:val="auto"/>
              </w:rPr>
            </w:pPr>
          </w:p>
        </w:tc>
        <w:tc>
          <w:tcPr>
            <w:tcW w:w="96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25,613</w:t>
            </w:r>
          </w:p>
        </w:tc>
        <w:tc>
          <w:tcPr>
            <w:tcW w:w="0" w:type="dxa"/>
            <w:vAlign w:val="bottom"/>
          </w:tcPr>
          <w:p>
            <w:pPr>
              <w:spacing w:after="0"/>
              <w:rPr>
                <w:sz w:val="1"/>
                <w:szCs w:val="1"/>
                <w:color w:val="auto"/>
              </w:rPr>
            </w:pPr>
          </w:p>
        </w:tc>
      </w:tr>
      <w:tr>
        <w:trPr>
          <w:trHeight w:val="23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660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Proceeds from sales of securities available-for-sale</w:t>
            </w:r>
          </w:p>
        </w:tc>
        <w:tc>
          <w:tcPr>
            <w:tcW w:w="340" w:type="dxa"/>
            <w:vAlign w:val="bottom"/>
            <w:shd w:val="clear" w:color="auto" w:fill="DBDBDB"/>
          </w:tcPr>
          <w:p>
            <w:pPr>
              <w:spacing w:after="0"/>
              <w:rPr>
                <w:sz w:val="22"/>
                <w:szCs w:val="22"/>
                <w:color w:val="auto"/>
              </w:rPr>
            </w:pPr>
          </w:p>
        </w:tc>
        <w:tc>
          <w:tcPr>
            <w:tcW w:w="11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86,722</w:t>
            </w:r>
          </w:p>
        </w:tc>
        <w:tc>
          <w:tcPr>
            <w:tcW w:w="100" w:type="dxa"/>
            <w:vAlign w:val="bottom"/>
            <w:shd w:val="clear" w:color="auto" w:fill="DBDBDB"/>
          </w:tcPr>
          <w:p>
            <w:pPr>
              <w:spacing w:after="0"/>
              <w:rPr>
                <w:sz w:val="22"/>
                <w:szCs w:val="22"/>
                <w:color w:val="auto"/>
              </w:rPr>
            </w:pPr>
          </w:p>
        </w:tc>
        <w:tc>
          <w:tcPr>
            <w:tcW w:w="340" w:type="dxa"/>
            <w:vAlign w:val="bottom"/>
            <w:shd w:val="clear" w:color="auto" w:fill="DBDBDB"/>
          </w:tcPr>
          <w:p>
            <w:pPr>
              <w:spacing w:after="0"/>
              <w:rPr>
                <w:sz w:val="22"/>
                <w:szCs w:val="22"/>
                <w:color w:val="auto"/>
              </w:rPr>
            </w:pPr>
          </w:p>
        </w:tc>
        <w:tc>
          <w:tcPr>
            <w:tcW w:w="11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3,838</w:t>
            </w:r>
          </w:p>
        </w:tc>
        <w:tc>
          <w:tcPr>
            <w:tcW w:w="100" w:type="dxa"/>
            <w:vAlign w:val="bottom"/>
            <w:shd w:val="clear" w:color="auto" w:fill="DBDBDB"/>
          </w:tcPr>
          <w:p>
            <w:pPr>
              <w:spacing w:after="0"/>
              <w:rPr>
                <w:sz w:val="22"/>
                <w:szCs w:val="22"/>
                <w:color w:val="auto"/>
              </w:rPr>
            </w:pPr>
          </w:p>
        </w:tc>
        <w:tc>
          <w:tcPr>
            <w:tcW w:w="520" w:type="dxa"/>
            <w:vAlign w:val="bottom"/>
            <w:shd w:val="clear" w:color="auto" w:fill="DBDBDB"/>
          </w:tcPr>
          <w:p>
            <w:pPr>
              <w:spacing w:after="0"/>
              <w:rPr>
                <w:sz w:val="22"/>
                <w:szCs w:val="22"/>
                <w:color w:val="auto"/>
              </w:rPr>
            </w:pPr>
          </w:p>
        </w:tc>
        <w:tc>
          <w:tcPr>
            <w:tcW w:w="9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63,774</w:t>
            </w:r>
          </w:p>
        </w:tc>
        <w:tc>
          <w:tcPr>
            <w:tcW w:w="0" w:type="dxa"/>
            <w:vAlign w:val="bottom"/>
          </w:tcPr>
          <w:p>
            <w:pPr>
              <w:spacing w:after="0"/>
              <w:rPr>
                <w:sz w:val="1"/>
                <w:szCs w:val="1"/>
                <w:color w:val="auto"/>
              </w:rPr>
            </w:pPr>
          </w:p>
        </w:tc>
      </w:tr>
      <w:tr>
        <w:trPr>
          <w:trHeight w:val="25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maturities of securities available-for-sale</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23,032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44,566</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95,787</w:t>
            </w:r>
          </w:p>
        </w:tc>
        <w:tc>
          <w:tcPr>
            <w:tcW w:w="0" w:type="dxa"/>
            <w:vAlign w:val="bottom"/>
          </w:tcPr>
          <w:p>
            <w:pPr>
              <w:spacing w:after="0"/>
              <w:rPr>
                <w:sz w:val="1"/>
                <w:szCs w:val="1"/>
                <w:color w:val="auto"/>
              </w:rPr>
            </w:pPr>
          </w:p>
        </w:tc>
      </w:tr>
      <w:tr>
        <w:trPr>
          <w:trHeight w:val="263"/>
        </w:trPr>
        <w:tc>
          <w:tcPr>
            <w:tcW w:w="660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Purchases of securities available-for-sale</w:t>
            </w:r>
          </w:p>
        </w:tc>
        <w:tc>
          <w:tcPr>
            <w:tcW w:w="340" w:type="dxa"/>
            <w:vAlign w:val="bottom"/>
            <w:shd w:val="clear" w:color="auto" w:fill="DBDBDB"/>
          </w:tcPr>
          <w:p>
            <w:pPr>
              <w:spacing w:after="0"/>
              <w:rPr>
                <w:sz w:val="22"/>
                <w:szCs w:val="22"/>
                <w:color w:val="auto"/>
              </w:rPr>
            </w:pPr>
          </w:p>
        </w:tc>
        <w:tc>
          <w:tcPr>
            <w:tcW w:w="11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(15,332)</w:t>
            </w:r>
          </w:p>
        </w:tc>
        <w:tc>
          <w:tcPr>
            <w:tcW w:w="100" w:type="dxa"/>
            <w:vAlign w:val="bottom"/>
            <w:shd w:val="clear" w:color="auto" w:fill="DBDBDB"/>
          </w:tcPr>
          <w:p>
            <w:pPr>
              <w:spacing w:after="0"/>
              <w:rPr>
                <w:sz w:val="22"/>
                <w:szCs w:val="22"/>
                <w:color w:val="auto"/>
              </w:rPr>
            </w:pPr>
          </w:p>
        </w:tc>
        <w:tc>
          <w:tcPr>
            <w:tcW w:w="340" w:type="dxa"/>
            <w:vAlign w:val="bottom"/>
            <w:shd w:val="clear" w:color="auto" w:fill="DBDBDB"/>
          </w:tcPr>
          <w:p>
            <w:pPr>
              <w:spacing w:after="0"/>
              <w:rPr>
                <w:sz w:val="22"/>
                <w:szCs w:val="22"/>
                <w:color w:val="auto"/>
              </w:rPr>
            </w:pPr>
          </w:p>
        </w:tc>
        <w:tc>
          <w:tcPr>
            <w:tcW w:w="11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(45,340)</w:t>
            </w:r>
          </w:p>
        </w:tc>
        <w:tc>
          <w:tcPr>
            <w:tcW w:w="100" w:type="dxa"/>
            <w:vAlign w:val="bottom"/>
            <w:shd w:val="clear" w:color="auto" w:fill="DBDBDB"/>
          </w:tcPr>
          <w:p>
            <w:pPr>
              <w:spacing w:after="0"/>
              <w:rPr>
                <w:sz w:val="22"/>
                <w:szCs w:val="22"/>
                <w:color w:val="auto"/>
              </w:rPr>
            </w:pPr>
          </w:p>
        </w:tc>
        <w:tc>
          <w:tcPr>
            <w:tcW w:w="520" w:type="dxa"/>
            <w:vAlign w:val="bottom"/>
            <w:shd w:val="clear" w:color="auto" w:fill="DBDBDB"/>
          </w:tcPr>
          <w:p>
            <w:pPr>
              <w:spacing w:after="0"/>
              <w:rPr>
                <w:sz w:val="22"/>
                <w:szCs w:val="22"/>
                <w:color w:val="auto"/>
              </w:rPr>
            </w:pPr>
          </w:p>
        </w:tc>
        <w:tc>
          <w:tcPr>
            <w:tcW w:w="9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(385,651)</w:t>
            </w:r>
          </w:p>
        </w:tc>
        <w:tc>
          <w:tcPr>
            <w:tcW w:w="0" w:type="dxa"/>
            <w:vAlign w:val="bottom"/>
          </w:tcPr>
          <w:p>
            <w:pPr>
              <w:spacing w:after="0"/>
              <w:rPr>
                <w:sz w:val="1"/>
                <w:szCs w:val="1"/>
                <w:color w:val="auto"/>
              </w:rPr>
            </w:pPr>
          </w:p>
        </w:tc>
      </w:tr>
      <w:tr>
        <w:trPr>
          <w:trHeight w:val="25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decrease (increase) in loans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(34,295)</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8,799</w:t>
            </w:r>
          </w:p>
        </w:tc>
        <w:tc>
          <w:tcPr>
            <w:tcW w:w="0" w:type="dxa"/>
            <w:vAlign w:val="bottom"/>
          </w:tcPr>
          <w:p>
            <w:pPr>
              <w:spacing w:after="0"/>
              <w:rPr>
                <w:sz w:val="1"/>
                <w:szCs w:val="1"/>
                <w:color w:val="auto"/>
              </w:rPr>
            </w:pPr>
          </w:p>
        </w:tc>
      </w:tr>
      <w:tr>
        <w:trPr>
          <w:trHeight w:val="263"/>
        </w:trPr>
        <w:tc>
          <w:tcPr>
            <w:tcW w:w="660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Net decrease (increase) in payments in advance of funding</w:t>
            </w:r>
          </w:p>
        </w:tc>
        <w:tc>
          <w:tcPr>
            <w:tcW w:w="340" w:type="dxa"/>
            <w:vAlign w:val="bottom"/>
            <w:shd w:val="clear" w:color="auto" w:fill="DBDBDB"/>
          </w:tcPr>
          <w:p>
            <w:pPr>
              <w:spacing w:after="0"/>
              <w:rPr>
                <w:sz w:val="22"/>
                <w:szCs w:val="22"/>
                <w:color w:val="auto"/>
              </w:rPr>
            </w:pPr>
          </w:p>
        </w:tc>
        <w:tc>
          <w:tcPr>
            <w:tcW w:w="11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94,914</w:t>
            </w:r>
          </w:p>
        </w:tc>
        <w:tc>
          <w:tcPr>
            <w:tcW w:w="100" w:type="dxa"/>
            <w:vAlign w:val="bottom"/>
            <w:shd w:val="clear" w:color="auto" w:fill="DBDBDB"/>
          </w:tcPr>
          <w:p>
            <w:pPr>
              <w:spacing w:after="0"/>
              <w:rPr>
                <w:sz w:val="22"/>
                <w:szCs w:val="22"/>
                <w:color w:val="auto"/>
              </w:rPr>
            </w:pPr>
          </w:p>
        </w:tc>
        <w:tc>
          <w:tcPr>
            <w:tcW w:w="340" w:type="dxa"/>
            <w:vAlign w:val="bottom"/>
            <w:shd w:val="clear" w:color="auto" w:fill="DBDBDB"/>
          </w:tcPr>
          <w:p>
            <w:pPr>
              <w:spacing w:after="0"/>
              <w:rPr>
                <w:sz w:val="22"/>
                <w:szCs w:val="22"/>
                <w:color w:val="auto"/>
              </w:rPr>
            </w:pPr>
          </w:p>
        </w:tc>
        <w:tc>
          <w:tcPr>
            <w:tcW w:w="11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(2,347)</w:t>
            </w:r>
          </w:p>
        </w:tc>
        <w:tc>
          <w:tcPr>
            <w:tcW w:w="100" w:type="dxa"/>
            <w:vAlign w:val="bottom"/>
            <w:shd w:val="clear" w:color="auto" w:fill="DBDBDB"/>
          </w:tcPr>
          <w:p>
            <w:pPr>
              <w:spacing w:after="0"/>
              <w:rPr>
                <w:sz w:val="22"/>
                <w:szCs w:val="22"/>
                <w:color w:val="auto"/>
              </w:rPr>
            </w:pPr>
          </w:p>
        </w:tc>
        <w:tc>
          <w:tcPr>
            <w:tcW w:w="520" w:type="dxa"/>
            <w:vAlign w:val="bottom"/>
            <w:shd w:val="clear" w:color="auto" w:fill="DBDBDB"/>
          </w:tcPr>
          <w:p>
            <w:pPr>
              <w:spacing w:after="0"/>
              <w:rPr>
                <w:sz w:val="22"/>
                <w:szCs w:val="22"/>
                <w:color w:val="auto"/>
              </w:rPr>
            </w:pPr>
          </w:p>
        </w:tc>
        <w:tc>
          <w:tcPr>
            <w:tcW w:w="9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(96,864)</w:t>
            </w:r>
          </w:p>
        </w:tc>
        <w:tc>
          <w:tcPr>
            <w:tcW w:w="0" w:type="dxa"/>
            <w:vAlign w:val="bottom"/>
          </w:tcPr>
          <w:p>
            <w:pPr>
              <w:spacing w:after="0"/>
              <w:rPr>
                <w:sz w:val="1"/>
                <w:szCs w:val="1"/>
                <w:color w:val="auto"/>
              </w:rPr>
            </w:pPr>
          </w:p>
        </w:tc>
      </w:tr>
      <w:tr>
        <w:trPr>
          <w:trHeight w:val="257"/>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 of bank-owned life insurance</w:t>
            </w:r>
          </w:p>
        </w:tc>
        <w:tc>
          <w:tcPr>
            <w:tcW w:w="340" w:type="dxa"/>
            <w:vAlign w:val="bottom"/>
          </w:tcPr>
          <w:p>
            <w:pPr>
              <w:spacing w:after="0"/>
              <w:rPr>
                <w:sz w:val="22"/>
                <w:szCs w:val="22"/>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(25,119)</w:t>
            </w:r>
          </w:p>
        </w:tc>
        <w:tc>
          <w:tcPr>
            <w:tcW w:w="0" w:type="dxa"/>
            <w:vAlign w:val="bottom"/>
          </w:tcPr>
          <w:p>
            <w:pPr>
              <w:spacing w:after="0"/>
              <w:rPr>
                <w:sz w:val="1"/>
                <w:szCs w:val="1"/>
                <w:color w:val="auto"/>
              </w:rPr>
            </w:pPr>
          </w:p>
        </w:tc>
      </w:tr>
      <w:tr>
        <w:trPr>
          <w:trHeight w:val="257"/>
        </w:trPr>
        <w:tc>
          <w:tcPr>
            <w:tcW w:w="660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Purchases of premises and equipment, net</w:t>
            </w:r>
          </w:p>
        </w:tc>
        <w:tc>
          <w:tcPr>
            <w:tcW w:w="340" w:type="dxa"/>
            <w:vAlign w:val="bottom"/>
            <w:shd w:val="clear" w:color="auto" w:fill="DBDBDB"/>
          </w:tcPr>
          <w:p>
            <w:pPr>
              <w:spacing w:after="0"/>
              <w:rPr>
                <w:sz w:val="22"/>
                <w:szCs w:val="22"/>
                <w:color w:val="auto"/>
              </w:rPr>
            </w:pPr>
          </w:p>
        </w:tc>
        <w:tc>
          <w:tcPr>
            <w:tcW w:w="11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(14,262)</w:t>
            </w:r>
          </w:p>
        </w:tc>
        <w:tc>
          <w:tcPr>
            <w:tcW w:w="100" w:type="dxa"/>
            <w:vAlign w:val="bottom"/>
            <w:shd w:val="clear" w:color="auto" w:fill="DBDBDB"/>
          </w:tcPr>
          <w:p>
            <w:pPr>
              <w:spacing w:after="0"/>
              <w:rPr>
                <w:sz w:val="22"/>
                <w:szCs w:val="22"/>
                <w:color w:val="auto"/>
              </w:rPr>
            </w:pPr>
          </w:p>
        </w:tc>
        <w:tc>
          <w:tcPr>
            <w:tcW w:w="340" w:type="dxa"/>
            <w:vAlign w:val="bottom"/>
            <w:shd w:val="clear" w:color="auto" w:fill="DBDBDB"/>
          </w:tcPr>
          <w:p>
            <w:pPr>
              <w:spacing w:after="0"/>
              <w:rPr>
                <w:sz w:val="22"/>
                <w:szCs w:val="22"/>
                <w:color w:val="auto"/>
              </w:rPr>
            </w:pPr>
          </w:p>
        </w:tc>
        <w:tc>
          <w:tcPr>
            <w:tcW w:w="11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(5,851)</w:t>
            </w:r>
          </w:p>
        </w:tc>
        <w:tc>
          <w:tcPr>
            <w:tcW w:w="100" w:type="dxa"/>
            <w:vAlign w:val="bottom"/>
            <w:shd w:val="clear" w:color="auto" w:fill="DBDBDB"/>
          </w:tcPr>
          <w:p>
            <w:pPr>
              <w:spacing w:after="0"/>
              <w:rPr>
                <w:sz w:val="22"/>
                <w:szCs w:val="22"/>
                <w:color w:val="auto"/>
              </w:rPr>
            </w:pPr>
          </w:p>
        </w:tc>
        <w:tc>
          <w:tcPr>
            <w:tcW w:w="520" w:type="dxa"/>
            <w:vAlign w:val="bottom"/>
            <w:shd w:val="clear" w:color="auto" w:fill="DBDBDB"/>
          </w:tcPr>
          <w:p>
            <w:pPr>
              <w:spacing w:after="0"/>
              <w:rPr>
                <w:sz w:val="22"/>
                <w:szCs w:val="22"/>
                <w:color w:val="auto"/>
              </w:rPr>
            </w:pPr>
          </w:p>
        </w:tc>
        <w:tc>
          <w:tcPr>
            <w:tcW w:w="9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(2,233)</w:t>
            </w:r>
          </w:p>
        </w:tc>
        <w:tc>
          <w:tcPr>
            <w:tcW w:w="0" w:type="dxa"/>
            <w:vAlign w:val="bottom"/>
          </w:tcPr>
          <w:p>
            <w:pPr>
              <w:spacing w:after="0"/>
              <w:rPr>
                <w:sz w:val="1"/>
                <w:szCs w:val="1"/>
                <w:color w:val="auto"/>
              </w:rPr>
            </w:pPr>
          </w:p>
        </w:tc>
      </w:tr>
      <w:tr>
        <w:trPr>
          <w:trHeight w:val="25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 acquisition of TouchPoint</w:t>
            </w:r>
          </w:p>
        </w:tc>
        <w:tc>
          <w:tcPr>
            <w:tcW w:w="34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(4,814)</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6600" w:type="dxa"/>
            <w:vAlign w:val="bottom"/>
            <w:tcBorders>
              <w:top w:val="single" w:sz="8" w:color="DBDBDB"/>
            </w:tcBorders>
            <w:shd w:val="clear" w:color="auto" w:fill="DBDBDB"/>
          </w:tcPr>
          <w:p>
            <w:pPr>
              <w:ind w:left="56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340" w:type="dxa"/>
            <w:vAlign w:val="bottom"/>
            <w:tcBorders>
              <w:top w:val="single" w:sz="8" w:color="auto"/>
              <w:bottom w:val="single" w:sz="8" w:color="auto"/>
            </w:tcBorders>
            <w:shd w:val="clear" w:color="auto" w:fill="DBDBDB"/>
          </w:tcPr>
          <w:p>
            <w:pPr>
              <w:spacing w:after="0"/>
              <w:rPr>
                <w:sz w:val="22"/>
                <w:szCs w:val="22"/>
                <w:color w:val="auto"/>
              </w:rPr>
            </w:pPr>
          </w:p>
        </w:tc>
        <w:tc>
          <w:tcPr>
            <w:tcW w:w="11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179,051</w:t>
            </w:r>
          </w:p>
        </w:tc>
        <w:tc>
          <w:tcPr>
            <w:tcW w:w="100" w:type="dxa"/>
            <w:vAlign w:val="bottom"/>
            <w:tcBorders>
              <w:top w:val="single" w:sz="8" w:color="DBDBDB"/>
            </w:tcBorders>
            <w:shd w:val="clear" w:color="auto" w:fill="DBDBDB"/>
          </w:tcPr>
          <w:p>
            <w:pPr>
              <w:spacing w:after="0"/>
              <w:rPr>
                <w:sz w:val="22"/>
                <w:szCs w:val="22"/>
                <w:color w:val="auto"/>
              </w:rPr>
            </w:pPr>
          </w:p>
        </w:tc>
        <w:tc>
          <w:tcPr>
            <w:tcW w:w="340" w:type="dxa"/>
            <w:vAlign w:val="bottom"/>
            <w:tcBorders>
              <w:top w:val="single" w:sz="8" w:color="auto"/>
              <w:bottom w:val="single" w:sz="8" w:color="auto"/>
            </w:tcBorders>
            <w:shd w:val="clear" w:color="auto" w:fill="DBDBDB"/>
          </w:tcPr>
          <w:p>
            <w:pPr>
              <w:spacing w:after="0"/>
              <w:rPr>
                <w:sz w:val="22"/>
                <w:szCs w:val="22"/>
                <w:color w:val="auto"/>
              </w:rPr>
            </w:pPr>
          </w:p>
        </w:tc>
        <w:tc>
          <w:tcPr>
            <w:tcW w:w="11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(48,243)</w:t>
            </w:r>
          </w:p>
        </w:tc>
        <w:tc>
          <w:tcPr>
            <w:tcW w:w="100" w:type="dxa"/>
            <w:vAlign w:val="bottom"/>
            <w:tcBorders>
              <w:top w:val="single" w:sz="8" w:color="DBDBDB"/>
            </w:tcBorders>
            <w:shd w:val="clear" w:color="auto" w:fill="DBDBDB"/>
          </w:tcPr>
          <w:p>
            <w:pPr>
              <w:spacing w:after="0"/>
              <w:rPr>
                <w:sz w:val="22"/>
                <w:szCs w:val="22"/>
                <w:color w:val="auto"/>
              </w:rPr>
            </w:pPr>
          </w:p>
        </w:tc>
        <w:tc>
          <w:tcPr>
            <w:tcW w:w="520" w:type="dxa"/>
            <w:vAlign w:val="bottom"/>
            <w:tcBorders>
              <w:top w:val="single" w:sz="8" w:color="auto"/>
              <w:bottom w:val="single" w:sz="8" w:color="auto"/>
            </w:tcBorders>
            <w:shd w:val="clear" w:color="auto" w:fill="DBDBDB"/>
          </w:tcPr>
          <w:p>
            <w:pPr>
              <w:spacing w:after="0"/>
              <w:rPr>
                <w:sz w:val="22"/>
                <w:szCs w:val="22"/>
                <w:color w:val="auto"/>
              </w:rPr>
            </w:pPr>
          </w:p>
        </w:tc>
        <w:tc>
          <w:tcPr>
            <w:tcW w:w="9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(341,507)</w:t>
            </w:r>
          </w:p>
        </w:tc>
        <w:tc>
          <w:tcPr>
            <w:tcW w:w="0" w:type="dxa"/>
            <w:vAlign w:val="bottom"/>
          </w:tcPr>
          <w:p>
            <w:pPr>
              <w:spacing w:after="0"/>
              <w:rPr>
                <w:sz w:val="1"/>
                <w:szCs w:val="1"/>
                <w:color w:val="auto"/>
              </w:rPr>
            </w:pPr>
          </w:p>
        </w:tc>
      </w:tr>
      <w:tr>
        <w:trPr>
          <w:trHeight w:val="23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660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Net (increase) decrease in accounts and drafts receivable from customers</w:t>
            </w:r>
          </w:p>
        </w:tc>
        <w:tc>
          <w:tcPr>
            <w:tcW w:w="340" w:type="dxa"/>
            <w:vAlign w:val="bottom"/>
            <w:shd w:val="clear" w:color="auto" w:fill="DBDBDB"/>
          </w:tcPr>
          <w:p>
            <w:pPr>
              <w:spacing w:after="0"/>
              <w:rPr>
                <w:sz w:val="22"/>
                <w:szCs w:val="22"/>
                <w:color w:val="auto"/>
              </w:rPr>
            </w:pPr>
          </w:p>
        </w:tc>
        <w:tc>
          <w:tcPr>
            <w:tcW w:w="11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(14,872)</w:t>
            </w:r>
          </w:p>
        </w:tc>
        <w:tc>
          <w:tcPr>
            <w:tcW w:w="100" w:type="dxa"/>
            <w:vAlign w:val="bottom"/>
            <w:shd w:val="clear" w:color="auto" w:fill="DBDBDB"/>
          </w:tcPr>
          <w:p>
            <w:pPr>
              <w:spacing w:after="0"/>
              <w:rPr>
                <w:sz w:val="22"/>
                <w:szCs w:val="22"/>
                <w:color w:val="auto"/>
              </w:rPr>
            </w:pPr>
          </w:p>
        </w:tc>
        <w:tc>
          <w:tcPr>
            <w:tcW w:w="340" w:type="dxa"/>
            <w:vAlign w:val="bottom"/>
            <w:shd w:val="clear" w:color="auto" w:fill="DBDBDB"/>
          </w:tcPr>
          <w:p>
            <w:pPr>
              <w:spacing w:after="0"/>
              <w:rPr>
                <w:sz w:val="22"/>
                <w:szCs w:val="22"/>
                <w:color w:val="auto"/>
              </w:rPr>
            </w:pPr>
          </w:p>
        </w:tc>
        <w:tc>
          <w:tcPr>
            <w:tcW w:w="11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(90,787)</w:t>
            </w:r>
          </w:p>
        </w:tc>
        <w:tc>
          <w:tcPr>
            <w:tcW w:w="100" w:type="dxa"/>
            <w:vAlign w:val="bottom"/>
            <w:shd w:val="clear" w:color="auto" w:fill="DBDBDB"/>
          </w:tcPr>
          <w:p>
            <w:pPr>
              <w:spacing w:after="0"/>
              <w:rPr>
                <w:sz w:val="22"/>
                <w:szCs w:val="22"/>
                <w:color w:val="auto"/>
              </w:rPr>
            </w:pPr>
          </w:p>
        </w:tc>
        <w:tc>
          <w:tcPr>
            <w:tcW w:w="520" w:type="dxa"/>
            <w:vAlign w:val="bottom"/>
            <w:shd w:val="clear" w:color="auto" w:fill="DBDBDB"/>
          </w:tcPr>
          <w:p>
            <w:pPr>
              <w:spacing w:after="0"/>
              <w:rPr>
                <w:sz w:val="22"/>
                <w:szCs w:val="22"/>
                <w:color w:val="auto"/>
              </w:rPr>
            </w:pPr>
          </w:p>
        </w:tc>
        <w:tc>
          <w:tcPr>
            <w:tcW w:w="9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5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increase in accounts and drafts payable</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11,875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16,393</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208,650</w:t>
            </w:r>
          </w:p>
        </w:tc>
        <w:tc>
          <w:tcPr>
            <w:tcW w:w="0" w:type="dxa"/>
            <w:vAlign w:val="bottom"/>
          </w:tcPr>
          <w:p>
            <w:pPr>
              <w:spacing w:after="0"/>
              <w:rPr>
                <w:sz w:val="1"/>
                <w:szCs w:val="1"/>
                <w:color w:val="auto"/>
              </w:rPr>
            </w:pPr>
          </w:p>
        </w:tc>
      </w:tr>
      <w:tr>
        <w:trPr>
          <w:trHeight w:val="263"/>
        </w:trPr>
        <w:tc>
          <w:tcPr>
            <w:tcW w:w="660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Cash dividends paid</w:t>
            </w:r>
          </w:p>
        </w:tc>
        <w:tc>
          <w:tcPr>
            <w:tcW w:w="340" w:type="dxa"/>
            <w:vAlign w:val="bottom"/>
            <w:shd w:val="clear" w:color="auto" w:fill="DBDBDB"/>
          </w:tcPr>
          <w:p>
            <w:pPr>
              <w:spacing w:after="0"/>
              <w:rPr>
                <w:sz w:val="22"/>
                <w:szCs w:val="22"/>
                <w:color w:val="auto"/>
              </w:rPr>
            </w:pPr>
          </w:p>
        </w:tc>
        <w:tc>
          <w:tcPr>
            <w:tcW w:w="11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(15,959)</w:t>
            </w:r>
          </w:p>
        </w:tc>
        <w:tc>
          <w:tcPr>
            <w:tcW w:w="100" w:type="dxa"/>
            <w:vAlign w:val="bottom"/>
            <w:shd w:val="clear" w:color="auto" w:fill="DBDBDB"/>
          </w:tcPr>
          <w:p>
            <w:pPr>
              <w:spacing w:after="0"/>
              <w:rPr>
                <w:sz w:val="22"/>
                <w:szCs w:val="22"/>
                <w:color w:val="auto"/>
              </w:rPr>
            </w:pPr>
          </w:p>
        </w:tc>
        <w:tc>
          <w:tcPr>
            <w:tcW w:w="340" w:type="dxa"/>
            <w:vAlign w:val="bottom"/>
            <w:shd w:val="clear" w:color="auto" w:fill="DBDBDB"/>
          </w:tcPr>
          <w:p>
            <w:pPr>
              <w:spacing w:after="0"/>
              <w:rPr>
                <w:sz w:val="22"/>
                <w:szCs w:val="22"/>
                <w:color w:val="auto"/>
              </w:rPr>
            </w:pPr>
          </w:p>
        </w:tc>
        <w:tc>
          <w:tcPr>
            <w:tcW w:w="11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(15,442)</w:t>
            </w:r>
          </w:p>
        </w:tc>
        <w:tc>
          <w:tcPr>
            <w:tcW w:w="100" w:type="dxa"/>
            <w:vAlign w:val="bottom"/>
            <w:shd w:val="clear" w:color="auto" w:fill="DBDBDB"/>
          </w:tcPr>
          <w:p>
            <w:pPr>
              <w:spacing w:after="0"/>
              <w:rPr>
                <w:sz w:val="22"/>
                <w:szCs w:val="22"/>
                <w:color w:val="auto"/>
              </w:rPr>
            </w:pPr>
          </w:p>
        </w:tc>
        <w:tc>
          <w:tcPr>
            <w:tcW w:w="520" w:type="dxa"/>
            <w:vAlign w:val="bottom"/>
            <w:shd w:val="clear" w:color="auto" w:fill="DBDBDB"/>
          </w:tcPr>
          <w:p>
            <w:pPr>
              <w:spacing w:after="0"/>
              <w:rPr>
                <w:sz w:val="22"/>
                <w:szCs w:val="22"/>
                <w:color w:val="auto"/>
              </w:rPr>
            </w:pPr>
          </w:p>
        </w:tc>
        <w:tc>
          <w:tcPr>
            <w:tcW w:w="9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(15,446)</w:t>
            </w:r>
          </w:p>
        </w:tc>
        <w:tc>
          <w:tcPr>
            <w:tcW w:w="0" w:type="dxa"/>
            <w:vAlign w:val="bottom"/>
          </w:tcPr>
          <w:p>
            <w:pPr>
              <w:spacing w:after="0"/>
              <w:rPr>
                <w:sz w:val="1"/>
                <w:szCs w:val="1"/>
                <w:color w:val="auto"/>
              </w:rPr>
            </w:pPr>
          </w:p>
        </w:tc>
      </w:tr>
      <w:tr>
        <w:trPr>
          <w:trHeight w:val="25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 of common shares for treasury</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(5,299)</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(30,997)</w:t>
            </w:r>
          </w:p>
        </w:tc>
        <w:tc>
          <w:tcPr>
            <w:tcW w:w="0" w:type="dxa"/>
            <w:vAlign w:val="bottom"/>
          </w:tcPr>
          <w:p>
            <w:pPr>
              <w:spacing w:after="0"/>
              <w:rPr>
                <w:sz w:val="1"/>
                <w:szCs w:val="1"/>
                <w:color w:val="auto"/>
              </w:rPr>
            </w:pPr>
          </w:p>
        </w:tc>
      </w:tr>
      <w:tr>
        <w:trPr>
          <w:trHeight w:val="257"/>
        </w:trPr>
        <w:tc>
          <w:tcPr>
            <w:tcW w:w="660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Other financing activities, net</w:t>
            </w:r>
          </w:p>
        </w:tc>
        <w:tc>
          <w:tcPr>
            <w:tcW w:w="340" w:type="dxa"/>
            <w:vAlign w:val="bottom"/>
            <w:tcBorders>
              <w:bottom w:val="single" w:sz="8" w:color="auto"/>
            </w:tcBorders>
            <w:shd w:val="clear" w:color="auto" w:fill="DBDBDB"/>
          </w:tcPr>
          <w:p>
            <w:pPr>
              <w:spacing w:after="0"/>
              <w:rPr>
                <w:sz w:val="22"/>
                <w:szCs w:val="22"/>
                <w:color w:val="auto"/>
              </w:rPr>
            </w:pPr>
          </w:p>
        </w:tc>
        <w:tc>
          <w:tcPr>
            <w:tcW w:w="114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(834)</w:t>
            </w:r>
          </w:p>
        </w:tc>
        <w:tc>
          <w:tcPr>
            <w:tcW w:w="100" w:type="dxa"/>
            <w:vAlign w:val="bottom"/>
            <w:shd w:val="clear" w:color="auto" w:fill="DBDBDB"/>
          </w:tcPr>
          <w:p>
            <w:pPr>
              <w:spacing w:after="0"/>
              <w:rPr>
                <w:sz w:val="22"/>
                <w:szCs w:val="22"/>
                <w:color w:val="auto"/>
              </w:rPr>
            </w:pPr>
          </w:p>
        </w:tc>
        <w:tc>
          <w:tcPr>
            <w:tcW w:w="340" w:type="dxa"/>
            <w:vAlign w:val="bottom"/>
            <w:tcBorders>
              <w:bottom w:val="single" w:sz="8" w:color="auto"/>
            </w:tcBorders>
            <w:shd w:val="clear" w:color="auto" w:fill="DBDBDB"/>
          </w:tcPr>
          <w:p>
            <w:pPr>
              <w:spacing w:after="0"/>
              <w:rPr>
                <w:sz w:val="22"/>
                <w:szCs w:val="22"/>
                <w:color w:val="auto"/>
              </w:rPr>
            </w:pPr>
          </w:p>
        </w:tc>
        <w:tc>
          <w:tcPr>
            <w:tcW w:w="114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100" w:type="dxa"/>
            <w:vAlign w:val="bottom"/>
            <w:shd w:val="clear" w:color="auto" w:fill="DBDBDB"/>
          </w:tcPr>
          <w:p>
            <w:pPr>
              <w:spacing w:after="0"/>
              <w:rPr>
                <w:sz w:val="22"/>
                <w:szCs w:val="22"/>
                <w:color w:val="auto"/>
              </w:rPr>
            </w:pPr>
          </w:p>
        </w:tc>
        <w:tc>
          <w:tcPr>
            <w:tcW w:w="520" w:type="dxa"/>
            <w:vAlign w:val="bottom"/>
            <w:tcBorders>
              <w:bottom w:val="single" w:sz="8" w:color="auto"/>
            </w:tcBorders>
            <w:shd w:val="clear" w:color="auto" w:fill="DBDBDB"/>
          </w:tcPr>
          <w:p>
            <w:pPr>
              <w:spacing w:after="0"/>
              <w:rPr>
                <w:sz w:val="22"/>
                <w:szCs w:val="22"/>
                <w:color w:val="auto"/>
              </w:rPr>
            </w:pPr>
          </w:p>
        </w:tc>
        <w:tc>
          <w:tcPr>
            <w:tcW w:w="96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0" w:type="dxa"/>
            <w:vAlign w:val="bottom"/>
          </w:tcPr>
          <w:p>
            <w:pPr>
              <w:spacing w:after="0"/>
              <w:rPr>
                <w:sz w:val="1"/>
                <w:szCs w:val="1"/>
                <w:color w:val="auto"/>
              </w:rPr>
            </w:pPr>
          </w:p>
        </w:tc>
      </w:tr>
      <w:tr>
        <w:trPr>
          <w:trHeight w:val="250"/>
        </w:trPr>
        <w:tc>
          <w:tcPr>
            <w:tcW w:w="6600" w:type="dxa"/>
            <w:vAlign w:val="bottom"/>
            <w:tcBorders>
              <w:bottom w:val="single" w:sz="8" w:color="DBDBDB"/>
            </w:tcBorders>
          </w:tcPr>
          <w:p>
            <w:pPr>
              <w:ind w:left="560"/>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(25,563)</w:t>
            </w:r>
          </w:p>
        </w:tc>
        <w:tc>
          <w:tcPr>
            <w:tcW w:w="100" w:type="dxa"/>
            <w:vAlign w:val="bottom"/>
            <w:tcBorders>
              <w:bottom w:val="single" w:sz="8" w:color="DBDBDB"/>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(95,729)</w:t>
            </w:r>
          </w:p>
        </w:tc>
        <w:tc>
          <w:tcPr>
            <w:tcW w:w="100" w:type="dxa"/>
            <w:vAlign w:val="bottom"/>
            <w:tcBorders>
              <w:bottom w:val="single" w:sz="8" w:color="DBDBDB"/>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161,363</w:t>
            </w:r>
          </w:p>
        </w:tc>
        <w:tc>
          <w:tcPr>
            <w:tcW w:w="0" w:type="dxa"/>
            <w:vAlign w:val="bottom"/>
          </w:tcPr>
          <w:p>
            <w:pPr>
              <w:spacing w:after="0"/>
              <w:rPr>
                <w:sz w:val="1"/>
                <w:szCs w:val="1"/>
                <w:color w:val="auto"/>
              </w:rPr>
            </w:pPr>
          </w:p>
        </w:tc>
      </w:tr>
      <w:tr>
        <w:trPr>
          <w:trHeight w:val="257"/>
        </w:trPr>
        <w:tc>
          <w:tcPr>
            <w:tcW w:w="660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340" w:type="dxa"/>
            <w:vAlign w:val="bottom"/>
            <w:shd w:val="clear" w:color="auto" w:fill="DBDBDB"/>
          </w:tcPr>
          <w:p>
            <w:pPr>
              <w:spacing w:after="0"/>
              <w:rPr>
                <w:sz w:val="22"/>
                <w:szCs w:val="22"/>
                <w:color w:val="auto"/>
              </w:rPr>
            </w:pPr>
          </w:p>
        </w:tc>
        <w:tc>
          <w:tcPr>
            <w:tcW w:w="11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171,257</w:t>
            </w:r>
          </w:p>
        </w:tc>
        <w:tc>
          <w:tcPr>
            <w:tcW w:w="100" w:type="dxa"/>
            <w:vAlign w:val="bottom"/>
            <w:shd w:val="clear" w:color="auto" w:fill="DBDBDB"/>
          </w:tcPr>
          <w:p>
            <w:pPr>
              <w:spacing w:after="0"/>
              <w:rPr>
                <w:sz w:val="22"/>
                <w:szCs w:val="22"/>
                <w:color w:val="auto"/>
              </w:rPr>
            </w:pPr>
          </w:p>
        </w:tc>
        <w:tc>
          <w:tcPr>
            <w:tcW w:w="340" w:type="dxa"/>
            <w:vAlign w:val="bottom"/>
            <w:shd w:val="clear" w:color="auto" w:fill="DBDBDB"/>
          </w:tcPr>
          <w:p>
            <w:pPr>
              <w:spacing w:after="0"/>
              <w:rPr>
                <w:sz w:val="22"/>
                <w:szCs w:val="22"/>
                <w:color w:val="auto"/>
              </w:rPr>
            </w:pPr>
          </w:p>
        </w:tc>
        <w:tc>
          <w:tcPr>
            <w:tcW w:w="11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(100,720)</w:t>
            </w:r>
          </w:p>
        </w:tc>
        <w:tc>
          <w:tcPr>
            <w:tcW w:w="100" w:type="dxa"/>
            <w:vAlign w:val="bottom"/>
            <w:shd w:val="clear" w:color="auto" w:fill="DBDBDB"/>
          </w:tcPr>
          <w:p>
            <w:pPr>
              <w:spacing w:after="0"/>
              <w:rPr>
                <w:sz w:val="22"/>
                <w:szCs w:val="22"/>
                <w:color w:val="auto"/>
              </w:rPr>
            </w:pPr>
          </w:p>
        </w:tc>
        <w:tc>
          <w:tcPr>
            <w:tcW w:w="520" w:type="dxa"/>
            <w:vAlign w:val="bottom"/>
            <w:shd w:val="clear" w:color="auto" w:fill="DBDBDB"/>
          </w:tcPr>
          <w:p>
            <w:pPr>
              <w:spacing w:after="0"/>
              <w:rPr>
                <w:sz w:val="22"/>
                <w:szCs w:val="22"/>
                <w:color w:val="auto"/>
              </w:rPr>
            </w:pPr>
          </w:p>
        </w:tc>
        <w:tc>
          <w:tcPr>
            <w:tcW w:w="9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(154,531)</w:t>
            </w:r>
          </w:p>
        </w:tc>
        <w:tc>
          <w:tcPr>
            <w:tcW w:w="0" w:type="dxa"/>
            <w:vAlign w:val="bottom"/>
          </w:tcPr>
          <w:p>
            <w:pPr>
              <w:spacing w:after="0"/>
              <w:rPr>
                <w:sz w:val="1"/>
                <w:szCs w:val="1"/>
                <w:color w:val="auto"/>
              </w:rPr>
            </w:pPr>
          </w:p>
        </w:tc>
      </w:tr>
      <w:tr>
        <w:trPr>
          <w:trHeight w:val="250"/>
        </w:trPr>
        <w:tc>
          <w:tcPr>
            <w:tcW w:w="6600" w:type="dxa"/>
            <w:vAlign w:val="bottom"/>
            <w:tcBorders>
              <w:bottom w:val="single" w:sz="8" w:color="DBDBDB"/>
            </w:tcBorders>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beginning of year</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31,915</w:t>
            </w:r>
          </w:p>
        </w:tc>
        <w:tc>
          <w:tcPr>
            <w:tcW w:w="100" w:type="dxa"/>
            <w:vAlign w:val="bottom"/>
            <w:tcBorders>
              <w:bottom w:val="single" w:sz="8" w:color="DBDBDB"/>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132,635</w:t>
            </w:r>
          </w:p>
        </w:tc>
        <w:tc>
          <w:tcPr>
            <w:tcW w:w="100" w:type="dxa"/>
            <w:vAlign w:val="bottom"/>
            <w:tcBorders>
              <w:bottom w:val="single" w:sz="8" w:color="DBDBDB"/>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287,166</w:t>
            </w:r>
          </w:p>
        </w:tc>
        <w:tc>
          <w:tcPr>
            <w:tcW w:w="0" w:type="dxa"/>
            <w:vAlign w:val="bottom"/>
          </w:tcPr>
          <w:p>
            <w:pPr>
              <w:spacing w:after="0"/>
              <w:rPr>
                <w:sz w:val="1"/>
                <w:szCs w:val="1"/>
                <w:color w:val="auto"/>
              </w:rPr>
            </w:pPr>
          </w:p>
        </w:tc>
      </w:tr>
      <w:tr>
        <w:trPr>
          <w:trHeight w:val="282"/>
        </w:trPr>
        <w:tc>
          <w:tcPr>
            <w:tcW w:w="6600" w:type="dxa"/>
            <w:vAlign w:val="bottom"/>
            <w:tcBorders>
              <w:bottom w:val="single" w:sz="8" w:color="DBDBDB"/>
            </w:tcBorders>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end of year</w:t>
            </w:r>
          </w:p>
        </w:tc>
        <w:tc>
          <w:tcPr>
            <w:tcW w:w="340" w:type="dxa"/>
            <w:vAlign w:val="bottom"/>
            <w:tcBorders>
              <w:bottom w:val="single" w:sz="8" w:color="auto"/>
            </w:tcBorders>
            <w:shd w:val="clear" w:color="auto" w:fill="DBDBDB"/>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203,172</w:t>
            </w:r>
          </w:p>
        </w:tc>
        <w:tc>
          <w:tcPr>
            <w:tcW w:w="100" w:type="dxa"/>
            <w:vAlign w:val="bottom"/>
            <w:tcBorders>
              <w:bottom w:val="single" w:sz="8" w:color="DBDBDB"/>
            </w:tcBorders>
            <w:shd w:val="clear" w:color="auto" w:fill="DBDBDB"/>
          </w:tcPr>
          <w:p>
            <w:pPr>
              <w:spacing w:after="0"/>
              <w:rPr>
                <w:sz w:val="24"/>
                <w:szCs w:val="24"/>
                <w:color w:val="auto"/>
              </w:rPr>
            </w:pPr>
          </w:p>
        </w:tc>
        <w:tc>
          <w:tcPr>
            <w:tcW w:w="340" w:type="dxa"/>
            <w:vAlign w:val="bottom"/>
            <w:tcBorders>
              <w:bottom w:val="single" w:sz="8" w:color="auto"/>
            </w:tcBorders>
            <w:shd w:val="clear" w:color="auto" w:fill="DBDBDB"/>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31,915</w:t>
            </w:r>
          </w:p>
        </w:tc>
        <w:tc>
          <w:tcPr>
            <w:tcW w:w="100" w:type="dxa"/>
            <w:vAlign w:val="bottom"/>
            <w:tcBorders>
              <w:bottom w:val="single" w:sz="8" w:color="DBDBDB"/>
            </w:tcBorders>
            <w:shd w:val="clear" w:color="auto" w:fill="DBDBDB"/>
          </w:tcPr>
          <w:p>
            <w:pPr>
              <w:spacing w:after="0"/>
              <w:rPr>
                <w:sz w:val="24"/>
                <w:szCs w:val="24"/>
                <w:color w:val="auto"/>
              </w:rPr>
            </w:pPr>
          </w:p>
        </w:tc>
        <w:tc>
          <w:tcPr>
            <w:tcW w:w="520" w:type="dxa"/>
            <w:vAlign w:val="bottom"/>
            <w:tcBorders>
              <w:bottom w:val="single" w:sz="8" w:color="auto"/>
            </w:tcBorders>
            <w:shd w:val="clear" w:color="auto" w:fill="DBDBDB"/>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132,635</w:t>
            </w:r>
          </w:p>
        </w:tc>
        <w:tc>
          <w:tcPr>
            <w:tcW w:w="0" w:type="dxa"/>
            <w:vAlign w:val="bottom"/>
          </w:tcPr>
          <w:p>
            <w:pPr>
              <w:spacing w:after="0"/>
              <w:rPr>
                <w:sz w:val="1"/>
                <w:szCs w:val="1"/>
                <w:color w:val="auto"/>
              </w:rPr>
            </w:pPr>
          </w:p>
        </w:tc>
      </w:tr>
      <w:tr>
        <w:trPr>
          <w:trHeight w:val="20"/>
        </w:trPr>
        <w:tc>
          <w:tcPr>
            <w:tcW w:w="6600" w:type="dxa"/>
            <w:vAlign w:val="bottom"/>
            <w:tcBorders>
              <w:top w:val="single" w:sz="8" w:color="DBDBDB"/>
              <w:bottom w:val="single" w:sz="8" w:color="DBDBDB"/>
            </w:tcBorders>
            <w:vMerge w:val="restart"/>
          </w:tcPr>
          <w:p>
            <w:pPr>
              <w:ind w:left="5540"/>
              <w:spacing w:after="0"/>
              <w:rPr>
                <w:sz w:val="20"/>
                <w:szCs w:val="20"/>
                <w:color w:val="auto"/>
              </w:rPr>
            </w:pPr>
            <w:r>
              <w:rPr>
                <w:rFonts w:ascii="Times New Roman" w:cs="Times New Roman" w:eastAsia="Times New Roman" w:hAnsi="Times New Roman"/>
                <w:sz w:val="18"/>
                <w:szCs w:val="18"/>
                <w:color w:val="auto"/>
              </w:rPr>
              <w:t>76</w:t>
            </w:r>
          </w:p>
        </w:tc>
        <w:tc>
          <w:tcPr>
            <w:tcW w:w="340" w:type="dxa"/>
            <w:vAlign w:val="bottom"/>
            <w:tcBorders>
              <w:top w:val="single" w:sz="8" w:color="DBDBDB"/>
              <w:bottom w:val="single" w:sz="8" w:color="auto"/>
            </w:tcBorders>
          </w:tcPr>
          <w:p>
            <w:pPr>
              <w:spacing w:after="0" w:line="20" w:lineRule="exact"/>
              <w:rPr>
                <w:sz w:val="1"/>
                <w:szCs w:val="1"/>
                <w:color w:val="auto"/>
              </w:rPr>
            </w:pPr>
          </w:p>
        </w:tc>
        <w:tc>
          <w:tcPr>
            <w:tcW w:w="114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40" w:type="dxa"/>
            <w:vAlign w:val="bottom"/>
            <w:tcBorders>
              <w:top w:val="single" w:sz="8" w:color="DBDBDB"/>
              <w:bottom w:val="single" w:sz="8" w:color="auto"/>
            </w:tcBorders>
          </w:tcPr>
          <w:p>
            <w:pPr>
              <w:spacing w:after="0" w:line="20" w:lineRule="exact"/>
              <w:rPr>
                <w:sz w:val="1"/>
                <w:szCs w:val="1"/>
                <w:color w:val="auto"/>
              </w:rPr>
            </w:pPr>
          </w:p>
        </w:tc>
        <w:tc>
          <w:tcPr>
            <w:tcW w:w="114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520" w:type="dxa"/>
            <w:vAlign w:val="bottom"/>
            <w:tcBorders>
              <w:top w:val="single" w:sz="8" w:color="DBDBDB"/>
              <w:bottom w:val="single" w:sz="8" w:color="auto"/>
            </w:tcBorders>
          </w:tcPr>
          <w:p>
            <w:pPr>
              <w:spacing w:after="0" w:line="20" w:lineRule="exact"/>
              <w:rPr>
                <w:sz w:val="1"/>
                <w:szCs w:val="1"/>
                <w:color w:val="auto"/>
              </w:rPr>
            </w:pPr>
          </w:p>
        </w:tc>
        <w:tc>
          <w:tcPr>
            <w:tcW w:w="96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9"/>
        </w:trPr>
        <w:tc>
          <w:tcPr>
            <w:tcW w:w="660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66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Cass Information Systems, Inc.:</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Opinion on the Consolidated Financial Statements</w:t>
      </w:r>
    </w:p>
    <w:p>
      <w:pPr>
        <w:spacing w:after="0" w:line="227" w:lineRule="exact"/>
        <w:rPr>
          <w:sz w:val="20"/>
          <w:szCs w:val="20"/>
          <w:color w:val="auto"/>
        </w:rPr>
      </w:pPr>
    </w:p>
    <w:p>
      <w:pPr>
        <w:jc w:val="both"/>
        <w:spacing w:after="0" w:line="219" w:lineRule="exact"/>
        <w:rPr>
          <w:sz w:val="20"/>
          <w:szCs w:val="20"/>
          <w:color w:val="auto"/>
        </w:rPr>
      </w:pPr>
      <w:r>
        <w:rPr>
          <w:rFonts w:ascii="Times New Roman" w:cs="Times New Roman" w:eastAsia="Times New Roman" w:hAnsi="Times New Roman"/>
          <w:sz w:val="18"/>
          <w:szCs w:val="18"/>
          <w:color w:val="auto"/>
        </w:rPr>
        <w:t>We have audited the accompanying consolidated balance sheets of Cass Information Systems, Inc. and subsidiaries (the Company) as of December 31, 2023 and 2022, the related consolidated statements of income, comprehensive income, cash flows, and shareholders’ equity for each of the years in the three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year period ended December 31, 2023, and the related notes (collectively, the consolidated financial statements). In our opinion, the consolidated financial statements present fairly, in all material respects, the financial position of the Company as of December 31, 2023 and 2022, and the results of its operations and its cash flows for each of the years in the three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year period ended December 31, 2023, in conformity with U.S. generally accepted accounting principles.</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We also have audited, in accordance with the standards of the Public Company Accounting Oversight Board (United States) (PCAOB), the Company’s internal control over financial reporting as of December 31, 2023,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and our report dated February 28, 2024 expressed an unqualified opinion on the effectiveness of the Company’s internal control over financial reporting.</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for Opinion</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these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Critical Audit Matter</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Assessment of the qualitative risk factors related to the allowance for credit losses on loans evaluated on a collective basis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discussed in Notes 1 and 4 to the consolidated financial statements, the Company’s allowance for credit losses as of December 31, 2023 was $13.1 million, of which $13.1 million was related to the allowance for credit losses on loans evaluated on a collective basis (the “collective ACL”). The December 31, 2023 collective ACL includes the measure of expected credit losses on a collective (pooled) basis for those loans that share similar risk characteristics. The Company estimated the collective ACL using a weighted-average remaining maturity (“WARM”) model that utilizes expected annual remaining loan balance, historical loss rates, a reasonable and supportable forecast, and reversion adjustments. Additionally, the collective ACL includes subjective qualitative risk factors that are likely to cause estimated credit losses to differ from historical experience. Given the Company’s recent historical loss experience, the impact of the qualitative risk factors related to the collective ACL is a substantial percentage of the overall collective ACL. These qualitative risk</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factors may increase or reduce reserve levels and include adjustments for assumptions related to loan concentrations, lending management experience and risk tolerance, loan review and audit results, asset quality and portfolio trends, value of underlying collateral, and loan portfolio growth.</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identified the assessment of the qualitative risk factors related to the collective ACL as a critical audit matter. A high degree of audit effort, including specialized skills and knowledge, and subjective and complex auditor judgment was involved in the assessment due to significant measurement uncertainty. Specifically, the assessment encompassed the evaluation of the qualitative risk factors related to the collective ACL methodology, including the conceptual soundness and performance of the qualitative framework. The assessment also included the evaluation of qualitative risk factors and the related assumptions. These qualitative risk factors and related assumptions are sensitive to variation, such that minor changes in the assumption can cause significant changes in the estimates.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are the primary procedures we performed to address this critical audit matter. We evaluated the design and tested the operating effectiveness of certain internal controls related to the Company’s measurement of the qualitative risk factors related to the collective ACL estimate, including controls over the:</w:t>
      </w:r>
    </w:p>
    <w:p>
      <w:pPr>
        <w:spacing w:after="0" w:line="176" w:lineRule="exact"/>
        <w:rPr>
          <w:sz w:val="20"/>
          <w:szCs w:val="20"/>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of the collective ACL methodology</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and determination of the assumptions used in the qualitative framework</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use and appropriateness of changes made to the qualitative framework</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analysis of the collective ACL results, trends, and ratios</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evaluated the Company’s process to develop the qualitative risk factors related to the collective ACL estimate by testing certain sources of data, factors, and assumptions that the Company used, and considered the relevance and reliability of such data, factors, and assumptions. In addition, we involved credit risk professionals with specialized skills and knowledge, who assisted in:</w:t>
      </w:r>
    </w:p>
    <w:p>
      <w:pPr>
        <w:spacing w:after="0" w:line="68" w:lineRule="exact"/>
        <w:rPr>
          <w:sz w:val="20"/>
          <w:szCs w:val="20"/>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Company’s collective ACL methodology for compliance with U.S. generally accepted accounting principles</w:t>
      </w:r>
    </w:p>
    <w:p>
      <w:pPr>
        <w:spacing w:after="0" w:line="27"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judgments made by the Company relative to the assessment of the qualitative framework by comparing it to relevant Company-specific metrics and trends and the applicable industry and regulatory practices</w:t>
      </w:r>
    </w:p>
    <w:p>
      <w:pPr>
        <w:ind w:left="660" w:hanging="328"/>
        <w:spacing w:after="0" w:line="260"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qualitative framework used to develop the qualitative risk factors and the effect of those factors on the collective ACL compared with relevant credit risk factors and consistency with credit trends and identified limitations of the underlying quantitative models.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KPMG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1983.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 Louis, Missouri</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28, 2024</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 </w:t>
      </w:r>
      <w:r>
        <w:rPr>
          <w:rFonts w:ascii="Times New Roman" w:cs="Times New Roman" w:eastAsia="Times New Roman" w:hAnsi="Times New Roman"/>
          <w:sz w:val="18"/>
          <w:szCs w:val="18"/>
          <w:b w:val="1"/>
          <w:bCs w:val="1"/>
          <w:u w:val="single" w:color="auto"/>
          <w:color w:val="auto"/>
        </w:rPr>
        <w:t>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Conclusion Regarding the Effectiveness of Disclosure Controls and Procedures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the supervision and with the participation of our management, including our principal executive officer and principal financial officer, we conducted an evaluation of our disclosure controls and procedures, as such term is defined in Rules 13a-15(e) and 15d-15(e) under the Securities Exchange Act of 1934, as amended (the “Exchange Act”), as of December 31, 2023. Based on this evaluation, our principal executive officer and our principal financial officer concluded that our disclosure controls and procedures were effective as of December 31, 2023.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such term is defined in Exchange Act Rules 13a-15(f) and 15d-15(f). All internal control systems, no matter how well designed, have inherent limitations. Therefore, even those systems determined to be effective can provide only reasonable assurance with respect to financial statement preparation and presentations.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Under the supervision and with the participation of our management, including our principal executive officer and principal financial officer, we conducted an evaluation of the effectiveness of our internal control over financial reporting based on the framework in </w:t>
      </w:r>
      <w:r>
        <w:rPr>
          <w:rFonts w:ascii="Times New Roman" w:cs="Times New Roman" w:eastAsia="Times New Roman" w:hAnsi="Times New Roman"/>
          <w:sz w:val="18"/>
          <w:szCs w:val="18"/>
          <w:i w:val="1"/>
          <w:iCs w:val="1"/>
          <w:color w:val="auto"/>
        </w:rPr>
        <w:t>Internal Control – Integrated Framework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(2013) </w:t>
      </w:r>
      <w:r>
        <w:rPr>
          <w:rFonts w:ascii="Times New Roman" w:cs="Times New Roman" w:eastAsia="Times New Roman" w:hAnsi="Times New Roman"/>
          <w:sz w:val="18"/>
          <w:szCs w:val="18"/>
          <w:color w:val="auto"/>
        </w:rPr>
        <w:t>issued by the Committee of Sponsoring Organizations of the Treadway Commission. Based on our evaluation under this framework,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management concluded that our internal control over financial reporting was effective as of December 31, 2023.</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There have not been changes in our internal control over financial reporting that occurred during our fourth fiscal quarter that have materially affected or are reasonably likely to materially affect our internal control over financial reporting.</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effectiveness of our internal control over financial reporting as of December 31, 2023 has been audited by KPMG LLP, our independent registered public accounting firm. KPMG LLP’s report, which expresses an unqualified opinion on the effectiveness of our internal control over financial reporting as of December 31, 2023, is included below.</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Cass Information Systems, Inc.:</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Opinion on Internal Control Over Financial Reporting</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We have audited Cass Information Systems, Inc. and subsidiaries’ (the Company) internal control over financial reporting as of December 31, 2023,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In our opinion, the Company maintained, in all material respects, effective internal control over financial reporting as of December 31, 2023,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consolidated balance sheets of the Company as of December 31, 2023 and 2022, the related consolidated statements of income, comprehensive income, cash flows, and shareholders’ equity, for each of the years in the three-year period ended December 31, 2023, and the related notes (collectively, the consolidated financial statements), and our report dated February 28, 2024 expressed an unqualified opinion on those consolidated financial statements.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for Opinion</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Definition and Limitations of Internal Control Over Financial Reporting</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KPMG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 Louis, Missouri</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28, 2024</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9B. </w:t>
      </w:r>
      <w:r>
        <w:rPr>
          <w:rFonts w:ascii="Times New Roman" w:cs="Times New Roman" w:eastAsia="Times New Roman" w:hAnsi="Times New Roman"/>
          <w:sz w:val="18"/>
          <w:szCs w:val="18"/>
          <w:b w:val="1"/>
          <w:bCs w:val="1"/>
          <w:u w:val="single" w:color="auto"/>
          <w:color w:val="auto"/>
        </w:rPr>
        <w:t>OTHER INFORMATION</w:t>
      </w:r>
    </w:p>
    <w:p>
      <w:pPr>
        <w:spacing w:after="0" w:line="229" w:lineRule="exact"/>
        <w:rPr>
          <w:sz w:val="20"/>
          <w:szCs w:val="20"/>
          <w:color w:val="auto"/>
        </w:rPr>
      </w:pPr>
    </w:p>
    <w:p>
      <w:pPr>
        <w:ind w:left="640" w:hanging="308"/>
        <w:spacing w:after="0"/>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three months ended December 31, 2023, none of the Company's officers or directors adopted or terminated any "Rule 10b5-1 trading arrangements" or any "non-Rule 10b5-1 trading arrangement," as such terms are defined under Item 408 of Regulation S-K.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333" w:right="5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10. </w:t>
      </w:r>
      <w:r>
        <w:rPr>
          <w:rFonts w:ascii="Times New Roman" w:cs="Times New Roman" w:eastAsia="Times New Roman" w:hAnsi="Times New Roman"/>
          <w:sz w:val="18"/>
          <w:szCs w:val="18"/>
          <w:b w:val="1"/>
          <w:bCs w:val="1"/>
          <w:u w:val="single" w:color="auto"/>
          <w:color w:val="auto"/>
        </w:rPr>
        <w:t>DIRECTORS, EXECUTIVE OFFICERS AND CORPORATE GOVERNANCE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Certain information required by this Item 10 is incorporated herein by reference to the following sections of the Company’s definitive Proxy Statement for its 2024 Annual Meeting of Shareholders (the “2024 Proxy Statement”), a copy of which will be filed with the SEC no later than 120 days after the close of the fiscal year: “Election of Directors – Proposal 1,” “Executive Compensation and Related Information.”</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has adopted a Code of Conduct and Business Ethics policy, applicable to all Company directors, executive officers and employees. The policy is publicly available and can be viewed on the Company’s website at www.cassinfo.com. The Company intends to satisfy the disclosure requirement under Item 5.05 of Form 8-K regarding the amendment to, or a waiver of, a provision of this policy that applies to the Company’s principal executive officer, principal financial officer, principal accounting officer or controller, or persons performing similar functions, and that relates to any element of the code of ethics definition enumerated in Item 406(b) of Regulation S-K by posting such information on its website.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material changes to the procedures by which shareholders may recommend nominees to the Board during the fourth quarter of fiscal 2023.</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11. </w:t>
      </w:r>
      <w:r>
        <w:rPr>
          <w:rFonts w:ascii="Times New Roman" w:cs="Times New Roman" w:eastAsia="Times New Roman" w:hAnsi="Times New Roman"/>
          <w:sz w:val="18"/>
          <w:szCs w:val="18"/>
          <w:b w:val="1"/>
          <w:bCs w:val="1"/>
          <w:u w:val="single" w:color="auto"/>
          <w:color w:val="auto"/>
        </w:rPr>
        <w:t>EXECUTIVE COMPENSATION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Certain information required pursuant to this Item 11 is incorporated herein by reference to the sections entitled “Election of Directors – Proposal 1” and “Executive Compensation and Related Information” of the Company’s 2024 Proxy Statement, a copy of which will be filed with the SEC no later than 120 days after the close of the fiscal year.</w:t>
      </w:r>
    </w:p>
    <w:p>
      <w:pPr>
        <w:spacing w:after="0" w:line="172" w:lineRule="exact"/>
        <w:rPr>
          <w:sz w:val="20"/>
          <w:szCs w:val="20"/>
          <w:color w:val="auto"/>
        </w:rPr>
      </w:pPr>
    </w:p>
    <w:p>
      <w:pPr>
        <w:jc w:val="both"/>
        <w:ind w:left="820" w:hanging="809"/>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ITEM 12. </w:t>
      </w:r>
      <w:r>
        <w:rPr>
          <w:rFonts w:ascii="Times New Roman" w:cs="Times New Roman" w:eastAsia="Times New Roman" w:hAnsi="Times New Roman"/>
          <w:sz w:val="18"/>
          <w:szCs w:val="18"/>
          <w:b w:val="1"/>
          <w:bCs w:val="1"/>
          <w:u w:val="single" w:color="auto"/>
          <w:color w:val="auto"/>
        </w:rPr>
        <w:t>SECURITY OWNERSHIP OF CERTAIN BENEFICIAL OWNERS AND MANAGEMENT AND RELATED STOCKHOLDER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MATTERS</w:t>
      </w:r>
    </w:p>
    <w:p>
      <w:pPr>
        <w:spacing w:after="0" w:line="15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Information required pursuant to this Item 12 is incorporated herein by reference to the section entitled “Beneficial Ownership of Securities” of the Company’s 2024 Proxy Statement, a copy of which will be filed with the SEC no later than 120 days after the close of the fiscal year.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information is as of December 31, 2023:</w:t>
            </w:r>
          </w:p>
        </w:tc>
        <w:tc>
          <w:tcPr>
            <w:tcW w:w="2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414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securities</w:t>
            </w:r>
          </w:p>
        </w:tc>
        <w:tc>
          <w:tcPr>
            <w:tcW w:w="0" w:type="dxa"/>
            <w:vAlign w:val="bottom"/>
          </w:tcPr>
          <w:p>
            <w:pPr>
              <w:spacing w:after="0"/>
              <w:rPr>
                <w:sz w:val="1"/>
                <w:szCs w:val="1"/>
                <w:color w:val="auto"/>
              </w:rPr>
            </w:pPr>
          </w:p>
        </w:tc>
      </w:tr>
      <w:tr>
        <w:trPr>
          <w:trHeight w:val="180"/>
        </w:trPr>
        <w:tc>
          <w:tcPr>
            <w:tcW w:w="414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180" w:type="dxa"/>
            <w:vAlign w:val="bottom"/>
            <w:vMerge w:val="restart"/>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w w:val="99"/>
              </w:rPr>
              <w:t>Weighted-average</w:t>
            </w:r>
          </w:p>
        </w:tc>
        <w:tc>
          <w:tcPr>
            <w:tcW w:w="2300" w:type="dxa"/>
            <w:vAlign w:val="bottom"/>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w w:val="99"/>
              </w:rPr>
              <w:t>remaining available for</w:t>
            </w:r>
          </w:p>
        </w:tc>
        <w:tc>
          <w:tcPr>
            <w:tcW w:w="0" w:type="dxa"/>
            <w:vAlign w:val="bottom"/>
          </w:tcPr>
          <w:p>
            <w:pPr>
              <w:spacing w:after="0"/>
              <w:rPr>
                <w:sz w:val="1"/>
                <w:szCs w:val="1"/>
                <w:color w:val="auto"/>
              </w:rPr>
            </w:pPr>
          </w:p>
        </w:tc>
      </w:tr>
      <w:tr>
        <w:trPr>
          <w:trHeight w:val="184"/>
        </w:trPr>
        <w:tc>
          <w:tcPr>
            <w:tcW w:w="4140" w:type="dxa"/>
            <w:vAlign w:val="bottom"/>
          </w:tcPr>
          <w:p>
            <w:pPr>
              <w:spacing w:after="0"/>
              <w:rPr>
                <w:sz w:val="16"/>
                <w:szCs w:val="16"/>
                <w:color w:val="auto"/>
              </w:rPr>
            </w:pPr>
          </w:p>
        </w:tc>
        <w:tc>
          <w:tcPr>
            <w:tcW w:w="2260" w:type="dxa"/>
            <w:vAlign w:val="bottom"/>
            <w:vMerge w:val="restart"/>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Number of securities to</w:t>
            </w:r>
          </w:p>
        </w:tc>
        <w:tc>
          <w:tcPr>
            <w:tcW w:w="360" w:type="dxa"/>
            <w:vAlign w:val="bottom"/>
          </w:tcPr>
          <w:p>
            <w:pPr>
              <w:spacing w:after="0"/>
              <w:rPr>
                <w:sz w:val="16"/>
                <w:szCs w:val="16"/>
                <w:color w:val="auto"/>
              </w:rPr>
            </w:pPr>
          </w:p>
        </w:tc>
        <w:tc>
          <w:tcPr>
            <w:tcW w:w="2180" w:type="dxa"/>
            <w:vAlign w:val="bottom"/>
            <w:vMerge w:val="continue"/>
          </w:tcPr>
          <w:p>
            <w:pPr>
              <w:spacing w:after="0"/>
              <w:rPr>
                <w:sz w:val="16"/>
                <w:szCs w:val="16"/>
                <w:color w:val="auto"/>
              </w:rPr>
            </w:pPr>
          </w:p>
        </w:tc>
        <w:tc>
          <w:tcPr>
            <w:tcW w:w="230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w w:val="99"/>
              </w:rPr>
              <w:t>future issuance under</w:t>
            </w:r>
          </w:p>
        </w:tc>
        <w:tc>
          <w:tcPr>
            <w:tcW w:w="0" w:type="dxa"/>
            <w:vAlign w:val="bottom"/>
          </w:tcPr>
          <w:p>
            <w:pPr>
              <w:spacing w:after="0"/>
              <w:rPr>
                <w:sz w:val="1"/>
                <w:szCs w:val="1"/>
                <w:color w:val="auto"/>
              </w:rPr>
            </w:pPr>
          </w:p>
        </w:tc>
      </w:tr>
      <w:tr>
        <w:trPr>
          <w:trHeight w:val="175"/>
        </w:trPr>
        <w:tc>
          <w:tcPr>
            <w:tcW w:w="4140" w:type="dxa"/>
            <w:vAlign w:val="bottom"/>
          </w:tcPr>
          <w:p>
            <w:pPr>
              <w:spacing w:after="0"/>
              <w:rPr>
                <w:sz w:val="15"/>
                <w:szCs w:val="15"/>
                <w:color w:val="auto"/>
              </w:rPr>
            </w:pPr>
          </w:p>
        </w:tc>
        <w:tc>
          <w:tcPr>
            <w:tcW w:w="226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2180" w:type="dxa"/>
            <w:vAlign w:val="bottom"/>
          </w:tcPr>
          <w:p>
            <w:pPr>
              <w:jc w:val="center"/>
              <w:ind w:right="330"/>
              <w:spacing w:after="0" w:line="176" w:lineRule="exact"/>
              <w:rPr>
                <w:sz w:val="20"/>
                <w:szCs w:val="20"/>
                <w:color w:val="auto"/>
              </w:rPr>
            </w:pPr>
            <w:r>
              <w:rPr>
                <w:rFonts w:ascii="Times New Roman" w:cs="Times New Roman" w:eastAsia="Times New Roman" w:hAnsi="Times New Roman"/>
                <w:sz w:val="18"/>
                <w:szCs w:val="18"/>
                <w:b w:val="1"/>
                <w:bCs w:val="1"/>
                <w:color w:val="auto"/>
              </w:rPr>
              <w:t>exercise price of</w:t>
            </w:r>
          </w:p>
        </w:tc>
        <w:tc>
          <w:tcPr>
            <w:tcW w:w="23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equity compensation</w:t>
            </w:r>
          </w:p>
        </w:tc>
        <w:tc>
          <w:tcPr>
            <w:tcW w:w="0" w:type="dxa"/>
            <w:vAlign w:val="bottom"/>
          </w:tcPr>
          <w:p>
            <w:pPr>
              <w:spacing w:after="0"/>
              <w:rPr>
                <w:sz w:val="1"/>
                <w:szCs w:val="1"/>
                <w:color w:val="auto"/>
              </w:rPr>
            </w:pPr>
          </w:p>
        </w:tc>
      </w:tr>
      <w:tr>
        <w:trPr>
          <w:trHeight w:val="189"/>
        </w:trPr>
        <w:tc>
          <w:tcPr>
            <w:tcW w:w="4140" w:type="dxa"/>
            <w:vAlign w:val="bottom"/>
          </w:tcPr>
          <w:p>
            <w:pPr>
              <w:spacing w:after="0"/>
              <w:rPr>
                <w:sz w:val="16"/>
                <w:szCs w:val="16"/>
                <w:color w:val="auto"/>
              </w:rPr>
            </w:pPr>
          </w:p>
        </w:tc>
        <w:tc>
          <w:tcPr>
            <w:tcW w:w="2260" w:type="dxa"/>
            <w:vAlign w:val="bottom"/>
          </w:tcPr>
          <w:p>
            <w:pPr>
              <w:jc w:val="center"/>
              <w:ind w:right="30"/>
              <w:spacing w:after="0" w:line="189" w:lineRule="exact"/>
              <w:rPr>
                <w:sz w:val="20"/>
                <w:szCs w:val="20"/>
                <w:color w:val="auto"/>
              </w:rPr>
            </w:pPr>
            <w:r>
              <w:rPr>
                <w:rFonts w:ascii="Times New Roman" w:cs="Times New Roman" w:eastAsia="Times New Roman" w:hAnsi="Times New Roman"/>
                <w:sz w:val="18"/>
                <w:szCs w:val="18"/>
                <w:b w:val="1"/>
                <w:bCs w:val="1"/>
                <w:color w:val="auto"/>
                <w:w w:val="99"/>
              </w:rPr>
              <w:t>be issued upon exercise</w:t>
            </w:r>
          </w:p>
        </w:tc>
        <w:tc>
          <w:tcPr>
            <w:tcW w:w="360" w:type="dxa"/>
            <w:vAlign w:val="bottom"/>
          </w:tcPr>
          <w:p>
            <w:pPr>
              <w:spacing w:after="0"/>
              <w:rPr>
                <w:sz w:val="16"/>
                <w:szCs w:val="16"/>
                <w:color w:val="auto"/>
              </w:rPr>
            </w:pPr>
          </w:p>
        </w:tc>
        <w:tc>
          <w:tcPr>
            <w:tcW w:w="2180" w:type="dxa"/>
            <w:vAlign w:val="bottom"/>
          </w:tcPr>
          <w:p>
            <w:pPr>
              <w:jc w:val="center"/>
              <w:ind w:right="330"/>
              <w:spacing w:after="0" w:line="189" w:lineRule="exact"/>
              <w:rPr>
                <w:sz w:val="20"/>
                <w:szCs w:val="20"/>
                <w:color w:val="auto"/>
              </w:rPr>
            </w:pPr>
            <w:r>
              <w:rPr>
                <w:rFonts w:ascii="Times New Roman" w:cs="Times New Roman" w:eastAsia="Times New Roman" w:hAnsi="Times New Roman"/>
                <w:sz w:val="18"/>
                <w:szCs w:val="18"/>
                <w:b w:val="1"/>
                <w:bCs w:val="1"/>
                <w:color w:val="auto"/>
              </w:rPr>
              <w:t>outstanding</w:t>
            </w:r>
          </w:p>
        </w:tc>
        <w:tc>
          <w:tcPr>
            <w:tcW w:w="230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rPr>
              <w:t>plans (excluding</w:t>
            </w:r>
          </w:p>
        </w:tc>
        <w:tc>
          <w:tcPr>
            <w:tcW w:w="0" w:type="dxa"/>
            <w:vAlign w:val="bottom"/>
          </w:tcPr>
          <w:p>
            <w:pPr>
              <w:spacing w:after="0"/>
              <w:rPr>
                <w:sz w:val="1"/>
                <w:szCs w:val="1"/>
                <w:color w:val="auto"/>
              </w:rPr>
            </w:pPr>
          </w:p>
        </w:tc>
      </w:tr>
      <w:tr>
        <w:trPr>
          <w:trHeight w:val="175"/>
        </w:trPr>
        <w:tc>
          <w:tcPr>
            <w:tcW w:w="4140" w:type="dxa"/>
            <w:vAlign w:val="bottom"/>
          </w:tcPr>
          <w:p>
            <w:pPr>
              <w:spacing w:after="0"/>
              <w:rPr>
                <w:sz w:val="15"/>
                <w:szCs w:val="15"/>
                <w:color w:val="auto"/>
              </w:rPr>
            </w:pPr>
          </w:p>
        </w:tc>
        <w:tc>
          <w:tcPr>
            <w:tcW w:w="2260" w:type="dxa"/>
            <w:vAlign w:val="bottom"/>
          </w:tcPr>
          <w:p>
            <w:pPr>
              <w:jc w:val="center"/>
              <w:ind w:right="50"/>
              <w:spacing w:after="0" w:line="176" w:lineRule="exact"/>
              <w:rPr>
                <w:sz w:val="20"/>
                <w:szCs w:val="20"/>
                <w:color w:val="auto"/>
              </w:rPr>
            </w:pPr>
            <w:r>
              <w:rPr>
                <w:rFonts w:ascii="Times New Roman" w:cs="Times New Roman" w:eastAsia="Times New Roman" w:hAnsi="Times New Roman"/>
                <w:sz w:val="18"/>
                <w:szCs w:val="18"/>
                <w:b w:val="1"/>
                <w:bCs w:val="1"/>
                <w:color w:val="auto"/>
              </w:rPr>
              <w:t>of outstanding options,</w:t>
            </w:r>
          </w:p>
        </w:tc>
        <w:tc>
          <w:tcPr>
            <w:tcW w:w="360" w:type="dxa"/>
            <w:vAlign w:val="bottom"/>
          </w:tcPr>
          <w:p>
            <w:pPr>
              <w:spacing w:after="0"/>
              <w:rPr>
                <w:sz w:val="15"/>
                <w:szCs w:val="15"/>
                <w:color w:val="auto"/>
              </w:rPr>
            </w:pPr>
          </w:p>
        </w:tc>
        <w:tc>
          <w:tcPr>
            <w:tcW w:w="2180" w:type="dxa"/>
            <w:vAlign w:val="bottom"/>
          </w:tcPr>
          <w:p>
            <w:pPr>
              <w:jc w:val="center"/>
              <w:ind w:right="330"/>
              <w:spacing w:after="0" w:line="176" w:lineRule="exact"/>
              <w:rPr>
                <w:sz w:val="20"/>
                <w:szCs w:val="20"/>
                <w:color w:val="auto"/>
              </w:rPr>
            </w:pPr>
            <w:r>
              <w:rPr>
                <w:rFonts w:ascii="Times New Roman" w:cs="Times New Roman" w:eastAsia="Times New Roman" w:hAnsi="Times New Roman"/>
                <w:sz w:val="18"/>
                <w:szCs w:val="18"/>
                <w:b w:val="1"/>
                <w:bCs w:val="1"/>
                <w:color w:val="auto"/>
              </w:rPr>
              <w:t>options, warrants</w:t>
            </w:r>
          </w:p>
        </w:tc>
        <w:tc>
          <w:tcPr>
            <w:tcW w:w="23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securities reflected in</w:t>
            </w:r>
          </w:p>
        </w:tc>
        <w:tc>
          <w:tcPr>
            <w:tcW w:w="0" w:type="dxa"/>
            <w:vAlign w:val="bottom"/>
          </w:tcPr>
          <w:p>
            <w:pPr>
              <w:spacing w:after="0"/>
              <w:rPr>
                <w:sz w:val="1"/>
                <w:szCs w:val="1"/>
                <w:color w:val="auto"/>
              </w:rPr>
            </w:pPr>
          </w:p>
        </w:tc>
      </w:tr>
      <w:tr>
        <w:trPr>
          <w:trHeight w:val="175"/>
        </w:trPr>
        <w:tc>
          <w:tcPr>
            <w:tcW w:w="4140" w:type="dxa"/>
            <w:vAlign w:val="bottom"/>
            <w:vMerge w:val="restart"/>
          </w:tcPr>
          <w:p>
            <w:pPr>
              <w:ind w:left="1480"/>
              <w:spacing w:after="0"/>
              <w:rPr>
                <w:sz w:val="20"/>
                <w:szCs w:val="20"/>
                <w:color w:val="auto"/>
              </w:rPr>
            </w:pPr>
            <w:r>
              <w:rPr>
                <w:rFonts w:ascii="Times New Roman" w:cs="Times New Roman" w:eastAsia="Times New Roman" w:hAnsi="Times New Roman"/>
                <w:sz w:val="18"/>
                <w:szCs w:val="18"/>
                <w:b w:val="1"/>
                <w:bCs w:val="1"/>
                <w:color w:val="auto"/>
              </w:rPr>
              <w:t>Plan Category</w:t>
            </w:r>
          </w:p>
        </w:tc>
        <w:tc>
          <w:tcPr>
            <w:tcW w:w="2260" w:type="dxa"/>
            <w:vAlign w:val="bottom"/>
          </w:tcPr>
          <w:p>
            <w:pPr>
              <w:jc w:val="center"/>
              <w:ind w:right="30"/>
              <w:spacing w:after="0" w:line="176" w:lineRule="exact"/>
              <w:rPr>
                <w:sz w:val="20"/>
                <w:szCs w:val="20"/>
                <w:color w:val="auto"/>
              </w:rPr>
            </w:pPr>
            <w:r>
              <w:rPr>
                <w:rFonts w:ascii="Times New Roman" w:cs="Times New Roman" w:eastAsia="Times New Roman" w:hAnsi="Times New Roman"/>
                <w:sz w:val="18"/>
                <w:szCs w:val="18"/>
                <w:b w:val="1"/>
                <w:bCs w:val="1"/>
                <w:color w:val="auto"/>
              </w:rPr>
              <w:t>warrants and rights</w:t>
            </w:r>
          </w:p>
        </w:tc>
        <w:tc>
          <w:tcPr>
            <w:tcW w:w="360" w:type="dxa"/>
            <w:vAlign w:val="bottom"/>
          </w:tcPr>
          <w:p>
            <w:pPr>
              <w:spacing w:after="0"/>
              <w:rPr>
                <w:sz w:val="15"/>
                <w:szCs w:val="15"/>
                <w:color w:val="auto"/>
              </w:rPr>
            </w:pPr>
          </w:p>
        </w:tc>
        <w:tc>
          <w:tcPr>
            <w:tcW w:w="2180" w:type="dxa"/>
            <w:vAlign w:val="bottom"/>
          </w:tcPr>
          <w:p>
            <w:pPr>
              <w:jc w:val="center"/>
              <w:ind w:right="350"/>
              <w:spacing w:after="0" w:line="176" w:lineRule="exact"/>
              <w:rPr>
                <w:sz w:val="20"/>
                <w:szCs w:val="20"/>
                <w:color w:val="auto"/>
              </w:rPr>
            </w:pPr>
            <w:r>
              <w:rPr>
                <w:rFonts w:ascii="Times New Roman" w:cs="Times New Roman" w:eastAsia="Times New Roman" w:hAnsi="Times New Roman"/>
                <w:sz w:val="18"/>
                <w:szCs w:val="18"/>
                <w:b w:val="1"/>
                <w:bCs w:val="1"/>
                <w:color w:val="auto"/>
                <w:w w:val="99"/>
              </w:rPr>
              <w:t>and rights</w:t>
            </w:r>
          </w:p>
        </w:tc>
        <w:tc>
          <w:tcPr>
            <w:tcW w:w="23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column (a))</w:t>
            </w:r>
          </w:p>
        </w:tc>
        <w:tc>
          <w:tcPr>
            <w:tcW w:w="0" w:type="dxa"/>
            <w:vAlign w:val="bottom"/>
          </w:tcPr>
          <w:p>
            <w:pPr>
              <w:spacing w:after="0"/>
              <w:rPr>
                <w:sz w:val="1"/>
                <w:szCs w:val="1"/>
                <w:color w:val="auto"/>
              </w:rPr>
            </w:pPr>
          </w:p>
        </w:tc>
      </w:tr>
      <w:tr>
        <w:trPr>
          <w:trHeight w:val="250"/>
        </w:trPr>
        <w:tc>
          <w:tcPr>
            <w:tcW w:w="4140" w:type="dxa"/>
            <w:vAlign w:val="bottom"/>
            <w:tcBorders>
              <w:bottom w:val="single" w:sz="8" w:color="auto"/>
            </w:tcBorders>
            <w:vMerge w:val="continue"/>
          </w:tcPr>
          <w:p>
            <w:pPr>
              <w:spacing w:after="0"/>
              <w:rPr>
                <w:sz w:val="21"/>
                <w:szCs w:val="21"/>
                <w:color w:val="auto"/>
              </w:rPr>
            </w:pPr>
          </w:p>
        </w:tc>
        <w:tc>
          <w:tcPr>
            <w:tcW w:w="226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(a)</w:t>
            </w:r>
          </w:p>
        </w:tc>
        <w:tc>
          <w:tcPr>
            <w:tcW w:w="360" w:type="dxa"/>
            <w:vAlign w:val="bottom"/>
            <w:tcBorders>
              <w:bottom w:val="single" w:sz="8" w:color="auto"/>
            </w:tcBorders>
          </w:tcPr>
          <w:p>
            <w:pPr>
              <w:spacing w:after="0"/>
              <w:rPr>
                <w:sz w:val="21"/>
                <w:szCs w:val="21"/>
                <w:color w:val="auto"/>
              </w:rPr>
            </w:pPr>
          </w:p>
        </w:tc>
        <w:tc>
          <w:tcPr>
            <w:tcW w:w="2180" w:type="dxa"/>
            <w:vAlign w:val="bottom"/>
            <w:tcBorders>
              <w:bottom w:val="single" w:sz="8" w:color="auto"/>
            </w:tcBorders>
          </w:tcPr>
          <w:p>
            <w:pPr>
              <w:jc w:val="center"/>
              <w:ind w:right="350"/>
              <w:spacing w:after="0"/>
              <w:rPr>
                <w:sz w:val="20"/>
                <w:szCs w:val="20"/>
                <w:color w:val="auto"/>
              </w:rPr>
            </w:pPr>
            <w:r>
              <w:rPr>
                <w:rFonts w:ascii="Times New Roman" w:cs="Times New Roman" w:eastAsia="Times New Roman" w:hAnsi="Times New Roman"/>
                <w:sz w:val="18"/>
                <w:szCs w:val="18"/>
                <w:b w:val="1"/>
                <w:bCs w:val="1"/>
                <w:color w:val="auto"/>
                <w:w w:val="99"/>
              </w:rPr>
              <w:t>(b)</w:t>
            </w:r>
          </w:p>
        </w:tc>
        <w:tc>
          <w:tcPr>
            <w:tcW w:w="2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w:t>
            </w:r>
          </w:p>
        </w:tc>
        <w:tc>
          <w:tcPr>
            <w:tcW w:w="0" w:type="dxa"/>
            <w:vAlign w:val="bottom"/>
          </w:tcPr>
          <w:p>
            <w:pPr>
              <w:spacing w:after="0"/>
              <w:rPr>
                <w:sz w:val="1"/>
                <w:szCs w:val="1"/>
                <w:color w:val="auto"/>
              </w:rPr>
            </w:pPr>
          </w:p>
        </w:tc>
      </w:tr>
      <w:tr>
        <w:trPr>
          <w:trHeight w:val="211"/>
        </w:trPr>
        <w:tc>
          <w:tcPr>
            <w:tcW w:w="414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Equity compensation plans approved by security</w:t>
            </w:r>
          </w:p>
        </w:tc>
        <w:tc>
          <w:tcPr>
            <w:tcW w:w="2260" w:type="dxa"/>
            <w:vAlign w:val="bottom"/>
            <w:shd w:val="clear" w:color="auto" w:fill="DBDBDB"/>
          </w:tcPr>
          <w:p>
            <w:pPr>
              <w:jc w:val="right"/>
              <w:ind w:right="10"/>
              <w:spacing w:after="0"/>
              <w:rPr>
                <w:sz w:val="20"/>
                <w:szCs w:val="20"/>
                <w:color w:val="auto"/>
              </w:rPr>
            </w:pPr>
            <w:r>
              <w:rPr>
                <w:rFonts w:ascii="Times New Roman" w:cs="Times New Roman" w:eastAsia="Times New Roman" w:hAnsi="Times New Roman"/>
                <w:sz w:val="18"/>
                <w:szCs w:val="18"/>
                <w:color w:val="auto"/>
              </w:rPr>
              <w:t>21,207</w:t>
            </w:r>
          </w:p>
        </w:tc>
        <w:tc>
          <w:tcPr>
            <w:tcW w:w="360" w:type="dxa"/>
            <w:vAlign w:val="bottom"/>
            <w:shd w:val="clear" w:color="auto" w:fill="DBDBDB"/>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180" w:type="dxa"/>
            <w:vAlign w:val="bottom"/>
            <w:shd w:val="clear" w:color="auto" w:fill="DBDBDB"/>
          </w:tcPr>
          <w:p>
            <w:pPr>
              <w:jc w:val="right"/>
              <w:ind w:right="130"/>
              <w:spacing w:after="0"/>
              <w:rPr>
                <w:sz w:val="20"/>
                <w:szCs w:val="20"/>
                <w:color w:val="auto"/>
              </w:rPr>
            </w:pPr>
            <w:r>
              <w:rPr>
                <w:rFonts w:ascii="Times New Roman" w:cs="Times New Roman" w:eastAsia="Times New Roman" w:hAnsi="Times New Roman"/>
                <w:sz w:val="18"/>
                <w:szCs w:val="18"/>
                <w:color w:val="auto"/>
              </w:rPr>
              <w:t>38.41</w:t>
            </w:r>
          </w:p>
        </w:tc>
        <w:tc>
          <w:tcPr>
            <w:tcW w:w="23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978,793</w:t>
            </w:r>
          </w:p>
        </w:tc>
        <w:tc>
          <w:tcPr>
            <w:tcW w:w="0" w:type="dxa"/>
            <w:vAlign w:val="bottom"/>
          </w:tcPr>
          <w:p>
            <w:pPr>
              <w:spacing w:after="0"/>
              <w:rPr>
                <w:sz w:val="1"/>
                <w:szCs w:val="1"/>
                <w:color w:val="auto"/>
              </w:rPr>
            </w:pPr>
          </w:p>
        </w:tc>
      </w:tr>
      <w:tr>
        <w:trPr>
          <w:trHeight w:val="261"/>
        </w:trPr>
        <w:tc>
          <w:tcPr>
            <w:tcW w:w="4140" w:type="dxa"/>
            <w:vAlign w:val="bottom"/>
            <w:shd w:val="clear" w:color="auto" w:fill="DBDBDB"/>
          </w:tcPr>
          <w:p>
            <w:pPr>
              <w:ind w:left="20"/>
              <w:spacing w:after="0" w:line="262" w:lineRule="exact"/>
              <w:rPr>
                <w:sz w:val="20"/>
                <w:szCs w:val="20"/>
                <w:color w:val="auto"/>
              </w:rPr>
            </w:pPr>
            <w:r>
              <w:rPr>
                <w:rFonts w:ascii="Times New Roman" w:cs="Times New Roman" w:eastAsia="Times New Roman" w:hAnsi="Times New Roman"/>
                <w:sz w:val="18"/>
                <w:szCs w:val="18"/>
                <w:color w:val="auto"/>
              </w:rPr>
              <w:t xml:space="preserve">holders </w:t>
            </w:r>
            <w:r>
              <w:rPr>
                <w:rFonts w:ascii="Times New Roman" w:cs="Times New Roman" w:eastAsia="Times New Roman" w:hAnsi="Times New Roman"/>
                <w:sz w:val="23"/>
                <w:szCs w:val="23"/>
                <w:b w:val="1"/>
                <w:bCs w:val="1"/>
                <w:color w:val="auto"/>
                <w:vertAlign w:val="superscript"/>
              </w:rPr>
              <w:t>(1)(2)</w:t>
            </w:r>
          </w:p>
        </w:tc>
        <w:tc>
          <w:tcPr>
            <w:tcW w:w="2260" w:type="dxa"/>
            <w:vAlign w:val="bottom"/>
            <w:shd w:val="clear" w:color="auto" w:fill="DBDBDB"/>
          </w:tcPr>
          <w:p>
            <w:pPr>
              <w:spacing w:after="0"/>
              <w:rPr>
                <w:sz w:val="22"/>
                <w:szCs w:val="22"/>
                <w:color w:val="auto"/>
              </w:rPr>
            </w:pPr>
          </w:p>
        </w:tc>
        <w:tc>
          <w:tcPr>
            <w:tcW w:w="360" w:type="dxa"/>
            <w:vAlign w:val="bottom"/>
            <w:shd w:val="clear" w:color="auto" w:fill="DBDBDB"/>
          </w:tcPr>
          <w:p>
            <w:pPr>
              <w:spacing w:after="0"/>
              <w:rPr>
                <w:sz w:val="22"/>
                <w:szCs w:val="22"/>
                <w:color w:val="auto"/>
              </w:rPr>
            </w:pPr>
          </w:p>
        </w:tc>
        <w:tc>
          <w:tcPr>
            <w:tcW w:w="2180" w:type="dxa"/>
            <w:vAlign w:val="bottom"/>
            <w:shd w:val="clear" w:color="auto" w:fill="DBDBDB"/>
          </w:tcPr>
          <w:p>
            <w:pPr>
              <w:spacing w:after="0"/>
              <w:rPr>
                <w:sz w:val="22"/>
                <w:szCs w:val="22"/>
                <w:color w:val="auto"/>
              </w:rPr>
            </w:pPr>
          </w:p>
        </w:tc>
        <w:tc>
          <w:tcPr>
            <w:tcW w:w="2300" w:type="dxa"/>
            <w:vAlign w:val="bottom"/>
            <w:shd w:val="clear" w:color="auto" w:fill="DBDBDB"/>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140" w:type="dxa"/>
            <w:vAlign w:val="bottom"/>
          </w:tcPr>
          <w:p>
            <w:pPr>
              <w:spacing w:after="0"/>
              <w:rPr>
                <w:sz w:val="22"/>
                <w:szCs w:val="22"/>
                <w:color w:val="auto"/>
              </w:rPr>
            </w:pPr>
          </w:p>
        </w:tc>
        <w:tc>
          <w:tcPr>
            <w:tcW w:w="22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180" w:type="dxa"/>
            <w:vAlign w:val="bottom"/>
          </w:tcPr>
          <w:p>
            <w:pPr>
              <w:spacing w:after="0"/>
              <w:rPr>
                <w:sz w:val="22"/>
                <w:szCs w:val="22"/>
                <w:color w:val="auto"/>
              </w:rPr>
            </w:pPr>
          </w:p>
        </w:tc>
        <w:tc>
          <w:tcPr>
            <w:tcW w:w="2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1"/>
        </w:trPr>
        <w:tc>
          <w:tcPr>
            <w:tcW w:w="414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Equity compensation plans not approved by security</w:t>
            </w:r>
          </w:p>
        </w:tc>
        <w:tc>
          <w:tcPr>
            <w:tcW w:w="2260" w:type="dxa"/>
            <w:vAlign w:val="bottom"/>
            <w:shd w:val="clear" w:color="auto" w:fill="DBDBDB"/>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DBDBDB"/>
          </w:tcPr>
          <w:p>
            <w:pPr>
              <w:spacing w:after="0"/>
              <w:rPr>
                <w:sz w:val="18"/>
                <w:szCs w:val="18"/>
                <w:color w:val="auto"/>
              </w:rPr>
            </w:pPr>
          </w:p>
        </w:tc>
        <w:tc>
          <w:tcPr>
            <w:tcW w:w="2180" w:type="dxa"/>
            <w:vAlign w:val="bottom"/>
            <w:shd w:val="clear" w:color="auto" w:fill="DBDBDB"/>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23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1"/>
        </w:trPr>
        <w:tc>
          <w:tcPr>
            <w:tcW w:w="4140" w:type="dxa"/>
            <w:vAlign w:val="bottom"/>
            <w:tcBorders>
              <w:bottom w:val="single" w:sz="8" w:color="auto"/>
            </w:tcBorders>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holders</w:t>
            </w:r>
          </w:p>
        </w:tc>
        <w:tc>
          <w:tcPr>
            <w:tcW w:w="2260" w:type="dxa"/>
            <w:vAlign w:val="bottom"/>
            <w:tcBorders>
              <w:bottom w:val="single" w:sz="8" w:color="auto"/>
            </w:tcBorders>
            <w:shd w:val="clear" w:color="auto" w:fill="DBDBDB"/>
          </w:tcPr>
          <w:p>
            <w:pPr>
              <w:spacing w:after="0"/>
              <w:rPr>
                <w:sz w:val="20"/>
                <w:szCs w:val="20"/>
                <w:color w:val="auto"/>
              </w:rPr>
            </w:pPr>
          </w:p>
        </w:tc>
        <w:tc>
          <w:tcPr>
            <w:tcW w:w="360" w:type="dxa"/>
            <w:vAlign w:val="bottom"/>
            <w:tcBorders>
              <w:bottom w:val="single" w:sz="8" w:color="auto"/>
            </w:tcBorders>
            <w:shd w:val="clear" w:color="auto" w:fill="DBDBDB"/>
          </w:tcPr>
          <w:p>
            <w:pPr>
              <w:spacing w:after="0"/>
              <w:rPr>
                <w:sz w:val="20"/>
                <w:szCs w:val="20"/>
                <w:color w:val="auto"/>
              </w:rPr>
            </w:pPr>
          </w:p>
        </w:tc>
        <w:tc>
          <w:tcPr>
            <w:tcW w:w="2180" w:type="dxa"/>
            <w:vAlign w:val="bottom"/>
            <w:tcBorders>
              <w:bottom w:val="single" w:sz="8" w:color="auto"/>
            </w:tcBorders>
            <w:shd w:val="clear" w:color="auto" w:fill="DBDBDB"/>
          </w:tcPr>
          <w:p>
            <w:pPr>
              <w:spacing w:after="0"/>
              <w:rPr>
                <w:sz w:val="20"/>
                <w:szCs w:val="20"/>
                <w:color w:val="auto"/>
              </w:rPr>
            </w:pPr>
          </w:p>
        </w:tc>
        <w:tc>
          <w:tcPr>
            <w:tcW w:w="2300" w:type="dxa"/>
            <w:vAlign w:val="bottom"/>
            <w:tcBorders>
              <w:bottom w:val="single" w:sz="8" w:color="auto"/>
            </w:tcBorders>
            <w:shd w:val="clear" w:color="auto" w:fill="DBDBDB"/>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4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21,207</w:t>
            </w:r>
          </w:p>
        </w:tc>
        <w:tc>
          <w:tcPr>
            <w:tcW w:w="3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1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38.41</w:t>
            </w:r>
          </w:p>
        </w:tc>
        <w:tc>
          <w:tcPr>
            <w:tcW w:w="2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978,793</w:t>
            </w: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ind w:left="340" w:hanging="332"/>
        <w:spacing w:after="0" w:line="257" w:lineRule="auto"/>
        <w:tabs>
          <w:tab w:leader="none" w:pos="334"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Amount disclosed relates to awards issued and outstanding under the Amended and Restated Omnibus Stock and Performance Compensation Plan (the “Prior Plan”) and the 2023 Omnibus Stock and Performance Compensation Plan (the "2023 Omnibus Plan"). The 2023 Omnibus Plan was approved by the Board of Directors in February 2023 and adopted by the Company's stockholders at the 2023 Annual Meeting of Shareholders.</w:t>
      </w:r>
    </w:p>
    <w:p>
      <w:pPr>
        <w:spacing w:after="0" w:line="1" w:lineRule="exact"/>
        <w:rPr>
          <w:rFonts w:ascii="Times New Roman" w:cs="Times New Roman" w:eastAsia="Times New Roman" w:hAnsi="Times New Roman"/>
          <w:sz w:val="18"/>
          <w:szCs w:val="18"/>
          <w:b w:val="1"/>
          <w:bCs w:val="1"/>
          <w:color w:val="auto"/>
        </w:rPr>
      </w:pPr>
    </w:p>
    <w:p>
      <w:pPr>
        <w:ind w:left="340" w:hanging="332"/>
        <w:spacing w:after="0" w:line="260" w:lineRule="auto"/>
        <w:tabs>
          <w:tab w:leader="none" w:pos="334"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Includes restricted stock units, restricted stock, SARs, and performance-based stock. Performance-based stock is included assuming 100% attainment of the targets. The actual number of shares of performance-based stock to be</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40" w:right="20"/>
        <w:spacing w:after="0" w:line="261" w:lineRule="auto"/>
        <w:rPr>
          <w:sz w:val="20"/>
          <w:szCs w:val="20"/>
          <w:color w:val="auto"/>
        </w:rPr>
      </w:pPr>
      <w:r>
        <w:rPr>
          <w:rFonts w:ascii="Times New Roman" w:cs="Times New Roman" w:eastAsia="Times New Roman" w:hAnsi="Times New Roman"/>
          <w:sz w:val="18"/>
          <w:szCs w:val="18"/>
          <w:color w:val="auto"/>
        </w:rPr>
        <w:t>awarded at the end of applicable performance periods ranges from 0% to 150% of the target amount awarded depending on the Company’s achievement of pre-established financial goals.</w:t>
      </w:r>
    </w:p>
    <w:p>
      <w:pPr>
        <w:ind w:left="340" w:hanging="332"/>
        <w:spacing w:after="0" w:line="260" w:lineRule="auto"/>
        <w:tabs>
          <w:tab w:leader="none" w:pos="33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disclosed relates to the shares available for issuance under the 2023 Omnibus Plan. The Prior Plan terminated in accordance with its terms on April 17, 2023, and no shares reserved for issuance under the Prior Plan will be made available for future awards under the 2023 Omnibus Plan.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Note 11 to the consolidated financial statements for information concerning the Prior Plan and 2023 Omnibus Plan.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13. </w:t>
      </w:r>
      <w:r>
        <w:rPr>
          <w:rFonts w:ascii="Times New Roman" w:cs="Times New Roman" w:eastAsia="Times New Roman" w:hAnsi="Times New Roman"/>
          <w:sz w:val="18"/>
          <w:szCs w:val="18"/>
          <w:b w:val="1"/>
          <w:bCs w:val="1"/>
          <w:u w:val="single" w:color="auto"/>
          <w:color w:val="auto"/>
        </w:rPr>
        <w:t>CERTAIN RELATIONSHIPS AND RELATED TRANSACTIONS, AND DIRECTOR INDEPENDENCE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Information required by this Item 13 is incorporated herein by reference to the section entitled “Election of Directors – Proposal 1” of the Company’s 2024 Proxy Statement, a copy of which will be filed with the SEC no later than 120 days after the close of the fiscal year.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14. </w:t>
      </w:r>
      <w:r>
        <w:rPr>
          <w:rFonts w:ascii="Times New Roman" w:cs="Times New Roman" w:eastAsia="Times New Roman" w:hAnsi="Times New Roman"/>
          <w:sz w:val="18"/>
          <w:szCs w:val="18"/>
          <w:b w:val="1"/>
          <w:bCs w:val="1"/>
          <w:u w:val="single" w:color="auto"/>
          <w:color w:val="auto"/>
        </w:rPr>
        <w:t>PRINCIPAL ACCOUNTANT FEES AND SERVICES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Information concerning our principal accountant’s fees and services is incorporated herein by reference to the section entitled “Ratification of Appointment of Independent Registered Public Accounting Firm – Proposal 3” of the Company’s 2024 Proxy Statement, a copy of which will be filed with the SEC no later than 120 days after the close of the fiscal year.</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b w:val="1"/>
          <w:bCs w:val="1"/>
          <w:u w:val="single" w:color="auto"/>
          <w:color w:val="auto"/>
        </w:rPr>
        <w:t>PART IV.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15. </w:t>
      </w:r>
      <w:r>
        <w:rPr>
          <w:rFonts w:ascii="Times New Roman" w:cs="Times New Roman" w:eastAsia="Times New Roman" w:hAnsi="Times New Roman"/>
          <w:sz w:val="18"/>
          <w:szCs w:val="18"/>
          <w:b w:val="1"/>
          <w:bCs w:val="1"/>
          <w:u w:val="single" w:color="auto"/>
          <w:color w:val="auto"/>
        </w:rPr>
        <w:t>EXHIBITS AND FINANCIAL STATEMENT SCHEDULES</w:t>
      </w:r>
    </w:p>
    <w:p>
      <w:pPr>
        <w:spacing w:after="0" w:line="81" w:lineRule="exact"/>
        <w:rPr>
          <w:sz w:val="20"/>
          <w:szCs w:val="20"/>
          <w:color w:val="auto"/>
        </w:rPr>
      </w:pPr>
    </w:p>
    <w:p>
      <w:pPr>
        <w:ind w:left="1640" w:hanging="818"/>
        <w:spacing w:after="0"/>
        <w:tabs>
          <w:tab w:leader="none" w:pos="16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documents are incorporated by reference in or filed as an exhibit to this report:</w:t>
      </w:r>
    </w:p>
    <w:p>
      <w:pPr>
        <w:spacing w:after="0" w:line="306" w:lineRule="exact"/>
        <w:rPr>
          <w:sz w:val="20"/>
          <w:szCs w:val="20"/>
          <w:color w:val="auto"/>
        </w:rPr>
      </w:pPr>
    </w:p>
    <w:p>
      <w:pPr>
        <w:ind w:left="1640"/>
        <w:spacing w:after="0"/>
        <w:tabs>
          <w:tab w:leader="none" w:pos="2420" w:val="left"/>
          <w:tab w:leader="none" w:pos="3580" w:val="left"/>
        </w:tabs>
        <w:rPr>
          <w:sz w:val="20"/>
          <w:szCs w:val="20"/>
          <w:color w:val="auto"/>
        </w:rPr>
      </w:pPr>
      <w:r>
        <w:rPr>
          <w:rFonts w:ascii="Times New Roman" w:cs="Times New Roman" w:eastAsia="Times New Roman" w:hAnsi="Times New Roman"/>
          <w:sz w:val="18"/>
          <w:szCs w:val="18"/>
          <w:color w:val="auto"/>
        </w:rPr>
        <w:t>(1) and</w:t>
      </w:r>
      <w:r>
        <w:rPr>
          <w:sz w:val="20"/>
          <w:szCs w:val="20"/>
          <w:color w:val="auto"/>
        </w:rPr>
        <w:tab/>
      </w:r>
      <w:r>
        <w:rPr>
          <w:rFonts w:ascii="Times New Roman" w:cs="Times New Roman" w:eastAsia="Times New Roman" w:hAnsi="Times New Roman"/>
          <w:sz w:val="18"/>
          <w:szCs w:val="18"/>
          <w:color w:val="auto"/>
        </w:rPr>
        <w:t>(2)</w:t>
      </w:r>
      <w:r>
        <w:rPr>
          <w:sz w:val="20"/>
          <w:szCs w:val="20"/>
          <w:color w:val="auto"/>
        </w:rPr>
        <w:tab/>
      </w:r>
      <w:r>
        <w:rPr>
          <w:rFonts w:ascii="Times New Roman" w:cs="Times New Roman" w:eastAsia="Times New Roman" w:hAnsi="Times New Roman"/>
          <w:sz w:val="17"/>
          <w:szCs w:val="17"/>
          <w:u w:val="single" w:color="auto"/>
          <w:color w:val="auto"/>
        </w:rPr>
        <w:t>Financial Statements and Financial Statement Schedules</w:t>
      </w:r>
    </w:p>
    <w:p>
      <w:pPr>
        <w:spacing w:after="0" w:line="50"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color w:val="auto"/>
        </w:rPr>
        <w:t>Included in Item 8 of this report.</w:t>
      </w:r>
    </w:p>
    <w:p>
      <w:pPr>
        <w:spacing w:after="0" w:line="306" w:lineRule="exact"/>
        <w:rPr>
          <w:sz w:val="20"/>
          <w:szCs w:val="20"/>
          <w:color w:val="auto"/>
        </w:rPr>
      </w:pPr>
    </w:p>
    <w:p>
      <w:pPr>
        <w:ind w:left="3600" w:hanging="1158"/>
        <w:spacing w:after="0"/>
        <w:tabs>
          <w:tab w:leader="none" w:pos="36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 listed under (b) of this Item 15.</w:t>
      </w:r>
    </w:p>
    <w:p>
      <w:pPr>
        <w:spacing w:after="0" w:line="306" w:lineRule="exact"/>
        <w:rPr>
          <w:sz w:val="20"/>
          <w:szCs w:val="20"/>
          <w:color w:val="auto"/>
        </w:rPr>
      </w:pPr>
    </w:p>
    <w:p>
      <w:pPr>
        <w:ind w:left="1640" w:hanging="818"/>
        <w:spacing w:after="0"/>
        <w:tabs>
          <w:tab w:leader="none" w:pos="16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Exhibits</w:t>
      </w:r>
    </w:p>
    <w:p>
      <w:pPr>
        <w:spacing w:after="0" w:line="293" w:lineRule="exact"/>
        <w:rPr>
          <w:sz w:val="20"/>
          <w:szCs w:val="20"/>
          <w:color w:val="auto"/>
        </w:rPr>
      </w:pPr>
    </w:p>
    <w:tbl>
      <w:tblPr>
        <w:tblLayout w:type="fixed"/>
        <w:tblInd w:w="2440" w:type="dxa"/>
        <w:tblCellMar>
          <w:top w:w="0" w:type="dxa"/>
          <w:left w:w="0" w:type="dxa"/>
          <w:bottom w:w="0" w:type="dxa"/>
          <w:right w:w="0" w:type="dxa"/>
        </w:tblCellMar>
      </w:tblPr>
      <w:tr>
        <w:trPr>
          <w:trHeight w:val="207"/>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7620" w:type="dxa"/>
            <w:vAlign w:val="bottom"/>
            <w:gridSpan w:val="26"/>
          </w:tcPr>
          <w:p>
            <w:pPr>
              <w:ind w:left="20"/>
              <w:spacing w:after="0"/>
              <w:rPr>
                <w:rFonts w:ascii="Times New Roman" w:cs="Times New Roman" w:eastAsia="Times New Roman" w:hAnsi="Times New Roman"/>
                <w:sz w:val="18"/>
                <w:szCs w:val="18"/>
                <w:color w:val="0000FF"/>
              </w:rPr>
            </w:pPr>
            <w:hyperlink r:id="rId118">
              <w:r>
                <w:rPr>
                  <w:rFonts w:ascii="Times New Roman" w:cs="Times New Roman" w:eastAsia="Times New Roman" w:hAnsi="Times New Roman"/>
                  <w:sz w:val="18"/>
                  <w:szCs w:val="18"/>
                  <w:color w:val="0000FF"/>
                </w:rPr>
                <w:t>Restated Articles of Incorporation of Registrant, incorporated by reference to Exhibit 4.1 to Form S-8</w:t>
              </w:r>
            </w:hyperlink>
          </w:p>
        </w:tc>
      </w:tr>
      <w:tr>
        <w:trPr>
          <w:trHeight w:val="196"/>
        </w:trPr>
        <w:tc>
          <w:tcPr>
            <w:tcW w:w="1140" w:type="dxa"/>
            <w:vAlign w:val="bottom"/>
          </w:tcPr>
          <w:p>
            <w:pPr>
              <w:spacing w:after="0"/>
              <w:rPr>
                <w:sz w:val="17"/>
                <w:szCs w:val="17"/>
                <w:color w:val="auto"/>
              </w:rPr>
            </w:pPr>
          </w:p>
        </w:tc>
        <w:tc>
          <w:tcPr>
            <w:tcW w:w="7320" w:type="dxa"/>
            <w:vAlign w:val="bottom"/>
            <w:tcBorders>
              <w:top w:val="single" w:sz="8" w:color="0000FF"/>
            </w:tcBorders>
            <w:gridSpan w:val="18"/>
          </w:tcPr>
          <w:p>
            <w:pPr>
              <w:ind w:left="20"/>
              <w:spacing w:after="0" w:line="196" w:lineRule="exact"/>
              <w:rPr>
                <w:rFonts w:ascii="Times New Roman" w:cs="Times New Roman" w:eastAsia="Times New Roman" w:hAnsi="Times New Roman"/>
                <w:sz w:val="18"/>
                <w:szCs w:val="18"/>
                <w:color w:val="0000FF"/>
              </w:rPr>
            </w:pPr>
            <w:hyperlink r:id="rId118">
              <w:r>
                <w:rPr>
                  <w:rFonts w:ascii="Times New Roman" w:cs="Times New Roman" w:eastAsia="Times New Roman" w:hAnsi="Times New Roman"/>
                  <w:sz w:val="18"/>
                  <w:szCs w:val="18"/>
                  <w:color w:val="0000FF"/>
                </w:rPr>
                <w:t>Registration Statement No. 333-44499, filed with the SEC on January 20, 1998.</w:t>
              </w:r>
            </w:hyperlink>
          </w:p>
        </w:tc>
        <w:tc>
          <w:tcPr>
            <w:tcW w:w="300" w:type="dxa"/>
            <w:vAlign w:val="bottom"/>
            <w:gridSpan w:val="8"/>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38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93"/>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7560" w:type="dxa"/>
            <w:vAlign w:val="bottom"/>
            <w:tcBorders>
              <w:bottom w:val="single" w:sz="8" w:color="0000FF"/>
            </w:tcBorders>
            <w:gridSpan w:val="24"/>
          </w:tcPr>
          <w:p>
            <w:pPr>
              <w:ind w:left="20"/>
              <w:spacing w:after="0"/>
              <w:rPr>
                <w:rFonts w:ascii="Times New Roman" w:cs="Times New Roman" w:eastAsia="Times New Roman" w:hAnsi="Times New Roman"/>
                <w:sz w:val="18"/>
                <w:szCs w:val="18"/>
                <w:color w:val="0000FF"/>
                <w:w w:val="99"/>
              </w:rPr>
            </w:pPr>
            <w:hyperlink r:id="rId119">
              <w:r>
                <w:rPr>
                  <w:rFonts w:ascii="Times New Roman" w:cs="Times New Roman" w:eastAsia="Times New Roman" w:hAnsi="Times New Roman"/>
                  <w:sz w:val="18"/>
                  <w:szCs w:val="18"/>
                  <w:color w:val="0000FF"/>
                  <w:w w:val="99"/>
                </w:rPr>
                <w:t>Amendment to Restated Articles of Incorporation, incorporated by reference to Exhibit 3.1 to the current</w:t>
              </w:r>
            </w:hyperlink>
          </w:p>
        </w:tc>
        <w:tc>
          <w:tcPr>
            <w:tcW w:w="60" w:type="dxa"/>
            <w:vAlign w:val="bottom"/>
            <w:gridSpan w:val="2"/>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4220" w:type="dxa"/>
            <w:vAlign w:val="bottom"/>
            <w:tcBorders>
              <w:bottom w:val="single" w:sz="8" w:color="0000FF"/>
            </w:tcBorders>
            <w:gridSpan w:val="3"/>
          </w:tcPr>
          <w:p>
            <w:pPr>
              <w:ind w:left="20"/>
              <w:spacing w:after="0" w:line="196" w:lineRule="exact"/>
              <w:rPr>
                <w:rFonts w:ascii="Times New Roman" w:cs="Times New Roman" w:eastAsia="Times New Roman" w:hAnsi="Times New Roman"/>
                <w:sz w:val="18"/>
                <w:szCs w:val="18"/>
                <w:color w:val="0000FF"/>
                <w:w w:val="99"/>
              </w:rPr>
            </w:pPr>
            <w:hyperlink r:id="rId119">
              <w:r>
                <w:rPr>
                  <w:rFonts w:ascii="Times New Roman" w:cs="Times New Roman" w:eastAsia="Times New Roman" w:hAnsi="Times New Roman"/>
                  <w:sz w:val="18"/>
                  <w:szCs w:val="18"/>
                  <w:color w:val="0000FF"/>
                  <w:w w:val="99"/>
                </w:rPr>
                <w:t>report on Form 8-K, filed with the SEC on April 19, 2013.</w:t>
              </w:r>
            </w:hyperlink>
          </w:p>
        </w:tc>
        <w:tc>
          <w:tcPr>
            <w:tcW w:w="3400" w:type="dxa"/>
            <w:vAlign w:val="bottom"/>
            <w:gridSpan w:val="23"/>
          </w:tcPr>
          <w:p>
            <w:pPr>
              <w:spacing w:after="0"/>
              <w:rPr>
                <w:sz w:val="17"/>
                <w:szCs w:val="17"/>
                <w:color w:val="auto"/>
              </w:rPr>
            </w:pPr>
          </w:p>
        </w:tc>
      </w:tr>
      <w:tr>
        <w:trPr>
          <w:trHeight w:val="493"/>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3.3</w:t>
            </w:r>
          </w:p>
        </w:tc>
        <w:tc>
          <w:tcPr>
            <w:tcW w:w="7220" w:type="dxa"/>
            <w:vAlign w:val="bottom"/>
            <w:tcBorders>
              <w:bottom w:val="single" w:sz="8" w:color="0000FF"/>
            </w:tcBorders>
            <w:gridSpan w:val="15"/>
          </w:tcPr>
          <w:p>
            <w:pPr>
              <w:ind w:left="20"/>
              <w:spacing w:after="0"/>
              <w:rPr>
                <w:rFonts w:ascii="Times New Roman" w:cs="Times New Roman" w:eastAsia="Times New Roman" w:hAnsi="Times New Roman"/>
                <w:sz w:val="18"/>
                <w:szCs w:val="18"/>
                <w:color w:val="0000FF"/>
                <w:w w:val="99"/>
              </w:rPr>
            </w:pPr>
            <w:hyperlink r:id="rId120">
              <w:r>
                <w:rPr>
                  <w:rFonts w:ascii="Times New Roman" w:cs="Times New Roman" w:eastAsia="Times New Roman" w:hAnsi="Times New Roman"/>
                  <w:sz w:val="18"/>
                  <w:szCs w:val="18"/>
                  <w:color w:val="0000FF"/>
                  <w:w w:val="99"/>
                </w:rPr>
                <w:t>Articles of Merger of Cass Commercial Corporation, incorporated by reference to Exhibit 3.1 to the</w:t>
              </w:r>
            </w:hyperlink>
          </w:p>
        </w:tc>
        <w:tc>
          <w:tcPr>
            <w:tcW w:w="400" w:type="dxa"/>
            <w:vAlign w:val="bottom"/>
            <w:gridSpan w:val="11"/>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5300" w:type="dxa"/>
            <w:vAlign w:val="bottom"/>
            <w:tcBorders>
              <w:bottom w:val="single" w:sz="8" w:color="0000FF"/>
            </w:tcBorders>
            <w:gridSpan w:val="8"/>
          </w:tcPr>
          <w:p>
            <w:pPr>
              <w:ind w:left="20"/>
              <w:spacing w:after="0" w:line="196" w:lineRule="exact"/>
              <w:rPr>
                <w:rFonts w:ascii="Times New Roman" w:cs="Times New Roman" w:eastAsia="Times New Roman" w:hAnsi="Times New Roman"/>
                <w:sz w:val="18"/>
                <w:szCs w:val="18"/>
                <w:color w:val="0000FF"/>
                <w:w w:val="99"/>
              </w:rPr>
            </w:pPr>
            <w:hyperlink r:id="rId120">
              <w:r>
                <w:rPr>
                  <w:rFonts w:ascii="Times New Roman" w:cs="Times New Roman" w:eastAsia="Times New Roman" w:hAnsi="Times New Roman"/>
                  <w:sz w:val="18"/>
                  <w:szCs w:val="18"/>
                  <w:color w:val="0000FF"/>
                  <w:w w:val="99"/>
                </w:rPr>
                <w:t>quarterly report on Form 10-Q for the quarter ended September 30, 2006.</w:t>
              </w:r>
            </w:hyperlink>
          </w:p>
        </w:tc>
        <w:tc>
          <w:tcPr>
            <w:tcW w:w="2320" w:type="dxa"/>
            <w:vAlign w:val="bottom"/>
            <w:gridSpan w:val="18"/>
          </w:tcPr>
          <w:p>
            <w:pPr>
              <w:spacing w:after="0"/>
              <w:rPr>
                <w:sz w:val="17"/>
                <w:szCs w:val="17"/>
                <w:color w:val="auto"/>
              </w:rPr>
            </w:pPr>
          </w:p>
        </w:tc>
      </w:tr>
      <w:tr>
        <w:trPr>
          <w:trHeight w:val="493"/>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3.4</w:t>
            </w:r>
          </w:p>
        </w:tc>
        <w:tc>
          <w:tcPr>
            <w:tcW w:w="7240" w:type="dxa"/>
            <w:vAlign w:val="bottom"/>
            <w:tcBorders>
              <w:bottom w:val="single" w:sz="8" w:color="0000FF"/>
            </w:tcBorders>
            <w:gridSpan w:val="16"/>
          </w:tcPr>
          <w:p>
            <w:pPr>
              <w:ind w:left="20"/>
              <w:spacing w:after="0"/>
              <w:rPr>
                <w:rFonts w:ascii="Times New Roman" w:cs="Times New Roman" w:eastAsia="Times New Roman" w:hAnsi="Times New Roman"/>
                <w:sz w:val="18"/>
                <w:szCs w:val="18"/>
                <w:color w:val="0000FF"/>
                <w:w w:val="99"/>
              </w:rPr>
            </w:pPr>
            <w:hyperlink r:id="rId121">
              <w:r>
                <w:rPr>
                  <w:rFonts w:ascii="Times New Roman" w:cs="Times New Roman" w:eastAsia="Times New Roman" w:hAnsi="Times New Roman"/>
                  <w:sz w:val="18"/>
                  <w:szCs w:val="18"/>
                  <w:color w:val="0000FF"/>
                  <w:w w:val="99"/>
                </w:rPr>
                <w:t>Second Amended and Restated Bylaws of Registrant, incorporated by reference to Exhibit 3.1 to the</w:t>
              </w:r>
            </w:hyperlink>
          </w:p>
        </w:tc>
        <w:tc>
          <w:tcPr>
            <w:tcW w:w="380" w:type="dxa"/>
            <w:vAlign w:val="bottom"/>
            <w:gridSpan w:val="10"/>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4700" w:type="dxa"/>
            <w:vAlign w:val="bottom"/>
            <w:tcBorders>
              <w:bottom w:val="single" w:sz="8" w:color="0000FF"/>
            </w:tcBorders>
            <w:gridSpan w:val="6"/>
          </w:tcPr>
          <w:p>
            <w:pPr>
              <w:ind w:left="20"/>
              <w:spacing w:after="0" w:line="196" w:lineRule="exact"/>
              <w:rPr>
                <w:rFonts w:ascii="Times New Roman" w:cs="Times New Roman" w:eastAsia="Times New Roman" w:hAnsi="Times New Roman"/>
                <w:sz w:val="18"/>
                <w:szCs w:val="18"/>
                <w:color w:val="0000FF"/>
                <w:w w:val="99"/>
              </w:rPr>
            </w:pPr>
            <w:hyperlink r:id="rId121">
              <w:r>
                <w:rPr>
                  <w:rFonts w:ascii="Times New Roman" w:cs="Times New Roman" w:eastAsia="Times New Roman" w:hAnsi="Times New Roman"/>
                  <w:sz w:val="18"/>
                  <w:szCs w:val="18"/>
                  <w:color w:val="0000FF"/>
                  <w:w w:val="99"/>
                </w:rPr>
                <w:t>current report on Form 8-K, filed with the SEC on July 21, 2016.</w:t>
              </w:r>
            </w:hyperlink>
          </w:p>
        </w:tc>
        <w:tc>
          <w:tcPr>
            <w:tcW w:w="2920" w:type="dxa"/>
            <w:vAlign w:val="bottom"/>
            <w:gridSpan w:val="20"/>
          </w:tcPr>
          <w:p>
            <w:pPr>
              <w:spacing w:after="0"/>
              <w:rPr>
                <w:sz w:val="17"/>
                <w:szCs w:val="17"/>
                <w:color w:val="auto"/>
              </w:rPr>
            </w:pPr>
          </w:p>
        </w:tc>
      </w:tr>
      <w:tr>
        <w:trPr>
          <w:trHeight w:val="493"/>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7620" w:type="dxa"/>
            <w:vAlign w:val="bottom"/>
            <w:tcBorders>
              <w:bottom w:val="single" w:sz="8" w:color="0000FF"/>
            </w:tcBorders>
            <w:gridSpan w:val="26"/>
          </w:tcPr>
          <w:p>
            <w:pPr>
              <w:ind w:left="20"/>
              <w:spacing w:after="0"/>
              <w:rPr>
                <w:rFonts w:ascii="Times New Roman" w:cs="Times New Roman" w:eastAsia="Times New Roman" w:hAnsi="Times New Roman"/>
                <w:sz w:val="18"/>
                <w:szCs w:val="18"/>
                <w:color w:val="0000FF"/>
                <w:w w:val="99"/>
              </w:rPr>
            </w:pPr>
            <w:hyperlink r:id="rId122">
              <w:r>
                <w:rPr>
                  <w:rFonts w:ascii="Times New Roman" w:cs="Times New Roman" w:eastAsia="Times New Roman" w:hAnsi="Times New Roman"/>
                  <w:sz w:val="18"/>
                  <w:szCs w:val="18"/>
                  <w:color w:val="0000FF"/>
                  <w:w w:val="99"/>
                </w:rPr>
                <w:t>Description of the Registrant’s securities, incorporated by reference to Exhibit 4.1 to the Annual report on</w:t>
              </w:r>
            </w:hyperlink>
          </w:p>
        </w:tc>
      </w:tr>
      <w:tr>
        <w:trPr>
          <w:trHeight w:val="196"/>
        </w:trPr>
        <w:tc>
          <w:tcPr>
            <w:tcW w:w="1140" w:type="dxa"/>
            <w:vAlign w:val="bottom"/>
          </w:tcPr>
          <w:p>
            <w:pPr>
              <w:spacing w:after="0"/>
              <w:rPr>
                <w:sz w:val="17"/>
                <w:szCs w:val="17"/>
                <w:color w:val="auto"/>
              </w:rPr>
            </w:pPr>
          </w:p>
        </w:tc>
        <w:tc>
          <w:tcPr>
            <w:tcW w:w="3840" w:type="dxa"/>
            <w:vAlign w:val="bottom"/>
            <w:tcBorders>
              <w:bottom w:val="single" w:sz="8" w:color="0000FF"/>
            </w:tcBorders>
          </w:tcPr>
          <w:p>
            <w:pPr>
              <w:ind w:left="20"/>
              <w:spacing w:after="0" w:line="196" w:lineRule="exact"/>
              <w:rPr>
                <w:rFonts w:ascii="Times New Roman" w:cs="Times New Roman" w:eastAsia="Times New Roman" w:hAnsi="Times New Roman"/>
                <w:sz w:val="18"/>
                <w:szCs w:val="18"/>
                <w:color w:val="0000FF"/>
                <w:w w:val="99"/>
              </w:rPr>
            </w:pPr>
            <w:hyperlink r:id="rId122">
              <w:r>
                <w:rPr>
                  <w:rFonts w:ascii="Times New Roman" w:cs="Times New Roman" w:eastAsia="Times New Roman" w:hAnsi="Times New Roman"/>
                  <w:sz w:val="18"/>
                  <w:szCs w:val="18"/>
                  <w:color w:val="0000FF"/>
                  <w:w w:val="99"/>
                </w:rPr>
                <w:t>Form 10-K filed with the SEC on February 28, 2020.</w:t>
              </w:r>
            </w:hyperlink>
          </w:p>
        </w:tc>
        <w:tc>
          <w:tcPr>
            <w:tcW w:w="3780" w:type="dxa"/>
            <w:vAlign w:val="bottom"/>
            <w:gridSpan w:val="25"/>
          </w:tcPr>
          <w:p>
            <w:pPr>
              <w:spacing w:after="0"/>
              <w:rPr>
                <w:sz w:val="17"/>
                <w:szCs w:val="17"/>
                <w:color w:val="auto"/>
              </w:rPr>
            </w:pPr>
          </w:p>
        </w:tc>
      </w:tr>
      <w:tr>
        <w:trPr>
          <w:trHeight w:val="493"/>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7620" w:type="dxa"/>
            <w:vAlign w:val="bottom"/>
            <w:gridSpan w:val="26"/>
          </w:tcPr>
          <w:p>
            <w:pPr>
              <w:ind w:left="20"/>
              <w:spacing w:after="0"/>
              <w:rPr>
                <w:rFonts w:ascii="Times New Roman" w:cs="Times New Roman" w:eastAsia="Times New Roman" w:hAnsi="Times New Roman"/>
                <w:sz w:val="18"/>
                <w:szCs w:val="18"/>
                <w:color w:val="0000FF"/>
                <w:w w:val="99"/>
              </w:rPr>
            </w:pPr>
            <w:hyperlink r:id="rId123">
              <w:r>
                <w:rPr>
                  <w:rFonts w:ascii="Times New Roman" w:cs="Times New Roman" w:eastAsia="Times New Roman" w:hAnsi="Times New Roman"/>
                  <w:sz w:val="18"/>
                  <w:szCs w:val="18"/>
                  <w:color w:val="0000FF"/>
                  <w:w w:val="99"/>
                </w:rPr>
                <w:t>Form of Directors’ Indemnification Agreement, incorporated by reference to Exhibit 10.1 to the quarterly</w:t>
              </w:r>
            </w:hyperlink>
          </w:p>
        </w:tc>
      </w:tr>
      <w:tr>
        <w:trPr>
          <w:trHeight w:val="196"/>
        </w:trPr>
        <w:tc>
          <w:tcPr>
            <w:tcW w:w="1140" w:type="dxa"/>
            <w:vAlign w:val="bottom"/>
          </w:tcPr>
          <w:p>
            <w:pPr>
              <w:spacing w:after="0"/>
              <w:rPr>
                <w:sz w:val="17"/>
                <w:szCs w:val="17"/>
                <w:color w:val="auto"/>
              </w:rPr>
            </w:pPr>
          </w:p>
        </w:tc>
        <w:tc>
          <w:tcPr>
            <w:tcW w:w="7600" w:type="dxa"/>
            <w:vAlign w:val="bottom"/>
            <w:tcBorders>
              <w:top w:val="single" w:sz="8" w:color="0000FF"/>
            </w:tcBorders>
            <w:gridSpan w:val="25"/>
          </w:tcPr>
          <w:p>
            <w:pPr>
              <w:ind w:left="20"/>
              <w:spacing w:after="0" w:line="196" w:lineRule="exact"/>
              <w:rPr>
                <w:rFonts w:ascii="Times New Roman" w:cs="Times New Roman" w:eastAsia="Times New Roman" w:hAnsi="Times New Roman"/>
                <w:sz w:val="18"/>
                <w:szCs w:val="18"/>
                <w:color w:val="0000FF"/>
              </w:rPr>
            </w:pPr>
            <w:hyperlink r:id="rId123">
              <w:r>
                <w:rPr>
                  <w:rFonts w:ascii="Times New Roman" w:cs="Times New Roman" w:eastAsia="Times New Roman" w:hAnsi="Times New Roman"/>
                  <w:sz w:val="18"/>
                  <w:szCs w:val="18"/>
                  <w:color w:val="0000FF"/>
                </w:rPr>
                <w:t>report on Form 10-Q for the quarter ended March 31, 2003.*</w:t>
              </w:r>
            </w:hyperlink>
          </w:p>
        </w:tc>
        <w:tc>
          <w:tcPr>
            <w:tcW w:w="2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3980" w:type="dxa"/>
            <w:vAlign w:val="bottom"/>
            <w:gridSpan w:val="2"/>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493"/>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7520" w:type="dxa"/>
            <w:vAlign w:val="bottom"/>
            <w:tcBorders>
              <w:bottom w:val="single" w:sz="8" w:color="0000FF"/>
            </w:tcBorders>
            <w:gridSpan w:val="22"/>
          </w:tcPr>
          <w:p>
            <w:pPr>
              <w:ind w:left="20"/>
              <w:spacing w:after="0"/>
              <w:rPr>
                <w:rFonts w:ascii="Times New Roman" w:cs="Times New Roman" w:eastAsia="Times New Roman" w:hAnsi="Times New Roman"/>
                <w:sz w:val="18"/>
                <w:szCs w:val="18"/>
                <w:color w:val="0000FF"/>
                <w:w w:val="99"/>
              </w:rPr>
            </w:pPr>
            <w:hyperlink r:id="rId124">
              <w:r>
                <w:rPr>
                  <w:rFonts w:ascii="Times New Roman" w:cs="Times New Roman" w:eastAsia="Times New Roman" w:hAnsi="Times New Roman"/>
                  <w:sz w:val="18"/>
                  <w:szCs w:val="18"/>
                  <w:color w:val="0000FF"/>
                  <w:w w:val="99"/>
                </w:rPr>
                <w:t>Amended and Restated Omnibus Stock and Performance Compensation Plan, incorporated by reference</w:t>
              </w:r>
            </w:hyperlink>
          </w:p>
        </w:tc>
        <w:tc>
          <w:tcPr>
            <w:tcW w:w="100" w:type="dxa"/>
            <w:vAlign w:val="bottom"/>
            <w:gridSpan w:val="4"/>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6460" w:type="dxa"/>
            <w:vAlign w:val="bottom"/>
            <w:tcBorders>
              <w:bottom w:val="single" w:sz="8" w:color="0000FF"/>
            </w:tcBorders>
            <w:gridSpan w:val="12"/>
          </w:tcPr>
          <w:p>
            <w:pPr>
              <w:ind w:left="20"/>
              <w:spacing w:after="0" w:line="196" w:lineRule="exact"/>
              <w:rPr>
                <w:rFonts w:ascii="Times New Roman" w:cs="Times New Roman" w:eastAsia="Times New Roman" w:hAnsi="Times New Roman"/>
                <w:sz w:val="18"/>
                <w:szCs w:val="18"/>
                <w:color w:val="0000FF"/>
                <w:w w:val="99"/>
              </w:rPr>
            </w:pPr>
            <w:hyperlink r:id="rId124">
              <w:r>
                <w:rPr>
                  <w:rFonts w:ascii="Times New Roman" w:cs="Times New Roman" w:eastAsia="Times New Roman" w:hAnsi="Times New Roman"/>
                  <w:sz w:val="18"/>
                  <w:szCs w:val="18"/>
                  <w:color w:val="0000FF"/>
                  <w:w w:val="99"/>
                </w:rPr>
                <w:t>to Exhibit 10.1 to the current report on Form 8-K, filed with the SEC on April 19, 2013.*</w:t>
              </w:r>
            </w:hyperlink>
          </w:p>
        </w:tc>
        <w:tc>
          <w:tcPr>
            <w:tcW w:w="1160" w:type="dxa"/>
            <w:vAlign w:val="bottom"/>
            <w:gridSpan w:val="14"/>
          </w:tcPr>
          <w:p>
            <w:pPr>
              <w:spacing w:after="0"/>
              <w:rPr>
                <w:sz w:val="17"/>
                <w:szCs w:val="17"/>
                <w:color w:val="auto"/>
              </w:rPr>
            </w:pPr>
          </w:p>
        </w:tc>
      </w:tr>
      <w:tr>
        <w:trPr>
          <w:trHeight w:val="493"/>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10.3</w:t>
            </w:r>
          </w:p>
        </w:tc>
        <w:tc>
          <w:tcPr>
            <w:tcW w:w="7620" w:type="dxa"/>
            <w:vAlign w:val="bottom"/>
            <w:gridSpan w:val="26"/>
          </w:tcPr>
          <w:p>
            <w:pPr>
              <w:ind w:left="20"/>
              <w:spacing w:after="0"/>
              <w:rPr>
                <w:rFonts w:ascii="Times New Roman" w:cs="Times New Roman" w:eastAsia="Times New Roman" w:hAnsi="Times New Roman"/>
                <w:sz w:val="18"/>
                <w:szCs w:val="18"/>
                <w:color w:val="0000FF"/>
              </w:rPr>
            </w:pPr>
            <w:hyperlink r:id="rId125">
              <w:r>
                <w:rPr>
                  <w:rFonts w:ascii="Times New Roman" w:cs="Times New Roman" w:eastAsia="Times New Roman" w:hAnsi="Times New Roman"/>
                  <w:sz w:val="18"/>
                  <w:szCs w:val="18"/>
                  <w:color w:val="0000FF"/>
                </w:rPr>
                <w:t>Amendment and Restatement of the Supplemental Executive Retirement Plan, incorporated by reference</w:t>
              </w:r>
            </w:hyperlink>
          </w:p>
        </w:tc>
      </w:tr>
      <w:tr>
        <w:trPr>
          <w:trHeight w:val="196"/>
        </w:trPr>
        <w:tc>
          <w:tcPr>
            <w:tcW w:w="1140" w:type="dxa"/>
            <w:vAlign w:val="bottom"/>
          </w:tcPr>
          <w:p>
            <w:pPr>
              <w:spacing w:after="0"/>
              <w:rPr>
                <w:sz w:val="17"/>
                <w:szCs w:val="17"/>
                <w:color w:val="auto"/>
              </w:rPr>
            </w:pPr>
          </w:p>
        </w:tc>
        <w:tc>
          <w:tcPr>
            <w:tcW w:w="6960" w:type="dxa"/>
            <w:vAlign w:val="bottom"/>
            <w:tcBorders>
              <w:top w:val="single" w:sz="8" w:color="0000FF"/>
              <w:bottom w:val="single" w:sz="8" w:color="0000FF"/>
            </w:tcBorders>
            <w:gridSpan w:val="13"/>
          </w:tcPr>
          <w:p>
            <w:pPr>
              <w:ind w:left="20"/>
              <w:spacing w:after="0" w:line="196" w:lineRule="exact"/>
              <w:rPr>
                <w:rFonts w:ascii="Times New Roman" w:cs="Times New Roman" w:eastAsia="Times New Roman" w:hAnsi="Times New Roman"/>
                <w:sz w:val="18"/>
                <w:szCs w:val="18"/>
                <w:color w:val="0000FF"/>
                <w:w w:val="99"/>
              </w:rPr>
            </w:pPr>
            <w:hyperlink r:id="rId125">
              <w:r>
                <w:rPr>
                  <w:rFonts w:ascii="Times New Roman" w:cs="Times New Roman" w:eastAsia="Times New Roman" w:hAnsi="Times New Roman"/>
                  <w:sz w:val="18"/>
                  <w:szCs w:val="18"/>
                  <w:color w:val="0000FF"/>
                  <w:w w:val="99"/>
                </w:rPr>
                <w:t>to Exhibit 10.2 to the quarterly report on Form 10-Q for the quarter ended September 30, 2007.*</w:t>
              </w:r>
            </w:hyperlink>
          </w:p>
        </w:tc>
        <w:tc>
          <w:tcPr>
            <w:tcW w:w="580" w:type="dxa"/>
            <w:vAlign w:val="bottom"/>
            <w:tcBorders>
              <w:top w:val="single" w:sz="8" w:color="0000FF"/>
            </w:tcBorders>
            <w:gridSpan w:val="10"/>
          </w:tcPr>
          <w:p>
            <w:pPr>
              <w:spacing w:after="0"/>
              <w:rPr>
                <w:sz w:val="17"/>
                <w:szCs w:val="17"/>
                <w:color w:val="auto"/>
              </w:rPr>
            </w:pPr>
          </w:p>
        </w:tc>
        <w:tc>
          <w:tcPr>
            <w:tcW w:w="80" w:type="dxa"/>
            <w:vAlign w:val="bottom"/>
            <w:gridSpan w:val="3"/>
          </w:tcPr>
          <w:p>
            <w:pPr>
              <w:spacing w:after="0"/>
              <w:rPr>
                <w:sz w:val="17"/>
                <w:szCs w:val="17"/>
                <w:color w:val="auto"/>
              </w:rPr>
            </w:pPr>
          </w:p>
        </w:tc>
      </w:tr>
      <w:tr>
        <w:trPr>
          <w:trHeight w:val="493"/>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7420" w:type="dxa"/>
            <w:vAlign w:val="bottom"/>
            <w:tcBorders>
              <w:bottom w:val="single" w:sz="8" w:color="0000FF"/>
            </w:tcBorders>
            <w:gridSpan w:val="20"/>
          </w:tcPr>
          <w:p>
            <w:pPr>
              <w:ind w:left="20"/>
              <w:spacing w:after="0"/>
              <w:rPr>
                <w:rFonts w:ascii="Times New Roman" w:cs="Times New Roman" w:eastAsia="Times New Roman" w:hAnsi="Times New Roman"/>
                <w:sz w:val="18"/>
                <w:szCs w:val="18"/>
                <w:color w:val="0000FF"/>
                <w:w w:val="99"/>
              </w:rPr>
            </w:pPr>
            <w:hyperlink r:id="rId126">
              <w:r>
                <w:rPr>
                  <w:rFonts w:ascii="Times New Roman" w:cs="Times New Roman" w:eastAsia="Times New Roman" w:hAnsi="Times New Roman"/>
                  <w:sz w:val="18"/>
                  <w:szCs w:val="18"/>
                  <w:color w:val="0000FF"/>
                  <w:w w:val="99"/>
                </w:rPr>
                <w:t>Form of Stock Appreciation Rights Award Agreement, incorporated by reference to Exhibit 10.4 to the</w:t>
              </w:r>
            </w:hyperlink>
          </w:p>
        </w:tc>
        <w:tc>
          <w:tcPr>
            <w:tcW w:w="200" w:type="dxa"/>
            <w:vAlign w:val="bottom"/>
            <w:gridSpan w:val="6"/>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7620" w:type="dxa"/>
            <w:vAlign w:val="bottom"/>
            <w:gridSpan w:val="26"/>
          </w:tcPr>
          <w:p>
            <w:pPr>
              <w:ind w:left="20"/>
              <w:spacing w:after="0" w:line="196" w:lineRule="exact"/>
              <w:rPr>
                <w:rFonts w:ascii="Times New Roman" w:cs="Times New Roman" w:eastAsia="Times New Roman" w:hAnsi="Times New Roman"/>
                <w:sz w:val="18"/>
                <w:szCs w:val="18"/>
                <w:color w:val="0000FF"/>
              </w:rPr>
            </w:pPr>
            <w:hyperlink r:id="rId126">
              <w:r>
                <w:rPr>
                  <w:rFonts w:ascii="Times New Roman" w:cs="Times New Roman" w:eastAsia="Times New Roman" w:hAnsi="Times New Roman"/>
                  <w:sz w:val="18"/>
                  <w:szCs w:val="18"/>
                  <w:color w:val="0000FF"/>
                </w:rPr>
                <w:t>quarterly report on Form 10-Q for the quarter ended September 30, 2007.*</w:t>
              </w:r>
            </w:hyperlink>
          </w:p>
        </w:tc>
      </w:tr>
      <w:tr>
        <w:trPr>
          <w:trHeight w:val="20"/>
        </w:trPr>
        <w:tc>
          <w:tcPr>
            <w:tcW w:w="1140" w:type="dxa"/>
            <w:vAlign w:val="bottom"/>
          </w:tcPr>
          <w:p>
            <w:pPr>
              <w:spacing w:after="0" w:line="20" w:lineRule="exact"/>
              <w:rPr>
                <w:sz w:val="1"/>
                <w:szCs w:val="1"/>
                <w:color w:val="auto"/>
              </w:rPr>
            </w:pPr>
          </w:p>
        </w:tc>
        <w:tc>
          <w:tcPr>
            <w:tcW w:w="3980" w:type="dxa"/>
            <w:vAlign w:val="bottom"/>
            <w:gridSpan w:val="2"/>
            <w:shd w:val="clear" w:color="auto" w:fill="0000FF"/>
          </w:tcPr>
          <w:p>
            <w:pPr>
              <w:spacing w:after="0" w:line="20" w:lineRule="exact"/>
              <w:rPr>
                <w:sz w:val="1"/>
                <w:szCs w:val="1"/>
                <w:color w:val="auto"/>
              </w:rPr>
            </w:pPr>
          </w:p>
        </w:tc>
        <w:tc>
          <w:tcPr>
            <w:tcW w:w="480" w:type="dxa"/>
            <w:vAlign w:val="bottom"/>
            <w:gridSpan w:val="3"/>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493"/>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10.5</w:t>
            </w:r>
          </w:p>
        </w:tc>
        <w:tc>
          <w:tcPr>
            <w:tcW w:w="7220" w:type="dxa"/>
            <w:vAlign w:val="bottom"/>
            <w:tcBorders>
              <w:bottom w:val="single" w:sz="8" w:color="0000FF"/>
            </w:tcBorders>
            <w:gridSpan w:val="15"/>
          </w:tcPr>
          <w:p>
            <w:pPr>
              <w:ind w:left="20"/>
              <w:spacing w:after="0"/>
              <w:rPr>
                <w:rFonts w:ascii="Times New Roman" w:cs="Times New Roman" w:eastAsia="Times New Roman" w:hAnsi="Times New Roman"/>
                <w:sz w:val="18"/>
                <w:szCs w:val="18"/>
                <w:color w:val="0000FF"/>
                <w:w w:val="99"/>
              </w:rPr>
            </w:pPr>
            <w:hyperlink r:id="rId127">
              <w:r>
                <w:rPr>
                  <w:rFonts w:ascii="Times New Roman" w:cs="Times New Roman" w:eastAsia="Times New Roman" w:hAnsi="Times New Roman"/>
                  <w:sz w:val="18"/>
                  <w:szCs w:val="18"/>
                  <w:color w:val="0000FF"/>
                  <w:w w:val="99"/>
                </w:rPr>
                <w:t>Form of Restricted Stock Award Agreement, incorporated by reference to Exhibit 10.8 to the annual</w:t>
              </w:r>
            </w:hyperlink>
          </w:p>
        </w:tc>
        <w:tc>
          <w:tcPr>
            <w:tcW w:w="400" w:type="dxa"/>
            <w:vAlign w:val="bottom"/>
            <w:gridSpan w:val="11"/>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4460" w:type="dxa"/>
            <w:vAlign w:val="bottom"/>
            <w:tcBorders>
              <w:bottom w:val="single" w:sz="8" w:color="0000FF"/>
            </w:tcBorders>
            <w:gridSpan w:val="5"/>
          </w:tcPr>
          <w:p>
            <w:pPr>
              <w:ind w:left="20"/>
              <w:spacing w:after="0" w:line="196" w:lineRule="exact"/>
              <w:rPr>
                <w:rFonts w:ascii="Times New Roman" w:cs="Times New Roman" w:eastAsia="Times New Roman" w:hAnsi="Times New Roman"/>
                <w:sz w:val="18"/>
                <w:szCs w:val="18"/>
                <w:color w:val="0000FF"/>
                <w:w w:val="99"/>
              </w:rPr>
            </w:pPr>
            <w:hyperlink r:id="rId127">
              <w:r>
                <w:rPr>
                  <w:rFonts w:ascii="Times New Roman" w:cs="Times New Roman" w:eastAsia="Times New Roman" w:hAnsi="Times New Roman"/>
                  <w:sz w:val="18"/>
                  <w:szCs w:val="18"/>
                  <w:color w:val="0000FF"/>
                  <w:w w:val="99"/>
                </w:rPr>
                <w:t>report on Form 10-K for the year ended December 31, 2016.*</w:t>
              </w:r>
            </w:hyperlink>
          </w:p>
        </w:tc>
        <w:tc>
          <w:tcPr>
            <w:tcW w:w="3160" w:type="dxa"/>
            <w:vAlign w:val="bottom"/>
            <w:gridSpan w:val="21"/>
          </w:tcPr>
          <w:p>
            <w:pPr>
              <w:spacing w:after="0"/>
              <w:rPr>
                <w:sz w:val="17"/>
                <w:szCs w:val="17"/>
                <w:color w:val="auto"/>
              </w:rPr>
            </w:pPr>
          </w:p>
        </w:tc>
      </w:tr>
      <w:tr>
        <w:trPr>
          <w:trHeight w:val="493"/>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10.6</w:t>
            </w:r>
          </w:p>
        </w:tc>
        <w:tc>
          <w:tcPr>
            <w:tcW w:w="7540" w:type="dxa"/>
            <w:vAlign w:val="bottom"/>
            <w:tcBorders>
              <w:bottom w:val="single" w:sz="8" w:color="0000FF"/>
            </w:tcBorders>
            <w:gridSpan w:val="23"/>
          </w:tcPr>
          <w:p>
            <w:pPr>
              <w:ind w:left="20"/>
              <w:spacing w:after="0"/>
              <w:rPr>
                <w:rFonts w:ascii="Times New Roman" w:cs="Times New Roman" w:eastAsia="Times New Roman" w:hAnsi="Times New Roman"/>
                <w:sz w:val="18"/>
                <w:szCs w:val="18"/>
                <w:color w:val="0000FF"/>
                <w:w w:val="99"/>
              </w:rPr>
            </w:pPr>
            <w:hyperlink r:id="rId128">
              <w:r>
                <w:rPr>
                  <w:rFonts w:ascii="Times New Roman" w:cs="Times New Roman" w:eastAsia="Times New Roman" w:hAnsi="Times New Roman"/>
                  <w:sz w:val="18"/>
                  <w:szCs w:val="18"/>
                  <w:color w:val="0000FF"/>
                  <w:w w:val="99"/>
                </w:rPr>
                <w:t>Form of Restricted Stock Unit Agreement, incorporated by reference to Exhibit 10.9 to the annual report</w:t>
              </w:r>
            </w:hyperlink>
          </w:p>
        </w:tc>
        <w:tc>
          <w:tcPr>
            <w:tcW w:w="80" w:type="dxa"/>
            <w:vAlign w:val="bottom"/>
            <w:gridSpan w:val="3"/>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7620" w:type="dxa"/>
            <w:vAlign w:val="bottom"/>
            <w:gridSpan w:val="26"/>
          </w:tcPr>
          <w:p>
            <w:pPr>
              <w:ind w:left="20"/>
              <w:spacing w:after="0" w:line="196" w:lineRule="exact"/>
              <w:rPr>
                <w:rFonts w:ascii="Times New Roman" w:cs="Times New Roman" w:eastAsia="Times New Roman" w:hAnsi="Times New Roman"/>
                <w:sz w:val="18"/>
                <w:szCs w:val="18"/>
                <w:color w:val="0000FF"/>
              </w:rPr>
            </w:pPr>
            <w:hyperlink r:id="rId128">
              <w:r>
                <w:rPr>
                  <w:rFonts w:ascii="Times New Roman" w:cs="Times New Roman" w:eastAsia="Times New Roman" w:hAnsi="Times New Roman"/>
                  <w:sz w:val="18"/>
                  <w:szCs w:val="18"/>
                  <w:color w:val="0000FF"/>
                </w:rPr>
                <w:t>on Form 10-K for the year ended December 31, 2016.*</w:t>
              </w:r>
            </w:hyperlink>
          </w:p>
        </w:tc>
      </w:tr>
      <w:tr>
        <w:trPr>
          <w:trHeight w:val="20"/>
        </w:trPr>
        <w:tc>
          <w:tcPr>
            <w:tcW w:w="1140" w:type="dxa"/>
            <w:vAlign w:val="bottom"/>
          </w:tcPr>
          <w:p>
            <w:pPr>
              <w:spacing w:after="0" w:line="20" w:lineRule="exact"/>
              <w:rPr>
                <w:sz w:val="1"/>
                <w:szCs w:val="1"/>
                <w:color w:val="auto"/>
              </w:rPr>
            </w:pPr>
          </w:p>
        </w:tc>
        <w:tc>
          <w:tcPr>
            <w:tcW w:w="3980" w:type="dxa"/>
            <w:vAlign w:val="bottom"/>
            <w:gridSpan w:val="2"/>
            <w:shd w:val="clear" w:color="auto" w:fill="0000FF"/>
          </w:tcPr>
          <w:p>
            <w:pPr>
              <w:spacing w:after="0" w:line="20" w:lineRule="exact"/>
              <w:rPr>
                <w:sz w:val="1"/>
                <w:szCs w:val="1"/>
                <w:color w:val="auto"/>
              </w:rPr>
            </w:pPr>
          </w:p>
        </w:tc>
        <w:tc>
          <w:tcPr>
            <w:tcW w:w="1140" w:type="dxa"/>
            <w:vAlign w:val="bottom"/>
            <w:gridSpan w:val="5"/>
          </w:tcPr>
          <w:p>
            <w:pPr>
              <w:spacing w:after="0" w:line="20" w:lineRule="exact"/>
              <w:rPr>
                <w:sz w:val="1"/>
                <w:szCs w:val="1"/>
                <w:color w:val="auto"/>
              </w:rPr>
            </w:pPr>
          </w:p>
        </w:tc>
        <w:tc>
          <w:tcPr>
            <w:tcW w:w="120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493"/>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7200" w:type="dxa"/>
            <w:vAlign w:val="bottom"/>
            <w:tcBorders>
              <w:bottom w:val="single" w:sz="8" w:color="0000FF"/>
            </w:tcBorders>
            <w:gridSpan w:val="14"/>
          </w:tcPr>
          <w:p>
            <w:pPr>
              <w:ind w:left="20"/>
              <w:spacing w:after="0"/>
              <w:rPr>
                <w:rFonts w:ascii="Times New Roman" w:cs="Times New Roman" w:eastAsia="Times New Roman" w:hAnsi="Times New Roman"/>
                <w:sz w:val="18"/>
                <w:szCs w:val="18"/>
                <w:color w:val="0000FF"/>
                <w:w w:val="99"/>
              </w:rPr>
            </w:pPr>
            <w:hyperlink r:id="rId129">
              <w:r>
                <w:rPr>
                  <w:rFonts w:ascii="Times New Roman" w:cs="Times New Roman" w:eastAsia="Times New Roman" w:hAnsi="Times New Roman"/>
                  <w:sz w:val="18"/>
                  <w:szCs w:val="18"/>
                  <w:color w:val="0000FF"/>
                  <w:w w:val="99"/>
                </w:rPr>
                <w:t>Description of Cass Information Systems, Inc. Profit Sharing Program, incorporated by reference to</w:t>
              </w:r>
            </w:hyperlink>
          </w:p>
        </w:tc>
        <w:tc>
          <w:tcPr>
            <w:tcW w:w="420" w:type="dxa"/>
            <w:vAlign w:val="bottom"/>
            <w:gridSpan w:val="12"/>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7620" w:type="dxa"/>
            <w:vAlign w:val="bottom"/>
            <w:gridSpan w:val="26"/>
          </w:tcPr>
          <w:p>
            <w:pPr>
              <w:ind w:left="20"/>
              <w:spacing w:after="0" w:line="196" w:lineRule="exact"/>
              <w:rPr>
                <w:rFonts w:ascii="Times New Roman" w:cs="Times New Roman" w:eastAsia="Times New Roman" w:hAnsi="Times New Roman"/>
                <w:sz w:val="18"/>
                <w:szCs w:val="18"/>
                <w:color w:val="0000FF"/>
              </w:rPr>
            </w:pPr>
            <w:hyperlink r:id="rId129">
              <w:r>
                <w:rPr>
                  <w:rFonts w:ascii="Times New Roman" w:cs="Times New Roman" w:eastAsia="Times New Roman" w:hAnsi="Times New Roman"/>
                  <w:sz w:val="18"/>
                  <w:szCs w:val="18"/>
                  <w:color w:val="0000FF"/>
                </w:rPr>
                <w:t>Exhibit 10.7 to the annual report on Form 10-K for the year ended December 31, 2022*</w:t>
              </w:r>
            </w:hyperlink>
          </w:p>
        </w:tc>
      </w:tr>
      <w:tr>
        <w:trPr>
          <w:trHeight w:val="20"/>
        </w:trPr>
        <w:tc>
          <w:tcPr>
            <w:tcW w:w="1140" w:type="dxa"/>
            <w:vAlign w:val="bottom"/>
          </w:tcPr>
          <w:p>
            <w:pPr>
              <w:spacing w:after="0" w:line="20" w:lineRule="exact"/>
              <w:rPr>
                <w:sz w:val="1"/>
                <w:szCs w:val="1"/>
                <w:color w:val="auto"/>
              </w:rPr>
            </w:pPr>
          </w:p>
        </w:tc>
        <w:tc>
          <w:tcPr>
            <w:tcW w:w="5120" w:type="dxa"/>
            <w:vAlign w:val="bottom"/>
            <w:gridSpan w:val="7"/>
            <w:shd w:val="clear" w:color="auto" w:fill="0000FF"/>
          </w:tcPr>
          <w:p>
            <w:pPr>
              <w:spacing w:after="0" w:line="20" w:lineRule="exact"/>
              <w:rPr>
                <w:sz w:val="1"/>
                <w:szCs w:val="1"/>
                <w:color w:val="auto"/>
              </w:rPr>
            </w:pPr>
          </w:p>
        </w:tc>
        <w:tc>
          <w:tcPr>
            <w:tcW w:w="1200" w:type="dxa"/>
            <w:vAlign w:val="bottom"/>
            <w:gridSpan w:val="4"/>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gridSpan w:val="5"/>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493"/>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10.8</w:t>
            </w:r>
          </w:p>
        </w:tc>
        <w:tc>
          <w:tcPr>
            <w:tcW w:w="7620" w:type="dxa"/>
            <w:vAlign w:val="bottom"/>
            <w:gridSpan w:val="26"/>
          </w:tcPr>
          <w:p>
            <w:pPr>
              <w:ind w:left="20"/>
              <w:spacing w:after="0"/>
              <w:rPr>
                <w:rFonts w:ascii="Times New Roman" w:cs="Times New Roman" w:eastAsia="Times New Roman" w:hAnsi="Times New Roman"/>
                <w:sz w:val="18"/>
                <w:szCs w:val="18"/>
                <w:color w:val="0000FF"/>
              </w:rPr>
            </w:pPr>
            <w:hyperlink r:id="rId130">
              <w:r>
                <w:rPr>
                  <w:rFonts w:ascii="Times New Roman" w:cs="Times New Roman" w:eastAsia="Times New Roman" w:hAnsi="Times New Roman"/>
                  <w:sz w:val="18"/>
                  <w:szCs w:val="18"/>
                  <w:color w:val="0000FF"/>
                </w:rPr>
                <w:t>Cass Information Systems, Inc. 2023 Omnibus Stock and Performance Compensation Plan, incorporated</w:t>
              </w:r>
            </w:hyperlink>
          </w:p>
        </w:tc>
      </w:tr>
      <w:tr>
        <w:trPr>
          <w:trHeight w:val="196"/>
        </w:trPr>
        <w:tc>
          <w:tcPr>
            <w:tcW w:w="1140" w:type="dxa"/>
            <w:vAlign w:val="bottom"/>
          </w:tcPr>
          <w:p>
            <w:pPr>
              <w:spacing w:after="0"/>
              <w:rPr>
                <w:sz w:val="17"/>
                <w:szCs w:val="17"/>
                <w:color w:val="auto"/>
              </w:rPr>
            </w:pPr>
          </w:p>
        </w:tc>
        <w:tc>
          <w:tcPr>
            <w:tcW w:w="7380" w:type="dxa"/>
            <w:vAlign w:val="bottom"/>
            <w:tcBorders>
              <w:top w:val="single" w:sz="8" w:color="0000FF"/>
              <w:bottom w:val="single" w:sz="8" w:color="0000FF"/>
            </w:tcBorders>
            <w:gridSpan w:val="19"/>
          </w:tcPr>
          <w:p>
            <w:pPr>
              <w:ind w:left="20"/>
              <w:spacing w:after="0" w:line="196" w:lineRule="exact"/>
              <w:rPr>
                <w:rFonts w:ascii="Times New Roman" w:cs="Times New Roman" w:eastAsia="Times New Roman" w:hAnsi="Times New Roman"/>
                <w:sz w:val="18"/>
                <w:szCs w:val="18"/>
                <w:color w:val="0000FF"/>
                <w:w w:val="99"/>
              </w:rPr>
            </w:pPr>
            <w:hyperlink r:id="rId130">
              <w:r>
                <w:rPr>
                  <w:rFonts w:ascii="Times New Roman" w:cs="Times New Roman" w:eastAsia="Times New Roman" w:hAnsi="Times New Roman"/>
                  <w:sz w:val="18"/>
                  <w:szCs w:val="18"/>
                  <w:color w:val="0000FF"/>
                  <w:w w:val="99"/>
                </w:rPr>
                <w:t>by reference to Exhibit 10.1 to the current report on Form 8-K, filed with the SEC on April 21, 2023.*</w:t>
              </w:r>
            </w:hyperlink>
          </w:p>
        </w:tc>
        <w:tc>
          <w:tcPr>
            <w:tcW w:w="160" w:type="dxa"/>
            <w:vAlign w:val="bottom"/>
            <w:tcBorders>
              <w:top w:val="single" w:sz="8" w:color="0000FF"/>
            </w:tcBorders>
            <w:gridSpan w:val="4"/>
          </w:tcPr>
          <w:p>
            <w:pPr>
              <w:spacing w:after="0"/>
              <w:rPr>
                <w:sz w:val="17"/>
                <w:szCs w:val="17"/>
                <w:color w:val="auto"/>
              </w:rPr>
            </w:pPr>
          </w:p>
        </w:tc>
        <w:tc>
          <w:tcPr>
            <w:tcW w:w="80" w:type="dxa"/>
            <w:vAlign w:val="bottom"/>
            <w:gridSpan w:val="3"/>
          </w:tcPr>
          <w:p>
            <w:pPr>
              <w:spacing w:after="0"/>
              <w:rPr>
                <w:sz w:val="17"/>
                <w:szCs w:val="17"/>
                <w:color w:val="auto"/>
              </w:rPr>
            </w:pPr>
          </w:p>
        </w:tc>
      </w:tr>
      <w:tr>
        <w:trPr>
          <w:trHeight w:val="50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10.9</w:t>
            </w:r>
          </w:p>
        </w:tc>
        <w:tc>
          <w:tcPr>
            <w:tcW w:w="7620" w:type="dxa"/>
            <w:vAlign w:val="bottom"/>
            <w:gridSpan w:val="26"/>
          </w:tcPr>
          <w:p>
            <w:pPr>
              <w:ind w:left="20"/>
              <w:spacing w:after="0"/>
              <w:rPr>
                <w:rFonts w:ascii="Times New Roman" w:cs="Times New Roman" w:eastAsia="Times New Roman" w:hAnsi="Times New Roman"/>
                <w:sz w:val="18"/>
                <w:szCs w:val="18"/>
                <w:color w:val="0000FF"/>
              </w:rPr>
            </w:pPr>
            <w:hyperlink r:id="rId131">
              <w:r>
                <w:rPr>
                  <w:rFonts w:ascii="Times New Roman" w:cs="Times New Roman" w:eastAsia="Times New Roman" w:hAnsi="Times New Roman"/>
                  <w:sz w:val="18"/>
                  <w:szCs w:val="18"/>
                  <w:color w:val="0000FF"/>
                </w:rPr>
                <w:t>Form of Restricted Stock Award Agreement for Employees under the Cass Information Systems, Inc.</w:t>
              </w:r>
            </w:hyperlink>
          </w:p>
        </w:tc>
      </w:tr>
      <w:tr>
        <w:trPr>
          <w:trHeight w:val="20"/>
        </w:trPr>
        <w:tc>
          <w:tcPr>
            <w:tcW w:w="1140" w:type="dxa"/>
            <w:vAlign w:val="bottom"/>
          </w:tcPr>
          <w:p>
            <w:pPr>
              <w:spacing w:after="0" w:line="20" w:lineRule="exact"/>
              <w:rPr>
                <w:sz w:val="1"/>
                <w:szCs w:val="1"/>
                <w:color w:val="auto"/>
              </w:rPr>
            </w:pPr>
          </w:p>
        </w:tc>
        <w:tc>
          <w:tcPr>
            <w:tcW w:w="5120" w:type="dxa"/>
            <w:vAlign w:val="bottom"/>
            <w:gridSpan w:val="7"/>
            <w:shd w:val="clear" w:color="auto" w:fill="0000FF"/>
          </w:tcPr>
          <w:p>
            <w:pPr>
              <w:spacing w:after="0" w:line="20" w:lineRule="exact"/>
              <w:rPr>
                <w:sz w:val="1"/>
                <w:szCs w:val="1"/>
                <w:color w:val="auto"/>
              </w:rPr>
            </w:pPr>
          </w:p>
        </w:tc>
        <w:tc>
          <w:tcPr>
            <w:tcW w:w="1340" w:type="dxa"/>
            <w:vAlign w:val="bottom"/>
            <w:tcBorders>
              <w:right w:val="single" w:sz="8" w:color="0000FF"/>
            </w:tcBorders>
            <w:gridSpan w:val="5"/>
            <w:shd w:val="clear" w:color="auto" w:fill="0000FF"/>
          </w:tcPr>
          <w:p>
            <w:pPr>
              <w:spacing w:after="0" w:line="20" w:lineRule="exact"/>
              <w:rPr>
                <w:sz w:val="1"/>
                <w:szCs w:val="1"/>
                <w:color w:val="auto"/>
              </w:rPr>
            </w:pPr>
          </w:p>
        </w:tc>
        <w:tc>
          <w:tcPr>
            <w:tcW w:w="840" w:type="dxa"/>
            <w:vAlign w:val="bottom"/>
            <w:gridSpan w:val="5"/>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7620" w:type="dxa"/>
            <w:vAlign w:val="bottom"/>
            <w:gridSpan w:val="26"/>
          </w:tcPr>
          <w:p>
            <w:pPr>
              <w:ind w:left="20"/>
              <w:spacing w:after="0" w:line="196" w:lineRule="exact"/>
              <w:rPr>
                <w:rFonts w:ascii="Times New Roman" w:cs="Times New Roman" w:eastAsia="Times New Roman" w:hAnsi="Times New Roman"/>
                <w:sz w:val="18"/>
                <w:szCs w:val="18"/>
                <w:color w:val="0000FF"/>
              </w:rPr>
            </w:pPr>
            <w:hyperlink r:id="rId131">
              <w:r>
                <w:rPr>
                  <w:rFonts w:ascii="Times New Roman" w:cs="Times New Roman" w:eastAsia="Times New Roman" w:hAnsi="Times New Roman"/>
                  <w:sz w:val="18"/>
                  <w:szCs w:val="18"/>
                  <w:color w:val="0000FF"/>
                </w:rPr>
                <w:t>2023 Omnibus Stock and Performance Compensation Plan, incorporated by reference to Exhibit 10.2 to</w:t>
              </w:r>
            </w:hyperlink>
          </w:p>
        </w:tc>
      </w:tr>
      <w:tr>
        <w:trPr>
          <w:trHeight w:val="182"/>
        </w:trPr>
        <w:tc>
          <w:tcPr>
            <w:tcW w:w="1140" w:type="dxa"/>
            <w:vAlign w:val="bottom"/>
          </w:tcPr>
          <w:p>
            <w:pPr>
              <w:spacing w:after="0"/>
              <w:rPr>
                <w:sz w:val="15"/>
                <w:szCs w:val="15"/>
                <w:color w:val="auto"/>
              </w:rPr>
            </w:pPr>
          </w:p>
        </w:tc>
        <w:tc>
          <w:tcPr>
            <w:tcW w:w="7500" w:type="dxa"/>
            <w:vAlign w:val="bottom"/>
            <w:tcBorders>
              <w:top w:val="single" w:sz="8" w:color="0000FF"/>
            </w:tcBorders>
            <w:gridSpan w:val="21"/>
          </w:tcPr>
          <w:p>
            <w:pPr>
              <w:ind w:left="20"/>
              <w:spacing w:after="0" w:line="182" w:lineRule="exact"/>
              <w:rPr>
                <w:rFonts w:ascii="Times New Roman" w:cs="Times New Roman" w:eastAsia="Times New Roman" w:hAnsi="Times New Roman"/>
                <w:sz w:val="18"/>
                <w:szCs w:val="18"/>
                <w:color w:val="0000FF"/>
              </w:rPr>
            </w:pPr>
            <w:hyperlink r:id="rId131">
              <w:r>
                <w:rPr>
                  <w:rFonts w:ascii="Times New Roman" w:cs="Times New Roman" w:eastAsia="Times New Roman" w:hAnsi="Times New Roman"/>
                  <w:sz w:val="18"/>
                  <w:szCs w:val="18"/>
                  <w:color w:val="0000FF"/>
                </w:rPr>
                <w:t>the current report on Form 8-K, filed with the SEC on April 21, 2023.*</w:t>
              </w:r>
            </w:hyperlink>
          </w:p>
        </w:tc>
        <w:tc>
          <w:tcPr>
            <w:tcW w:w="120" w:type="dxa"/>
            <w:vAlign w:val="bottom"/>
            <w:gridSpan w:val="5"/>
          </w:tcPr>
          <w:p>
            <w:pPr>
              <w:spacing w:after="0"/>
              <w:rPr>
                <w:sz w:val="15"/>
                <w:szCs w:val="15"/>
                <w:color w:val="auto"/>
              </w:rPr>
            </w:pPr>
          </w:p>
        </w:tc>
      </w:tr>
      <w:tr>
        <w:trPr>
          <w:trHeight w:val="20"/>
        </w:trPr>
        <w:tc>
          <w:tcPr>
            <w:tcW w:w="1140" w:type="dxa"/>
            <w:vAlign w:val="bottom"/>
          </w:tcPr>
          <w:p>
            <w:pPr>
              <w:spacing w:after="0" w:line="20" w:lineRule="exact"/>
              <w:rPr>
                <w:sz w:val="1"/>
                <w:szCs w:val="1"/>
                <w:color w:val="auto"/>
              </w:rPr>
            </w:pPr>
          </w:p>
        </w:tc>
        <w:tc>
          <w:tcPr>
            <w:tcW w:w="5120" w:type="dxa"/>
            <w:vAlign w:val="bottom"/>
            <w:gridSpan w:val="7"/>
            <w:shd w:val="clear" w:color="auto" w:fill="0000FF"/>
          </w:tcPr>
          <w:p>
            <w:pPr>
              <w:spacing w:after="0" w:line="20" w:lineRule="exact"/>
              <w:rPr>
                <w:sz w:val="1"/>
                <w:szCs w:val="1"/>
                <w:color w:val="auto"/>
              </w:rPr>
            </w:pPr>
          </w:p>
        </w:tc>
        <w:tc>
          <w:tcPr>
            <w:tcW w:w="1340" w:type="dxa"/>
            <w:vAlign w:val="bottom"/>
            <w:gridSpan w:val="5"/>
          </w:tcPr>
          <w:p>
            <w:pPr>
              <w:spacing w:after="0" w:line="20" w:lineRule="exact"/>
              <w:rPr>
                <w:sz w:val="1"/>
                <w:szCs w:val="1"/>
                <w:color w:val="auto"/>
              </w:rPr>
            </w:pPr>
          </w:p>
        </w:tc>
        <w:tc>
          <w:tcPr>
            <w:tcW w:w="840" w:type="dxa"/>
            <w:vAlign w:val="bottom"/>
            <w:gridSpan w:val="5"/>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40" w:type="dxa"/>
            <w:vAlign w:val="bottom"/>
            <w:gridSpan w:val="7"/>
          </w:tcPr>
          <w:p>
            <w:pPr>
              <w:spacing w:after="0" w:line="20" w:lineRule="exact"/>
              <w:rPr>
                <w:sz w:val="1"/>
                <w:szCs w:val="1"/>
                <w:color w:val="auto"/>
              </w:rPr>
            </w:pPr>
          </w:p>
        </w:tc>
      </w:tr>
      <w:tr>
        <w:trPr>
          <w:trHeight w:val="50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10.10</w:t>
            </w:r>
          </w:p>
        </w:tc>
        <w:tc>
          <w:tcPr>
            <w:tcW w:w="7620" w:type="dxa"/>
            <w:vAlign w:val="bottom"/>
            <w:gridSpan w:val="26"/>
          </w:tcPr>
          <w:p>
            <w:pPr>
              <w:ind w:left="20"/>
              <w:spacing w:after="0"/>
              <w:rPr>
                <w:rFonts w:ascii="Times New Roman" w:cs="Times New Roman" w:eastAsia="Times New Roman" w:hAnsi="Times New Roman"/>
                <w:sz w:val="18"/>
                <w:szCs w:val="18"/>
                <w:color w:val="0000FF"/>
              </w:rPr>
            </w:pPr>
            <w:hyperlink r:id="rId132">
              <w:r>
                <w:rPr>
                  <w:rFonts w:ascii="Times New Roman" w:cs="Times New Roman" w:eastAsia="Times New Roman" w:hAnsi="Times New Roman"/>
                  <w:sz w:val="18"/>
                  <w:szCs w:val="18"/>
                  <w:color w:val="0000FF"/>
                </w:rPr>
                <w:t>Form of Restricted Stock Award Agreement for Non-Employee Directors under the Cass Information</w:t>
              </w:r>
            </w:hyperlink>
          </w:p>
        </w:tc>
      </w:tr>
      <w:tr>
        <w:trPr>
          <w:trHeight w:val="20"/>
        </w:trPr>
        <w:tc>
          <w:tcPr>
            <w:tcW w:w="1140" w:type="dxa"/>
            <w:vAlign w:val="bottom"/>
          </w:tcPr>
          <w:p>
            <w:pPr>
              <w:spacing w:after="0" w:line="20" w:lineRule="exact"/>
              <w:rPr>
                <w:sz w:val="1"/>
                <w:szCs w:val="1"/>
                <w:color w:val="auto"/>
              </w:rPr>
            </w:pPr>
          </w:p>
        </w:tc>
        <w:tc>
          <w:tcPr>
            <w:tcW w:w="6460" w:type="dxa"/>
            <w:vAlign w:val="bottom"/>
            <w:tcBorders>
              <w:right w:val="single" w:sz="8" w:color="0000FF"/>
            </w:tcBorders>
            <w:gridSpan w:val="12"/>
            <w:shd w:val="clear" w:color="auto" w:fill="0000FF"/>
          </w:tcPr>
          <w:p>
            <w:pPr>
              <w:spacing w:after="0" w:line="20" w:lineRule="exact"/>
              <w:rPr>
                <w:sz w:val="1"/>
                <w:szCs w:val="1"/>
                <w:color w:val="auto"/>
              </w:rPr>
            </w:pPr>
          </w:p>
        </w:tc>
        <w:tc>
          <w:tcPr>
            <w:tcW w:w="840" w:type="dxa"/>
            <w:vAlign w:val="bottom"/>
            <w:gridSpan w:val="5"/>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40" w:type="dxa"/>
            <w:vAlign w:val="bottom"/>
            <w:gridSpan w:val="7"/>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7620" w:type="dxa"/>
            <w:vAlign w:val="bottom"/>
            <w:gridSpan w:val="26"/>
          </w:tcPr>
          <w:p>
            <w:pPr>
              <w:ind w:left="20"/>
              <w:spacing w:after="0" w:line="196" w:lineRule="exact"/>
              <w:rPr>
                <w:rFonts w:ascii="Times New Roman" w:cs="Times New Roman" w:eastAsia="Times New Roman" w:hAnsi="Times New Roman"/>
                <w:sz w:val="18"/>
                <w:szCs w:val="18"/>
                <w:color w:val="0000FF"/>
              </w:rPr>
            </w:pPr>
            <w:hyperlink r:id="rId132">
              <w:r>
                <w:rPr>
                  <w:rFonts w:ascii="Times New Roman" w:cs="Times New Roman" w:eastAsia="Times New Roman" w:hAnsi="Times New Roman"/>
                  <w:sz w:val="18"/>
                  <w:szCs w:val="18"/>
                  <w:color w:val="0000FF"/>
                </w:rPr>
                <w:t>Systems, Inc. 2023 Omnibus Stock and Performance Compensation Plan, incorporated by reference to</w:t>
              </w:r>
            </w:hyperlink>
          </w:p>
        </w:tc>
      </w:tr>
      <w:tr>
        <w:trPr>
          <w:trHeight w:val="183"/>
        </w:trPr>
        <w:tc>
          <w:tcPr>
            <w:tcW w:w="1140" w:type="dxa"/>
            <w:vAlign w:val="bottom"/>
          </w:tcPr>
          <w:p>
            <w:pPr>
              <w:spacing w:after="0"/>
              <w:rPr>
                <w:sz w:val="15"/>
                <w:szCs w:val="15"/>
                <w:color w:val="auto"/>
              </w:rPr>
            </w:pPr>
          </w:p>
        </w:tc>
        <w:tc>
          <w:tcPr>
            <w:tcW w:w="7380" w:type="dxa"/>
            <w:vAlign w:val="bottom"/>
            <w:tcBorders>
              <w:top w:val="single" w:sz="8" w:color="0000FF"/>
            </w:tcBorders>
            <w:gridSpan w:val="19"/>
          </w:tcPr>
          <w:p>
            <w:pPr>
              <w:ind w:left="20"/>
              <w:spacing w:after="0" w:line="182" w:lineRule="exact"/>
              <w:rPr>
                <w:rFonts w:ascii="Times New Roman" w:cs="Times New Roman" w:eastAsia="Times New Roman" w:hAnsi="Times New Roman"/>
                <w:sz w:val="18"/>
                <w:szCs w:val="18"/>
                <w:color w:val="0000FF"/>
              </w:rPr>
            </w:pPr>
            <w:hyperlink r:id="rId132">
              <w:r>
                <w:rPr>
                  <w:rFonts w:ascii="Times New Roman" w:cs="Times New Roman" w:eastAsia="Times New Roman" w:hAnsi="Times New Roman"/>
                  <w:sz w:val="18"/>
                  <w:szCs w:val="18"/>
                  <w:color w:val="0000FF"/>
                </w:rPr>
                <w:t>Exhibit 10.3 to the quarterly report on Form 10-Q for the quarter ended March 31, 2023.*</w:t>
              </w:r>
            </w:hyperlink>
          </w:p>
        </w:tc>
        <w:tc>
          <w:tcPr>
            <w:tcW w:w="240" w:type="dxa"/>
            <w:vAlign w:val="bottom"/>
            <w:gridSpan w:val="7"/>
          </w:tcPr>
          <w:p>
            <w:pPr>
              <w:spacing w:after="0"/>
              <w:rPr>
                <w:sz w:val="15"/>
                <w:szCs w:val="15"/>
                <w:color w:val="auto"/>
              </w:rPr>
            </w:pPr>
          </w:p>
        </w:tc>
      </w:tr>
      <w:tr>
        <w:trPr>
          <w:trHeight w:val="20"/>
        </w:trPr>
        <w:tc>
          <w:tcPr>
            <w:tcW w:w="1140" w:type="dxa"/>
            <w:vAlign w:val="bottom"/>
          </w:tcPr>
          <w:p>
            <w:pPr>
              <w:spacing w:after="0" w:line="20" w:lineRule="exact"/>
              <w:rPr>
                <w:sz w:val="1"/>
                <w:szCs w:val="1"/>
                <w:color w:val="auto"/>
              </w:rPr>
            </w:pPr>
          </w:p>
        </w:tc>
        <w:tc>
          <w:tcPr>
            <w:tcW w:w="38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319" w:lineRule="exact"/>
        <w:rPr>
          <w:sz w:val="20"/>
          <w:szCs w:val="20"/>
          <w:color w:val="auto"/>
        </w:rPr>
      </w:pPr>
    </w:p>
    <w:p>
      <w:pPr>
        <w:ind w:left="3600" w:hanging="1158"/>
        <w:spacing w:after="0"/>
        <w:tabs>
          <w:tab w:leader="none" w:pos="3600" w:val="left"/>
        </w:tabs>
        <w:numPr>
          <w:ilvl w:val="0"/>
          <w:numId w:val="29"/>
        </w:numPr>
        <w:rPr>
          <w:rFonts w:ascii="Times New Roman" w:cs="Times New Roman" w:eastAsia="Times New Roman" w:hAnsi="Times New Roman"/>
          <w:sz w:val="18"/>
          <w:szCs w:val="18"/>
          <w:u w:val="single" w:color="auto"/>
          <w:color w:val="0000FF"/>
        </w:rPr>
      </w:pPr>
      <w:hyperlink r:id="rId133">
        <w:r>
          <w:rPr>
            <w:rFonts w:ascii="Times New Roman" w:cs="Times New Roman" w:eastAsia="Times New Roman" w:hAnsi="Times New Roman"/>
            <w:sz w:val="18"/>
            <w:szCs w:val="18"/>
            <w:u w:val="single" w:color="auto"/>
            <w:color w:val="0000FF"/>
          </w:rPr>
          <w:t>Subsidiaries of registrant.</w:t>
        </w:r>
      </w:hyperlink>
    </w:p>
    <w:p>
      <w:pPr>
        <w:spacing w:after="0" w:line="306" w:lineRule="exact"/>
        <w:rPr>
          <w:sz w:val="20"/>
          <w:szCs w:val="20"/>
          <w:color w:val="auto"/>
        </w:rPr>
      </w:pPr>
    </w:p>
    <w:p>
      <w:pPr>
        <w:ind w:left="3600" w:hanging="1158"/>
        <w:spacing w:after="0"/>
        <w:tabs>
          <w:tab w:leader="none" w:pos="36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Consent of Independent Registered Public Accounting Firm.</w:t>
      </w:r>
    </w:p>
    <w:p>
      <w:pPr>
        <w:sectPr>
          <w:pgSz w:w="11900" w:h="16838" w:orient="portrait"/>
          <w:cols w:equalWidth="0" w:num="1">
            <w:col w:w="11200"/>
          </w:cols>
          <w:pgMar w:left="320" w:top="333" w:right="379" w:bottom="0" w:gutter="0" w:footer="0" w:header="0"/>
        </w:sectPr>
      </w:pPr>
    </w:p>
    <w:bookmarkStart w:id="88" w:name="page89"/>
    <w:bookmarkEnd w:id="88"/>
    <w:tbl>
      <w:tblPr>
        <w:tblLayout w:type="fixed"/>
        <w:tblInd w:w="2440" w:type="dxa"/>
        <w:tblCellMar>
          <w:top w:w="0" w:type="dxa"/>
          <w:left w:w="0" w:type="dxa"/>
          <w:bottom w:w="0" w:type="dxa"/>
          <w:right w:w="0" w:type="dxa"/>
        </w:tblCellMar>
      </w:tblPr>
      <w:tr>
        <w:trPr>
          <w:trHeight w:val="207"/>
        </w:trPr>
        <w:tc>
          <w:tcPr>
            <w:tcW w:w="114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95"/>
              </w:rPr>
              <w:t>31.1</w:t>
            </w:r>
          </w:p>
        </w:tc>
        <w:tc>
          <w:tcPr>
            <w:tcW w:w="74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0000FF"/>
              </w:rPr>
              <w:t>Certification Pursuant to Section 302 of the Sarbanes-Oxley Act of 2002.</w:t>
            </w:r>
          </w:p>
        </w:tc>
      </w:tr>
      <w:tr>
        <w:trPr>
          <w:trHeight w:val="20"/>
        </w:trPr>
        <w:tc>
          <w:tcPr>
            <w:tcW w:w="1140" w:type="dxa"/>
            <w:vAlign w:val="bottom"/>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3880" w:type="dxa"/>
            <w:vAlign w:val="bottom"/>
            <w:shd w:val="clear" w:color="auto" w:fill="0000FF"/>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r>
        <w:trPr>
          <w:trHeight w:val="493"/>
        </w:trPr>
        <w:tc>
          <w:tcPr>
            <w:tcW w:w="114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95"/>
              </w:rPr>
              <w:t>31.2</w:t>
            </w:r>
          </w:p>
        </w:tc>
        <w:tc>
          <w:tcPr>
            <w:tcW w:w="74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0000FF"/>
              </w:rPr>
              <w:t>Certification Pursuant to Section 302 of the Sarbanes-Oxley Act of 2002.</w:t>
            </w:r>
          </w:p>
        </w:tc>
      </w:tr>
      <w:tr>
        <w:trPr>
          <w:trHeight w:val="20"/>
        </w:trPr>
        <w:tc>
          <w:tcPr>
            <w:tcW w:w="1140" w:type="dxa"/>
            <w:vAlign w:val="bottom"/>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3880" w:type="dxa"/>
            <w:vAlign w:val="bottom"/>
            <w:shd w:val="clear" w:color="auto" w:fill="0000FF"/>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r>
        <w:trPr>
          <w:trHeight w:val="507"/>
        </w:trPr>
        <w:tc>
          <w:tcPr>
            <w:tcW w:w="114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95"/>
              </w:rPr>
              <w:t>32.1</w:t>
            </w:r>
          </w:p>
        </w:tc>
        <w:tc>
          <w:tcPr>
            <w:tcW w:w="7400" w:type="dxa"/>
            <w:vAlign w:val="bottom"/>
            <w:tcBorders>
              <w:bottom w:val="single" w:sz="8" w:color="0000FF"/>
            </w:tcBorders>
            <w:gridSpan w:val="3"/>
          </w:tcPr>
          <w:p>
            <w:pPr>
              <w:ind w:left="20"/>
              <w:spacing w:after="0"/>
              <w:rPr>
                <w:sz w:val="20"/>
                <w:szCs w:val="20"/>
                <w:color w:val="auto"/>
              </w:rPr>
            </w:pPr>
            <w:r>
              <w:rPr>
                <w:rFonts w:ascii="Times New Roman" w:cs="Times New Roman" w:eastAsia="Times New Roman" w:hAnsi="Times New Roman"/>
                <w:sz w:val="18"/>
                <w:szCs w:val="18"/>
                <w:color w:val="0000FF"/>
                <w:w w:val="99"/>
              </w:rPr>
              <w:t>Certification Pursuant to 18 U.S.C. Section 1350, as Adopted Pursuant to Section 906 of the Sarbanes-</w:t>
            </w:r>
          </w:p>
        </w:tc>
      </w:tr>
      <w:tr>
        <w:trPr>
          <w:trHeight w:val="196"/>
        </w:trPr>
        <w:tc>
          <w:tcPr>
            <w:tcW w:w="1140" w:type="dxa"/>
            <w:vAlign w:val="bottom"/>
          </w:tcPr>
          <w:p>
            <w:pPr>
              <w:spacing w:after="0"/>
              <w:rPr>
                <w:sz w:val="17"/>
                <w:szCs w:val="17"/>
                <w:color w:val="auto"/>
              </w:rPr>
            </w:pPr>
          </w:p>
        </w:tc>
        <w:tc>
          <w:tcPr>
            <w:tcW w:w="1400" w:type="dxa"/>
            <w:vAlign w:val="bottom"/>
            <w:tcBorders>
              <w:bottom w:val="single" w:sz="8" w:color="0000FF"/>
            </w:tcBorders>
          </w:tcPr>
          <w:p>
            <w:pPr>
              <w:ind w:left="20"/>
              <w:spacing w:after="0" w:line="196" w:lineRule="exact"/>
              <w:rPr>
                <w:sz w:val="20"/>
                <w:szCs w:val="20"/>
                <w:color w:val="auto"/>
              </w:rPr>
            </w:pPr>
            <w:r>
              <w:rPr>
                <w:rFonts w:ascii="Times New Roman" w:cs="Times New Roman" w:eastAsia="Times New Roman" w:hAnsi="Times New Roman"/>
                <w:sz w:val="18"/>
                <w:szCs w:val="18"/>
                <w:color w:val="0000FF"/>
                <w:w w:val="97"/>
              </w:rPr>
              <w:t>Oxley Act of 2002.</w:t>
            </w:r>
          </w:p>
        </w:tc>
        <w:tc>
          <w:tcPr>
            <w:tcW w:w="6000" w:type="dxa"/>
            <w:vAlign w:val="bottom"/>
            <w:gridSpan w:val="2"/>
          </w:tcPr>
          <w:p>
            <w:pPr>
              <w:spacing w:after="0"/>
              <w:rPr>
                <w:sz w:val="17"/>
                <w:szCs w:val="17"/>
                <w:color w:val="auto"/>
              </w:rPr>
            </w:pPr>
          </w:p>
        </w:tc>
      </w:tr>
      <w:tr>
        <w:trPr>
          <w:trHeight w:val="493"/>
        </w:trPr>
        <w:tc>
          <w:tcPr>
            <w:tcW w:w="114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95"/>
              </w:rPr>
              <w:t>32.2</w:t>
            </w:r>
          </w:p>
        </w:tc>
        <w:tc>
          <w:tcPr>
            <w:tcW w:w="7400" w:type="dxa"/>
            <w:vAlign w:val="bottom"/>
            <w:tcBorders>
              <w:bottom w:val="single" w:sz="8" w:color="0000FF"/>
            </w:tcBorders>
            <w:gridSpan w:val="3"/>
          </w:tcPr>
          <w:p>
            <w:pPr>
              <w:ind w:left="20"/>
              <w:spacing w:after="0"/>
              <w:rPr>
                <w:sz w:val="20"/>
                <w:szCs w:val="20"/>
                <w:color w:val="auto"/>
              </w:rPr>
            </w:pPr>
            <w:r>
              <w:rPr>
                <w:rFonts w:ascii="Times New Roman" w:cs="Times New Roman" w:eastAsia="Times New Roman" w:hAnsi="Times New Roman"/>
                <w:sz w:val="18"/>
                <w:szCs w:val="18"/>
                <w:color w:val="0000FF"/>
                <w:w w:val="99"/>
              </w:rPr>
              <w:t>Certification Pursuant to 18 U.S.C. Section 1350, as Adopted Pursuant to Section 906 of the Sarbanes-</w:t>
            </w:r>
          </w:p>
        </w:tc>
      </w:tr>
      <w:tr>
        <w:trPr>
          <w:trHeight w:val="196"/>
        </w:trPr>
        <w:tc>
          <w:tcPr>
            <w:tcW w:w="1140" w:type="dxa"/>
            <w:vAlign w:val="bottom"/>
          </w:tcPr>
          <w:p>
            <w:pPr>
              <w:spacing w:after="0"/>
              <w:rPr>
                <w:sz w:val="17"/>
                <w:szCs w:val="17"/>
                <w:color w:val="auto"/>
              </w:rPr>
            </w:pPr>
          </w:p>
        </w:tc>
        <w:tc>
          <w:tcPr>
            <w:tcW w:w="1400" w:type="dxa"/>
            <w:vAlign w:val="bottom"/>
            <w:tcBorders>
              <w:bottom w:val="single" w:sz="8" w:color="0000FF"/>
            </w:tcBorders>
          </w:tcPr>
          <w:p>
            <w:pPr>
              <w:ind w:left="20"/>
              <w:spacing w:after="0" w:line="196" w:lineRule="exact"/>
              <w:rPr>
                <w:sz w:val="20"/>
                <w:szCs w:val="20"/>
                <w:color w:val="auto"/>
              </w:rPr>
            </w:pPr>
            <w:r>
              <w:rPr>
                <w:rFonts w:ascii="Times New Roman" w:cs="Times New Roman" w:eastAsia="Times New Roman" w:hAnsi="Times New Roman"/>
                <w:sz w:val="18"/>
                <w:szCs w:val="18"/>
                <w:color w:val="0000FF"/>
                <w:w w:val="97"/>
              </w:rPr>
              <w:t>Oxley Act of 2002.</w:t>
            </w:r>
          </w:p>
        </w:tc>
        <w:tc>
          <w:tcPr>
            <w:tcW w:w="6000" w:type="dxa"/>
            <w:vAlign w:val="bottom"/>
            <w:gridSpan w:val="2"/>
          </w:tcPr>
          <w:p>
            <w:pPr>
              <w:spacing w:after="0"/>
              <w:rPr>
                <w:sz w:val="17"/>
                <w:szCs w:val="17"/>
                <w:color w:val="auto"/>
              </w:rPr>
            </w:pPr>
          </w:p>
        </w:tc>
      </w:tr>
    </w:tbl>
    <w:p>
      <w:pPr>
        <w:spacing w:after="0" w:line="333" w:lineRule="exact"/>
        <w:rPr>
          <w:sz w:val="20"/>
          <w:szCs w:val="20"/>
          <w:color w:val="auto"/>
        </w:rPr>
      </w:pPr>
    </w:p>
    <w:p>
      <w:pPr>
        <w:ind w:left="3600" w:hanging="1158"/>
        <w:spacing w:after="0"/>
        <w:tabs>
          <w:tab w:leader="none" w:pos="36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Cass Information Systems, Inc. Clawback Policy</w:t>
      </w:r>
    </w:p>
    <w:p>
      <w:pPr>
        <w:spacing w:after="0" w:line="293" w:lineRule="exact"/>
        <w:rPr>
          <w:sz w:val="20"/>
          <w:szCs w:val="20"/>
          <w:color w:val="auto"/>
        </w:rPr>
      </w:pPr>
    </w:p>
    <w:tbl>
      <w:tblPr>
        <w:tblLayout w:type="fixed"/>
        <w:tblInd w:w="244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4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XBRL Instance Document.</w:t>
            </w:r>
          </w:p>
        </w:tc>
      </w:tr>
      <w:tr>
        <w:trPr>
          <w:trHeight w:val="513"/>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4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513"/>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4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513"/>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4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r>
      <w:tr>
        <w:trPr>
          <w:trHeight w:val="513"/>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476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8"/>
              </w:rPr>
              <w:t>XBRL Taxonomy Extension Presentation Linkbase Document.</w:t>
            </w:r>
          </w:p>
        </w:tc>
      </w:tr>
      <w:tr>
        <w:trPr>
          <w:trHeight w:val="513"/>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4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r>
    </w:tbl>
    <w:p>
      <w:pPr>
        <w:spacing w:after="0" w:line="279" w:lineRule="exact"/>
        <w:rPr>
          <w:sz w:val="20"/>
          <w:szCs w:val="20"/>
          <w:color w:val="auto"/>
        </w:rPr>
      </w:pPr>
    </w:p>
    <w:p>
      <w:pPr>
        <w:ind w:left="3600" w:hanging="1158"/>
        <w:spacing w:after="0"/>
        <w:tabs>
          <w:tab w:leader="none" w:pos="360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w:t>
      </w:r>
    </w:p>
    <w:p>
      <w:pPr>
        <w:spacing w:after="0" w:line="302"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Management contract or compensatory plan 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 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16. </w:t>
      </w:r>
      <w:r>
        <w:rPr>
          <w:rFonts w:ascii="Times New Roman" w:cs="Times New Roman" w:eastAsia="Times New Roman" w:hAnsi="Times New Roman"/>
          <w:sz w:val="18"/>
          <w:szCs w:val="18"/>
          <w:b w:val="1"/>
          <w:bCs w:val="1"/>
          <w:u w:val="single" w:color="auto"/>
          <w:color w:val="auto"/>
        </w:rPr>
        <w:t>FORM 10-K SUMMARY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20" w:top="203" w:right="59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1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CASS INFORMATION SYSTEMS, INC.</w:t>
      </w:r>
    </w:p>
    <w:p>
      <w:pPr>
        <w:spacing w:after="0" w:line="202" w:lineRule="exact"/>
        <w:rPr>
          <w:sz w:val="20"/>
          <w:szCs w:val="20"/>
          <w:color w:val="auto"/>
        </w:rPr>
      </w:pPr>
    </w:p>
    <w:p>
      <w:pPr>
        <w:ind w:left="40"/>
        <w:spacing w:after="0"/>
        <w:tabs>
          <w:tab w:leader="none" w:pos="5400" w:val="left"/>
          <w:tab w:leader="none" w:pos="7820" w:val="left"/>
        </w:tabs>
        <w:rPr>
          <w:sz w:val="20"/>
          <w:szCs w:val="20"/>
          <w:color w:val="auto"/>
        </w:rPr>
      </w:pPr>
      <w:r>
        <w:rPr>
          <w:rFonts w:ascii="Times New Roman" w:cs="Times New Roman" w:eastAsia="Times New Roman" w:hAnsi="Times New Roman"/>
          <w:sz w:val="18"/>
          <w:szCs w:val="18"/>
          <w:color w:val="auto"/>
        </w:rPr>
        <w:t>Date: February 28,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Martin H. Resch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26035</wp:posOffset>
            </wp:positionV>
            <wp:extent cx="341185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6">
                      <a:extLst>
                        <a:ext uri="{28A0092B-C50C-407E-A947-70E740481C1C}"/>
                      </a:extLst>
                    </a:blip>
                    <a:srcRect/>
                    <a:stretch>
                      <a:fillRect/>
                    </a:stretch>
                  </pic:blipFill>
                  <pic:spPr bwMode="auto">
                    <a:xfrm>
                      <a:off x="0" y="0"/>
                      <a:ext cx="3411855" cy="8255"/>
                    </a:xfrm>
                    <a:prstGeom prst="rect">
                      <a:avLst/>
                    </a:prstGeom>
                    <a:noFill/>
                  </pic:spPr>
                </pic:pic>
              </a:graphicData>
            </a:graphic>
          </wp:anchor>
        </w:drawing>
      </w:r>
    </w:p>
    <w:p>
      <w:pPr>
        <w:spacing w:after="0" w:line="43" w:lineRule="exact"/>
        <w:rPr>
          <w:sz w:val="20"/>
          <w:szCs w:val="20"/>
          <w:color w:val="auto"/>
        </w:rPr>
      </w:pPr>
    </w:p>
    <w:p>
      <w:pPr>
        <w:ind w:left="7940"/>
        <w:spacing w:after="0"/>
        <w:rPr>
          <w:sz w:val="20"/>
          <w:szCs w:val="20"/>
          <w:color w:val="auto"/>
        </w:rPr>
      </w:pPr>
      <w:r>
        <w:rPr>
          <w:rFonts w:ascii="Times New Roman" w:cs="Times New Roman" w:eastAsia="Times New Roman" w:hAnsi="Times New Roman"/>
          <w:sz w:val="18"/>
          <w:szCs w:val="18"/>
          <w:color w:val="auto"/>
        </w:rPr>
        <w:t>Martin H. Resch</w:t>
      </w:r>
    </w:p>
    <w:p>
      <w:pPr>
        <w:spacing w:after="0" w:line="50" w:lineRule="exact"/>
        <w:rPr>
          <w:sz w:val="20"/>
          <w:szCs w:val="20"/>
          <w:color w:val="auto"/>
        </w:rPr>
      </w:pPr>
    </w:p>
    <w:p>
      <w:pPr>
        <w:ind w:left="7860"/>
        <w:spacing w:after="0"/>
        <w:rPr>
          <w:sz w:val="20"/>
          <w:szCs w:val="20"/>
          <w:color w:val="auto"/>
        </w:rPr>
      </w:pPr>
      <w:r>
        <w:rPr>
          <w:rFonts w:ascii="Times New Roman" w:cs="Times New Roman" w:eastAsia="Times New Roman" w:hAnsi="Times New Roman"/>
          <w:sz w:val="18"/>
          <w:szCs w:val="18"/>
          <w:color w:val="auto"/>
        </w:rPr>
        <w:t>President and CEO</w:t>
      </w:r>
    </w:p>
    <w:p>
      <w:pPr>
        <w:spacing w:after="0" w:line="27" w:lineRule="exact"/>
        <w:rPr>
          <w:sz w:val="20"/>
          <w:szCs w:val="20"/>
          <w:color w:val="auto"/>
        </w:rPr>
      </w:pPr>
    </w:p>
    <w:p>
      <w:pPr>
        <w:ind w:left="750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88" w:lineRule="exact"/>
        <w:rPr>
          <w:sz w:val="20"/>
          <w:szCs w:val="20"/>
          <w:color w:val="auto"/>
        </w:rPr>
      </w:pPr>
    </w:p>
    <w:p>
      <w:pPr>
        <w:ind w:left="40"/>
        <w:spacing w:after="0"/>
        <w:tabs>
          <w:tab w:leader="none" w:pos="5400" w:val="left"/>
          <w:tab w:leader="none" w:pos="7720" w:val="left"/>
        </w:tabs>
        <w:rPr>
          <w:sz w:val="20"/>
          <w:szCs w:val="20"/>
          <w:color w:val="auto"/>
        </w:rPr>
      </w:pPr>
      <w:r>
        <w:rPr>
          <w:rFonts w:ascii="Times New Roman" w:cs="Times New Roman" w:eastAsia="Times New Roman" w:hAnsi="Times New Roman"/>
          <w:sz w:val="18"/>
          <w:szCs w:val="18"/>
          <w:color w:val="auto"/>
        </w:rPr>
        <w:t>Date: February 28,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Michael J. Normile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26035</wp:posOffset>
            </wp:positionV>
            <wp:extent cx="341185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7">
                      <a:extLst>
                        <a:ext uri="{28A0092B-C50C-407E-A947-70E740481C1C}"/>
                      </a:extLst>
                    </a:blip>
                    <a:srcRect/>
                    <a:stretch>
                      <a:fillRect/>
                    </a:stretch>
                  </pic:blipFill>
                  <pic:spPr bwMode="auto">
                    <a:xfrm>
                      <a:off x="0" y="0"/>
                      <a:ext cx="3411855" cy="8255"/>
                    </a:xfrm>
                    <a:prstGeom prst="rect">
                      <a:avLst/>
                    </a:prstGeom>
                    <a:noFill/>
                  </pic:spPr>
                </pic:pic>
              </a:graphicData>
            </a:graphic>
          </wp:anchor>
        </w:drawing>
      </w:r>
    </w:p>
    <w:p>
      <w:pPr>
        <w:spacing w:after="0" w:line="43" w:lineRule="exact"/>
        <w:rPr>
          <w:sz w:val="20"/>
          <w:szCs w:val="20"/>
          <w:color w:val="auto"/>
        </w:rPr>
      </w:pPr>
    </w:p>
    <w:p>
      <w:pPr>
        <w:ind w:left="7840"/>
        <w:spacing w:after="0"/>
        <w:rPr>
          <w:sz w:val="20"/>
          <w:szCs w:val="20"/>
          <w:color w:val="auto"/>
        </w:rPr>
      </w:pPr>
      <w:r>
        <w:rPr>
          <w:rFonts w:ascii="Times New Roman" w:cs="Times New Roman" w:eastAsia="Times New Roman" w:hAnsi="Times New Roman"/>
          <w:sz w:val="18"/>
          <w:szCs w:val="18"/>
          <w:color w:val="auto"/>
        </w:rPr>
        <w:t>Michael J. Normile</w:t>
      </w:r>
    </w:p>
    <w:p>
      <w:pPr>
        <w:spacing w:after="0" w:line="50"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27" w:lineRule="exact"/>
        <w:rPr>
          <w:sz w:val="20"/>
          <w:szCs w:val="20"/>
          <w:color w:val="auto"/>
        </w:rPr>
      </w:pPr>
    </w:p>
    <w:p>
      <w:pPr>
        <w:ind w:left="692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315" w:lineRule="exact"/>
        <w:rPr>
          <w:sz w:val="20"/>
          <w:szCs w:val="20"/>
          <w:color w:val="auto"/>
        </w:rPr>
      </w:pPr>
    </w:p>
    <w:p>
      <w:pPr>
        <w:jc w:val="center"/>
        <w:ind w:left="340" w:right="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on the dates indicated by the following persons on behalf of the registrant and in their capacity as a member of the Board of Directors of the Company.</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248"/>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28, 2024</w:t>
            </w:r>
          </w:p>
        </w:tc>
        <w:tc>
          <w:tcPr>
            <w:tcW w:w="2260" w:type="dxa"/>
            <w:vAlign w:val="bottom"/>
          </w:tcPr>
          <w:p>
            <w:pPr>
              <w:ind w:left="1820"/>
              <w:spacing w:after="0"/>
              <w:rPr>
                <w:sz w:val="20"/>
                <w:szCs w:val="20"/>
                <w:color w:val="auto"/>
              </w:rPr>
            </w:pPr>
            <w:r>
              <w:rPr>
                <w:rFonts w:ascii="Times New Roman" w:cs="Times New Roman" w:eastAsia="Times New Roman" w:hAnsi="Times New Roman"/>
                <w:sz w:val="18"/>
                <w:szCs w:val="18"/>
                <w:color w:val="auto"/>
              </w:rPr>
              <w:t>By</w:t>
            </w:r>
          </w:p>
        </w:tc>
        <w:tc>
          <w:tcPr>
            <w:tcW w:w="5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Eric H. Brunngraber</w:t>
            </w:r>
          </w:p>
        </w:tc>
      </w:tr>
      <w:tr>
        <w:trPr>
          <w:trHeight w:val="237"/>
        </w:trPr>
        <w:tc>
          <w:tcPr>
            <w:tcW w:w="356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Eric H. Brunngraber</w:t>
            </w:r>
          </w:p>
        </w:tc>
      </w:tr>
      <w:tr>
        <w:trPr>
          <w:trHeight w:val="318"/>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28, 2024</w:t>
            </w:r>
          </w:p>
        </w:tc>
        <w:tc>
          <w:tcPr>
            <w:tcW w:w="2260" w:type="dxa"/>
            <w:vAlign w:val="bottom"/>
          </w:tcPr>
          <w:p>
            <w:pPr>
              <w:ind w:left="1820"/>
              <w:spacing w:after="0"/>
              <w:rPr>
                <w:sz w:val="20"/>
                <w:szCs w:val="20"/>
                <w:color w:val="auto"/>
              </w:rPr>
            </w:pPr>
            <w:r>
              <w:rPr>
                <w:rFonts w:ascii="Times New Roman" w:cs="Times New Roman" w:eastAsia="Times New Roman" w:hAnsi="Times New Roman"/>
                <w:sz w:val="18"/>
                <w:szCs w:val="18"/>
                <w:color w:val="auto"/>
              </w:rPr>
              <w:t>By</w:t>
            </w:r>
          </w:p>
        </w:tc>
        <w:tc>
          <w:tcPr>
            <w:tcW w:w="5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Ralph W. Clermont</w:t>
            </w:r>
          </w:p>
        </w:tc>
      </w:tr>
      <w:tr>
        <w:trPr>
          <w:trHeight w:val="243"/>
        </w:trPr>
        <w:tc>
          <w:tcPr>
            <w:tcW w:w="356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Ralph W. Clermont</w:t>
            </w:r>
          </w:p>
        </w:tc>
      </w:tr>
      <w:tr>
        <w:trPr>
          <w:trHeight w:val="358"/>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28, 2024</w:t>
            </w:r>
          </w:p>
        </w:tc>
        <w:tc>
          <w:tcPr>
            <w:tcW w:w="2260" w:type="dxa"/>
            <w:vAlign w:val="bottom"/>
          </w:tcPr>
          <w:p>
            <w:pPr>
              <w:ind w:left="1820"/>
              <w:spacing w:after="0"/>
              <w:rPr>
                <w:sz w:val="20"/>
                <w:szCs w:val="20"/>
                <w:color w:val="auto"/>
              </w:rPr>
            </w:pPr>
            <w:r>
              <w:rPr>
                <w:rFonts w:ascii="Times New Roman" w:cs="Times New Roman" w:eastAsia="Times New Roman" w:hAnsi="Times New Roman"/>
                <w:sz w:val="18"/>
                <w:szCs w:val="18"/>
                <w:color w:val="auto"/>
              </w:rPr>
              <w:t>By</w:t>
            </w:r>
          </w:p>
        </w:tc>
        <w:tc>
          <w:tcPr>
            <w:tcW w:w="5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Robert A. Ebel</w:t>
            </w:r>
          </w:p>
        </w:tc>
      </w:tr>
      <w:tr>
        <w:trPr>
          <w:trHeight w:val="243"/>
        </w:trPr>
        <w:tc>
          <w:tcPr>
            <w:tcW w:w="356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Robert A. Ebel</w:t>
            </w:r>
          </w:p>
        </w:tc>
      </w:tr>
      <w:tr>
        <w:trPr>
          <w:trHeight w:val="520"/>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28, 2024</w:t>
            </w:r>
          </w:p>
        </w:tc>
        <w:tc>
          <w:tcPr>
            <w:tcW w:w="2260" w:type="dxa"/>
            <w:vAlign w:val="bottom"/>
          </w:tcPr>
          <w:p>
            <w:pPr>
              <w:ind w:left="1820"/>
              <w:spacing w:after="0"/>
              <w:rPr>
                <w:sz w:val="20"/>
                <w:szCs w:val="20"/>
                <w:color w:val="auto"/>
              </w:rPr>
            </w:pPr>
            <w:r>
              <w:rPr>
                <w:rFonts w:ascii="Times New Roman" w:cs="Times New Roman" w:eastAsia="Times New Roman" w:hAnsi="Times New Roman"/>
                <w:sz w:val="18"/>
                <w:szCs w:val="18"/>
                <w:color w:val="auto"/>
              </w:rPr>
              <w:t>By</w:t>
            </w:r>
          </w:p>
        </w:tc>
        <w:tc>
          <w:tcPr>
            <w:tcW w:w="5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Benjamin F. Edwards, IV</w:t>
            </w:r>
          </w:p>
        </w:tc>
      </w:tr>
      <w:tr>
        <w:trPr>
          <w:trHeight w:val="243"/>
        </w:trPr>
        <w:tc>
          <w:tcPr>
            <w:tcW w:w="356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Benjamin F. Edwards, IV</w:t>
            </w:r>
          </w:p>
        </w:tc>
      </w:tr>
      <w:tr>
        <w:trPr>
          <w:trHeight w:val="520"/>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28, 2024</w:t>
            </w:r>
          </w:p>
        </w:tc>
        <w:tc>
          <w:tcPr>
            <w:tcW w:w="2260" w:type="dxa"/>
            <w:vAlign w:val="bottom"/>
          </w:tcPr>
          <w:p>
            <w:pPr>
              <w:ind w:left="1820"/>
              <w:spacing w:after="0"/>
              <w:rPr>
                <w:sz w:val="20"/>
                <w:szCs w:val="20"/>
                <w:color w:val="auto"/>
              </w:rPr>
            </w:pPr>
            <w:r>
              <w:rPr>
                <w:rFonts w:ascii="Times New Roman" w:cs="Times New Roman" w:eastAsia="Times New Roman" w:hAnsi="Times New Roman"/>
                <w:sz w:val="18"/>
                <w:szCs w:val="18"/>
                <w:color w:val="auto"/>
              </w:rPr>
              <w:t>By</w:t>
            </w:r>
          </w:p>
        </w:tc>
        <w:tc>
          <w:tcPr>
            <w:tcW w:w="5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Wendy J. Henry</w:t>
            </w:r>
          </w:p>
        </w:tc>
      </w:tr>
      <w:tr>
        <w:trPr>
          <w:trHeight w:val="243"/>
        </w:trPr>
        <w:tc>
          <w:tcPr>
            <w:tcW w:w="356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Wendy J. Henry</w:t>
            </w:r>
          </w:p>
        </w:tc>
      </w:tr>
      <w:tr>
        <w:trPr>
          <w:trHeight w:val="318"/>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28, 2024</w:t>
            </w:r>
          </w:p>
        </w:tc>
        <w:tc>
          <w:tcPr>
            <w:tcW w:w="2260" w:type="dxa"/>
            <w:vAlign w:val="bottom"/>
          </w:tcPr>
          <w:p>
            <w:pPr>
              <w:ind w:left="1820"/>
              <w:spacing w:after="0"/>
              <w:rPr>
                <w:sz w:val="20"/>
                <w:szCs w:val="20"/>
                <w:color w:val="auto"/>
              </w:rPr>
            </w:pPr>
            <w:r>
              <w:rPr>
                <w:rFonts w:ascii="Times New Roman" w:cs="Times New Roman" w:eastAsia="Times New Roman" w:hAnsi="Times New Roman"/>
                <w:sz w:val="18"/>
                <w:szCs w:val="18"/>
                <w:color w:val="auto"/>
              </w:rPr>
              <w:t>By</w:t>
            </w:r>
          </w:p>
        </w:tc>
        <w:tc>
          <w:tcPr>
            <w:tcW w:w="5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James J. Lindemann</w:t>
            </w:r>
          </w:p>
        </w:tc>
      </w:tr>
      <w:tr>
        <w:trPr>
          <w:trHeight w:val="243"/>
        </w:trPr>
        <w:tc>
          <w:tcPr>
            <w:tcW w:w="356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James J. Lindemann</w:t>
            </w:r>
          </w:p>
        </w:tc>
      </w:tr>
      <w:tr>
        <w:trPr>
          <w:trHeight w:val="520"/>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28, 2024</w:t>
            </w:r>
          </w:p>
        </w:tc>
        <w:tc>
          <w:tcPr>
            <w:tcW w:w="2260" w:type="dxa"/>
            <w:vAlign w:val="bottom"/>
          </w:tcPr>
          <w:p>
            <w:pPr>
              <w:ind w:left="1820"/>
              <w:spacing w:after="0"/>
              <w:rPr>
                <w:sz w:val="20"/>
                <w:szCs w:val="20"/>
                <w:color w:val="auto"/>
              </w:rPr>
            </w:pPr>
            <w:r>
              <w:rPr>
                <w:rFonts w:ascii="Times New Roman" w:cs="Times New Roman" w:eastAsia="Times New Roman" w:hAnsi="Times New Roman"/>
                <w:sz w:val="18"/>
                <w:szCs w:val="18"/>
                <w:color w:val="auto"/>
              </w:rPr>
              <w:t>By</w:t>
            </w:r>
          </w:p>
        </w:tc>
        <w:tc>
          <w:tcPr>
            <w:tcW w:w="5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Ann W. Marr</w:t>
            </w:r>
          </w:p>
        </w:tc>
      </w:tr>
      <w:tr>
        <w:trPr>
          <w:trHeight w:val="243"/>
        </w:trPr>
        <w:tc>
          <w:tcPr>
            <w:tcW w:w="356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Ann W. Marr</w:t>
            </w:r>
          </w:p>
        </w:tc>
      </w:tr>
      <w:tr>
        <w:trPr>
          <w:trHeight w:val="358"/>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28, 2024</w:t>
            </w:r>
          </w:p>
        </w:tc>
        <w:tc>
          <w:tcPr>
            <w:tcW w:w="2260" w:type="dxa"/>
            <w:vAlign w:val="bottom"/>
          </w:tcPr>
          <w:p>
            <w:pPr>
              <w:ind w:left="1820"/>
              <w:spacing w:after="0"/>
              <w:rPr>
                <w:sz w:val="20"/>
                <w:szCs w:val="20"/>
                <w:color w:val="auto"/>
              </w:rPr>
            </w:pPr>
            <w:r>
              <w:rPr>
                <w:rFonts w:ascii="Times New Roman" w:cs="Times New Roman" w:eastAsia="Times New Roman" w:hAnsi="Times New Roman"/>
                <w:sz w:val="18"/>
                <w:szCs w:val="18"/>
                <w:color w:val="auto"/>
              </w:rPr>
              <w:t>By</w:t>
            </w:r>
          </w:p>
        </w:tc>
        <w:tc>
          <w:tcPr>
            <w:tcW w:w="5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Martin H. Resch</w:t>
            </w:r>
          </w:p>
        </w:tc>
      </w:tr>
      <w:tr>
        <w:trPr>
          <w:trHeight w:val="243"/>
        </w:trPr>
        <w:tc>
          <w:tcPr>
            <w:tcW w:w="356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Martin H. Resch</w:t>
            </w:r>
          </w:p>
        </w:tc>
      </w:tr>
      <w:tr>
        <w:trPr>
          <w:trHeight w:val="358"/>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28, 2024</w:t>
            </w:r>
          </w:p>
        </w:tc>
        <w:tc>
          <w:tcPr>
            <w:tcW w:w="2260" w:type="dxa"/>
            <w:vAlign w:val="bottom"/>
          </w:tcPr>
          <w:p>
            <w:pPr>
              <w:ind w:left="1820"/>
              <w:spacing w:after="0"/>
              <w:rPr>
                <w:sz w:val="20"/>
                <w:szCs w:val="20"/>
                <w:color w:val="auto"/>
              </w:rPr>
            </w:pPr>
            <w:r>
              <w:rPr>
                <w:rFonts w:ascii="Times New Roman" w:cs="Times New Roman" w:eastAsia="Times New Roman" w:hAnsi="Times New Roman"/>
                <w:sz w:val="18"/>
                <w:szCs w:val="18"/>
                <w:color w:val="auto"/>
              </w:rPr>
              <w:t>By</w:t>
            </w:r>
          </w:p>
        </w:tc>
        <w:tc>
          <w:tcPr>
            <w:tcW w:w="5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Sally H. Roth</w:t>
            </w:r>
          </w:p>
        </w:tc>
      </w:tr>
      <w:tr>
        <w:trPr>
          <w:trHeight w:val="243"/>
        </w:trPr>
        <w:tc>
          <w:tcPr>
            <w:tcW w:w="356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Sally H. Roth</w:t>
            </w:r>
          </w:p>
        </w:tc>
      </w:tr>
      <w:tr>
        <w:trPr>
          <w:trHeight w:val="520"/>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28, 2024</w:t>
            </w:r>
          </w:p>
        </w:tc>
        <w:tc>
          <w:tcPr>
            <w:tcW w:w="2260" w:type="dxa"/>
            <w:vAlign w:val="bottom"/>
          </w:tcPr>
          <w:p>
            <w:pPr>
              <w:ind w:left="1820"/>
              <w:spacing w:after="0"/>
              <w:rPr>
                <w:sz w:val="20"/>
                <w:szCs w:val="20"/>
                <w:color w:val="auto"/>
              </w:rPr>
            </w:pPr>
            <w:r>
              <w:rPr>
                <w:rFonts w:ascii="Times New Roman" w:cs="Times New Roman" w:eastAsia="Times New Roman" w:hAnsi="Times New Roman"/>
                <w:sz w:val="18"/>
                <w:szCs w:val="18"/>
                <w:color w:val="auto"/>
              </w:rPr>
              <w:t>By</w:t>
            </w:r>
          </w:p>
        </w:tc>
        <w:tc>
          <w:tcPr>
            <w:tcW w:w="5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Joseph D. Rupp</w:t>
            </w:r>
          </w:p>
        </w:tc>
      </w:tr>
      <w:tr>
        <w:trPr>
          <w:trHeight w:val="243"/>
        </w:trPr>
        <w:tc>
          <w:tcPr>
            <w:tcW w:w="356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Joseph D. Rupp</w:t>
            </w:r>
          </w:p>
        </w:tc>
      </w:tr>
      <w:tr>
        <w:trPr>
          <w:trHeight w:val="520"/>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28, 2024</w:t>
            </w:r>
          </w:p>
        </w:tc>
        <w:tc>
          <w:tcPr>
            <w:tcW w:w="2260" w:type="dxa"/>
            <w:vAlign w:val="bottom"/>
          </w:tcPr>
          <w:p>
            <w:pPr>
              <w:ind w:left="1820"/>
              <w:spacing w:after="0"/>
              <w:rPr>
                <w:sz w:val="20"/>
                <w:szCs w:val="20"/>
                <w:color w:val="auto"/>
              </w:rPr>
            </w:pPr>
            <w:r>
              <w:rPr>
                <w:rFonts w:ascii="Times New Roman" w:cs="Times New Roman" w:eastAsia="Times New Roman" w:hAnsi="Times New Roman"/>
                <w:sz w:val="18"/>
                <w:szCs w:val="18"/>
                <w:color w:val="auto"/>
              </w:rPr>
              <w:t>By</w:t>
            </w:r>
          </w:p>
        </w:tc>
        <w:tc>
          <w:tcPr>
            <w:tcW w:w="5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Randall L. Schilling</w:t>
            </w:r>
          </w:p>
        </w:tc>
      </w:tr>
      <w:tr>
        <w:trPr>
          <w:trHeight w:val="243"/>
        </w:trPr>
        <w:tc>
          <w:tcPr>
            <w:tcW w:w="356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Randall L. Schilling</w:t>
            </w:r>
          </w:p>
        </w:tc>
      </w:tr>
      <w:tr>
        <w:trPr>
          <w:trHeight w:val="520"/>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28, 2024</w:t>
            </w:r>
          </w:p>
        </w:tc>
        <w:tc>
          <w:tcPr>
            <w:tcW w:w="2260" w:type="dxa"/>
            <w:vAlign w:val="bottom"/>
          </w:tcPr>
          <w:p>
            <w:pPr>
              <w:ind w:left="1820"/>
              <w:spacing w:after="0"/>
              <w:rPr>
                <w:sz w:val="20"/>
                <w:szCs w:val="20"/>
                <w:color w:val="auto"/>
              </w:rPr>
            </w:pPr>
            <w:r>
              <w:rPr>
                <w:rFonts w:ascii="Times New Roman" w:cs="Times New Roman" w:eastAsia="Times New Roman" w:hAnsi="Times New Roman"/>
                <w:sz w:val="18"/>
                <w:szCs w:val="18"/>
                <w:color w:val="auto"/>
              </w:rPr>
              <w:t>By</w:t>
            </w:r>
          </w:p>
        </w:tc>
        <w:tc>
          <w:tcPr>
            <w:tcW w:w="5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Franklin D. Wicks, Jr.</w:t>
            </w:r>
          </w:p>
        </w:tc>
      </w:tr>
      <w:tr>
        <w:trPr>
          <w:trHeight w:val="243"/>
        </w:trPr>
        <w:tc>
          <w:tcPr>
            <w:tcW w:w="356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Franklin D. Wicks, Jr.</w:t>
            </w:r>
          </w:p>
        </w:tc>
      </w:tr>
    </w:tbl>
    <w:p>
      <w:pPr>
        <w:spacing w:after="0" w:line="200" w:lineRule="exact"/>
        <w:rPr>
          <w:sz w:val="20"/>
          <w:szCs w:val="20"/>
          <w:color w:val="auto"/>
        </w:rPr>
      </w:pPr>
    </w:p>
    <w:p>
      <w:pPr>
        <w:sectPr>
          <w:pgSz w:w="11900" w:h="16838" w:orient="portrait"/>
          <w:cols w:equalWidth="0" w:num="1">
            <w:col w:w="11240"/>
          </w:cols>
          <w:pgMar w:left="320" w:top="333" w:right="339" w:bottom="1055" w:gutter="0" w:footer="0" w:header="0"/>
        </w:sect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1240"/>
          </w:cols>
          <w:pgMar w:left="320" w:top="333" w:right="339" w:bottom="1055" w:gutter="0" w:footer="0" w:header="0"/>
          <w:type w:val="continuous"/>
        </w:sectPr>
      </w:pPr>
    </w:p>
    <w:bookmarkStart w:id="90" w:name="page91"/>
    <w:bookmarkEnd w:id="90"/>
    <w:p>
      <w:pPr>
        <w:jc w:val="right"/>
        <w:spacing w:after="0"/>
        <w:rPr>
          <w:sz w:val="20"/>
          <w:szCs w:val="20"/>
          <w:color w:val="auto"/>
        </w:rPr>
      </w:pPr>
      <w:r>
        <w:rPr>
          <w:rFonts w:ascii="Times New Roman" w:cs="Times New Roman" w:eastAsia="Times New Roman" w:hAnsi="Times New Roman"/>
          <w:sz w:val="18"/>
          <w:szCs w:val="18"/>
          <w:b w:val="1"/>
          <w:bCs w:val="1"/>
          <w:color w:val="auto"/>
        </w:rPr>
        <w:t>Exhibit 23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00" w:lineRule="exact"/>
        <w:rPr>
          <w:sz w:val="20"/>
          <w:szCs w:val="20"/>
          <w:color w:val="auto"/>
        </w:rPr>
      </w:pPr>
    </w:p>
    <w:p>
      <w:pPr>
        <w:spacing w:after="0" w:line="2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statements (No. 333-44497, 333-44499, 033-91456, 033-91568, 333-143411, 333-181772, 333-188504, and 333-271333) on Form S-8 of our reports dated February 28, 2024, with respect to the consolidated financial statements of Cass Information Systems, Inc. and the effectiveness of internal control over financial reporting.</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KPMG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 Louis, Missouri</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28, 2024</w:t>
      </w:r>
    </w:p>
    <w:p>
      <w:pPr>
        <w:sectPr>
          <w:pgSz w:w="11900" w:h="16838" w:orient="portrait"/>
          <w:cols w:equalWidth="0" w:num="1">
            <w:col w:w="11240"/>
          </w:cols>
          <w:pgMar w:left="320" w:top="1035" w:right="339" w:bottom="1440" w:gutter="0" w:footer="0" w:header="0"/>
        </w:sectPr>
      </w:pPr>
    </w:p>
    <w:bookmarkStart w:id="91" w:name="page92"/>
    <w:bookmarkEnd w:id="9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Martin H. Resch, certify that:</w:t>
      </w:r>
    </w:p>
    <w:p>
      <w:pPr>
        <w:spacing w:after="0" w:line="225" w:lineRule="exact"/>
        <w:rPr>
          <w:sz w:val="20"/>
          <w:szCs w:val="20"/>
          <w:color w:val="auto"/>
        </w:rPr>
      </w:pPr>
    </w:p>
    <w:p>
      <w:pPr>
        <w:ind w:left="500" w:hanging="492"/>
        <w:spacing w:after="0"/>
        <w:tabs>
          <w:tab w:leader="none" w:pos="5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Cass Information Systems, Inc.;</w:t>
      </w:r>
    </w:p>
    <w:p>
      <w:pPr>
        <w:spacing w:after="0" w:line="225" w:lineRule="exact"/>
        <w:rPr>
          <w:rFonts w:ascii="Times New Roman" w:cs="Times New Roman" w:eastAsia="Times New Roman" w:hAnsi="Times New Roman"/>
          <w:sz w:val="18"/>
          <w:szCs w:val="18"/>
          <w:color w:val="auto"/>
        </w:rPr>
      </w:pPr>
    </w:p>
    <w:p>
      <w:pPr>
        <w:jc w:val="both"/>
        <w:ind w:left="500" w:right="280" w:hanging="492"/>
        <w:spacing w:after="0" w:line="266" w:lineRule="auto"/>
        <w:tabs>
          <w:tab w:leader="none" w:pos="5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00" w:right="240" w:hanging="492"/>
        <w:spacing w:after="0" w:line="282" w:lineRule="auto"/>
        <w:tabs>
          <w:tab w:leader="none" w:pos="5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500" w:right="280" w:hanging="492"/>
        <w:spacing w:after="0" w:line="266" w:lineRule="auto"/>
        <w:tabs>
          <w:tab w:leader="none" w:pos="5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980" w:right="60" w:hanging="486"/>
        <w:spacing w:after="0" w:line="266" w:lineRule="auto"/>
        <w:tabs>
          <w:tab w:leader="none" w:pos="977"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980" w:right="360" w:hanging="486"/>
        <w:spacing w:after="0" w:line="266" w:lineRule="auto"/>
        <w:tabs>
          <w:tab w:leader="none" w:pos="974"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980" w:right="540" w:hanging="486"/>
        <w:spacing w:after="0" w:line="312" w:lineRule="auto"/>
        <w:tabs>
          <w:tab w:leader="none" w:pos="977" w:val="left"/>
        </w:tabs>
        <w:numPr>
          <w:ilvl w:val="1"/>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980" w:right="60" w:hanging="486"/>
        <w:spacing w:after="0" w:line="266" w:lineRule="auto"/>
        <w:tabs>
          <w:tab w:leader="none" w:pos="974"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00" w:right="240" w:hanging="492"/>
        <w:spacing w:after="0" w:line="282" w:lineRule="auto"/>
        <w:tabs>
          <w:tab w:leader="none" w:pos="5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right="780" w:hanging="486"/>
        <w:spacing w:after="0" w:line="282" w:lineRule="auto"/>
        <w:tabs>
          <w:tab w:leader="none" w:pos="977"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right="480" w:hanging="486"/>
        <w:spacing w:after="0" w:line="282" w:lineRule="auto"/>
        <w:tabs>
          <w:tab w:leader="none" w:pos="974"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February 28, 2024</w:t>
      </w:r>
    </w:p>
    <w:p>
      <w:pPr>
        <w:spacing w:after="0" w:line="27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Martin H. Resch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8">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Martin H. Resch</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1035" w:right="339" w:bottom="1440" w:gutter="0" w:footer="0" w:header="0"/>
        </w:sectPr>
      </w:pPr>
    </w:p>
    <w:bookmarkStart w:id="92" w:name="page93"/>
    <w:bookmarkEnd w:id="9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J. Normile, certify that:</w:t>
      </w:r>
    </w:p>
    <w:p>
      <w:pPr>
        <w:spacing w:after="0" w:line="225" w:lineRule="exact"/>
        <w:rPr>
          <w:sz w:val="20"/>
          <w:szCs w:val="20"/>
          <w:color w:val="auto"/>
        </w:rPr>
      </w:pPr>
    </w:p>
    <w:p>
      <w:pPr>
        <w:ind w:left="500" w:hanging="492"/>
        <w:spacing w:after="0"/>
        <w:tabs>
          <w:tab w:leader="none" w:pos="5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Cass Information Systems, Inc.;</w:t>
      </w:r>
    </w:p>
    <w:p>
      <w:pPr>
        <w:spacing w:after="0" w:line="225" w:lineRule="exact"/>
        <w:rPr>
          <w:rFonts w:ascii="Times New Roman" w:cs="Times New Roman" w:eastAsia="Times New Roman" w:hAnsi="Times New Roman"/>
          <w:sz w:val="18"/>
          <w:szCs w:val="18"/>
          <w:color w:val="auto"/>
        </w:rPr>
      </w:pPr>
    </w:p>
    <w:p>
      <w:pPr>
        <w:jc w:val="both"/>
        <w:ind w:left="500" w:right="280" w:hanging="492"/>
        <w:spacing w:after="0" w:line="266" w:lineRule="auto"/>
        <w:tabs>
          <w:tab w:leader="none" w:pos="5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00" w:right="240" w:hanging="492"/>
        <w:spacing w:after="0" w:line="282" w:lineRule="auto"/>
        <w:tabs>
          <w:tab w:leader="none" w:pos="5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500" w:right="280" w:hanging="492"/>
        <w:spacing w:after="0" w:line="266" w:lineRule="auto"/>
        <w:tabs>
          <w:tab w:leader="none" w:pos="5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980" w:right="60" w:hanging="486"/>
        <w:spacing w:after="0" w:line="266" w:lineRule="auto"/>
        <w:tabs>
          <w:tab w:leader="none" w:pos="977"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980" w:right="360" w:hanging="486"/>
        <w:spacing w:after="0" w:line="266" w:lineRule="auto"/>
        <w:tabs>
          <w:tab w:leader="none" w:pos="974"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980" w:right="540" w:hanging="486"/>
        <w:spacing w:after="0" w:line="312" w:lineRule="auto"/>
        <w:tabs>
          <w:tab w:leader="none" w:pos="977" w:val="left"/>
        </w:tabs>
        <w:numPr>
          <w:ilvl w:val="1"/>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980" w:right="60" w:hanging="486"/>
        <w:spacing w:after="0" w:line="257" w:lineRule="auto"/>
        <w:tabs>
          <w:tab w:leader="none" w:pos="974"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 w:lineRule="exact"/>
        <w:rPr>
          <w:rFonts w:ascii="Times New Roman" w:cs="Times New Roman" w:eastAsia="Times New Roman" w:hAnsi="Times New Roman"/>
          <w:sz w:val="18"/>
          <w:szCs w:val="18"/>
          <w:color w:val="auto"/>
        </w:rPr>
      </w:pPr>
    </w:p>
    <w:p>
      <w:pPr>
        <w:ind w:left="500" w:right="240" w:hanging="492"/>
        <w:spacing w:after="0" w:line="260" w:lineRule="auto"/>
        <w:tabs>
          <w:tab w:leader="none" w:pos="5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1" w:lineRule="exact"/>
        <w:rPr>
          <w:rFonts w:ascii="Times New Roman" w:cs="Times New Roman" w:eastAsia="Times New Roman" w:hAnsi="Times New Roman"/>
          <w:sz w:val="18"/>
          <w:szCs w:val="18"/>
          <w:color w:val="auto"/>
        </w:rPr>
      </w:pPr>
    </w:p>
    <w:p>
      <w:pPr>
        <w:ind w:left="980" w:right="780" w:hanging="486"/>
        <w:spacing w:after="0" w:line="282" w:lineRule="auto"/>
        <w:tabs>
          <w:tab w:leader="none" w:pos="977"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right="480" w:hanging="486"/>
        <w:spacing w:after="0" w:line="282" w:lineRule="auto"/>
        <w:tabs>
          <w:tab w:leader="none" w:pos="974"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February 28, 2024</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Michael J. Normile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9">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1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Michael J. Normile</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ectPr>
          <w:pgSz w:w="11900" w:h="16838" w:orient="portrait"/>
          <w:cols w:equalWidth="0" w:num="1">
            <w:col w:w="11240"/>
          </w:cols>
          <w:pgMar w:left="320" w:top="1035" w:right="339" w:bottom="1440" w:gutter="0" w:footer="0" w:header="0"/>
        </w:sectPr>
      </w:pPr>
    </w:p>
    <w:bookmarkStart w:id="93" w:name="page94"/>
    <w:bookmarkEnd w:id="93"/>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Cass Information Systems, Inc. (“the Company”) on Form 10-K for the period ended December 31, 2023, as filed with the Securities and Exchange Commission on the date hereof (the “Report”), I, Martin H. Resch, President and Chief Executive Officer of the Company, certify, pursuant to 18 U.S.C. § 1350, as adopted pursuant to § 906 of the Sarbanes-Oxley Act of 2002, that:</w:t>
      </w:r>
    </w:p>
    <w:p>
      <w:pPr>
        <w:spacing w:after="0" w:line="176" w:lineRule="exact"/>
        <w:rPr>
          <w:sz w:val="20"/>
          <w:szCs w:val="20"/>
          <w:color w:val="auto"/>
        </w:rPr>
      </w:pPr>
    </w:p>
    <w:p>
      <w:pPr>
        <w:ind w:left="980" w:hanging="486"/>
        <w:spacing w:after="0"/>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980" w:hanging="486"/>
        <w:spacing w:after="0" w:line="273" w:lineRule="auto"/>
        <w:tabs>
          <w:tab w:leader="none" w:pos="974"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Martin H. Resch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40">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Martin H. Resch</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February 28, 2024</w:t>
      </w:r>
    </w:p>
    <w:p>
      <w:pPr>
        <w:spacing w:after="0" w:line="31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Cass Information Systems, Inc. and will be retained by Cass Information Systems, Inc. and furnished to the Securities and Exchange Commission or its staff upon request.</w:t>
      </w:r>
    </w:p>
    <w:p>
      <w:pPr>
        <w:sectPr>
          <w:pgSz w:w="11900" w:h="16838" w:orient="portrait"/>
          <w:cols w:equalWidth="0" w:num="1">
            <w:col w:w="11240"/>
          </w:cols>
          <w:pgMar w:left="320" w:top="1035" w:right="339" w:bottom="1440" w:gutter="0" w:footer="0" w:header="0"/>
        </w:sectPr>
      </w:pPr>
    </w:p>
    <w:bookmarkStart w:id="94" w:name="page95"/>
    <w:bookmarkEnd w:id="94"/>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Cass Information Systems, Inc. (“the Company”) on Form 10-K for the period ended December 31, 2023 as filed with the Securities and Exchange Commission on the date hereof (the “Report”), I, Michael J. Normile, Executive Vice President and Chief Financial Officer of the Company, certify, pursuant to 18 U.S.C. § 1350, as adopted pursuant to § 906 of the Sarbanes-Oxley Act of 2002, that:</w:t>
      </w:r>
    </w:p>
    <w:p>
      <w:pPr>
        <w:spacing w:after="0" w:line="176" w:lineRule="exact"/>
        <w:rPr>
          <w:sz w:val="20"/>
          <w:szCs w:val="20"/>
          <w:color w:val="auto"/>
        </w:rPr>
      </w:pPr>
    </w:p>
    <w:p>
      <w:pPr>
        <w:ind w:left="980" w:hanging="486"/>
        <w:spacing w:after="0"/>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980" w:hanging="486"/>
        <w:spacing w:after="0" w:line="282" w:lineRule="auto"/>
        <w:tabs>
          <w:tab w:leader="none" w:pos="974"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Michael J. Normile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41">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Michael J. Normile</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February 28, 2024</w:t>
      </w:r>
    </w:p>
    <w:p>
      <w:pPr>
        <w:spacing w:after="0" w:line="31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Cass Information Systems, Inc. and will be retained by Cass Information Systems, Inc. and furnished to the Securities and Exchange Commission or its staff upon request.</w:t>
      </w:r>
    </w:p>
    <w:p>
      <w:pPr>
        <w:sectPr>
          <w:pgSz w:w="11900" w:h="16838" w:orient="portrait"/>
          <w:cols w:equalWidth="0" w:num="1">
            <w:col w:w="11240"/>
          </w:cols>
          <w:pgMar w:left="320" w:top="1035" w:right="339" w:bottom="1440" w:gutter="0" w:footer="0" w:header="0"/>
        </w:sectPr>
      </w:pPr>
    </w:p>
    <w:bookmarkStart w:id="95" w:name="page96"/>
    <w:bookmarkEnd w:id="95"/>
    <w:p>
      <w:pPr>
        <w:jc w:val="center"/>
        <w:ind w:right="60"/>
        <w:spacing w:after="0"/>
        <w:rPr>
          <w:sz w:val="20"/>
          <w:szCs w:val="20"/>
          <w:color w:val="auto"/>
        </w:rPr>
      </w:pPr>
      <w:r>
        <w:rPr>
          <w:rFonts w:ascii="Calibri" w:cs="Calibri" w:eastAsia="Calibri" w:hAnsi="Calibri"/>
          <w:sz w:val="20"/>
          <w:szCs w:val="20"/>
          <w:b w:val="1"/>
          <w:bCs w:val="1"/>
          <w:color w:val="auto"/>
        </w:rPr>
        <w:t>Cass Informaton Systems, Inc.</w:t>
      </w:r>
    </w:p>
    <w:p>
      <w:pPr>
        <w:jc w:val="center"/>
        <w:ind w:right="60"/>
        <w:spacing w:after="0" w:line="212" w:lineRule="auto"/>
        <w:rPr>
          <w:sz w:val="20"/>
          <w:szCs w:val="20"/>
          <w:color w:val="auto"/>
        </w:rPr>
      </w:pPr>
      <w:r>
        <w:rPr>
          <w:rFonts w:ascii="Calibri" w:cs="Calibri" w:eastAsia="Calibri" w:hAnsi="Calibri"/>
          <w:sz w:val="20"/>
          <w:szCs w:val="20"/>
          <w:b w:val="1"/>
          <w:bCs w:val="1"/>
          <w:color w:val="auto"/>
        </w:rPr>
        <w:t>Clawback Policy</w:t>
      </w:r>
    </w:p>
    <w:p>
      <w:pPr>
        <w:jc w:val="center"/>
        <w:ind w:right="60"/>
        <w:spacing w:after="0" w:line="212" w:lineRule="auto"/>
        <w:rPr>
          <w:sz w:val="20"/>
          <w:szCs w:val="20"/>
          <w:color w:val="auto"/>
        </w:rPr>
      </w:pPr>
      <w:r>
        <w:rPr>
          <w:rFonts w:ascii="Calibri" w:cs="Calibri" w:eastAsia="Calibri" w:hAnsi="Calibri"/>
          <w:sz w:val="20"/>
          <w:szCs w:val="20"/>
          <w:i w:val="1"/>
          <w:iCs w:val="1"/>
          <w:color w:val="auto"/>
        </w:rPr>
        <w:t>Adopted: October 17, 2023</w:t>
      </w:r>
    </w:p>
    <w:p>
      <w:pPr>
        <w:spacing w:after="0" w:line="198" w:lineRule="exact"/>
        <w:rPr>
          <w:sz w:val="20"/>
          <w:szCs w:val="20"/>
          <w:color w:val="auto"/>
        </w:rPr>
      </w:pPr>
    </w:p>
    <w:p>
      <w:pPr>
        <w:jc w:val="both"/>
        <w:ind w:firstLine="2"/>
        <w:spacing w:after="0" w:line="214" w:lineRule="auto"/>
        <w:tabs>
          <w:tab w:leader="none" w:pos="446" w:val="left"/>
        </w:tabs>
        <w:numPr>
          <w:ilvl w:val="0"/>
          <w:numId w:val="37"/>
        </w:numPr>
        <w:rPr>
          <w:rFonts w:ascii="Calibri" w:cs="Calibri" w:eastAsia="Calibri" w:hAnsi="Calibri"/>
          <w:sz w:val="18"/>
          <w:szCs w:val="18"/>
          <w:b w:val="1"/>
          <w:bCs w:val="1"/>
          <w:color w:val="auto"/>
        </w:rPr>
      </w:pPr>
      <w:r>
        <w:rPr>
          <w:rFonts w:ascii="Calibri" w:cs="Calibri" w:eastAsia="Calibri" w:hAnsi="Calibri"/>
          <w:sz w:val="20"/>
          <w:szCs w:val="20"/>
          <w:b w:val="1"/>
          <w:bCs w:val="1"/>
          <w:color w:val="auto"/>
        </w:rPr>
        <w:t xml:space="preserve">Purpose. </w:t>
      </w:r>
      <w:r>
        <w:rPr>
          <w:rFonts w:ascii="Calibri" w:cs="Calibri" w:eastAsia="Calibri" w:hAnsi="Calibri"/>
          <w:sz w:val="20"/>
          <w:szCs w:val="20"/>
          <w:color w:val="auto"/>
        </w:rPr>
        <w:t>The purpose of this Clawback Policy of the Company (as amended from tme to tme, this “</w:t>
      </w:r>
      <w:r>
        <w:rPr>
          <w:rFonts w:ascii="Calibri" w:cs="Calibri" w:eastAsia="Calibri" w:hAnsi="Calibri"/>
          <w:sz w:val="20"/>
          <w:szCs w:val="20"/>
          <w:u w:val="single" w:color="auto"/>
          <w:color w:val="auto"/>
        </w:rPr>
        <w:t>Policy</w:t>
      </w:r>
      <w:r>
        <w:rPr>
          <w:rFonts w:ascii="Calibri" w:cs="Calibri" w:eastAsia="Calibri" w:hAnsi="Calibri"/>
          <w:sz w:val="20"/>
          <w:szCs w:val="20"/>
          <w:color w:val="auto"/>
        </w:rPr>
        <w:t>”), dated as of</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October 17, 2023 (the “</w:t>
      </w:r>
      <w:r>
        <w:rPr>
          <w:rFonts w:ascii="Calibri" w:cs="Calibri" w:eastAsia="Calibri" w:hAnsi="Calibri"/>
          <w:sz w:val="20"/>
          <w:szCs w:val="20"/>
          <w:u w:val="single" w:color="auto"/>
          <w:color w:val="auto"/>
        </w:rPr>
        <w:t>Adopton Date</w:t>
      </w:r>
      <w:r>
        <w:rPr>
          <w:rFonts w:ascii="Calibri" w:cs="Calibri" w:eastAsia="Calibri" w:hAnsi="Calibri"/>
          <w:sz w:val="20"/>
          <w:szCs w:val="20"/>
          <w:color w:val="auto"/>
        </w:rPr>
        <w:t>”) is to describe the circumstances in which current and former Executve Ofcers will be required to repay or return Erroneously Awarded Compensaton to members of the Company Group. The Company has adopted this Policy to comply with Secton 954 of the Dodd-Frank Wall Street Reform and Consumer Protecton Act of 2010, as codifed by Secton 10D of the Exchange Act, Exchange Act Rule 10D-1 promulgated thereunder, and the rules and requirements of Nasdaq (including Rule 5608 of the Nasdaq listng rules) (such legal requirements, and rules and requirements of Nasdaq, collectvely, the “</w:t>
      </w:r>
      <w:r>
        <w:rPr>
          <w:rFonts w:ascii="Calibri" w:cs="Calibri" w:eastAsia="Calibri" w:hAnsi="Calibri"/>
          <w:sz w:val="20"/>
          <w:szCs w:val="20"/>
          <w:u w:val="single" w:color="auto"/>
          <w:color w:val="auto"/>
        </w:rPr>
        <w:t>SEC/Nasdaq</w:t>
      </w:r>
      <w:r>
        <w:rPr>
          <w:rFonts w:ascii="Calibri" w:cs="Calibri" w:eastAsia="Calibri" w:hAnsi="Calibri"/>
          <w:sz w:val="20"/>
          <w:szCs w:val="20"/>
          <w:color w:val="auto"/>
        </w:rPr>
        <w:t xml:space="preserve"> </w:t>
      </w:r>
      <w:r>
        <w:rPr>
          <w:rFonts w:ascii="Calibri" w:cs="Calibri" w:eastAsia="Calibri" w:hAnsi="Calibri"/>
          <w:sz w:val="20"/>
          <w:szCs w:val="20"/>
          <w:u w:val="single" w:color="auto"/>
          <w:color w:val="auto"/>
        </w:rPr>
        <w:t>Clawback Rules</w:t>
      </w:r>
      <w:r>
        <w:rPr>
          <w:rFonts w:ascii="Calibri" w:cs="Calibri" w:eastAsia="Calibri" w:hAnsi="Calibri"/>
          <w:sz w:val="20"/>
          <w:szCs w:val="20"/>
          <w:color w:val="auto"/>
        </w:rPr>
        <w:t>”).</w:t>
      </w:r>
    </w:p>
    <w:p>
      <w:pPr>
        <w:spacing w:after="0" w:line="204" w:lineRule="exact"/>
        <w:rPr>
          <w:rFonts w:ascii="Calibri" w:cs="Calibri" w:eastAsia="Calibri" w:hAnsi="Calibri"/>
          <w:sz w:val="18"/>
          <w:szCs w:val="18"/>
          <w:b w:val="1"/>
          <w:bCs w:val="1"/>
          <w:color w:val="auto"/>
        </w:rPr>
      </w:pPr>
    </w:p>
    <w:p>
      <w:pPr>
        <w:jc w:val="both"/>
        <w:ind w:firstLine="2"/>
        <w:spacing w:after="0" w:line="215" w:lineRule="auto"/>
        <w:tabs>
          <w:tab w:leader="none" w:pos="446" w:val="left"/>
        </w:tabs>
        <w:numPr>
          <w:ilvl w:val="0"/>
          <w:numId w:val="37"/>
        </w:numPr>
        <w:rPr>
          <w:rFonts w:ascii="Calibri" w:cs="Calibri" w:eastAsia="Calibri" w:hAnsi="Calibri"/>
          <w:sz w:val="18"/>
          <w:szCs w:val="18"/>
          <w:b w:val="1"/>
          <w:bCs w:val="1"/>
          <w:color w:val="auto"/>
        </w:rPr>
      </w:pPr>
      <w:r>
        <w:rPr>
          <w:rFonts w:ascii="Calibri" w:cs="Calibri" w:eastAsia="Calibri" w:hAnsi="Calibri"/>
          <w:sz w:val="20"/>
          <w:szCs w:val="20"/>
          <w:b w:val="1"/>
          <w:bCs w:val="1"/>
          <w:color w:val="auto"/>
        </w:rPr>
        <w:t xml:space="preserve">Administraton. </w:t>
      </w:r>
      <w:r>
        <w:rPr>
          <w:rFonts w:ascii="Calibri" w:cs="Calibri" w:eastAsia="Calibri" w:hAnsi="Calibri"/>
          <w:sz w:val="20"/>
          <w:szCs w:val="20"/>
          <w:color w:val="auto"/>
        </w:rPr>
        <w:t>This Policy shall be administered by the Commitee. The Commitee is authorized to interpret and construe this</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Policy and to make all determinatons necessary, appropriate, or advisable for the administraton of this Policy, and any such determinatons made by the Commitee shall be in the Commitee’s sole discreton and shall be fnal and binding on all afected individuals. Except as otherwise required by applicable legal requirements or the rules and requirements of Nasdaq, any determinatons of the Commitee hereunder need not be uniform with respect to one or more Executve Ofcers (whether current and/or former).</w:t>
      </w:r>
    </w:p>
    <w:p>
      <w:pPr>
        <w:spacing w:after="0" w:line="190" w:lineRule="exact"/>
        <w:rPr>
          <w:rFonts w:ascii="Calibri" w:cs="Calibri" w:eastAsia="Calibri" w:hAnsi="Calibri"/>
          <w:sz w:val="18"/>
          <w:szCs w:val="18"/>
          <w:b w:val="1"/>
          <w:bCs w:val="1"/>
          <w:color w:val="auto"/>
        </w:rPr>
      </w:pPr>
    </w:p>
    <w:p>
      <w:pPr>
        <w:ind w:left="440" w:hanging="438"/>
        <w:spacing w:after="0"/>
        <w:tabs>
          <w:tab w:leader="none" w:pos="440" w:val="left"/>
        </w:tabs>
        <w:numPr>
          <w:ilvl w:val="0"/>
          <w:numId w:val="37"/>
        </w:numPr>
        <w:rPr>
          <w:rFonts w:ascii="Calibri" w:cs="Calibri" w:eastAsia="Calibri" w:hAnsi="Calibri"/>
          <w:sz w:val="18"/>
          <w:szCs w:val="18"/>
          <w:b w:val="1"/>
          <w:bCs w:val="1"/>
          <w:color w:val="auto"/>
        </w:rPr>
      </w:pPr>
      <w:r>
        <w:rPr>
          <w:rFonts w:ascii="Calibri" w:cs="Calibri" w:eastAsia="Calibri" w:hAnsi="Calibri"/>
          <w:sz w:val="20"/>
          <w:szCs w:val="20"/>
          <w:b w:val="1"/>
          <w:bCs w:val="1"/>
          <w:color w:val="auto"/>
        </w:rPr>
        <w:t xml:space="preserve">Defnitons. </w:t>
      </w:r>
      <w:r>
        <w:rPr>
          <w:rFonts w:ascii="Calibri" w:cs="Calibri" w:eastAsia="Calibri" w:hAnsi="Calibri"/>
          <w:sz w:val="20"/>
          <w:szCs w:val="20"/>
          <w:color w:val="auto"/>
        </w:rPr>
        <w:t>For purposes of this Policy, the following capitalized terms shall have the meanings set forth below:</w:t>
      </w:r>
    </w:p>
    <w:p>
      <w:pPr>
        <w:spacing w:after="0" w:line="197" w:lineRule="exact"/>
        <w:rPr>
          <w:rFonts w:ascii="Calibri" w:cs="Calibri" w:eastAsia="Calibri" w:hAnsi="Calibri"/>
          <w:sz w:val="18"/>
          <w:szCs w:val="18"/>
          <w:b w:val="1"/>
          <w:bCs w:val="1"/>
          <w:color w:val="auto"/>
        </w:rPr>
      </w:pPr>
    </w:p>
    <w:p>
      <w:pPr>
        <w:jc w:val="both"/>
        <w:ind w:left="580" w:firstLine="6"/>
        <w:spacing w:after="0" w:line="216" w:lineRule="auto"/>
        <w:tabs>
          <w:tab w:leader="none" w:pos="1081" w:val="left"/>
        </w:tabs>
        <w:numPr>
          <w:ilvl w:val="1"/>
          <w:numId w:val="37"/>
        </w:numPr>
        <w:rPr>
          <w:rFonts w:ascii="Calibri" w:cs="Calibri" w:eastAsia="Calibri" w:hAnsi="Calibri"/>
          <w:sz w:val="18"/>
          <w:szCs w:val="18"/>
          <w:color w:val="auto"/>
        </w:rPr>
      </w:pPr>
      <w:r>
        <w:rPr>
          <w:rFonts w:ascii="Calibri" w:cs="Calibri" w:eastAsia="Calibri" w:hAnsi="Calibri"/>
          <w:sz w:val="20"/>
          <w:szCs w:val="20"/>
          <w:color w:val="auto"/>
        </w:rPr>
        <w:t>“</w:t>
      </w:r>
      <w:r>
        <w:rPr>
          <w:rFonts w:ascii="Calibri" w:cs="Calibri" w:eastAsia="Calibri" w:hAnsi="Calibri"/>
          <w:sz w:val="20"/>
          <w:szCs w:val="20"/>
          <w:u w:val="single" w:color="auto"/>
          <w:color w:val="auto"/>
        </w:rPr>
        <w:t>Accountng Restatement</w:t>
      </w:r>
      <w:r>
        <w:rPr>
          <w:rFonts w:ascii="Calibri" w:cs="Calibri" w:eastAsia="Calibri" w:hAnsi="Calibri"/>
          <w:sz w:val="20"/>
          <w:szCs w:val="20"/>
          <w:color w:val="auto"/>
        </w:rPr>
        <w:t>” shall mean an accountng restatement due to the material noncompliance of the Company with any fnancial reportng requirement under the securites laws, including any required accountng restatement to correct an error in previously issued fnancial statements that is material to the previously issued fnancial statements, or that would result in a material misstatement if the error were corrected in the current period or lef uncorrected in the current period.</w:t>
      </w:r>
    </w:p>
    <w:p>
      <w:pPr>
        <w:spacing w:after="0" w:line="191" w:lineRule="exact"/>
        <w:rPr>
          <w:rFonts w:ascii="Calibri" w:cs="Calibri" w:eastAsia="Calibri" w:hAnsi="Calibri"/>
          <w:sz w:val="18"/>
          <w:szCs w:val="18"/>
          <w:color w:val="auto"/>
        </w:rPr>
      </w:pPr>
    </w:p>
    <w:p>
      <w:pPr>
        <w:ind w:left="1100" w:hanging="514"/>
        <w:spacing w:after="0"/>
        <w:tabs>
          <w:tab w:leader="none" w:pos="1100" w:val="left"/>
        </w:tabs>
        <w:numPr>
          <w:ilvl w:val="1"/>
          <w:numId w:val="37"/>
        </w:numPr>
        <w:rPr>
          <w:rFonts w:ascii="Calibri" w:cs="Calibri" w:eastAsia="Calibri" w:hAnsi="Calibri"/>
          <w:sz w:val="18"/>
          <w:szCs w:val="18"/>
          <w:color w:val="auto"/>
        </w:rPr>
      </w:pPr>
      <w:r>
        <w:rPr>
          <w:rFonts w:ascii="Calibri" w:cs="Calibri" w:eastAsia="Calibri" w:hAnsi="Calibri"/>
          <w:sz w:val="20"/>
          <w:szCs w:val="20"/>
          <w:color w:val="auto"/>
        </w:rPr>
        <w:t>“</w:t>
      </w:r>
      <w:r>
        <w:rPr>
          <w:rFonts w:ascii="Calibri" w:cs="Calibri" w:eastAsia="Calibri" w:hAnsi="Calibri"/>
          <w:sz w:val="20"/>
          <w:szCs w:val="20"/>
          <w:u w:val="single" w:color="auto"/>
          <w:color w:val="auto"/>
        </w:rPr>
        <w:t>Board</w:t>
      </w:r>
      <w:r>
        <w:rPr>
          <w:rFonts w:ascii="Calibri" w:cs="Calibri" w:eastAsia="Calibri" w:hAnsi="Calibri"/>
          <w:sz w:val="20"/>
          <w:szCs w:val="20"/>
          <w:color w:val="auto"/>
        </w:rPr>
        <w:t>” shall mean the Board of Directors of the Company.</w:t>
      </w:r>
    </w:p>
    <w:p>
      <w:pPr>
        <w:spacing w:after="0" w:line="197" w:lineRule="exact"/>
        <w:rPr>
          <w:rFonts w:ascii="Calibri" w:cs="Calibri" w:eastAsia="Calibri" w:hAnsi="Calibri"/>
          <w:sz w:val="18"/>
          <w:szCs w:val="18"/>
          <w:color w:val="auto"/>
        </w:rPr>
      </w:pPr>
    </w:p>
    <w:p>
      <w:pPr>
        <w:ind w:left="580" w:firstLine="6"/>
        <w:spacing w:after="0" w:line="221" w:lineRule="auto"/>
        <w:tabs>
          <w:tab w:leader="none" w:pos="1084" w:val="left"/>
        </w:tabs>
        <w:numPr>
          <w:ilvl w:val="1"/>
          <w:numId w:val="37"/>
        </w:numPr>
        <w:rPr>
          <w:rFonts w:ascii="Calibri" w:cs="Calibri" w:eastAsia="Calibri" w:hAnsi="Calibri"/>
          <w:sz w:val="18"/>
          <w:szCs w:val="18"/>
          <w:color w:val="auto"/>
        </w:rPr>
      </w:pPr>
      <w:r>
        <w:rPr>
          <w:rFonts w:ascii="Calibri" w:cs="Calibri" w:eastAsia="Calibri" w:hAnsi="Calibri"/>
          <w:sz w:val="20"/>
          <w:szCs w:val="20"/>
          <w:color w:val="auto"/>
        </w:rPr>
        <w:t>“</w:t>
      </w:r>
      <w:r>
        <w:rPr>
          <w:rFonts w:ascii="Calibri" w:cs="Calibri" w:eastAsia="Calibri" w:hAnsi="Calibri"/>
          <w:sz w:val="20"/>
          <w:szCs w:val="20"/>
          <w:u w:val="single" w:color="auto"/>
          <w:color w:val="auto"/>
        </w:rPr>
        <w:t>Clawback Eli</w:t>
      </w:r>
      <w:r>
        <w:rPr>
          <w:rFonts w:ascii="Calibri" w:cs="Calibri" w:eastAsia="Calibri" w:hAnsi="Calibri"/>
          <w:sz w:val="20"/>
          <w:szCs w:val="20"/>
          <w:color w:val="auto"/>
        </w:rPr>
        <w:t>g</w:t>
      </w:r>
      <w:r>
        <w:rPr>
          <w:rFonts w:ascii="Calibri" w:cs="Calibri" w:eastAsia="Calibri" w:hAnsi="Calibri"/>
          <w:sz w:val="20"/>
          <w:szCs w:val="20"/>
          <w:u w:val="single" w:color="auto"/>
          <w:color w:val="auto"/>
        </w:rPr>
        <w:t>ible Incentve Compensaton</w:t>
      </w:r>
      <w:r>
        <w:rPr>
          <w:rFonts w:ascii="Calibri" w:cs="Calibri" w:eastAsia="Calibri" w:hAnsi="Calibri"/>
          <w:sz w:val="20"/>
          <w:szCs w:val="20"/>
          <w:color w:val="auto"/>
        </w:rPr>
        <w:t>” shall mean all Incentve-Based Compensaton Received by any current or former Executve Ofcer on or afer Nasdaq Efectve Date, provided that:</w:t>
      </w:r>
    </w:p>
    <w:p>
      <w:pPr>
        <w:spacing w:after="0" w:line="188" w:lineRule="exact"/>
        <w:rPr>
          <w:rFonts w:ascii="Calibri" w:cs="Calibri" w:eastAsia="Calibri" w:hAnsi="Calibri"/>
          <w:sz w:val="18"/>
          <w:szCs w:val="18"/>
          <w:color w:val="auto"/>
        </w:rPr>
      </w:pPr>
    </w:p>
    <w:p>
      <w:pPr>
        <w:ind w:left="1740" w:hanging="506"/>
        <w:spacing w:after="0"/>
        <w:tabs>
          <w:tab w:leader="none" w:pos="1740" w:val="left"/>
        </w:tabs>
        <w:numPr>
          <w:ilvl w:val="2"/>
          <w:numId w:val="37"/>
        </w:numPr>
        <w:rPr>
          <w:rFonts w:ascii="Times New Roman" w:cs="Times New Roman" w:eastAsia="Times New Roman" w:hAnsi="Times New Roman"/>
          <w:sz w:val="18"/>
          <w:szCs w:val="18"/>
          <w:color w:val="auto"/>
        </w:rPr>
      </w:pPr>
      <w:r>
        <w:rPr>
          <w:rFonts w:ascii="Calibri" w:cs="Calibri" w:eastAsia="Calibri" w:hAnsi="Calibri"/>
          <w:sz w:val="20"/>
          <w:szCs w:val="20"/>
          <w:color w:val="auto"/>
        </w:rPr>
        <w:t>such Incentve-Based Compensaton is Received afer such individual began serving as an Executve Ofcer;</w:t>
      </w:r>
    </w:p>
    <w:p>
      <w:pPr>
        <w:spacing w:after="0" w:line="197" w:lineRule="exact"/>
        <w:rPr>
          <w:rFonts w:ascii="Times New Roman" w:cs="Times New Roman" w:eastAsia="Times New Roman" w:hAnsi="Times New Roman"/>
          <w:sz w:val="18"/>
          <w:szCs w:val="18"/>
          <w:color w:val="auto"/>
        </w:rPr>
      </w:pPr>
    </w:p>
    <w:p>
      <w:pPr>
        <w:ind w:left="1240" w:hanging="6"/>
        <w:spacing w:after="0" w:line="221" w:lineRule="auto"/>
        <w:tabs>
          <w:tab w:leader="none" w:pos="1757" w:val="left"/>
        </w:tabs>
        <w:numPr>
          <w:ilvl w:val="2"/>
          <w:numId w:val="37"/>
        </w:numPr>
        <w:rPr>
          <w:rFonts w:ascii="Times New Roman" w:cs="Times New Roman" w:eastAsia="Times New Roman" w:hAnsi="Times New Roman"/>
          <w:sz w:val="18"/>
          <w:szCs w:val="18"/>
          <w:color w:val="auto"/>
        </w:rPr>
      </w:pPr>
      <w:r>
        <w:rPr>
          <w:rFonts w:ascii="Calibri" w:cs="Calibri" w:eastAsia="Calibri" w:hAnsi="Calibri"/>
          <w:sz w:val="20"/>
          <w:szCs w:val="20"/>
          <w:color w:val="auto"/>
        </w:rPr>
        <w:t>such individual served as an Executve Ofcer at any tme during the performance period for such Incentve-Based Compensaton;</w:t>
      </w:r>
    </w:p>
    <w:p>
      <w:pPr>
        <w:spacing w:after="0" w:line="198" w:lineRule="exact"/>
        <w:rPr>
          <w:rFonts w:ascii="Times New Roman" w:cs="Times New Roman" w:eastAsia="Times New Roman" w:hAnsi="Times New Roman"/>
          <w:sz w:val="18"/>
          <w:szCs w:val="18"/>
          <w:color w:val="auto"/>
        </w:rPr>
      </w:pPr>
    </w:p>
    <w:p>
      <w:pPr>
        <w:ind w:left="1240" w:hanging="6"/>
        <w:spacing w:after="0" w:line="221" w:lineRule="auto"/>
        <w:tabs>
          <w:tab w:leader="none" w:pos="1753" w:val="left"/>
        </w:tabs>
        <w:numPr>
          <w:ilvl w:val="2"/>
          <w:numId w:val="37"/>
        </w:numPr>
        <w:rPr>
          <w:rFonts w:ascii="Times New Roman" w:cs="Times New Roman" w:eastAsia="Times New Roman" w:hAnsi="Times New Roman"/>
          <w:sz w:val="18"/>
          <w:szCs w:val="18"/>
          <w:color w:val="auto"/>
        </w:rPr>
      </w:pPr>
      <w:r>
        <w:rPr>
          <w:rFonts w:ascii="Calibri" w:cs="Calibri" w:eastAsia="Calibri" w:hAnsi="Calibri"/>
          <w:sz w:val="20"/>
          <w:szCs w:val="20"/>
          <w:color w:val="auto"/>
        </w:rPr>
        <w:t>such Incentve-Based Compensaton is Received while the Company has a class of securites listed on Nasdaq or any other natonal securites exchange or natonal securites associaton; and</w:t>
      </w:r>
    </w:p>
    <w:p>
      <w:pPr>
        <w:spacing w:after="0" w:line="188" w:lineRule="exact"/>
        <w:rPr>
          <w:rFonts w:ascii="Times New Roman" w:cs="Times New Roman" w:eastAsia="Times New Roman" w:hAnsi="Times New Roman"/>
          <w:sz w:val="18"/>
          <w:szCs w:val="18"/>
          <w:color w:val="auto"/>
        </w:rPr>
      </w:pPr>
    </w:p>
    <w:p>
      <w:pPr>
        <w:ind w:left="1740" w:hanging="506"/>
        <w:spacing w:after="0"/>
        <w:tabs>
          <w:tab w:leader="none" w:pos="1740" w:val="left"/>
        </w:tabs>
        <w:numPr>
          <w:ilvl w:val="2"/>
          <w:numId w:val="37"/>
        </w:numPr>
        <w:rPr>
          <w:rFonts w:ascii="Times New Roman" w:cs="Times New Roman" w:eastAsia="Times New Roman" w:hAnsi="Times New Roman"/>
          <w:sz w:val="18"/>
          <w:szCs w:val="18"/>
          <w:color w:val="auto"/>
        </w:rPr>
      </w:pPr>
      <w:r>
        <w:rPr>
          <w:rFonts w:ascii="Calibri" w:cs="Calibri" w:eastAsia="Calibri" w:hAnsi="Calibri"/>
          <w:sz w:val="20"/>
          <w:szCs w:val="20"/>
          <w:color w:val="auto"/>
        </w:rPr>
        <w:t>such Incentve-Based Compensaton is Received during the applicable Clawback Period.</w:t>
      </w:r>
    </w:p>
    <w:p>
      <w:pPr>
        <w:spacing w:after="0" w:line="197" w:lineRule="exact"/>
        <w:rPr>
          <w:rFonts w:ascii="Times New Roman" w:cs="Times New Roman" w:eastAsia="Times New Roman" w:hAnsi="Times New Roman"/>
          <w:sz w:val="18"/>
          <w:szCs w:val="18"/>
          <w:color w:val="auto"/>
        </w:rPr>
      </w:pPr>
    </w:p>
    <w:p>
      <w:pPr>
        <w:ind w:left="580" w:firstLine="6"/>
        <w:spacing w:after="0" w:line="221" w:lineRule="auto"/>
        <w:tabs>
          <w:tab w:leader="none" w:pos="1089" w:val="left"/>
        </w:tabs>
        <w:numPr>
          <w:ilvl w:val="1"/>
          <w:numId w:val="37"/>
        </w:numPr>
        <w:rPr>
          <w:rFonts w:ascii="Calibri" w:cs="Calibri" w:eastAsia="Calibri" w:hAnsi="Calibri"/>
          <w:sz w:val="18"/>
          <w:szCs w:val="18"/>
          <w:color w:val="auto"/>
        </w:rPr>
      </w:pPr>
      <w:r>
        <w:rPr>
          <w:rFonts w:ascii="Calibri" w:cs="Calibri" w:eastAsia="Calibri" w:hAnsi="Calibri"/>
          <w:sz w:val="20"/>
          <w:szCs w:val="20"/>
          <w:color w:val="auto"/>
        </w:rPr>
        <w:t>“</w:t>
      </w:r>
      <w:r>
        <w:rPr>
          <w:rFonts w:ascii="Calibri" w:cs="Calibri" w:eastAsia="Calibri" w:hAnsi="Calibri"/>
          <w:sz w:val="20"/>
          <w:szCs w:val="20"/>
          <w:u w:val="single" w:color="auto"/>
          <w:color w:val="auto"/>
        </w:rPr>
        <w:t>Clawback Period</w:t>
      </w:r>
      <w:r>
        <w:rPr>
          <w:rFonts w:ascii="Calibri" w:cs="Calibri" w:eastAsia="Calibri" w:hAnsi="Calibri"/>
          <w:sz w:val="20"/>
          <w:szCs w:val="20"/>
          <w:color w:val="auto"/>
        </w:rPr>
        <w:t>” shall mean, with respect to any Accountng Restatement, the three completed fscal years of the Company immediately preceding the Restatement Date and any</w:t>
      </w:r>
    </w:p>
    <w:p>
      <w:pPr>
        <w:sectPr>
          <w:pgSz w:w="11900" w:h="16838" w:orient="portrait"/>
          <w:cols w:equalWidth="0" w:num="1">
            <w:col w:w="10900"/>
          </w:cols>
          <w:pgMar w:left="520" w:top="1388" w:right="479" w:bottom="1440" w:gutter="0" w:footer="0" w:header="0"/>
        </w:sectPr>
      </w:pPr>
    </w:p>
    <w:bookmarkStart w:id="96" w:name="page97"/>
    <w:bookmarkEnd w:id="96"/>
    <w:p>
      <w:pPr>
        <w:spacing w:after="0" w:line="174" w:lineRule="exact"/>
        <w:rPr>
          <w:sz w:val="20"/>
          <w:szCs w:val="20"/>
          <w:color w:val="auto"/>
        </w:rPr>
      </w:pPr>
    </w:p>
    <w:p>
      <w:pPr>
        <w:spacing w:after="0" w:line="221" w:lineRule="auto"/>
        <w:rPr>
          <w:sz w:val="20"/>
          <w:szCs w:val="20"/>
          <w:color w:val="auto"/>
        </w:rPr>
      </w:pPr>
      <w:r>
        <w:rPr>
          <w:rFonts w:ascii="Calibri" w:cs="Calibri" w:eastAsia="Calibri" w:hAnsi="Calibri"/>
          <w:sz w:val="20"/>
          <w:szCs w:val="20"/>
          <w:color w:val="auto"/>
        </w:rPr>
        <w:t>transiton period (that results from a change in the Company’s fscal year) of less than nine months within or immediately following those three completed fscal years.</w:t>
      </w:r>
    </w:p>
    <w:p>
      <w:pPr>
        <w:spacing w:after="0" w:line="189" w:lineRule="exact"/>
        <w:rPr>
          <w:sz w:val="20"/>
          <w:szCs w:val="20"/>
          <w:color w:val="auto"/>
        </w:rPr>
      </w:pPr>
    </w:p>
    <w:p>
      <w:pPr>
        <w:ind w:left="500" w:hanging="494"/>
        <w:spacing w:after="0"/>
        <w:tabs>
          <w:tab w:leader="none" w:pos="500" w:val="left"/>
        </w:tabs>
        <w:numPr>
          <w:ilvl w:val="0"/>
          <w:numId w:val="38"/>
        </w:numPr>
        <w:rPr>
          <w:rFonts w:ascii="Calibri" w:cs="Calibri" w:eastAsia="Calibri" w:hAnsi="Calibri"/>
          <w:sz w:val="18"/>
          <w:szCs w:val="18"/>
          <w:color w:val="auto"/>
        </w:rPr>
      </w:pPr>
      <w:r>
        <w:rPr>
          <w:rFonts w:ascii="Calibri" w:cs="Calibri" w:eastAsia="Calibri" w:hAnsi="Calibri"/>
          <w:sz w:val="20"/>
          <w:szCs w:val="20"/>
          <w:color w:val="auto"/>
        </w:rPr>
        <w:t>“</w:t>
      </w:r>
      <w:r>
        <w:rPr>
          <w:rFonts w:ascii="Calibri" w:cs="Calibri" w:eastAsia="Calibri" w:hAnsi="Calibri"/>
          <w:sz w:val="20"/>
          <w:szCs w:val="20"/>
          <w:u w:val="single" w:color="auto"/>
          <w:color w:val="auto"/>
        </w:rPr>
        <w:t>Commitee</w:t>
      </w:r>
      <w:r>
        <w:rPr>
          <w:rFonts w:ascii="Calibri" w:cs="Calibri" w:eastAsia="Calibri" w:hAnsi="Calibri"/>
          <w:sz w:val="20"/>
          <w:szCs w:val="20"/>
          <w:color w:val="auto"/>
        </w:rPr>
        <w:t>” shall mean the Compensaton Commitee of the Board.</w:t>
      </w:r>
    </w:p>
    <w:p>
      <w:pPr>
        <w:spacing w:after="0" w:line="187" w:lineRule="exact"/>
        <w:rPr>
          <w:rFonts w:ascii="Calibri" w:cs="Calibri" w:eastAsia="Calibri" w:hAnsi="Calibri"/>
          <w:sz w:val="18"/>
          <w:szCs w:val="18"/>
          <w:color w:val="auto"/>
        </w:rPr>
      </w:pPr>
    </w:p>
    <w:p>
      <w:pPr>
        <w:ind w:left="520" w:hanging="514"/>
        <w:spacing w:after="0"/>
        <w:tabs>
          <w:tab w:leader="none" w:pos="520" w:val="left"/>
        </w:tabs>
        <w:numPr>
          <w:ilvl w:val="0"/>
          <w:numId w:val="38"/>
        </w:numPr>
        <w:rPr>
          <w:rFonts w:ascii="Calibri" w:cs="Calibri" w:eastAsia="Calibri" w:hAnsi="Calibri"/>
          <w:sz w:val="18"/>
          <w:szCs w:val="18"/>
          <w:color w:val="auto"/>
        </w:rPr>
      </w:pPr>
      <w:r>
        <w:rPr>
          <w:rFonts w:ascii="Calibri" w:cs="Calibri" w:eastAsia="Calibri" w:hAnsi="Calibri"/>
          <w:sz w:val="20"/>
          <w:szCs w:val="20"/>
          <w:color w:val="auto"/>
        </w:rPr>
        <w:t>“</w:t>
      </w:r>
      <w:r>
        <w:rPr>
          <w:rFonts w:ascii="Calibri" w:cs="Calibri" w:eastAsia="Calibri" w:hAnsi="Calibri"/>
          <w:sz w:val="20"/>
          <w:szCs w:val="20"/>
          <w:u w:val="single" w:color="auto"/>
          <w:color w:val="auto"/>
        </w:rPr>
        <w:t>Common Stock</w:t>
      </w:r>
      <w:r>
        <w:rPr>
          <w:rFonts w:ascii="Calibri" w:cs="Calibri" w:eastAsia="Calibri" w:hAnsi="Calibri"/>
          <w:sz w:val="20"/>
          <w:szCs w:val="20"/>
          <w:color w:val="auto"/>
        </w:rPr>
        <w:t>” shall mean the common stock, par value $0.50 per share, of the Company.</w:t>
      </w:r>
    </w:p>
    <w:p>
      <w:pPr>
        <w:spacing w:after="0" w:line="187" w:lineRule="exact"/>
        <w:rPr>
          <w:rFonts w:ascii="Calibri" w:cs="Calibri" w:eastAsia="Calibri" w:hAnsi="Calibri"/>
          <w:sz w:val="18"/>
          <w:szCs w:val="18"/>
          <w:color w:val="auto"/>
        </w:rPr>
      </w:pPr>
    </w:p>
    <w:p>
      <w:pPr>
        <w:ind w:left="520" w:hanging="514"/>
        <w:spacing w:after="0"/>
        <w:tabs>
          <w:tab w:leader="none" w:pos="520" w:val="left"/>
        </w:tabs>
        <w:numPr>
          <w:ilvl w:val="0"/>
          <w:numId w:val="38"/>
        </w:numPr>
        <w:rPr>
          <w:rFonts w:ascii="Calibri" w:cs="Calibri" w:eastAsia="Calibri" w:hAnsi="Calibri"/>
          <w:sz w:val="18"/>
          <w:szCs w:val="18"/>
          <w:color w:val="auto"/>
        </w:rPr>
      </w:pPr>
      <w:r>
        <w:rPr>
          <w:rFonts w:ascii="Calibri" w:cs="Calibri" w:eastAsia="Calibri" w:hAnsi="Calibri"/>
          <w:sz w:val="20"/>
          <w:szCs w:val="20"/>
          <w:color w:val="auto"/>
        </w:rPr>
        <w:t>“</w:t>
      </w:r>
      <w:r>
        <w:rPr>
          <w:rFonts w:ascii="Calibri" w:cs="Calibri" w:eastAsia="Calibri" w:hAnsi="Calibri"/>
          <w:sz w:val="20"/>
          <w:szCs w:val="20"/>
          <w:u w:val="single" w:color="auto"/>
          <w:color w:val="auto"/>
        </w:rPr>
        <w:t>Compan</w:t>
      </w:r>
      <w:r>
        <w:rPr>
          <w:rFonts w:ascii="Calibri" w:cs="Calibri" w:eastAsia="Calibri" w:hAnsi="Calibri"/>
          <w:sz w:val="20"/>
          <w:szCs w:val="20"/>
          <w:color w:val="auto"/>
        </w:rPr>
        <w:t>y” shall mean Cass Informaton Systems, Inc., a Missouri corporaton.</w:t>
      </w:r>
    </w:p>
    <w:p>
      <w:pPr>
        <w:spacing w:after="0" w:line="187" w:lineRule="exact"/>
        <w:rPr>
          <w:rFonts w:ascii="Calibri" w:cs="Calibri" w:eastAsia="Calibri" w:hAnsi="Calibri"/>
          <w:sz w:val="18"/>
          <w:szCs w:val="18"/>
          <w:color w:val="auto"/>
        </w:rPr>
      </w:pPr>
    </w:p>
    <w:p>
      <w:pPr>
        <w:ind w:left="520" w:hanging="514"/>
        <w:spacing w:after="0"/>
        <w:tabs>
          <w:tab w:leader="none" w:pos="520" w:val="left"/>
        </w:tabs>
        <w:numPr>
          <w:ilvl w:val="0"/>
          <w:numId w:val="38"/>
        </w:numPr>
        <w:rPr>
          <w:rFonts w:ascii="Calibri" w:cs="Calibri" w:eastAsia="Calibri" w:hAnsi="Calibri"/>
          <w:sz w:val="18"/>
          <w:szCs w:val="18"/>
          <w:color w:val="auto"/>
        </w:rPr>
      </w:pPr>
      <w:r>
        <w:rPr>
          <w:rFonts w:ascii="Calibri" w:cs="Calibri" w:eastAsia="Calibri" w:hAnsi="Calibri"/>
          <w:sz w:val="20"/>
          <w:szCs w:val="20"/>
          <w:color w:val="auto"/>
        </w:rPr>
        <w:t>“</w:t>
      </w:r>
      <w:r>
        <w:rPr>
          <w:rFonts w:ascii="Calibri" w:cs="Calibri" w:eastAsia="Calibri" w:hAnsi="Calibri"/>
          <w:sz w:val="20"/>
          <w:szCs w:val="20"/>
          <w:u w:val="single" w:color="auto"/>
          <w:color w:val="auto"/>
        </w:rPr>
        <w:t>Company Group</w:t>
      </w:r>
      <w:r>
        <w:rPr>
          <w:rFonts w:ascii="Calibri" w:cs="Calibri" w:eastAsia="Calibri" w:hAnsi="Calibri"/>
          <w:sz w:val="20"/>
          <w:szCs w:val="20"/>
          <w:color w:val="auto"/>
        </w:rPr>
        <w:t>” shall mean the Company, together with each of its direct and indirect subsidiaries.</w:t>
      </w:r>
    </w:p>
    <w:p>
      <w:pPr>
        <w:spacing w:after="0" w:line="184" w:lineRule="exact"/>
        <w:rPr>
          <w:rFonts w:ascii="Calibri" w:cs="Calibri" w:eastAsia="Calibri" w:hAnsi="Calibri"/>
          <w:sz w:val="18"/>
          <w:szCs w:val="18"/>
          <w:color w:val="auto"/>
        </w:rPr>
      </w:pPr>
    </w:p>
    <w:p>
      <w:pPr>
        <w:jc w:val="both"/>
        <w:ind w:firstLine="6"/>
        <w:spacing w:after="0" w:line="215" w:lineRule="auto"/>
        <w:tabs>
          <w:tab w:leader="none" w:pos="511" w:val="left"/>
        </w:tabs>
        <w:numPr>
          <w:ilvl w:val="0"/>
          <w:numId w:val="38"/>
        </w:numPr>
        <w:rPr>
          <w:rFonts w:ascii="Calibri" w:cs="Calibri" w:eastAsia="Calibri" w:hAnsi="Calibri"/>
          <w:sz w:val="18"/>
          <w:szCs w:val="18"/>
          <w:color w:val="auto"/>
        </w:rPr>
      </w:pPr>
      <w:r>
        <w:rPr>
          <w:rFonts w:ascii="Calibri" w:cs="Calibri" w:eastAsia="Calibri" w:hAnsi="Calibri"/>
          <w:sz w:val="20"/>
          <w:szCs w:val="20"/>
          <w:color w:val="auto"/>
        </w:rPr>
        <w:t>“</w:t>
      </w:r>
      <w:r>
        <w:rPr>
          <w:rFonts w:ascii="Calibri" w:cs="Calibri" w:eastAsia="Calibri" w:hAnsi="Calibri"/>
          <w:sz w:val="20"/>
          <w:szCs w:val="20"/>
          <w:u w:val="single" w:color="auto"/>
          <w:color w:val="auto"/>
        </w:rPr>
        <w:t>Erroneously Awarded Compensaton</w:t>
      </w:r>
      <w:r>
        <w:rPr>
          <w:rFonts w:ascii="Calibri" w:cs="Calibri" w:eastAsia="Calibri" w:hAnsi="Calibri"/>
          <w:sz w:val="20"/>
          <w:szCs w:val="20"/>
          <w:color w:val="auto"/>
        </w:rPr>
        <w:t>” shall mean, with respect to any current or former Executve Ofcer in connecton with any Accountng Restatement, the amount of Clawback Eligible Incentve Compensaton Received by such current or former Executve Ofcer that exceeds the amount of Clawback Eligible Incentve Compensaton that otherwise would have been Received by such current or former Executve Ofcer had such Clawback Eligible Incentve Compensaton been determined based on the restated amounts as refected in connecton with such Accountng Restatement and computed without regard to any taxes paid. .</w:t>
      </w:r>
    </w:p>
    <w:p>
      <w:pPr>
        <w:spacing w:after="0" w:line="190" w:lineRule="exact"/>
        <w:rPr>
          <w:rFonts w:ascii="Calibri" w:cs="Calibri" w:eastAsia="Calibri" w:hAnsi="Calibri"/>
          <w:sz w:val="18"/>
          <w:szCs w:val="18"/>
          <w:color w:val="auto"/>
        </w:rPr>
      </w:pPr>
    </w:p>
    <w:p>
      <w:pPr>
        <w:ind w:left="520" w:hanging="514"/>
        <w:spacing w:after="0"/>
        <w:tabs>
          <w:tab w:leader="none" w:pos="520" w:val="left"/>
        </w:tabs>
        <w:numPr>
          <w:ilvl w:val="0"/>
          <w:numId w:val="38"/>
        </w:numPr>
        <w:rPr>
          <w:rFonts w:ascii="Calibri" w:cs="Calibri" w:eastAsia="Calibri" w:hAnsi="Calibri"/>
          <w:sz w:val="18"/>
          <w:szCs w:val="18"/>
          <w:color w:val="auto"/>
        </w:rPr>
      </w:pPr>
      <w:r>
        <w:rPr>
          <w:rFonts w:ascii="Calibri" w:cs="Calibri" w:eastAsia="Calibri" w:hAnsi="Calibri"/>
          <w:sz w:val="20"/>
          <w:szCs w:val="20"/>
          <w:color w:val="auto"/>
        </w:rPr>
        <w:t>“</w:t>
      </w:r>
      <w:r>
        <w:rPr>
          <w:rFonts w:ascii="Calibri" w:cs="Calibri" w:eastAsia="Calibri" w:hAnsi="Calibri"/>
          <w:sz w:val="20"/>
          <w:szCs w:val="20"/>
          <w:u w:val="single" w:color="auto"/>
          <w:color w:val="auto"/>
        </w:rPr>
        <w:t>Exchan</w:t>
      </w:r>
      <w:r>
        <w:rPr>
          <w:rFonts w:ascii="Calibri" w:cs="Calibri" w:eastAsia="Calibri" w:hAnsi="Calibri"/>
          <w:sz w:val="20"/>
          <w:szCs w:val="20"/>
          <w:color w:val="auto"/>
        </w:rPr>
        <w:t>g</w:t>
      </w:r>
      <w:r>
        <w:rPr>
          <w:rFonts w:ascii="Calibri" w:cs="Calibri" w:eastAsia="Calibri" w:hAnsi="Calibri"/>
          <w:sz w:val="20"/>
          <w:szCs w:val="20"/>
          <w:u w:val="single" w:color="auto"/>
          <w:color w:val="auto"/>
        </w:rPr>
        <w:t>e Act</w:t>
      </w:r>
      <w:r>
        <w:rPr>
          <w:rFonts w:ascii="Calibri" w:cs="Calibri" w:eastAsia="Calibri" w:hAnsi="Calibri"/>
          <w:sz w:val="20"/>
          <w:szCs w:val="20"/>
          <w:color w:val="auto"/>
        </w:rPr>
        <w:t>” means the Securites Exchange Act of 1934, as amended.</w:t>
      </w:r>
    </w:p>
    <w:p>
      <w:pPr>
        <w:spacing w:after="0" w:line="197" w:lineRule="exact"/>
        <w:rPr>
          <w:rFonts w:ascii="Calibri" w:cs="Calibri" w:eastAsia="Calibri" w:hAnsi="Calibri"/>
          <w:sz w:val="18"/>
          <w:szCs w:val="18"/>
          <w:color w:val="auto"/>
        </w:rPr>
      </w:pPr>
    </w:p>
    <w:p>
      <w:pPr>
        <w:jc w:val="both"/>
        <w:ind w:firstLine="6"/>
        <w:spacing w:after="0"/>
        <w:tabs>
          <w:tab w:leader="none" w:pos="510" w:val="left"/>
        </w:tabs>
        <w:numPr>
          <w:ilvl w:val="0"/>
          <w:numId w:val="38"/>
        </w:numPr>
        <w:rPr>
          <w:rFonts w:ascii="Calibri" w:cs="Calibri" w:eastAsia="Calibri" w:hAnsi="Calibri"/>
          <w:sz w:val="18"/>
          <w:szCs w:val="18"/>
          <w:color w:val="auto"/>
        </w:rPr>
      </w:pPr>
      <w:r>
        <w:rPr>
          <w:rFonts w:ascii="Calibri" w:cs="Calibri" w:eastAsia="Calibri" w:hAnsi="Calibri"/>
          <w:sz w:val="20"/>
          <w:szCs w:val="20"/>
          <w:color w:val="auto"/>
        </w:rPr>
        <w:t>“</w:t>
      </w:r>
      <w:r>
        <w:rPr>
          <w:rFonts w:ascii="Calibri" w:cs="Calibri" w:eastAsia="Calibri" w:hAnsi="Calibri"/>
          <w:sz w:val="20"/>
          <w:szCs w:val="20"/>
          <w:u w:val="single" w:color="auto"/>
          <w:color w:val="auto"/>
        </w:rPr>
        <w:t>Executve Ofcer</w:t>
      </w:r>
      <w:r>
        <w:rPr>
          <w:rFonts w:ascii="Calibri" w:cs="Calibri" w:eastAsia="Calibri" w:hAnsi="Calibri"/>
          <w:sz w:val="20"/>
          <w:szCs w:val="20"/>
          <w:color w:val="auto"/>
        </w:rPr>
        <w:t>” shall mean any ofcer as defned in Rule 10D-1(d) (or any successor provision thereof) under the Exchange Act and any executve ofcer as defned in Rule 5608 (or any successor provision thereof) of the Nasdaq listng rules.</w:t>
      </w:r>
    </w:p>
    <w:p>
      <w:pPr>
        <w:spacing w:after="0" w:line="375" w:lineRule="exact"/>
        <w:rPr>
          <w:rFonts w:ascii="Calibri" w:cs="Calibri" w:eastAsia="Calibri" w:hAnsi="Calibri"/>
          <w:sz w:val="18"/>
          <w:szCs w:val="18"/>
          <w:color w:val="auto"/>
        </w:rPr>
      </w:pPr>
    </w:p>
    <w:p>
      <w:pPr>
        <w:jc w:val="both"/>
        <w:ind w:firstLine="6"/>
        <w:spacing w:after="0" w:line="215" w:lineRule="auto"/>
        <w:tabs>
          <w:tab w:leader="none" w:pos="511" w:val="left"/>
        </w:tabs>
        <w:numPr>
          <w:ilvl w:val="0"/>
          <w:numId w:val="38"/>
        </w:numPr>
        <w:rPr>
          <w:rFonts w:ascii="Calibri" w:cs="Calibri" w:eastAsia="Calibri" w:hAnsi="Calibri"/>
          <w:sz w:val="18"/>
          <w:szCs w:val="18"/>
          <w:color w:val="auto"/>
        </w:rPr>
      </w:pPr>
      <w:r>
        <w:rPr>
          <w:rFonts w:ascii="Calibri" w:cs="Calibri" w:eastAsia="Calibri" w:hAnsi="Calibri"/>
          <w:sz w:val="20"/>
          <w:szCs w:val="20"/>
          <w:color w:val="auto"/>
        </w:rPr>
        <w:t>“</w:t>
      </w:r>
      <w:r>
        <w:rPr>
          <w:rFonts w:ascii="Calibri" w:cs="Calibri" w:eastAsia="Calibri" w:hAnsi="Calibri"/>
          <w:sz w:val="20"/>
          <w:szCs w:val="20"/>
          <w:u w:val="single" w:color="auto"/>
          <w:color w:val="auto"/>
        </w:rPr>
        <w:t>Financial Reportng Measures</w:t>
      </w:r>
      <w:r>
        <w:rPr>
          <w:rFonts w:ascii="Calibri" w:cs="Calibri" w:eastAsia="Calibri" w:hAnsi="Calibri"/>
          <w:sz w:val="20"/>
          <w:szCs w:val="20"/>
          <w:color w:val="auto"/>
        </w:rPr>
        <w:t>” shall mean measures that are determined and presented in accordance with the accountng principles used in preparing the Company’s fnancial statements, and any other measures that are derived wholly or in part from such measures. For purposes of this Policy, stock price and total shareholder return (and any measures that are derived wholly or in part from stock price or total shareholder return) shall be considered Financial Reportng Measures. For the avoidance of doubt, a Financial Reportng Measure need not be presented within the Company’s fnancial statements or included in a fling with the SEC.</w:t>
      </w:r>
    </w:p>
    <w:p>
      <w:pPr>
        <w:spacing w:after="0" w:line="199" w:lineRule="exact"/>
        <w:rPr>
          <w:rFonts w:ascii="Calibri" w:cs="Calibri" w:eastAsia="Calibri" w:hAnsi="Calibri"/>
          <w:sz w:val="18"/>
          <w:szCs w:val="18"/>
          <w:color w:val="auto"/>
        </w:rPr>
      </w:pPr>
    </w:p>
    <w:p>
      <w:pPr>
        <w:ind w:firstLine="6"/>
        <w:spacing w:after="0" w:line="221" w:lineRule="auto"/>
        <w:tabs>
          <w:tab w:leader="none" w:pos="503" w:val="left"/>
        </w:tabs>
        <w:numPr>
          <w:ilvl w:val="0"/>
          <w:numId w:val="38"/>
        </w:numPr>
        <w:rPr>
          <w:rFonts w:ascii="Calibri" w:cs="Calibri" w:eastAsia="Calibri" w:hAnsi="Calibri"/>
          <w:sz w:val="18"/>
          <w:szCs w:val="18"/>
          <w:color w:val="auto"/>
        </w:rPr>
      </w:pPr>
      <w:r>
        <w:rPr>
          <w:rFonts w:ascii="Calibri" w:cs="Calibri" w:eastAsia="Calibri" w:hAnsi="Calibri"/>
          <w:sz w:val="20"/>
          <w:szCs w:val="20"/>
          <w:color w:val="auto"/>
        </w:rPr>
        <w:t>“</w:t>
      </w:r>
      <w:r>
        <w:rPr>
          <w:rFonts w:ascii="Calibri" w:cs="Calibri" w:eastAsia="Calibri" w:hAnsi="Calibri"/>
          <w:sz w:val="20"/>
          <w:szCs w:val="20"/>
          <w:u w:val="single" w:color="auto"/>
          <w:color w:val="auto"/>
        </w:rPr>
        <w:t>Incentve-Based Compensaton</w:t>
      </w:r>
      <w:r>
        <w:rPr>
          <w:rFonts w:ascii="Calibri" w:cs="Calibri" w:eastAsia="Calibri" w:hAnsi="Calibri"/>
          <w:sz w:val="20"/>
          <w:szCs w:val="20"/>
          <w:color w:val="auto"/>
        </w:rPr>
        <w:t>” shall mean any compensaton that is granted, earned or vested based wholly or in part upon the atainment of a Financial Reportng Measure.</w:t>
      </w:r>
    </w:p>
    <w:p>
      <w:pPr>
        <w:spacing w:after="0" w:line="188" w:lineRule="exact"/>
        <w:rPr>
          <w:rFonts w:ascii="Calibri" w:cs="Calibri" w:eastAsia="Calibri" w:hAnsi="Calibri"/>
          <w:sz w:val="18"/>
          <w:szCs w:val="18"/>
          <w:color w:val="auto"/>
        </w:rPr>
      </w:pPr>
    </w:p>
    <w:p>
      <w:pPr>
        <w:ind w:left="520" w:hanging="514"/>
        <w:spacing w:after="0"/>
        <w:tabs>
          <w:tab w:leader="none" w:pos="520" w:val="left"/>
        </w:tabs>
        <w:numPr>
          <w:ilvl w:val="0"/>
          <w:numId w:val="38"/>
        </w:numPr>
        <w:rPr>
          <w:rFonts w:ascii="Calibri" w:cs="Calibri" w:eastAsia="Calibri" w:hAnsi="Calibri"/>
          <w:sz w:val="18"/>
          <w:szCs w:val="18"/>
          <w:color w:val="auto"/>
        </w:rPr>
      </w:pPr>
      <w:r>
        <w:rPr>
          <w:rFonts w:ascii="Calibri" w:cs="Calibri" w:eastAsia="Calibri" w:hAnsi="Calibri"/>
          <w:sz w:val="20"/>
          <w:szCs w:val="20"/>
          <w:color w:val="auto"/>
        </w:rPr>
        <w:t>“</w:t>
      </w:r>
      <w:r>
        <w:rPr>
          <w:rFonts w:ascii="Calibri" w:cs="Calibri" w:eastAsia="Calibri" w:hAnsi="Calibri"/>
          <w:sz w:val="20"/>
          <w:szCs w:val="20"/>
          <w:u w:val="single" w:color="auto"/>
          <w:color w:val="auto"/>
        </w:rPr>
        <w:t>Nasdaq</w:t>
      </w:r>
      <w:r>
        <w:rPr>
          <w:rFonts w:ascii="Calibri" w:cs="Calibri" w:eastAsia="Calibri" w:hAnsi="Calibri"/>
          <w:sz w:val="20"/>
          <w:szCs w:val="20"/>
          <w:color w:val="auto"/>
        </w:rPr>
        <w:t>” shall mean The Nasdaq Global Select Market.</w:t>
      </w:r>
    </w:p>
    <w:p>
      <w:pPr>
        <w:spacing w:after="0" w:line="187" w:lineRule="exact"/>
        <w:rPr>
          <w:rFonts w:ascii="Calibri" w:cs="Calibri" w:eastAsia="Calibri" w:hAnsi="Calibri"/>
          <w:sz w:val="18"/>
          <w:szCs w:val="18"/>
          <w:color w:val="auto"/>
        </w:rPr>
      </w:pPr>
    </w:p>
    <w:p>
      <w:pPr>
        <w:ind w:left="520" w:hanging="514"/>
        <w:spacing w:after="0"/>
        <w:tabs>
          <w:tab w:leader="none" w:pos="520" w:val="left"/>
        </w:tabs>
        <w:numPr>
          <w:ilvl w:val="0"/>
          <w:numId w:val="38"/>
        </w:numPr>
        <w:rPr>
          <w:rFonts w:ascii="Calibri" w:cs="Calibri" w:eastAsia="Calibri" w:hAnsi="Calibri"/>
          <w:sz w:val="18"/>
          <w:szCs w:val="18"/>
          <w:color w:val="auto"/>
        </w:rPr>
      </w:pPr>
      <w:r>
        <w:rPr>
          <w:rFonts w:ascii="Calibri" w:cs="Calibri" w:eastAsia="Calibri" w:hAnsi="Calibri"/>
          <w:sz w:val="20"/>
          <w:szCs w:val="20"/>
          <w:color w:val="auto"/>
        </w:rPr>
        <w:t>“</w:t>
      </w:r>
      <w:r>
        <w:rPr>
          <w:rFonts w:ascii="Calibri" w:cs="Calibri" w:eastAsia="Calibri" w:hAnsi="Calibri"/>
          <w:sz w:val="20"/>
          <w:szCs w:val="20"/>
          <w:u w:val="single" w:color="auto"/>
          <w:color w:val="auto"/>
        </w:rPr>
        <w:t>Nasdaq Efectve Date</w:t>
      </w:r>
      <w:r>
        <w:rPr>
          <w:rFonts w:ascii="Calibri" w:cs="Calibri" w:eastAsia="Calibri" w:hAnsi="Calibri"/>
          <w:sz w:val="20"/>
          <w:szCs w:val="20"/>
          <w:color w:val="auto"/>
        </w:rPr>
        <w:t>” shall mean October 2, 2023 (which is the efectve date of the fnal Nasdaq listng standards).</w:t>
      </w:r>
    </w:p>
    <w:p>
      <w:pPr>
        <w:spacing w:after="0" w:line="197" w:lineRule="exact"/>
        <w:rPr>
          <w:rFonts w:ascii="Calibri" w:cs="Calibri" w:eastAsia="Calibri" w:hAnsi="Calibri"/>
          <w:sz w:val="18"/>
          <w:szCs w:val="18"/>
          <w:color w:val="auto"/>
        </w:rPr>
      </w:pPr>
    </w:p>
    <w:p>
      <w:pPr>
        <w:jc w:val="both"/>
        <w:ind w:firstLine="6"/>
        <w:spacing w:after="0" w:line="216" w:lineRule="auto"/>
        <w:tabs>
          <w:tab w:leader="none" w:pos="509" w:val="left"/>
        </w:tabs>
        <w:numPr>
          <w:ilvl w:val="0"/>
          <w:numId w:val="38"/>
        </w:numPr>
        <w:rPr>
          <w:rFonts w:ascii="Calibri" w:cs="Calibri" w:eastAsia="Calibri" w:hAnsi="Calibri"/>
          <w:sz w:val="18"/>
          <w:szCs w:val="18"/>
          <w:color w:val="auto"/>
        </w:rPr>
      </w:pPr>
      <w:r>
        <w:rPr>
          <w:rFonts w:ascii="Calibri" w:cs="Calibri" w:eastAsia="Calibri" w:hAnsi="Calibri"/>
          <w:sz w:val="20"/>
          <w:szCs w:val="20"/>
          <w:color w:val="auto"/>
        </w:rPr>
        <w:t>“</w:t>
      </w:r>
      <w:r>
        <w:rPr>
          <w:rFonts w:ascii="Calibri" w:cs="Calibri" w:eastAsia="Calibri" w:hAnsi="Calibri"/>
          <w:sz w:val="20"/>
          <w:szCs w:val="20"/>
          <w:u w:val="single" w:color="auto"/>
          <w:color w:val="auto"/>
        </w:rPr>
        <w:t>Received</w:t>
      </w:r>
      <w:r>
        <w:rPr>
          <w:rFonts w:ascii="Calibri" w:cs="Calibri" w:eastAsia="Calibri" w:hAnsi="Calibri"/>
          <w:sz w:val="20"/>
          <w:szCs w:val="20"/>
          <w:color w:val="auto"/>
        </w:rPr>
        <w:t>” shall mean when Incentve-Based Compensaton is received, and Incentve-Based Compensaton shall be deemed received in the Company’s fscal period during which the Financial Reportng Measure specifed in the Incentve-Based Compensaton award is atained, even if payment or grant of the Incentve-Based Compensaton occurs afer the end of that period.</w:t>
      </w:r>
    </w:p>
    <w:p>
      <w:pPr>
        <w:spacing w:after="0" w:line="187" w:lineRule="exact"/>
        <w:rPr>
          <w:rFonts w:ascii="Calibri" w:cs="Calibri" w:eastAsia="Calibri" w:hAnsi="Calibri"/>
          <w:sz w:val="18"/>
          <w:szCs w:val="18"/>
          <w:color w:val="auto"/>
        </w:rPr>
      </w:pPr>
    </w:p>
    <w:p>
      <w:pPr>
        <w:jc w:val="both"/>
        <w:ind w:firstLine="6"/>
        <w:spacing w:after="0" w:line="218" w:lineRule="auto"/>
        <w:tabs>
          <w:tab w:leader="none" w:pos="509" w:val="left"/>
        </w:tabs>
        <w:numPr>
          <w:ilvl w:val="0"/>
          <w:numId w:val="38"/>
        </w:numPr>
        <w:rPr>
          <w:rFonts w:ascii="Calibri" w:cs="Calibri" w:eastAsia="Calibri" w:hAnsi="Calibri"/>
          <w:sz w:val="18"/>
          <w:szCs w:val="18"/>
          <w:color w:val="auto"/>
        </w:rPr>
      </w:pPr>
      <w:r>
        <w:rPr>
          <w:rFonts w:ascii="Calibri" w:cs="Calibri" w:eastAsia="Calibri" w:hAnsi="Calibri"/>
          <w:sz w:val="20"/>
          <w:szCs w:val="20"/>
          <w:color w:val="auto"/>
        </w:rPr>
        <w:t>“</w:t>
      </w:r>
      <w:r>
        <w:rPr>
          <w:rFonts w:ascii="Calibri" w:cs="Calibri" w:eastAsia="Calibri" w:hAnsi="Calibri"/>
          <w:sz w:val="20"/>
          <w:szCs w:val="20"/>
          <w:u w:val="single" w:color="auto"/>
          <w:color w:val="auto"/>
        </w:rPr>
        <w:t>Restatement Date</w:t>
      </w:r>
      <w:r>
        <w:rPr>
          <w:rFonts w:ascii="Calibri" w:cs="Calibri" w:eastAsia="Calibri" w:hAnsi="Calibri"/>
          <w:sz w:val="20"/>
          <w:szCs w:val="20"/>
          <w:color w:val="auto"/>
        </w:rPr>
        <w:t>” shall mean the earlier to occur of (i) the date the Board, a commitee of the Board or the ofcer or ofcers of the Company authorized to take such acton if Board acton is not required, concludes, or reasonably should have concluded, that</w:t>
      </w:r>
    </w:p>
    <w:p>
      <w:pPr>
        <w:sectPr>
          <w:pgSz w:w="11900" w:h="16838" w:orient="portrait"/>
          <w:cols w:equalWidth="0" w:num="1">
            <w:col w:w="10320"/>
          </w:cols>
          <w:pgMar w:left="1100" w:top="1440" w:right="479" w:bottom="1440" w:gutter="0" w:footer="0" w:header="0"/>
        </w:sectPr>
      </w:pPr>
    </w:p>
    <w:bookmarkStart w:id="97" w:name="page98"/>
    <w:bookmarkEnd w:id="97"/>
    <w:p>
      <w:pPr>
        <w:spacing w:after="0" w:line="174" w:lineRule="exact"/>
        <w:rPr>
          <w:sz w:val="20"/>
          <w:szCs w:val="20"/>
          <w:color w:val="auto"/>
        </w:rPr>
      </w:pPr>
    </w:p>
    <w:p>
      <w:pPr>
        <w:ind w:left="578"/>
        <w:spacing w:after="0" w:line="221" w:lineRule="auto"/>
        <w:rPr>
          <w:sz w:val="20"/>
          <w:szCs w:val="20"/>
          <w:color w:val="auto"/>
        </w:rPr>
      </w:pPr>
      <w:r>
        <w:rPr>
          <w:rFonts w:ascii="Calibri" w:cs="Calibri" w:eastAsia="Calibri" w:hAnsi="Calibri"/>
          <w:sz w:val="20"/>
          <w:szCs w:val="20"/>
          <w:color w:val="auto"/>
        </w:rPr>
        <w:t>the Company is required to prepare an Accountng Restatement, or (ii) the date a court, regulator or other legally authorized body directs the Company to prepare an Accountng Restatement.</w:t>
      </w:r>
    </w:p>
    <w:p>
      <w:pPr>
        <w:spacing w:after="0" w:line="189" w:lineRule="exact"/>
        <w:rPr>
          <w:sz w:val="20"/>
          <w:szCs w:val="20"/>
          <w:color w:val="auto"/>
        </w:rPr>
      </w:pPr>
    </w:p>
    <w:p>
      <w:pPr>
        <w:ind w:left="1098" w:hanging="514"/>
        <w:spacing w:after="0"/>
        <w:tabs>
          <w:tab w:leader="none" w:pos="1098" w:val="left"/>
        </w:tabs>
        <w:numPr>
          <w:ilvl w:val="1"/>
          <w:numId w:val="39"/>
        </w:numPr>
        <w:rPr>
          <w:rFonts w:ascii="Calibri" w:cs="Calibri" w:eastAsia="Calibri" w:hAnsi="Calibri"/>
          <w:sz w:val="18"/>
          <w:szCs w:val="18"/>
          <w:color w:val="auto"/>
        </w:rPr>
      </w:pPr>
      <w:r>
        <w:rPr>
          <w:rFonts w:ascii="Calibri" w:cs="Calibri" w:eastAsia="Calibri" w:hAnsi="Calibri"/>
          <w:sz w:val="20"/>
          <w:szCs w:val="20"/>
          <w:color w:val="auto"/>
        </w:rPr>
        <w:t>“</w:t>
      </w:r>
      <w:r>
        <w:rPr>
          <w:rFonts w:ascii="Calibri" w:cs="Calibri" w:eastAsia="Calibri" w:hAnsi="Calibri"/>
          <w:sz w:val="20"/>
          <w:szCs w:val="20"/>
          <w:u w:val="single" w:color="auto"/>
          <w:color w:val="auto"/>
        </w:rPr>
        <w:t>SEC</w:t>
      </w:r>
      <w:r>
        <w:rPr>
          <w:rFonts w:ascii="Calibri" w:cs="Calibri" w:eastAsia="Calibri" w:hAnsi="Calibri"/>
          <w:sz w:val="20"/>
          <w:szCs w:val="20"/>
          <w:color w:val="auto"/>
        </w:rPr>
        <w:t>” shall mean the U.S. Securites and Exchange Commission.</w:t>
      </w:r>
    </w:p>
    <w:p>
      <w:pPr>
        <w:spacing w:after="0" w:line="187" w:lineRule="exact"/>
        <w:rPr>
          <w:rFonts w:ascii="Calibri" w:cs="Calibri" w:eastAsia="Calibri" w:hAnsi="Calibri"/>
          <w:sz w:val="18"/>
          <w:szCs w:val="18"/>
          <w:color w:val="auto"/>
        </w:rPr>
      </w:pPr>
    </w:p>
    <w:p>
      <w:pPr>
        <w:ind w:left="338" w:hanging="338"/>
        <w:spacing w:after="0"/>
        <w:tabs>
          <w:tab w:leader="none" w:pos="338" w:val="left"/>
        </w:tabs>
        <w:numPr>
          <w:ilvl w:val="0"/>
          <w:numId w:val="40"/>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Recovery of Erroneously Awarded Compensaton.</w:t>
      </w:r>
    </w:p>
    <w:p>
      <w:pPr>
        <w:spacing w:after="0" w:line="197" w:lineRule="exact"/>
        <w:rPr>
          <w:rFonts w:ascii="Calibri" w:cs="Calibri" w:eastAsia="Calibri" w:hAnsi="Calibri"/>
          <w:sz w:val="20"/>
          <w:szCs w:val="20"/>
          <w:b w:val="1"/>
          <w:bCs w:val="1"/>
          <w:color w:val="auto"/>
        </w:rPr>
      </w:pPr>
    </w:p>
    <w:p>
      <w:pPr>
        <w:jc w:val="both"/>
        <w:ind w:left="618" w:hanging="2"/>
        <w:spacing w:after="0" w:line="214" w:lineRule="auto"/>
        <w:tabs>
          <w:tab w:leader="none" w:pos="1092" w:val="left"/>
        </w:tabs>
        <w:numPr>
          <w:ilvl w:val="2"/>
          <w:numId w:val="40"/>
        </w:numPr>
        <w:rPr>
          <w:rFonts w:ascii="Calibri" w:cs="Calibri" w:eastAsia="Calibri" w:hAnsi="Calibri"/>
          <w:sz w:val="18"/>
          <w:szCs w:val="18"/>
          <w:color w:val="auto"/>
        </w:rPr>
      </w:pPr>
      <w:r>
        <w:rPr>
          <w:rFonts w:ascii="Calibri" w:cs="Calibri" w:eastAsia="Calibri" w:hAnsi="Calibri"/>
          <w:sz w:val="20"/>
          <w:szCs w:val="20"/>
          <w:color w:val="auto"/>
        </w:rPr>
        <w:t>In the event that the Company is required to prepare an Accountng Restatement, (i) the Commitee shall determine the amount of any Erroneously Awarded Compensaton for each applicable current or former Executve Ofcer (whether or not such individual is serving as an Executve Ofcer at such tme) (the “</w:t>
      </w:r>
      <w:r>
        <w:rPr>
          <w:rFonts w:ascii="Calibri" w:cs="Calibri" w:eastAsia="Calibri" w:hAnsi="Calibri"/>
          <w:sz w:val="20"/>
          <w:szCs w:val="20"/>
          <w:u w:val="single" w:color="auto"/>
          <w:color w:val="auto"/>
        </w:rPr>
        <w:t>Applicable Executves</w:t>
      </w:r>
      <w:r>
        <w:rPr>
          <w:rFonts w:ascii="Calibri" w:cs="Calibri" w:eastAsia="Calibri" w:hAnsi="Calibri"/>
          <w:sz w:val="20"/>
          <w:szCs w:val="20"/>
          <w:color w:val="auto"/>
        </w:rPr>
        <w:t>”) in connecton with such Accountng Restatement, and (ii) the Company will reasonably promptly require the recovery of such Erroneously Awarded Compensaton from any such Applicable Executve, and any such Applicable Executve shall surrender such Erroneously Awarded Compensaton to the Company, at such tme(s), and via such method(s), as determined by the Commitee in accordance with the terms of this Policy.</w:t>
      </w:r>
    </w:p>
    <w:p>
      <w:pPr>
        <w:spacing w:after="0" w:line="190" w:lineRule="exact"/>
        <w:rPr>
          <w:rFonts w:ascii="Calibri" w:cs="Calibri" w:eastAsia="Calibri" w:hAnsi="Calibri"/>
          <w:sz w:val="18"/>
          <w:szCs w:val="18"/>
          <w:color w:val="auto"/>
        </w:rPr>
      </w:pPr>
    </w:p>
    <w:p>
      <w:pPr>
        <w:jc w:val="both"/>
        <w:ind w:left="618" w:hanging="2"/>
        <w:spacing w:after="0" w:line="215" w:lineRule="auto"/>
        <w:tabs>
          <w:tab w:leader="none" w:pos="1086" w:val="left"/>
        </w:tabs>
        <w:numPr>
          <w:ilvl w:val="2"/>
          <w:numId w:val="40"/>
        </w:numPr>
        <w:rPr>
          <w:rFonts w:ascii="Calibri" w:cs="Calibri" w:eastAsia="Calibri" w:hAnsi="Calibri"/>
          <w:sz w:val="18"/>
          <w:szCs w:val="18"/>
          <w:color w:val="auto"/>
        </w:rPr>
      </w:pPr>
      <w:r>
        <w:rPr>
          <w:rFonts w:ascii="Calibri" w:cs="Calibri" w:eastAsia="Calibri" w:hAnsi="Calibri"/>
          <w:sz w:val="20"/>
          <w:szCs w:val="20"/>
          <w:color w:val="auto"/>
        </w:rPr>
        <w:t>For Incentve-Based Compensaton based on (or derived from) stock price or total shareholder return where the amount of Erroneously Awarded Compensaton is not subject to mathematcal recalculaton directly from the informaton in the applicable Accountng Restatement, (i) such amount shall be determined by the Commitee based on a reasonable estmate of the efect of the Accountng Restatement on the stock price or total shareholder return upon which the Incentve-Based Compensaton was Received, and (ii) the Company will maintain documentaton of the determinaton of that reasonable estmate and provide such documentaton to Nasdaq.</w:t>
      </w:r>
    </w:p>
    <w:p>
      <w:pPr>
        <w:spacing w:after="0" w:line="199" w:lineRule="exact"/>
        <w:rPr>
          <w:rFonts w:ascii="Calibri" w:cs="Calibri" w:eastAsia="Calibri" w:hAnsi="Calibri"/>
          <w:sz w:val="18"/>
          <w:szCs w:val="18"/>
          <w:color w:val="auto"/>
        </w:rPr>
      </w:pPr>
    </w:p>
    <w:p>
      <w:pPr>
        <w:ind w:left="618" w:hanging="2"/>
        <w:spacing w:after="0" w:line="221" w:lineRule="auto"/>
        <w:tabs>
          <w:tab w:leader="none" w:pos="1095" w:val="left"/>
        </w:tabs>
        <w:numPr>
          <w:ilvl w:val="2"/>
          <w:numId w:val="40"/>
        </w:numPr>
        <w:rPr>
          <w:rFonts w:ascii="Calibri" w:cs="Calibri" w:eastAsia="Calibri" w:hAnsi="Calibri"/>
          <w:sz w:val="18"/>
          <w:szCs w:val="18"/>
          <w:color w:val="auto"/>
        </w:rPr>
      </w:pPr>
      <w:r>
        <w:rPr>
          <w:rFonts w:ascii="Calibri" w:cs="Calibri" w:eastAsia="Calibri" w:hAnsi="Calibri"/>
          <w:sz w:val="20"/>
          <w:szCs w:val="20"/>
          <w:color w:val="auto"/>
        </w:rPr>
        <w:t>The Commitee shall determine, in its sole discreton, the method(s) for recovering any Erroneously Awarded Compensaton from any Applicable Executve, which may include one or more of the following:</w:t>
      </w:r>
    </w:p>
    <w:p>
      <w:pPr>
        <w:spacing w:after="0" w:line="198" w:lineRule="exact"/>
        <w:rPr>
          <w:rFonts w:ascii="Calibri" w:cs="Calibri" w:eastAsia="Calibri" w:hAnsi="Calibri"/>
          <w:sz w:val="18"/>
          <w:szCs w:val="18"/>
          <w:color w:val="auto"/>
        </w:rPr>
      </w:pPr>
    </w:p>
    <w:p>
      <w:pPr>
        <w:jc w:val="both"/>
        <w:ind w:left="1358" w:firstLine="3"/>
        <w:spacing w:after="0" w:line="218" w:lineRule="auto"/>
        <w:tabs>
          <w:tab w:leader="none" w:pos="1734" w:val="left"/>
        </w:tabs>
        <w:numPr>
          <w:ilvl w:val="3"/>
          <w:numId w:val="40"/>
        </w:numPr>
        <w:rPr>
          <w:rFonts w:ascii="Calibri" w:cs="Calibri" w:eastAsia="Calibri" w:hAnsi="Calibri"/>
          <w:sz w:val="18"/>
          <w:szCs w:val="18"/>
          <w:color w:val="auto"/>
        </w:rPr>
      </w:pPr>
      <w:r>
        <w:rPr>
          <w:rFonts w:ascii="Calibri" w:cs="Calibri" w:eastAsia="Calibri" w:hAnsi="Calibri"/>
          <w:sz w:val="20"/>
          <w:szCs w:val="20"/>
          <w:color w:val="auto"/>
        </w:rPr>
        <w:t>requiring one or more cash payments to the Company Group from such Applicable Executve, including, but not limited to, the repayment of cash Incentve-Based Compensaton previously paid by the Company Group to such Applicable Executve;</w:t>
      </w:r>
    </w:p>
    <w:p>
      <w:pPr>
        <w:spacing w:after="0" w:line="198" w:lineRule="exact"/>
        <w:rPr>
          <w:rFonts w:ascii="Calibri" w:cs="Calibri" w:eastAsia="Calibri" w:hAnsi="Calibri"/>
          <w:sz w:val="18"/>
          <w:szCs w:val="18"/>
          <w:color w:val="auto"/>
        </w:rPr>
      </w:pPr>
    </w:p>
    <w:p>
      <w:pPr>
        <w:jc w:val="both"/>
        <w:ind w:left="1358" w:firstLine="3"/>
        <w:spacing w:after="0" w:line="216" w:lineRule="auto"/>
        <w:tabs>
          <w:tab w:leader="none" w:pos="1734" w:val="left"/>
        </w:tabs>
        <w:numPr>
          <w:ilvl w:val="3"/>
          <w:numId w:val="40"/>
        </w:numPr>
        <w:rPr>
          <w:rFonts w:ascii="Calibri" w:cs="Calibri" w:eastAsia="Calibri" w:hAnsi="Calibri"/>
          <w:sz w:val="18"/>
          <w:szCs w:val="18"/>
          <w:color w:val="auto"/>
        </w:rPr>
      </w:pPr>
      <w:r>
        <w:rPr>
          <w:rFonts w:ascii="Calibri" w:cs="Calibri" w:eastAsia="Calibri" w:hAnsi="Calibri"/>
          <w:sz w:val="20"/>
          <w:szCs w:val="20"/>
          <w:color w:val="auto"/>
        </w:rPr>
        <w:t>seeking recovery of any gain realized on the vestng, exercise, setlement, sale, transfer or other dispositon of any equity-based awards previously made by the Company to such Applicable Executve and/or, subject to applicable legal requirements, otherwise requiring the delivery to the Company of shares of Common Stock held by such Applicable Executve;</w:t>
      </w:r>
    </w:p>
    <w:p>
      <w:pPr>
        <w:spacing w:after="0" w:line="201" w:lineRule="exact"/>
        <w:rPr>
          <w:rFonts w:ascii="Calibri" w:cs="Calibri" w:eastAsia="Calibri" w:hAnsi="Calibri"/>
          <w:sz w:val="18"/>
          <w:szCs w:val="18"/>
          <w:color w:val="auto"/>
        </w:rPr>
      </w:pPr>
    </w:p>
    <w:p>
      <w:pPr>
        <w:jc w:val="both"/>
        <w:ind w:left="1358" w:firstLine="3"/>
        <w:spacing w:after="0" w:line="218" w:lineRule="auto"/>
        <w:tabs>
          <w:tab w:leader="none" w:pos="1734" w:val="left"/>
        </w:tabs>
        <w:numPr>
          <w:ilvl w:val="3"/>
          <w:numId w:val="40"/>
        </w:numPr>
        <w:rPr>
          <w:rFonts w:ascii="Calibri" w:cs="Calibri" w:eastAsia="Calibri" w:hAnsi="Calibri"/>
          <w:sz w:val="18"/>
          <w:szCs w:val="18"/>
          <w:color w:val="auto"/>
        </w:rPr>
      </w:pPr>
      <w:r>
        <w:rPr>
          <w:rFonts w:ascii="Calibri" w:cs="Calibri" w:eastAsia="Calibri" w:hAnsi="Calibri"/>
          <w:sz w:val="20"/>
          <w:szCs w:val="20"/>
          <w:color w:val="auto"/>
        </w:rPr>
        <w:t>withholding, reducing or eliminatng future cash compensaton (including cash incentve payments), future equity awards and/or other benefts or amounts otherwise to be paid or awarded by the Company Group to such Applicable Executve;</w:t>
      </w:r>
    </w:p>
    <w:p>
      <w:pPr>
        <w:spacing w:after="0" w:line="198" w:lineRule="exact"/>
        <w:rPr>
          <w:rFonts w:ascii="Calibri" w:cs="Calibri" w:eastAsia="Calibri" w:hAnsi="Calibri"/>
          <w:sz w:val="18"/>
          <w:szCs w:val="18"/>
          <w:color w:val="auto"/>
        </w:rPr>
      </w:pPr>
    </w:p>
    <w:p>
      <w:pPr>
        <w:ind w:left="1358" w:firstLine="3"/>
        <w:spacing w:after="0" w:line="221" w:lineRule="auto"/>
        <w:tabs>
          <w:tab w:leader="none" w:pos="1732" w:val="left"/>
        </w:tabs>
        <w:numPr>
          <w:ilvl w:val="3"/>
          <w:numId w:val="40"/>
        </w:numPr>
        <w:rPr>
          <w:rFonts w:ascii="Calibri" w:cs="Calibri" w:eastAsia="Calibri" w:hAnsi="Calibri"/>
          <w:sz w:val="18"/>
          <w:szCs w:val="18"/>
          <w:color w:val="auto"/>
        </w:rPr>
      </w:pPr>
      <w:r>
        <w:rPr>
          <w:rFonts w:ascii="Calibri" w:cs="Calibri" w:eastAsia="Calibri" w:hAnsi="Calibri"/>
          <w:sz w:val="20"/>
          <w:szCs w:val="20"/>
          <w:color w:val="auto"/>
        </w:rPr>
        <w:t>ofsetng amounts against compensaton or other amounts otherwise payable by the Company Group to any Applicable Executve;</w:t>
      </w:r>
    </w:p>
    <w:p>
      <w:pPr>
        <w:spacing w:after="0" w:line="198" w:lineRule="exact"/>
        <w:rPr>
          <w:rFonts w:ascii="Calibri" w:cs="Calibri" w:eastAsia="Calibri" w:hAnsi="Calibri"/>
          <w:sz w:val="18"/>
          <w:szCs w:val="18"/>
          <w:color w:val="auto"/>
        </w:rPr>
      </w:pPr>
    </w:p>
    <w:p>
      <w:pPr>
        <w:ind w:left="1358" w:firstLine="3"/>
        <w:spacing w:after="0" w:line="221" w:lineRule="auto"/>
        <w:tabs>
          <w:tab w:leader="none" w:pos="1732" w:val="left"/>
        </w:tabs>
        <w:numPr>
          <w:ilvl w:val="3"/>
          <w:numId w:val="40"/>
        </w:numPr>
        <w:rPr>
          <w:rFonts w:ascii="Calibri" w:cs="Calibri" w:eastAsia="Calibri" w:hAnsi="Calibri"/>
          <w:sz w:val="18"/>
          <w:szCs w:val="18"/>
          <w:color w:val="auto"/>
        </w:rPr>
      </w:pPr>
      <w:r>
        <w:rPr>
          <w:rFonts w:ascii="Calibri" w:cs="Calibri" w:eastAsia="Calibri" w:hAnsi="Calibri"/>
          <w:sz w:val="20"/>
          <w:szCs w:val="20"/>
          <w:color w:val="auto"/>
        </w:rPr>
        <w:t>cancelling, adjustng or ofsetng against some or all outstanding vested or unvested equity awards of the Company held by such Applicable Executve; and/or</w:t>
      </w:r>
    </w:p>
    <w:p>
      <w:pPr>
        <w:sectPr>
          <w:pgSz w:w="11900" w:h="16838" w:orient="portrait"/>
          <w:cols w:equalWidth="0" w:num="1">
            <w:col w:w="10898"/>
          </w:cols>
          <w:pgMar w:left="522" w:top="1440" w:right="479" w:bottom="1440" w:gutter="0" w:footer="0" w:header="0"/>
        </w:sectPr>
      </w:pPr>
    </w:p>
    <w:bookmarkStart w:id="98" w:name="page99"/>
    <w:bookmarkEnd w:id="98"/>
    <w:p>
      <w:pPr>
        <w:spacing w:after="0" w:line="174" w:lineRule="exact"/>
        <w:rPr>
          <w:sz w:val="20"/>
          <w:szCs w:val="20"/>
          <w:color w:val="auto"/>
        </w:rPr>
      </w:pPr>
    </w:p>
    <w:p>
      <w:pPr>
        <w:ind w:left="1293" w:right="80" w:firstLine="3"/>
        <w:spacing w:after="0" w:line="221" w:lineRule="auto"/>
        <w:tabs>
          <w:tab w:leader="none" w:pos="1667" w:val="left"/>
        </w:tabs>
        <w:numPr>
          <w:ilvl w:val="2"/>
          <w:numId w:val="41"/>
        </w:numPr>
        <w:rPr>
          <w:rFonts w:ascii="Calibri" w:cs="Calibri" w:eastAsia="Calibri" w:hAnsi="Calibri"/>
          <w:sz w:val="18"/>
          <w:szCs w:val="18"/>
          <w:color w:val="auto"/>
        </w:rPr>
      </w:pPr>
      <w:r>
        <w:rPr>
          <w:rFonts w:ascii="Calibri" w:cs="Calibri" w:eastAsia="Calibri" w:hAnsi="Calibri"/>
          <w:sz w:val="20"/>
          <w:szCs w:val="20"/>
          <w:color w:val="auto"/>
        </w:rPr>
        <w:t>taking any other remedial and recovery actons with respect to such Applicable Executve permited by applicable legal requirements and the rules and regulatons of Nasdaq, as determined by the Commitee.</w:t>
      </w:r>
    </w:p>
    <w:p>
      <w:pPr>
        <w:spacing w:after="0" w:line="198" w:lineRule="exact"/>
        <w:rPr>
          <w:rFonts w:ascii="Calibri" w:cs="Calibri" w:eastAsia="Calibri" w:hAnsi="Calibri"/>
          <w:sz w:val="18"/>
          <w:szCs w:val="18"/>
          <w:color w:val="auto"/>
        </w:rPr>
      </w:pPr>
    </w:p>
    <w:p>
      <w:pPr>
        <w:jc w:val="both"/>
        <w:ind w:left="553" w:right="80" w:hanging="2"/>
        <w:spacing w:after="0" w:line="218" w:lineRule="auto"/>
        <w:tabs>
          <w:tab w:leader="none" w:pos="1021" w:val="left"/>
        </w:tabs>
        <w:numPr>
          <w:ilvl w:val="1"/>
          <w:numId w:val="42"/>
        </w:numPr>
        <w:rPr>
          <w:rFonts w:ascii="Calibri" w:cs="Calibri" w:eastAsia="Calibri" w:hAnsi="Calibri"/>
          <w:sz w:val="18"/>
          <w:szCs w:val="18"/>
          <w:color w:val="auto"/>
        </w:rPr>
      </w:pPr>
      <w:r>
        <w:rPr>
          <w:rFonts w:ascii="Calibri" w:cs="Calibri" w:eastAsia="Calibri" w:hAnsi="Calibri"/>
          <w:sz w:val="20"/>
          <w:szCs w:val="20"/>
          <w:color w:val="auto"/>
        </w:rPr>
        <w:t>Notwithstanding anything herein to the contrary, the Company must recover Erroneously Awarded Compensaton from any Applicable Executve pursuant to the terms of this Policy except to the extent that both (1) the Commitee determines that such recovery would be impractcable, and (2) one of the following conditons is met:</w:t>
      </w:r>
    </w:p>
    <w:p>
      <w:pPr>
        <w:spacing w:after="0" w:line="198" w:lineRule="exact"/>
        <w:rPr>
          <w:rFonts w:ascii="Calibri" w:cs="Calibri" w:eastAsia="Calibri" w:hAnsi="Calibri"/>
          <w:sz w:val="18"/>
          <w:szCs w:val="18"/>
          <w:color w:val="auto"/>
        </w:rPr>
      </w:pPr>
    </w:p>
    <w:p>
      <w:pPr>
        <w:jc w:val="both"/>
        <w:ind w:left="1293" w:right="80" w:firstLine="3"/>
        <w:spacing w:after="0" w:line="215" w:lineRule="auto"/>
        <w:tabs>
          <w:tab w:leader="none" w:pos="1669" w:val="left"/>
        </w:tabs>
        <w:numPr>
          <w:ilvl w:val="2"/>
          <w:numId w:val="42"/>
        </w:numPr>
        <w:rPr>
          <w:rFonts w:ascii="Calibri" w:cs="Calibri" w:eastAsia="Calibri" w:hAnsi="Calibri"/>
          <w:sz w:val="18"/>
          <w:szCs w:val="18"/>
          <w:color w:val="auto"/>
        </w:rPr>
      </w:pPr>
      <w:r>
        <w:rPr>
          <w:rFonts w:ascii="Calibri" w:cs="Calibri" w:eastAsia="Calibri" w:hAnsi="Calibri"/>
          <w:sz w:val="20"/>
          <w:szCs w:val="20"/>
          <w:color w:val="auto"/>
        </w:rPr>
        <w:t>the direct expenses paid to a third party to assist in enforcing this Policy would exceed the amount to be recovered, provided that, before concluding that it would be impractcable to recover any amount of Erroneously Awarded Compensaton based on expense of enforcement pursuant to this clause (i), the Company has (x) made a reasonable atempt to recover such Erroneously Awarded Compensaton, (y) documented such reasonable atempt(s) to recover, and (z) provided such documentaton to Nasdaq;</w:t>
      </w:r>
    </w:p>
    <w:p>
      <w:pPr>
        <w:spacing w:after="0" w:line="202" w:lineRule="exact"/>
        <w:rPr>
          <w:rFonts w:ascii="Calibri" w:cs="Calibri" w:eastAsia="Calibri" w:hAnsi="Calibri"/>
          <w:sz w:val="18"/>
          <w:szCs w:val="18"/>
          <w:color w:val="auto"/>
        </w:rPr>
      </w:pPr>
    </w:p>
    <w:p>
      <w:pPr>
        <w:jc w:val="both"/>
        <w:ind w:left="1293" w:right="80" w:firstLine="3"/>
        <w:spacing w:after="0" w:line="215" w:lineRule="auto"/>
        <w:tabs>
          <w:tab w:leader="none" w:pos="1669" w:val="left"/>
        </w:tabs>
        <w:numPr>
          <w:ilvl w:val="2"/>
          <w:numId w:val="42"/>
        </w:numPr>
        <w:rPr>
          <w:rFonts w:ascii="Calibri" w:cs="Calibri" w:eastAsia="Calibri" w:hAnsi="Calibri"/>
          <w:sz w:val="18"/>
          <w:szCs w:val="18"/>
          <w:color w:val="auto"/>
        </w:rPr>
      </w:pPr>
      <w:r>
        <w:rPr>
          <w:rFonts w:ascii="Calibri" w:cs="Calibri" w:eastAsia="Calibri" w:hAnsi="Calibri"/>
          <w:sz w:val="20"/>
          <w:szCs w:val="20"/>
          <w:color w:val="auto"/>
        </w:rPr>
        <w:t>recovery would violate home country law where that law was adopted prior to November 28, 2022, provided that, before determining that it would be impractcable to recover any amount of Erroneously Awarded Compensaton based on violaton of home country law, the Company has obtained an opinion of home country counsel, acceptable to Nasdaq, that recovery would result in such a violaton, has provided copy of the opinion is provided to Nasdaq; or</w:t>
      </w:r>
    </w:p>
    <w:p>
      <w:pPr>
        <w:spacing w:after="0" w:line="202" w:lineRule="exact"/>
        <w:rPr>
          <w:rFonts w:ascii="Calibri" w:cs="Calibri" w:eastAsia="Calibri" w:hAnsi="Calibri"/>
          <w:sz w:val="18"/>
          <w:szCs w:val="18"/>
          <w:color w:val="auto"/>
        </w:rPr>
      </w:pPr>
    </w:p>
    <w:p>
      <w:pPr>
        <w:jc w:val="both"/>
        <w:ind w:left="1293" w:right="80" w:firstLine="3"/>
        <w:spacing w:after="0" w:line="218" w:lineRule="auto"/>
        <w:tabs>
          <w:tab w:leader="none" w:pos="1669" w:val="left"/>
        </w:tabs>
        <w:numPr>
          <w:ilvl w:val="2"/>
          <w:numId w:val="42"/>
        </w:numPr>
        <w:rPr>
          <w:rFonts w:ascii="Calibri" w:cs="Calibri" w:eastAsia="Calibri" w:hAnsi="Calibri"/>
          <w:sz w:val="18"/>
          <w:szCs w:val="18"/>
          <w:color w:val="auto"/>
        </w:rPr>
      </w:pPr>
      <w:r>
        <w:rPr>
          <w:rFonts w:ascii="Calibri" w:cs="Calibri" w:eastAsia="Calibri" w:hAnsi="Calibri"/>
          <w:sz w:val="20"/>
          <w:szCs w:val="20"/>
          <w:color w:val="auto"/>
        </w:rPr>
        <w:t>recovery would likely cause an otherwise tax-qualifed retrement plan, under which benefts are broadly available to employees of the Company or the Company Group, to fail to meet the requirements of 26 U.S.C. 401(a) (13) or 26 U.S.C. 411(a) and regulatons thereunder.</w:t>
      </w:r>
    </w:p>
    <w:p>
      <w:pPr>
        <w:spacing w:after="0" w:line="198" w:lineRule="exact"/>
        <w:rPr>
          <w:rFonts w:ascii="Calibri" w:cs="Calibri" w:eastAsia="Calibri" w:hAnsi="Calibri"/>
          <w:sz w:val="18"/>
          <w:szCs w:val="18"/>
          <w:color w:val="auto"/>
        </w:rPr>
      </w:pPr>
    </w:p>
    <w:p>
      <w:pPr>
        <w:jc w:val="both"/>
        <w:ind w:left="-7" w:firstLine="7"/>
        <w:spacing w:after="0" w:line="216" w:lineRule="auto"/>
        <w:tabs>
          <w:tab w:leader="none" w:pos="372" w:val="left"/>
        </w:tabs>
        <w:numPr>
          <w:ilvl w:val="0"/>
          <w:numId w:val="43"/>
        </w:numPr>
        <w:rPr>
          <w:rFonts w:ascii="Calibri" w:cs="Calibri" w:eastAsia="Calibri" w:hAnsi="Calibri"/>
          <w:sz w:val="18"/>
          <w:szCs w:val="18"/>
          <w:b w:val="1"/>
          <w:bCs w:val="1"/>
          <w:color w:val="auto"/>
        </w:rPr>
      </w:pPr>
      <w:r>
        <w:rPr>
          <w:rFonts w:ascii="Calibri" w:cs="Calibri" w:eastAsia="Calibri" w:hAnsi="Calibri"/>
          <w:sz w:val="20"/>
          <w:szCs w:val="20"/>
          <w:b w:val="1"/>
          <w:bCs w:val="1"/>
          <w:color w:val="auto"/>
        </w:rPr>
        <w:t xml:space="preserve">No Indemnifcaton, Etc. </w:t>
      </w:r>
      <w:r>
        <w:rPr>
          <w:rFonts w:ascii="Calibri" w:cs="Calibri" w:eastAsia="Calibri" w:hAnsi="Calibri"/>
          <w:sz w:val="20"/>
          <w:szCs w:val="20"/>
          <w:color w:val="auto"/>
        </w:rPr>
        <w:t>The Company Group shall not (x) indemnify any current or former Executve Ofcer against (i) the loss</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of any Erroneously Awarded Compensaton that is repaid, returned or recovered pursuant to the terms of this Policy, or (ii) any claims relatng to the Company Group’s enforcement of its rights under this Policy, or (y) pay or reimburse any current or former Executve Ofcers for insurance premiums to recover losses incurred under this Policy.</w:t>
      </w:r>
    </w:p>
    <w:p>
      <w:pPr>
        <w:spacing w:after="0" w:line="201" w:lineRule="exact"/>
        <w:rPr>
          <w:rFonts w:ascii="Calibri" w:cs="Calibri" w:eastAsia="Calibri" w:hAnsi="Calibri"/>
          <w:sz w:val="18"/>
          <w:szCs w:val="18"/>
          <w:b w:val="1"/>
          <w:bCs w:val="1"/>
          <w:color w:val="auto"/>
        </w:rPr>
      </w:pPr>
    </w:p>
    <w:p>
      <w:pPr>
        <w:jc w:val="both"/>
        <w:ind w:left="-7" w:firstLine="7"/>
        <w:spacing w:after="0" w:line="215" w:lineRule="auto"/>
        <w:tabs>
          <w:tab w:leader="none" w:pos="372" w:val="left"/>
        </w:tabs>
        <w:numPr>
          <w:ilvl w:val="0"/>
          <w:numId w:val="43"/>
        </w:numPr>
        <w:rPr>
          <w:rFonts w:ascii="Calibri" w:cs="Calibri" w:eastAsia="Calibri" w:hAnsi="Calibri"/>
          <w:sz w:val="18"/>
          <w:szCs w:val="18"/>
          <w:b w:val="1"/>
          <w:bCs w:val="1"/>
          <w:color w:val="auto"/>
        </w:rPr>
      </w:pPr>
      <w:r>
        <w:rPr>
          <w:rFonts w:ascii="Calibri" w:cs="Calibri" w:eastAsia="Calibri" w:hAnsi="Calibri"/>
          <w:sz w:val="20"/>
          <w:szCs w:val="20"/>
          <w:b w:val="1"/>
          <w:bCs w:val="1"/>
          <w:color w:val="auto"/>
        </w:rPr>
        <w:t xml:space="preserve">Supersedure. </w:t>
      </w:r>
      <w:r>
        <w:rPr>
          <w:rFonts w:ascii="Calibri" w:cs="Calibri" w:eastAsia="Calibri" w:hAnsi="Calibri"/>
          <w:sz w:val="20"/>
          <w:szCs w:val="20"/>
          <w:color w:val="auto"/>
        </w:rPr>
        <w:t>This Policy will supersede any provisions in (x) any agreement, plan or other arrangement applicable to any</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 xml:space="preserve">member of the Company Group, and (y) any organizatonal documents of any entty that is part of Company Group that, in any such case, (a) exempt any Incentve-Based Compensaton from the applicaton of this Policy, (b) waive or otherwise prohibit or restricts the Company Group’s right to recover any Erroneously Awarded Compensaton, including, without limitaton, in connecton with exercising any right of setof as provided herein, and/or (c) require or provide for indemnifcaton to the extent that such indemnifcaton is prohibited under </w:t>
      </w:r>
      <w:r>
        <w:rPr>
          <w:rFonts w:ascii="Calibri" w:cs="Calibri" w:eastAsia="Calibri" w:hAnsi="Calibri"/>
          <w:sz w:val="20"/>
          <w:szCs w:val="20"/>
          <w:u w:val="single" w:color="auto"/>
          <w:color w:val="auto"/>
        </w:rPr>
        <w:t>Secton 5</w:t>
      </w:r>
      <w:r>
        <w:rPr>
          <w:rFonts w:ascii="Calibri" w:cs="Calibri" w:eastAsia="Calibri" w:hAnsi="Calibri"/>
          <w:sz w:val="20"/>
          <w:szCs w:val="20"/>
          <w:color w:val="auto"/>
        </w:rPr>
        <w:t xml:space="preserve"> above.</w:t>
      </w:r>
    </w:p>
    <w:p>
      <w:pPr>
        <w:spacing w:after="0" w:line="199" w:lineRule="exact"/>
        <w:rPr>
          <w:rFonts w:ascii="Calibri" w:cs="Calibri" w:eastAsia="Calibri" w:hAnsi="Calibri"/>
          <w:sz w:val="18"/>
          <w:szCs w:val="18"/>
          <w:b w:val="1"/>
          <w:bCs w:val="1"/>
          <w:color w:val="auto"/>
        </w:rPr>
      </w:pPr>
    </w:p>
    <w:p>
      <w:pPr>
        <w:jc w:val="both"/>
        <w:ind w:left="-7" w:firstLine="7"/>
        <w:spacing w:after="0" w:line="214" w:lineRule="auto"/>
        <w:tabs>
          <w:tab w:leader="none" w:pos="372" w:val="left"/>
        </w:tabs>
        <w:numPr>
          <w:ilvl w:val="0"/>
          <w:numId w:val="43"/>
        </w:numPr>
        <w:rPr>
          <w:rFonts w:ascii="Calibri" w:cs="Calibri" w:eastAsia="Calibri" w:hAnsi="Calibri"/>
          <w:sz w:val="18"/>
          <w:szCs w:val="18"/>
          <w:b w:val="1"/>
          <w:bCs w:val="1"/>
          <w:color w:val="auto"/>
        </w:rPr>
      </w:pPr>
      <w:r>
        <w:rPr>
          <w:rFonts w:ascii="Calibri" w:cs="Calibri" w:eastAsia="Calibri" w:hAnsi="Calibri"/>
          <w:sz w:val="20"/>
          <w:szCs w:val="20"/>
          <w:b w:val="1"/>
          <w:bCs w:val="1"/>
          <w:color w:val="auto"/>
        </w:rPr>
        <w:t xml:space="preserve">Amendment; Terminaton; Interpretaton. </w:t>
      </w:r>
      <w:r>
        <w:rPr>
          <w:rFonts w:ascii="Calibri" w:cs="Calibri" w:eastAsia="Calibri" w:hAnsi="Calibri"/>
          <w:sz w:val="20"/>
          <w:szCs w:val="20"/>
          <w:color w:val="auto"/>
        </w:rPr>
        <w:t>The Commitee may amend or terminate this Policy at any tme, subject to</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compliance with all applicable legal requirements and the rules and requirements of Nasdaq. It is intended that this Policy be interpreted in a manner that is consistent with the SEC/Nasdaq Clawback Rules. This Policy is separate from, and in additon to, any other compensaton recovery or recoupment policy of the Company or any applicable provisions of plans, agreements, awards or other arrangements of the Company that provide for the recoupment or recovery of compensaton from Executve Ofcers that is voluntarily adopted by the Company and intended to provide for discretonary recoupment beyond the scope of this Policy and the SEC/Nasdaq Clawback Rules.</w:t>
      </w:r>
    </w:p>
    <w:p>
      <w:pPr>
        <w:sectPr>
          <w:pgSz w:w="11900" w:h="16838" w:orient="portrait"/>
          <w:cols w:equalWidth="0" w:num="1">
            <w:col w:w="10913"/>
          </w:cols>
          <w:pgMar w:left="587" w:top="1440" w:right="399" w:bottom="1440" w:gutter="0" w:footer="0" w:header="0"/>
        </w:sectPr>
      </w:pPr>
    </w:p>
    <w:bookmarkStart w:id="99" w:name="page100"/>
    <w:bookmarkEnd w:id="99"/>
    <w:p>
      <w:pPr>
        <w:spacing w:after="0" w:line="164" w:lineRule="exact"/>
        <w:rPr>
          <w:sz w:val="20"/>
          <w:szCs w:val="20"/>
          <w:color w:val="auto"/>
        </w:rPr>
      </w:pPr>
    </w:p>
    <w:p>
      <w:pPr>
        <w:ind w:left="373" w:hanging="373"/>
        <w:spacing w:after="0"/>
        <w:tabs>
          <w:tab w:leader="none" w:pos="373" w:val="left"/>
        </w:tabs>
        <w:numPr>
          <w:ilvl w:val="0"/>
          <w:numId w:val="44"/>
        </w:numPr>
        <w:rPr>
          <w:rFonts w:ascii="Calibri" w:cs="Calibri" w:eastAsia="Calibri" w:hAnsi="Calibri"/>
          <w:sz w:val="18"/>
          <w:szCs w:val="18"/>
          <w:b w:val="1"/>
          <w:bCs w:val="1"/>
          <w:color w:val="auto"/>
        </w:rPr>
      </w:pPr>
      <w:r>
        <w:rPr>
          <w:rFonts w:ascii="Calibri" w:cs="Calibri" w:eastAsia="Calibri" w:hAnsi="Calibri"/>
          <w:sz w:val="20"/>
          <w:szCs w:val="20"/>
          <w:b w:val="1"/>
          <w:bCs w:val="1"/>
          <w:color w:val="auto"/>
        </w:rPr>
        <w:t>Other Recoupment Rights; No Additonal Payments.</w:t>
      </w:r>
    </w:p>
    <w:p>
      <w:pPr>
        <w:spacing w:after="0" w:line="197" w:lineRule="exact"/>
        <w:rPr>
          <w:rFonts w:ascii="Calibri" w:cs="Calibri" w:eastAsia="Calibri" w:hAnsi="Calibri"/>
          <w:sz w:val="18"/>
          <w:szCs w:val="18"/>
          <w:b w:val="1"/>
          <w:bCs w:val="1"/>
          <w:color w:val="auto"/>
        </w:rPr>
      </w:pPr>
    </w:p>
    <w:p>
      <w:pPr>
        <w:jc w:val="both"/>
        <w:ind w:left="593" w:hanging="10"/>
        <w:spacing w:after="0" w:line="218" w:lineRule="auto"/>
        <w:tabs>
          <w:tab w:leader="none" w:pos="1014" w:val="left"/>
        </w:tabs>
        <w:numPr>
          <w:ilvl w:val="1"/>
          <w:numId w:val="44"/>
        </w:numPr>
        <w:rPr>
          <w:rFonts w:ascii="Calibri" w:cs="Calibri" w:eastAsia="Calibri" w:hAnsi="Calibri"/>
          <w:sz w:val="20"/>
          <w:szCs w:val="20"/>
          <w:color w:val="auto"/>
        </w:rPr>
      </w:pPr>
      <w:r>
        <w:rPr>
          <w:rFonts w:ascii="Calibri" w:cs="Calibri" w:eastAsia="Calibri" w:hAnsi="Calibri"/>
          <w:sz w:val="20"/>
          <w:szCs w:val="20"/>
          <w:color w:val="auto"/>
        </w:rPr>
        <w:t xml:space="preserve">Subject to </w:t>
      </w:r>
      <w:r>
        <w:rPr>
          <w:rFonts w:ascii="Calibri" w:cs="Calibri" w:eastAsia="Calibri" w:hAnsi="Calibri"/>
          <w:sz w:val="20"/>
          <w:szCs w:val="20"/>
          <w:u w:val="single" w:color="auto"/>
          <w:color w:val="auto"/>
        </w:rPr>
        <w:t>Secton 8(b)</w:t>
      </w:r>
      <w:r>
        <w:rPr>
          <w:rFonts w:ascii="Calibri" w:cs="Calibri" w:eastAsia="Calibri" w:hAnsi="Calibri"/>
          <w:sz w:val="20"/>
          <w:szCs w:val="20"/>
          <w:color w:val="auto"/>
        </w:rPr>
        <w:t xml:space="preserve"> of this Policy below, any right of recoupment under this Policy is in additon to, and not in lieu of, any other remedies or rights of recoupment that may be available to the Company Group pursuant to (i) the terms of any recoupment provisions in any employment agreement, incentve or equity compensaton plan or award or other agreement,</w:t>
      </w:r>
    </w:p>
    <w:p>
      <w:pPr>
        <w:spacing w:after="0" w:line="1" w:lineRule="exact"/>
        <w:rPr>
          <w:rFonts w:ascii="Calibri" w:cs="Calibri" w:eastAsia="Calibri" w:hAnsi="Calibri"/>
          <w:sz w:val="20"/>
          <w:szCs w:val="20"/>
          <w:color w:val="auto"/>
        </w:rPr>
      </w:pPr>
    </w:p>
    <w:p>
      <w:pPr>
        <w:ind w:left="593" w:hanging="10"/>
        <w:spacing w:after="0" w:line="212" w:lineRule="auto"/>
        <w:tabs>
          <w:tab w:leader="none" w:pos="867" w:val="left"/>
        </w:tabs>
        <w:numPr>
          <w:ilvl w:val="1"/>
          <w:numId w:val="45"/>
        </w:numPr>
        <w:rPr>
          <w:rFonts w:ascii="Calibri" w:cs="Calibri" w:eastAsia="Calibri" w:hAnsi="Calibri"/>
          <w:sz w:val="20"/>
          <w:szCs w:val="20"/>
          <w:color w:val="auto"/>
        </w:rPr>
      </w:pPr>
      <w:r>
        <w:rPr>
          <w:rFonts w:ascii="Calibri" w:cs="Calibri" w:eastAsia="Calibri" w:hAnsi="Calibri"/>
          <w:sz w:val="20"/>
          <w:szCs w:val="20"/>
          <w:color w:val="auto"/>
        </w:rPr>
        <w:t>any other legal requirements, including, but not limited to, Secton 304 of Sarbanes-Oxley Act of 2002, and (iii) any other legal rights or remedies available to the Company.</w:t>
      </w:r>
    </w:p>
    <w:p>
      <w:pPr>
        <w:spacing w:after="0" w:line="188" w:lineRule="exact"/>
        <w:rPr>
          <w:rFonts w:ascii="Calibri" w:cs="Calibri" w:eastAsia="Calibri" w:hAnsi="Calibri"/>
          <w:sz w:val="20"/>
          <w:szCs w:val="20"/>
          <w:color w:val="auto"/>
        </w:rPr>
      </w:pPr>
    </w:p>
    <w:p>
      <w:pPr>
        <w:ind w:left="993" w:hanging="410"/>
        <w:spacing w:after="0"/>
        <w:tabs>
          <w:tab w:leader="none" w:pos="993" w:val="left"/>
        </w:tabs>
        <w:numPr>
          <w:ilvl w:val="1"/>
          <w:numId w:val="46"/>
        </w:numPr>
        <w:rPr>
          <w:rFonts w:ascii="Calibri" w:cs="Calibri" w:eastAsia="Calibri" w:hAnsi="Calibri"/>
          <w:sz w:val="20"/>
          <w:szCs w:val="20"/>
          <w:color w:val="auto"/>
        </w:rPr>
      </w:pPr>
      <w:r>
        <w:rPr>
          <w:rFonts w:ascii="Calibri" w:cs="Calibri" w:eastAsia="Calibri" w:hAnsi="Calibri"/>
          <w:sz w:val="20"/>
          <w:szCs w:val="20"/>
          <w:color w:val="auto"/>
        </w:rPr>
        <w:t>Notwithstanding anything herein to the contrary, to prevent duplicatve recovery:</w:t>
      </w:r>
    </w:p>
    <w:p>
      <w:pPr>
        <w:spacing w:after="0" w:line="197" w:lineRule="exact"/>
        <w:rPr>
          <w:rFonts w:ascii="Calibri" w:cs="Calibri" w:eastAsia="Calibri" w:hAnsi="Calibri"/>
          <w:sz w:val="20"/>
          <w:szCs w:val="20"/>
          <w:color w:val="auto"/>
        </w:rPr>
      </w:pPr>
    </w:p>
    <w:p>
      <w:pPr>
        <w:jc w:val="both"/>
        <w:ind w:left="1293" w:right="140" w:firstLine="3"/>
        <w:spacing w:after="0" w:line="215" w:lineRule="auto"/>
        <w:tabs>
          <w:tab w:leader="none" w:pos="1669" w:val="left"/>
        </w:tabs>
        <w:numPr>
          <w:ilvl w:val="2"/>
          <w:numId w:val="46"/>
        </w:numPr>
        <w:rPr>
          <w:rFonts w:ascii="Calibri" w:cs="Calibri" w:eastAsia="Calibri" w:hAnsi="Calibri"/>
          <w:sz w:val="18"/>
          <w:szCs w:val="18"/>
          <w:color w:val="auto"/>
        </w:rPr>
      </w:pPr>
      <w:r>
        <w:rPr>
          <w:rFonts w:ascii="Calibri" w:cs="Calibri" w:eastAsia="Calibri" w:hAnsi="Calibri"/>
          <w:sz w:val="20"/>
          <w:szCs w:val="20"/>
          <w:color w:val="auto"/>
        </w:rPr>
        <w:t>to the extent that the amount of any Erroneously Awarded Compensaton is recovered from any current or former Executve Ofcers under this Policy, the Company will not be enttled to recover any such amounts under any other compensaton recovery or recoupment policy of the Company or any applicable provisions of plans, agreements, awards or other arrangements of the Company that provide for the recoupment or recovery of compensaton from Executve Ofcers; and</w:t>
      </w:r>
    </w:p>
    <w:p>
      <w:pPr>
        <w:spacing w:after="0" w:line="202" w:lineRule="exact"/>
        <w:rPr>
          <w:rFonts w:ascii="Calibri" w:cs="Calibri" w:eastAsia="Calibri" w:hAnsi="Calibri"/>
          <w:sz w:val="18"/>
          <w:szCs w:val="18"/>
          <w:color w:val="auto"/>
        </w:rPr>
      </w:pPr>
    </w:p>
    <w:p>
      <w:pPr>
        <w:jc w:val="both"/>
        <w:ind w:left="1293" w:right="140" w:firstLine="3"/>
        <w:spacing w:after="0" w:line="215" w:lineRule="auto"/>
        <w:tabs>
          <w:tab w:leader="none" w:pos="1669" w:val="left"/>
        </w:tabs>
        <w:numPr>
          <w:ilvl w:val="2"/>
          <w:numId w:val="46"/>
        </w:numPr>
        <w:rPr>
          <w:rFonts w:ascii="Calibri" w:cs="Calibri" w:eastAsia="Calibri" w:hAnsi="Calibri"/>
          <w:sz w:val="18"/>
          <w:szCs w:val="18"/>
          <w:color w:val="auto"/>
        </w:rPr>
      </w:pPr>
      <w:r>
        <w:rPr>
          <w:rFonts w:ascii="Calibri" w:cs="Calibri" w:eastAsia="Calibri" w:hAnsi="Calibri"/>
          <w:sz w:val="20"/>
          <w:szCs w:val="20"/>
          <w:color w:val="auto"/>
        </w:rPr>
        <w:t>to the extent that any Erroneously Awarded Compensaton includes any amounts that have been actually reimbursed to the Company Group from any Applicable Executve pursuant to Secton 304 of the Sarbanes-Oxley Act (any such amounts that have been reimbursed to the Company Group, the “</w:t>
      </w:r>
      <w:r>
        <w:rPr>
          <w:rFonts w:ascii="Calibri" w:cs="Calibri" w:eastAsia="Calibri" w:hAnsi="Calibri"/>
          <w:sz w:val="20"/>
          <w:szCs w:val="20"/>
          <w:u w:val="single" w:color="auto"/>
          <w:color w:val="auto"/>
        </w:rPr>
        <w:t>Applicable SOX Recoupment Amount</w:t>
      </w:r>
      <w:r>
        <w:rPr>
          <w:rFonts w:ascii="Calibri" w:cs="Calibri" w:eastAsia="Calibri" w:hAnsi="Calibri"/>
          <w:sz w:val="20"/>
          <w:szCs w:val="20"/>
          <w:color w:val="auto"/>
        </w:rPr>
        <w:t>”), the amount of any Erroneously Awarded Compensaton to be recovered from any such Applicable Executve shall be reduced by the Applicable SOX Recoupment Amount.</w:t>
      </w:r>
    </w:p>
    <w:p>
      <w:pPr>
        <w:spacing w:after="0" w:line="202" w:lineRule="exact"/>
        <w:rPr>
          <w:rFonts w:ascii="Calibri" w:cs="Calibri" w:eastAsia="Calibri" w:hAnsi="Calibri"/>
          <w:sz w:val="18"/>
          <w:szCs w:val="18"/>
          <w:color w:val="auto"/>
        </w:rPr>
      </w:pPr>
    </w:p>
    <w:p>
      <w:pPr>
        <w:ind w:left="-7" w:right="80" w:firstLine="7"/>
        <w:spacing w:after="0" w:line="221" w:lineRule="auto"/>
        <w:tabs>
          <w:tab w:leader="none" w:pos="372" w:val="left"/>
        </w:tabs>
        <w:numPr>
          <w:ilvl w:val="0"/>
          <w:numId w:val="47"/>
        </w:numPr>
        <w:rPr>
          <w:rFonts w:ascii="Calibri" w:cs="Calibri" w:eastAsia="Calibri" w:hAnsi="Calibri"/>
          <w:sz w:val="18"/>
          <w:szCs w:val="18"/>
          <w:b w:val="1"/>
          <w:bCs w:val="1"/>
          <w:color w:val="auto"/>
        </w:rPr>
      </w:pPr>
      <w:r>
        <w:rPr>
          <w:rFonts w:ascii="Calibri" w:cs="Calibri" w:eastAsia="Calibri" w:hAnsi="Calibri"/>
          <w:sz w:val="20"/>
          <w:szCs w:val="20"/>
          <w:b w:val="1"/>
          <w:bCs w:val="1"/>
          <w:color w:val="auto"/>
        </w:rPr>
        <w:t xml:space="preserve">Successors. </w:t>
      </w:r>
      <w:r>
        <w:rPr>
          <w:rFonts w:ascii="Calibri" w:cs="Calibri" w:eastAsia="Calibri" w:hAnsi="Calibri"/>
          <w:sz w:val="20"/>
          <w:szCs w:val="20"/>
          <w:color w:val="auto"/>
        </w:rPr>
        <w:t>This Policy shall be binding and enforceable against all current and former Executve Ofcers and their benefciaries,</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heirs, executors, administrators or other legal representatves.</w:t>
      </w:r>
    </w:p>
    <w:sectPr>
      <w:pgSz w:w="11900" w:h="16838" w:orient="portrait"/>
      <w:cols w:equalWidth="0" w:num="1">
        <w:col w:w="10973"/>
      </w:cols>
      <w:pgMar w:left="587"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A2A8D4"/>
    <w:multiLevelType w:val="hybridMultilevel"/>
    <w:lvl w:ilvl="0">
      <w:lvlJc w:val="left"/>
      <w:lvlText w:val="•"/>
      <w:numFmt w:val="bullet"/>
      <w:start w:val="1"/>
    </w:lvl>
  </w:abstractNum>
  <w:abstractNum w:abstractNumId="1">
    <w:nsid w:val="8EDBDAB"/>
    <w:multiLevelType w:val="hybridMultilevel"/>
    <w:lvl w:ilvl="0">
      <w:lvlJc w:val="left"/>
      <w:lvlText w:val="•"/>
      <w:numFmt w:val="bullet"/>
      <w:start w:val="1"/>
    </w:lvl>
  </w:abstractNum>
  <w:abstractNum w:abstractNumId="2">
    <w:nsid w:val="79838CB2"/>
    <w:multiLevelType w:val="hybridMultilevel"/>
    <w:lvl w:ilvl="0">
      <w:lvlJc w:val="left"/>
      <w:lvlText w:val="•"/>
      <w:numFmt w:val="bullet"/>
      <w:start w:val="1"/>
    </w:lvl>
  </w:abstractNum>
  <w:abstractNum w:abstractNumId="3">
    <w:nsid w:val="4353D0CD"/>
    <w:multiLevelType w:val="hybridMultilevel"/>
    <w:lvl w:ilvl="0">
      <w:lvlJc w:val="left"/>
      <w:lvlText w:val="•"/>
      <w:numFmt w:val="bullet"/>
      <w:start w:val="1"/>
    </w:lvl>
  </w:abstractNum>
  <w:abstractNum w:abstractNumId="4">
    <w:nsid w:val="B03E0C6"/>
    <w:multiLevelType w:val="hybridMultilevel"/>
    <w:lvl w:ilvl="0">
      <w:lvlJc w:val="left"/>
      <w:lvlText w:val="(%1)"/>
      <w:numFmt w:val="decimal"/>
      <w:start w:val="1"/>
    </w:lvl>
  </w:abstractNum>
  <w:abstractNum w:abstractNumId="5">
    <w:nsid w:val="189A769B"/>
    <w:multiLevelType w:val="hybridMultilevel"/>
    <w:lvl w:ilvl="0">
      <w:lvlJc w:val="left"/>
      <w:lvlText w:val="(%1)"/>
      <w:numFmt w:val="decimal"/>
      <w:start w:val="1"/>
    </w:lvl>
  </w:abstractNum>
  <w:abstractNum w:abstractNumId="6">
    <w:nsid w:val="54E49EB4"/>
    <w:multiLevelType w:val="hybridMultilevel"/>
    <w:lvl w:ilvl="0">
      <w:lvlJc w:val="left"/>
      <w:lvlText w:val="(%1)"/>
      <w:numFmt w:val="decimal"/>
      <w:start w:val="1"/>
    </w:lvl>
  </w:abstractNum>
  <w:abstractNum w:abstractNumId="7">
    <w:nsid w:val="71F32454"/>
    <w:multiLevelType w:val="hybridMultilevel"/>
    <w:lvl w:ilvl="0">
      <w:lvlJc w:val="left"/>
      <w:lvlText w:val="(%1)"/>
      <w:numFmt w:val="decimal"/>
      <w:start w:val="1"/>
    </w:lvl>
  </w:abstractNum>
  <w:abstractNum w:abstractNumId="8">
    <w:nsid w:val="2CA88611"/>
    <w:multiLevelType w:val="hybridMultilevel"/>
    <w:lvl w:ilvl="0">
      <w:lvlJc w:val="left"/>
      <w:lvlText w:val="(%1)"/>
      <w:numFmt w:val="decimal"/>
      <w:start w:val="1"/>
    </w:lvl>
  </w:abstractNum>
  <w:abstractNum w:abstractNumId="9">
    <w:nsid w:val="836C40E"/>
    <w:multiLevelType w:val="hybridMultilevel"/>
    <w:lvl w:ilvl="0">
      <w:lvlJc w:val="left"/>
      <w:lvlText w:val="(%1)"/>
      <w:numFmt w:val="decimal"/>
      <w:start w:val="1"/>
    </w:lvl>
  </w:abstractNum>
  <w:abstractNum w:abstractNumId="10">
    <w:nsid w:val="2901D82"/>
    <w:multiLevelType w:val="hybridMultilevel"/>
    <w:lvl w:ilvl="0">
      <w:lvlJc w:val="left"/>
      <w:lvlText w:val="(%1)"/>
      <w:numFmt w:val="decimal"/>
      <w:start w:val="1"/>
    </w:lvl>
  </w:abstractNum>
  <w:abstractNum w:abstractNumId="11">
    <w:nsid w:val="3A95F874"/>
    <w:multiLevelType w:val="hybridMultilevel"/>
    <w:lvl w:ilvl="0">
      <w:lvlJc w:val="left"/>
      <w:lvlText w:val="(%1)"/>
      <w:numFmt w:val="decimal"/>
      <w:start w:val="1"/>
    </w:lvl>
  </w:abstractNum>
  <w:abstractNum w:abstractNumId="12">
    <w:nsid w:val="8138641"/>
    <w:multiLevelType w:val="hybridMultilevel"/>
    <w:lvl w:ilvl="0">
      <w:lvlJc w:val="left"/>
      <w:lvlText w:val="•"/>
      <w:numFmt w:val="bullet"/>
      <w:start w:val="1"/>
    </w:lvl>
  </w:abstractNum>
  <w:abstractNum w:abstractNumId="13">
    <w:nsid w:val="1E7FF521"/>
    <w:multiLevelType w:val="hybridMultilevel"/>
    <w:lvl w:ilvl="0">
      <w:lvlJc w:val="left"/>
      <w:lvlText w:val="\endash "/>
      <w:numFmt w:val="bullet"/>
      <w:start w:val="1"/>
    </w:lvl>
  </w:abstractNum>
  <w:abstractNum w:abstractNumId="14">
    <w:nsid w:val="7C3DBD3D"/>
    <w:multiLevelType w:val="hybridMultilevel"/>
    <w:lvl w:ilvl="0">
      <w:lvlJc w:val="left"/>
      <w:lvlText w:val="(%1)"/>
      <w:numFmt w:val="decimal"/>
      <w:start w:val="1"/>
    </w:lvl>
  </w:abstractNum>
  <w:abstractNum w:abstractNumId="15">
    <w:nsid w:val="737B8DDC"/>
    <w:multiLevelType w:val="hybridMultilevel"/>
    <w:lvl w:ilvl="0">
      <w:lvlJc w:val="left"/>
      <w:lvlText w:val="(%1)"/>
      <w:numFmt w:val="decimal"/>
      <w:start w:val="1"/>
    </w:lvl>
  </w:abstractNum>
  <w:abstractNum w:abstractNumId="16">
    <w:nsid w:val="6CEAF087"/>
    <w:multiLevelType w:val="hybridMultilevel"/>
    <w:lvl w:ilvl="0">
      <w:lvlJc w:val="left"/>
      <w:lvlText w:val="(%1)"/>
      <w:numFmt w:val="decimal"/>
      <w:start w:val="1"/>
    </w:lvl>
  </w:abstractNum>
  <w:abstractNum w:abstractNumId="17">
    <w:nsid w:val="22221A70"/>
    <w:multiLevelType w:val="hybridMultilevel"/>
    <w:lvl w:ilvl="0">
      <w:lvlJc w:val="left"/>
      <w:lvlText w:val="(%1)"/>
      <w:numFmt w:val="decimal"/>
      <w:start w:val="1"/>
    </w:lvl>
  </w:abstractNum>
  <w:abstractNum w:abstractNumId="18">
    <w:nsid w:val="4516DDE9"/>
    <w:multiLevelType w:val="hybridMultilevel"/>
    <w:lvl w:ilvl="0">
      <w:lvlJc w:val="left"/>
      <w:lvlText w:val="(%1)"/>
      <w:numFmt w:val="decimal"/>
      <w:start w:val="1"/>
    </w:lvl>
  </w:abstractNum>
  <w:abstractNum w:abstractNumId="19">
    <w:nsid w:val="3006C83E"/>
    <w:multiLevelType w:val="hybridMultilevel"/>
    <w:lvl w:ilvl="0">
      <w:lvlJc w:val="left"/>
      <w:lvlText w:val="(%1)"/>
      <w:numFmt w:val="decimal"/>
      <w:start w:val="1"/>
    </w:lvl>
  </w:abstractNum>
  <w:abstractNum w:abstractNumId="20">
    <w:nsid w:val="614FD4A1"/>
    <w:multiLevelType w:val="hybridMultilevel"/>
    <w:lvl w:ilvl="0">
      <w:lvlJc w:val="left"/>
      <w:lvlText w:val="•"/>
      <w:numFmt w:val="bullet"/>
      <w:start w:val="1"/>
    </w:lvl>
  </w:abstractNum>
  <w:abstractNum w:abstractNumId="21">
    <w:nsid w:val="419AC241"/>
    <w:multiLevelType w:val="hybridMultilevel"/>
    <w:lvl w:ilvl="0">
      <w:lvlJc w:val="left"/>
      <w:lvlText w:val="•"/>
      <w:numFmt w:val="bullet"/>
      <w:start w:val="1"/>
    </w:lvl>
  </w:abstractNum>
  <w:abstractNum w:abstractNumId="22">
    <w:nsid w:val="5577F8E1"/>
    <w:multiLevelType w:val="hybridMultilevel"/>
    <w:lvl w:ilvl="0">
      <w:lvlJc w:val="left"/>
      <w:lvlText w:val="%1."/>
      <w:numFmt w:val="lowerLetter"/>
      <w:start w:val="1"/>
    </w:lvl>
  </w:abstractNum>
  <w:abstractNum w:abstractNumId="23">
    <w:nsid w:val="440BADFC"/>
    <w:multiLevelType w:val="hybridMultilevel"/>
    <w:lvl w:ilvl="0">
      <w:lvlJc w:val="left"/>
      <w:lvlText w:val="(%1)"/>
      <w:numFmt w:val="decimal"/>
      <w:start w:val="1"/>
    </w:lvl>
  </w:abstractNum>
  <w:abstractNum w:abstractNumId="24">
    <w:nsid w:val="5072367"/>
    <w:multiLevelType w:val="hybridMultilevel"/>
    <w:lvl w:ilvl="0">
      <w:lvlJc w:val="left"/>
      <w:lvlText w:val="(%1)"/>
      <w:numFmt w:val="decimal"/>
      <w:start w:val="3"/>
    </w:lvl>
  </w:abstractNum>
  <w:abstractNum w:abstractNumId="25">
    <w:nsid w:val="3804823E"/>
    <w:multiLevelType w:val="hybridMultilevel"/>
    <w:lvl w:ilvl="0">
      <w:lvlJc w:val="left"/>
      <w:lvlText w:val="(%1)"/>
      <w:numFmt w:val="lowerLetter"/>
      <w:start w:val="1"/>
    </w:lvl>
  </w:abstractNum>
  <w:abstractNum w:abstractNumId="26">
    <w:nsid w:val="77465F01"/>
    <w:multiLevelType w:val="hybridMultilevel"/>
    <w:lvl w:ilvl="0">
      <w:lvlJc w:val="left"/>
      <w:lvlText w:val="(%1)"/>
      <w:numFmt w:val="decimal"/>
      <w:start w:val="3"/>
    </w:lvl>
  </w:abstractNum>
  <w:abstractNum w:abstractNumId="27">
    <w:nsid w:val="7724C67E"/>
    <w:multiLevelType w:val="hybridMultilevel"/>
    <w:lvl w:ilvl="0">
      <w:lvlJc w:val="left"/>
      <w:lvlText w:val="(%1)"/>
      <w:numFmt w:val="lowerLetter"/>
      <w:start w:val="2"/>
    </w:lvl>
  </w:abstractNum>
  <w:abstractNum w:abstractNumId="28">
    <w:nsid w:val="5C482A97"/>
    <w:multiLevelType w:val="hybridMultilevel"/>
    <w:lvl w:ilvl="0">
      <w:lvlJc w:val="left"/>
      <w:lvlText w:val="%1"/>
      <w:numFmt w:val="decimal"/>
      <w:start w:val="21"/>
    </w:lvl>
  </w:abstractNum>
  <w:abstractNum w:abstractNumId="29">
    <w:nsid w:val="2463B9EA"/>
    <w:multiLevelType w:val="hybridMultilevel"/>
    <w:lvl w:ilvl="0">
      <w:lvlJc w:val="left"/>
      <w:lvlText w:val="%1"/>
      <w:numFmt w:val="decimal"/>
      <w:start w:val="23"/>
    </w:lvl>
  </w:abstractNum>
  <w:abstractNum w:abstractNumId="30">
    <w:nsid w:val="5E884ADC"/>
    <w:multiLevelType w:val="hybridMultilevel"/>
    <w:lvl w:ilvl="0">
      <w:lvlJc w:val="left"/>
      <w:lvlText w:val="%1"/>
      <w:numFmt w:val="decimal"/>
      <w:start w:val="97"/>
    </w:lvl>
  </w:abstractNum>
  <w:abstractNum w:abstractNumId="31">
    <w:nsid w:val="51EAD36B"/>
    <w:multiLevelType w:val="hybridMultilevel"/>
    <w:lvl w:ilvl="0">
      <w:lvlJc w:val="left"/>
      <w:lvlText w:val="*"/>
      <w:numFmt w:val="bullet"/>
      <w:start w:val="1"/>
    </w:lvl>
    <w:lvl w:ilvl="1">
      <w:lvlJc w:val="left"/>
      <w:lvlText w:val="%2"/>
      <w:numFmt w:val="decimal"/>
      <w:start w:val="104"/>
    </w:lvl>
  </w:abstractNum>
  <w:abstractNum w:abstractNumId="32">
    <w:nsid w:val="2D517796"/>
    <w:multiLevelType w:val="hybridMultilevel"/>
    <w:lvl w:ilvl="0">
      <w:lvlJc w:val="left"/>
      <w:lvlText w:val="%1."/>
      <w:numFmt w:val="decimal"/>
      <w:start w:val="1"/>
    </w:lvl>
    <w:lvl w:ilvl="1">
      <w:lvlJc w:val="left"/>
      <w:lvlText w:val="(%2)"/>
      <w:numFmt w:val="lowerLetter"/>
      <w:start w:val="1"/>
    </w:lvl>
  </w:abstractNum>
  <w:abstractNum w:abstractNumId="33">
    <w:nsid w:val="580BD78F"/>
    <w:multiLevelType w:val="hybridMultilevel"/>
    <w:lvl w:ilvl="0">
      <w:lvlJc w:val="left"/>
      <w:lvlText w:val="%1."/>
      <w:numFmt w:val="decimal"/>
      <w:start w:val="1"/>
    </w:lvl>
    <w:lvl w:ilvl="1">
      <w:lvlJc w:val="left"/>
      <w:lvlText w:val="(%2)"/>
      <w:numFmt w:val="lowerLetter"/>
      <w:start w:val="1"/>
    </w:lvl>
  </w:abstractNum>
  <w:abstractNum w:abstractNumId="34">
    <w:nsid w:val="153EA438"/>
    <w:multiLevelType w:val="hybridMultilevel"/>
    <w:lvl w:ilvl="0">
      <w:lvlJc w:val="left"/>
      <w:lvlText w:val="(%1)"/>
      <w:numFmt w:val="decimal"/>
      <w:start w:val="1"/>
    </w:lvl>
  </w:abstractNum>
  <w:abstractNum w:abstractNumId="35">
    <w:nsid w:val="3855585C"/>
    <w:multiLevelType w:val="hybridMultilevel"/>
    <w:lvl w:ilvl="0">
      <w:lvlJc w:val="left"/>
      <w:lvlText w:val="(%1)"/>
      <w:numFmt w:val="decimal"/>
      <w:start w:val="1"/>
    </w:lvl>
  </w:abstractNum>
  <w:abstractNum w:abstractNumId="36">
    <w:nsid w:val="70A64E2A"/>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37">
    <w:nsid w:val="6A2342EC"/>
    <w:multiLevelType w:val="hybridMultilevel"/>
    <w:lvl w:ilvl="0">
      <w:lvlJc w:val="left"/>
      <w:lvlText w:val="(%1)"/>
      <w:numFmt w:val="lowerLetter"/>
      <w:start w:val="5"/>
    </w:lvl>
  </w:abstractNum>
  <w:abstractNum w:abstractNumId="38">
    <w:nsid w:val="2A487CB0"/>
    <w:multiLevelType w:val="hybridMultilevel"/>
    <w:lvl w:ilvl="0">
      <w:lvlJc w:val="left"/>
      <w:lvlText w:val="%1"/>
      <w:numFmt w:val="decimal"/>
      <w:start w:val="1"/>
    </w:lvl>
    <w:lvl w:ilvl="1">
      <w:lvlJc w:val="left"/>
      <w:lvlText w:val="(%2)"/>
      <w:numFmt w:val="lowerLetter"/>
      <w:start w:val="18"/>
    </w:lvl>
    <w:lvl w:ilvl="2">
      <w:lvlJc w:val="left"/>
      <w:lvlText w:val="%3"/>
      <w:numFmt w:val="lowerLetter"/>
      <w:start w:val="1"/>
    </w:lvl>
    <w:lvl w:ilvl="3">
      <w:lvlJc w:val="left"/>
      <w:lvlText w:val="%4"/>
      <w:numFmt w:val="lowerRoman"/>
      <w:start w:val="1"/>
    </w:lvl>
  </w:abstractNum>
  <w:abstractNum w:abstractNumId="39">
    <w:nsid w:val="1D4ED43B"/>
    <w:multiLevelType w:val="hybridMultilevel"/>
    <w:lvl w:ilvl="0">
      <w:lvlJc w:val="left"/>
      <w:lvlText w:val="%1."/>
      <w:numFmt w:val="decimal"/>
      <w:start w:val="4"/>
    </w:lvl>
    <w:lvl w:ilvl="1">
      <w:lvlJc w:val="left"/>
      <w:lvlText w:val="%2"/>
      <w:numFmt w:val="lowerLetter"/>
      <w:start w:val="1"/>
    </w:lvl>
    <w:lvl w:ilvl="2">
      <w:lvlJc w:val="left"/>
      <w:lvlText w:val="(%3)"/>
      <w:numFmt w:val="lowerLetter"/>
      <w:start w:val="1"/>
    </w:lvl>
    <w:lvl w:ilvl="3">
      <w:lvlJc w:val="left"/>
      <w:lvlText w:val="(%4)"/>
      <w:numFmt w:val="lowerRoman"/>
      <w:start w:val="1"/>
    </w:lvl>
  </w:abstractNum>
  <w:abstractNum w:abstractNumId="40">
    <w:nsid w:val="725A06FB"/>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6"/>
    </w:lvl>
  </w:abstractNum>
  <w:abstractNum w:abstractNumId="41">
    <w:nsid w:val="2CD89A32"/>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42">
    <w:nsid w:val="57E4CCAF"/>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43">
    <w:nsid w:val="7A6D8D3C"/>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44">
    <w:nsid w:val="4B588F54"/>
    <w:multiLevelType w:val="hybridMultilevel"/>
    <w:lvl w:ilvl="0">
      <w:lvlJc w:val="left"/>
      <w:lvlText w:val="%1"/>
      <w:numFmt w:val="decimal"/>
      <w:start w:val="1"/>
    </w:lvl>
    <w:lvl w:ilvl="1">
      <w:lvlJc w:val="left"/>
      <w:lvlText w:val="(%2)"/>
      <w:numFmt w:val="lowerLetter"/>
      <w:start w:val="35"/>
    </w:lvl>
    <w:lvl w:ilvl="2">
      <w:lvlJc w:val="left"/>
      <w:lvlText w:val="%3"/>
      <w:numFmt w:val="lowerRoman"/>
      <w:start w:val="1"/>
    </w:lvl>
  </w:abstractNum>
  <w:abstractNum w:abstractNumId="45">
    <w:nsid w:val="542289EC"/>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46">
    <w:nsid w:val="6DE91B18"/>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34" Type="http://schemas.openxmlformats.org/officeDocument/2006/relationships/image" Target="media/image111.png"/><Relationship Id="rId135" Type="http://schemas.openxmlformats.org/officeDocument/2006/relationships/image" Target="media/image112.png"/><Relationship Id="rId136" Type="http://schemas.openxmlformats.org/officeDocument/2006/relationships/image" Target="media/image113.png"/><Relationship Id="rId137" Type="http://schemas.openxmlformats.org/officeDocument/2006/relationships/image" Target="media/image114.png"/><Relationship Id="rId138" Type="http://schemas.openxmlformats.org/officeDocument/2006/relationships/image" Target="media/image115.png"/><Relationship Id="rId139" Type="http://schemas.openxmlformats.org/officeDocument/2006/relationships/image" Target="media/image116.png"/><Relationship Id="rId140" Type="http://schemas.openxmlformats.org/officeDocument/2006/relationships/image" Target="media/image117.png"/><Relationship Id="rId141" Type="http://schemas.openxmlformats.org/officeDocument/2006/relationships/image" Target="media/image118.png"/><Relationship Id="rId118" Type="http://schemas.openxmlformats.org/officeDocument/2006/relationships/hyperlink" Target="https://www.sec.gov/Archives/edgar/data/708781/0000950114-98-000012.txt" TargetMode="External"/><Relationship Id="rId119" Type="http://schemas.openxmlformats.org/officeDocument/2006/relationships/hyperlink" Target="https://www.sec.gov/Archives/edgar/data/708781/000119312513162285/d522876dex31.htm" TargetMode="External"/><Relationship Id="rId120" Type="http://schemas.openxmlformats.org/officeDocument/2006/relationships/hyperlink" Target="https://www.sec.gov/Archives/edgar/data/708781/000119380506002677/e601185_ex3-1.txt" TargetMode="External"/><Relationship Id="rId121" Type="http://schemas.openxmlformats.org/officeDocument/2006/relationships/hyperlink" Target="https://www.sec.gov/Archives/edgar/data/708781/000119312516653705/d202430dex31.htm" TargetMode="External"/><Relationship Id="rId122" Type="http://schemas.openxmlformats.org/officeDocument/2006/relationships/hyperlink" Target="https://www.sec.gov/Archives/edgar/data/708781/000120677420000650/cass3589044-ex41.htm" TargetMode="External"/><Relationship Id="rId123" Type="http://schemas.openxmlformats.org/officeDocument/2006/relationships/hyperlink" Target="https://www.sec.gov/Archives/edgar/data/708781/000119380503000382/e300379_ex10-1.txt" TargetMode="External"/><Relationship Id="rId124" Type="http://schemas.openxmlformats.org/officeDocument/2006/relationships/hyperlink" Target="https://www.sec.gov/Archives/edgar/data/708781/000119312513162285/d522876dex101.htm" TargetMode="External"/><Relationship Id="rId125" Type="http://schemas.openxmlformats.org/officeDocument/2006/relationships/hyperlink" Target="https://www.sec.gov/Archives/edgar/data/708781/000119380507002783/e602795_ex10-2.txt" TargetMode="External"/><Relationship Id="rId126" Type="http://schemas.openxmlformats.org/officeDocument/2006/relationships/hyperlink" Target="https://www.sec.gov/Archives/edgar/data/708781/000119380507002783/e602795_ex10-4.txt" TargetMode="External"/><Relationship Id="rId127" Type="http://schemas.openxmlformats.org/officeDocument/2006/relationships/hyperlink" Target="https://www.sec.gov/Archives/edgar/data/708781/000120677417000734/cass3073843-ex108.htm" TargetMode="External"/><Relationship Id="rId128" Type="http://schemas.openxmlformats.org/officeDocument/2006/relationships/hyperlink" Target="https://www.sec.gov/Archives/edgar/data/708781/000120677417000734/cass3073843-ex109.htm" TargetMode="External"/><Relationship Id="rId129" Type="http://schemas.openxmlformats.org/officeDocument/2006/relationships/hyperlink" Target="https://www.sec.gov/Archives/edgar/data/708781/000070878123000012/cass-20221231x10xkexs107.htm" TargetMode="External"/><Relationship Id="rId130" Type="http://schemas.openxmlformats.org/officeDocument/2006/relationships/hyperlink" Target="https://www.sec.gov/Archives/edgar/data/708781/000070878123000017/exhibit101-2023omnibusplan.htm" TargetMode="External"/><Relationship Id="rId131" Type="http://schemas.openxmlformats.org/officeDocument/2006/relationships/hyperlink" Target="https://www.sec.gov/Archives/edgar/data/708781/000070878123000017/exhibit102-restrictedstock.htm" TargetMode="External"/><Relationship Id="rId132" Type="http://schemas.openxmlformats.org/officeDocument/2006/relationships/hyperlink" Target="https://www.sec.gov/Archives/edgar/data/708781/000162828023016684/exhibit103-nonxemployeedir.htm" TargetMode="External"/><Relationship Id="rId133" Type="http://schemas.openxmlformats.org/officeDocument/2006/relationships/hyperlink" Target="https://www.sec.gov/Archives/edgar/data/708781/000120677421000530/cass10kex2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2024-02-28T10:33:36Z</dcterms:created>
  <dcterms:modified xsi:type="dcterms:W3CDTF">2024-02-28T10:33:36Z</dcterms:modified>
</cp:coreProperties>
</file>