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6980" w:type="dxa"/>
            <w:vAlign w:val="bottom"/>
          </w:tcPr>
          <w:p>
            <w:pPr>
              <w:jc w:val="center"/>
              <w:ind w:left="650"/>
              <w:spacing w:after="0"/>
              <w:rPr>
                <w:sz w:val="20"/>
                <w:szCs w:val="20"/>
                <w:color w:val="auto"/>
              </w:rPr>
            </w:pPr>
            <w:r>
              <w:rPr>
                <w:rFonts w:ascii="Arial" w:cs="Arial" w:eastAsia="Arial" w:hAnsi="Arial"/>
                <w:sz w:val="18"/>
                <w:szCs w:val="18"/>
                <w:b w:val="1"/>
                <w:bCs w:val="1"/>
                <w:color w:val="auto"/>
                <w:w w:val="97"/>
              </w:rPr>
              <w:t>UNITED STATES</w:t>
            </w:r>
          </w:p>
        </w:tc>
      </w:tr>
      <w:tr>
        <w:trPr>
          <w:trHeight w:val="234"/>
        </w:trPr>
        <w:tc>
          <w:tcPr>
            <w:tcW w:w="1420" w:type="dxa"/>
            <w:vAlign w:val="bottom"/>
          </w:tcPr>
          <w:p>
            <w:pPr>
              <w:spacing w:after="0"/>
              <w:rPr>
                <w:sz w:val="20"/>
                <w:szCs w:val="20"/>
                <w:color w:val="auto"/>
              </w:rPr>
            </w:pPr>
          </w:p>
        </w:tc>
        <w:tc>
          <w:tcPr>
            <w:tcW w:w="6980" w:type="dxa"/>
            <w:vAlign w:val="bottom"/>
          </w:tcPr>
          <w:p>
            <w:pPr>
              <w:jc w:val="center"/>
              <w:ind w:left="65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43"/>
        </w:trPr>
        <w:tc>
          <w:tcPr>
            <w:tcW w:w="1420" w:type="dxa"/>
            <w:vAlign w:val="bottom"/>
          </w:tcPr>
          <w:p>
            <w:pPr>
              <w:spacing w:after="0"/>
              <w:rPr>
                <w:sz w:val="21"/>
                <w:szCs w:val="21"/>
                <w:color w:val="auto"/>
              </w:rPr>
            </w:pPr>
          </w:p>
        </w:tc>
        <w:tc>
          <w:tcPr>
            <w:tcW w:w="698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Washington, D.C. 20549</w:t>
            </w:r>
          </w:p>
        </w:tc>
      </w:tr>
      <w:tr>
        <w:trPr>
          <w:trHeight w:val="432"/>
        </w:trPr>
        <w:tc>
          <w:tcPr>
            <w:tcW w:w="1420" w:type="dxa"/>
            <w:vAlign w:val="bottom"/>
          </w:tcPr>
          <w:p>
            <w:pPr>
              <w:spacing w:after="0"/>
              <w:rPr>
                <w:sz w:val="24"/>
                <w:szCs w:val="24"/>
                <w:color w:val="auto"/>
              </w:rPr>
            </w:pPr>
          </w:p>
        </w:tc>
        <w:tc>
          <w:tcPr>
            <w:tcW w:w="6980" w:type="dxa"/>
            <w:vAlign w:val="bottom"/>
          </w:tcPr>
          <w:p>
            <w:pPr>
              <w:jc w:val="center"/>
              <w:ind w:left="670"/>
              <w:spacing w:after="0"/>
              <w:rPr>
                <w:sz w:val="20"/>
                <w:szCs w:val="20"/>
                <w:color w:val="auto"/>
              </w:rPr>
            </w:pPr>
            <w:r>
              <w:rPr>
                <w:rFonts w:ascii="Arial" w:cs="Arial" w:eastAsia="Arial" w:hAnsi="Arial"/>
                <w:sz w:val="18"/>
                <w:szCs w:val="18"/>
                <w:b w:val="1"/>
                <w:bCs w:val="1"/>
                <w:color w:val="auto"/>
              </w:rPr>
              <w:t>FORM 10-K</w:t>
            </w:r>
          </w:p>
        </w:tc>
      </w:tr>
      <w:tr>
        <w:trPr>
          <w:trHeight w:val="433"/>
        </w:trPr>
        <w:tc>
          <w:tcPr>
            <w:tcW w:w="1420" w:type="dxa"/>
            <w:vAlign w:val="bottom"/>
          </w:tcPr>
          <w:p>
            <w:pPr>
              <w:jc w:val="center"/>
              <w:ind w:right="656"/>
              <w:spacing w:after="0"/>
              <w:rPr>
                <w:sz w:val="20"/>
                <w:szCs w:val="20"/>
                <w:color w:val="auto"/>
              </w:rPr>
            </w:pPr>
            <w:r>
              <w:rPr>
                <w:rFonts w:ascii="Arial" w:cs="Arial" w:eastAsia="Arial" w:hAnsi="Arial"/>
                <w:sz w:val="14"/>
                <w:szCs w:val="14"/>
                <w:color w:val="auto"/>
                <w:w w:val="95"/>
              </w:rPr>
              <w:t>(Mark One)</w:t>
            </w:r>
          </w:p>
        </w:tc>
        <w:tc>
          <w:tcPr>
            <w:tcW w:w="6980" w:type="dxa"/>
            <w:vAlign w:val="bottom"/>
          </w:tcPr>
          <w:p>
            <w:pPr>
              <w:spacing w:after="0"/>
              <w:rPr>
                <w:sz w:val="24"/>
                <w:szCs w:val="24"/>
                <w:color w:val="auto"/>
              </w:rPr>
            </w:pPr>
          </w:p>
        </w:tc>
      </w:tr>
      <w:tr>
        <w:trPr>
          <w:trHeight w:val="215"/>
        </w:trPr>
        <w:tc>
          <w:tcPr>
            <w:tcW w:w="1420" w:type="dxa"/>
            <w:vAlign w:val="bottom"/>
          </w:tcPr>
          <w:p>
            <w:pPr>
              <w:jc w:val="center"/>
              <w:ind w:right="656"/>
              <w:spacing w:after="0"/>
              <w:rPr>
                <w:sz w:val="20"/>
                <w:szCs w:val="20"/>
                <w:color w:val="auto"/>
              </w:rPr>
            </w:pPr>
            <w:r>
              <w:rPr>
                <w:rFonts w:ascii="Arial" w:cs="Arial" w:eastAsia="Arial" w:hAnsi="Arial"/>
                <w:sz w:val="18"/>
                <w:szCs w:val="18"/>
                <w:color w:val="auto"/>
                <w:w w:val="88"/>
              </w:rPr>
              <w:t>x</w:t>
            </w:r>
          </w:p>
        </w:tc>
        <w:tc>
          <w:tcPr>
            <w:tcW w:w="6980" w:type="dxa"/>
            <w:vAlign w:val="bottom"/>
          </w:tcPr>
          <w:p>
            <w:pPr>
              <w:jc w:val="center"/>
              <w:ind w:left="650"/>
              <w:spacing w:after="0"/>
              <w:rPr>
                <w:sz w:val="20"/>
                <w:szCs w:val="20"/>
                <w:color w:val="auto"/>
              </w:rPr>
            </w:pPr>
            <w:r>
              <w:rPr>
                <w:rFonts w:ascii="Arial" w:cs="Arial" w:eastAsia="Arial" w:hAnsi="Arial"/>
                <w:sz w:val="18"/>
                <w:szCs w:val="18"/>
                <w:color w:val="auto"/>
                <w:w w:val="94"/>
              </w:rPr>
              <w:t>ANNUAL REPORT PURSUANT TO SECTION 13 OR 15(d) OF THE SECURITIES</w:t>
            </w:r>
          </w:p>
        </w:tc>
      </w:tr>
      <w:tr>
        <w:trPr>
          <w:trHeight w:val="175"/>
        </w:trPr>
        <w:tc>
          <w:tcPr>
            <w:tcW w:w="1420" w:type="dxa"/>
            <w:vAlign w:val="bottom"/>
          </w:tcPr>
          <w:p>
            <w:pPr>
              <w:spacing w:after="0"/>
              <w:rPr>
                <w:sz w:val="15"/>
                <w:szCs w:val="15"/>
                <w:color w:val="auto"/>
              </w:rPr>
            </w:pPr>
          </w:p>
        </w:tc>
        <w:tc>
          <w:tcPr>
            <w:tcW w:w="6980" w:type="dxa"/>
            <w:vAlign w:val="bottom"/>
          </w:tcPr>
          <w:p>
            <w:pPr>
              <w:jc w:val="center"/>
              <w:ind w:left="650"/>
              <w:spacing w:after="0" w:line="175" w:lineRule="exact"/>
              <w:rPr>
                <w:sz w:val="20"/>
                <w:szCs w:val="20"/>
                <w:color w:val="auto"/>
              </w:rPr>
            </w:pPr>
            <w:r>
              <w:rPr>
                <w:rFonts w:ascii="Arial" w:cs="Arial" w:eastAsia="Arial" w:hAnsi="Arial"/>
                <w:sz w:val="18"/>
                <w:szCs w:val="18"/>
                <w:color w:val="auto"/>
                <w:w w:val="95"/>
              </w:rPr>
              <w:t>EXCHANGE ACT OF 1934</w:t>
            </w:r>
          </w:p>
        </w:tc>
      </w:tr>
      <w:tr>
        <w:trPr>
          <w:trHeight w:val="230"/>
        </w:trPr>
        <w:tc>
          <w:tcPr>
            <w:tcW w:w="1420" w:type="dxa"/>
            <w:vAlign w:val="bottom"/>
          </w:tcPr>
          <w:p>
            <w:pPr>
              <w:spacing w:after="0"/>
              <w:rPr>
                <w:sz w:val="20"/>
                <w:szCs w:val="20"/>
                <w:color w:val="auto"/>
              </w:rPr>
            </w:pPr>
          </w:p>
        </w:tc>
        <w:tc>
          <w:tcPr>
            <w:tcW w:w="6980" w:type="dxa"/>
            <w:vAlign w:val="bottom"/>
          </w:tcPr>
          <w:p>
            <w:pPr>
              <w:jc w:val="center"/>
              <w:ind w:left="650"/>
              <w:spacing w:after="0"/>
              <w:rPr>
                <w:sz w:val="20"/>
                <w:szCs w:val="20"/>
                <w:color w:val="auto"/>
              </w:rPr>
            </w:pPr>
            <w:r>
              <w:rPr>
                <w:rFonts w:ascii="Arial" w:cs="Arial" w:eastAsia="Arial" w:hAnsi="Arial"/>
                <w:sz w:val="18"/>
                <w:szCs w:val="18"/>
                <w:color w:val="auto"/>
                <w:w w:val="89"/>
              </w:rPr>
              <w:t>For the fiscal year ended December 31, 2022</w:t>
            </w:r>
          </w:p>
        </w:tc>
      </w:tr>
      <w:tr>
        <w:trPr>
          <w:trHeight w:val="459"/>
        </w:trPr>
        <w:tc>
          <w:tcPr>
            <w:tcW w:w="1420" w:type="dxa"/>
            <w:vAlign w:val="bottom"/>
          </w:tcPr>
          <w:p>
            <w:pPr>
              <w:jc w:val="center"/>
              <w:ind w:right="656"/>
              <w:spacing w:after="0" w:line="181" w:lineRule="exact"/>
              <w:rPr>
                <w:sz w:val="20"/>
                <w:szCs w:val="20"/>
                <w:color w:val="auto"/>
              </w:rPr>
            </w:pPr>
            <w:r>
              <w:rPr>
                <w:rFonts w:ascii="MS PGothic" w:cs="MS PGothic" w:eastAsia="MS PGothic" w:hAnsi="MS PGothic"/>
                <w:sz w:val="18"/>
                <w:szCs w:val="18"/>
                <w:color w:val="auto"/>
                <w:w w:val="88"/>
              </w:rPr>
              <w:t>☐</w:t>
            </w:r>
          </w:p>
        </w:tc>
        <w:tc>
          <w:tcPr>
            <w:tcW w:w="6980" w:type="dxa"/>
            <w:vAlign w:val="bottom"/>
          </w:tcPr>
          <w:p>
            <w:pPr>
              <w:jc w:val="center"/>
              <w:ind w:left="590"/>
              <w:spacing w:after="0"/>
              <w:rPr>
                <w:sz w:val="20"/>
                <w:szCs w:val="20"/>
                <w:color w:val="auto"/>
              </w:rPr>
            </w:pPr>
            <w:r>
              <w:rPr>
                <w:rFonts w:ascii="Arial" w:cs="Arial" w:eastAsia="Arial" w:hAnsi="Arial"/>
                <w:sz w:val="18"/>
                <w:szCs w:val="18"/>
                <w:color w:val="auto"/>
                <w:w w:val="94"/>
              </w:rPr>
              <w:t>TRANSITION REPORT PURSUANT TO SECTION 13 OR 15(d) OF THE</w:t>
            </w:r>
          </w:p>
        </w:tc>
      </w:tr>
      <w:tr>
        <w:trPr>
          <w:trHeight w:val="175"/>
        </w:trPr>
        <w:tc>
          <w:tcPr>
            <w:tcW w:w="1420" w:type="dxa"/>
            <w:vAlign w:val="bottom"/>
          </w:tcPr>
          <w:p>
            <w:pPr>
              <w:spacing w:after="0"/>
              <w:rPr>
                <w:sz w:val="15"/>
                <w:szCs w:val="15"/>
                <w:color w:val="auto"/>
              </w:rPr>
            </w:pPr>
          </w:p>
        </w:tc>
        <w:tc>
          <w:tcPr>
            <w:tcW w:w="6980" w:type="dxa"/>
            <w:vAlign w:val="bottom"/>
          </w:tcPr>
          <w:p>
            <w:pPr>
              <w:jc w:val="center"/>
              <w:ind w:left="590"/>
              <w:spacing w:after="0" w:line="175" w:lineRule="exact"/>
              <w:rPr>
                <w:sz w:val="20"/>
                <w:szCs w:val="20"/>
                <w:color w:val="auto"/>
              </w:rPr>
            </w:pPr>
            <w:r>
              <w:rPr>
                <w:rFonts w:ascii="Arial" w:cs="Arial" w:eastAsia="Arial" w:hAnsi="Arial"/>
                <w:sz w:val="18"/>
                <w:szCs w:val="18"/>
                <w:color w:val="auto"/>
                <w:w w:val="95"/>
              </w:rPr>
              <w:t>SECURITIES EXCHANGE ACT OF 1934</w:t>
            </w:r>
          </w:p>
        </w:tc>
      </w:tr>
      <w:tr>
        <w:trPr>
          <w:trHeight w:val="230"/>
        </w:trPr>
        <w:tc>
          <w:tcPr>
            <w:tcW w:w="1420" w:type="dxa"/>
            <w:vAlign w:val="bottom"/>
          </w:tcPr>
          <w:p>
            <w:pPr>
              <w:spacing w:after="0"/>
              <w:rPr>
                <w:sz w:val="20"/>
                <w:szCs w:val="20"/>
                <w:color w:val="auto"/>
              </w:rPr>
            </w:pPr>
          </w:p>
        </w:tc>
        <w:tc>
          <w:tcPr>
            <w:tcW w:w="6980" w:type="dxa"/>
            <w:vAlign w:val="bottom"/>
          </w:tcPr>
          <w:p>
            <w:pPr>
              <w:jc w:val="center"/>
              <w:ind w:left="650"/>
              <w:spacing w:after="0"/>
              <w:rPr>
                <w:sz w:val="20"/>
                <w:szCs w:val="20"/>
                <w:color w:val="auto"/>
              </w:rPr>
            </w:pPr>
            <w:r>
              <w:rPr>
                <w:rFonts w:ascii="Arial" w:cs="Arial" w:eastAsia="Arial" w:hAnsi="Arial"/>
                <w:sz w:val="18"/>
                <w:szCs w:val="18"/>
                <w:color w:val="auto"/>
                <w:w w:val="91"/>
              </w:rPr>
              <w:t>For the transition period from _______ to _______</w:t>
            </w:r>
          </w:p>
        </w:tc>
      </w:tr>
      <w:tr>
        <w:trPr>
          <w:trHeight w:val="527"/>
        </w:trPr>
        <w:tc>
          <w:tcPr>
            <w:tcW w:w="1420" w:type="dxa"/>
            <w:vAlign w:val="bottom"/>
          </w:tcPr>
          <w:p>
            <w:pPr>
              <w:spacing w:after="0"/>
              <w:rPr>
                <w:sz w:val="24"/>
                <w:szCs w:val="24"/>
                <w:color w:val="auto"/>
              </w:rPr>
            </w:pPr>
          </w:p>
        </w:tc>
        <w:tc>
          <w:tcPr>
            <w:tcW w:w="6980" w:type="dxa"/>
            <w:vAlign w:val="bottom"/>
          </w:tcPr>
          <w:p>
            <w:pPr>
              <w:jc w:val="center"/>
              <w:ind w:left="670"/>
              <w:spacing w:after="0"/>
              <w:rPr>
                <w:sz w:val="20"/>
                <w:szCs w:val="20"/>
                <w:color w:val="auto"/>
              </w:rPr>
            </w:pPr>
            <w:r>
              <w:rPr>
                <w:rFonts w:ascii="Arial" w:cs="Arial" w:eastAsia="Arial" w:hAnsi="Arial"/>
                <w:sz w:val="18"/>
                <w:szCs w:val="18"/>
                <w:color w:val="auto"/>
                <w:w w:val="92"/>
              </w:rPr>
              <w:t>Commission file number 000-20827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137160</wp:posOffset>
            </wp:positionV>
            <wp:extent cx="531495"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CASS INFORMATION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60" w:type="dxa"/>
            <w:vAlign w:val="bottom"/>
            <w:gridSpan w:val="5"/>
          </w:tcPr>
          <w:p>
            <w:pPr>
              <w:jc w:val="center"/>
              <w:ind w:right="35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20"/>
        </w:trPr>
        <w:tc>
          <w:tcPr>
            <w:tcW w:w="36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Missouri</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210"/>
              <w:spacing w:after="0"/>
              <w:rPr>
                <w:sz w:val="20"/>
                <w:szCs w:val="20"/>
                <w:color w:val="auto"/>
              </w:rPr>
            </w:pPr>
            <w:r>
              <w:rPr>
                <w:rFonts w:ascii="Arial" w:cs="Arial" w:eastAsia="Arial" w:hAnsi="Arial"/>
                <w:sz w:val="18"/>
                <w:szCs w:val="18"/>
                <w:color w:val="auto"/>
              </w:rPr>
              <w:t>43-1265338</w:t>
            </w:r>
          </w:p>
        </w:tc>
      </w:tr>
      <w:tr>
        <w:trPr>
          <w:trHeight w:val="243"/>
        </w:trPr>
        <w:tc>
          <w:tcPr>
            <w:tcW w:w="6980" w:type="dxa"/>
            <w:vAlign w:val="bottom"/>
            <w:gridSpan w:val="4"/>
          </w:tcPr>
          <w:p>
            <w:pPr>
              <w:ind w:left="540"/>
              <w:spacing w:after="0"/>
              <w:rPr>
                <w:sz w:val="20"/>
                <w:szCs w:val="20"/>
                <w:color w:val="auto"/>
              </w:rPr>
            </w:pPr>
            <w:r>
              <w:rPr>
                <w:rFonts w:ascii="Arial" w:cs="Arial" w:eastAsia="Arial" w:hAnsi="Arial"/>
                <w:sz w:val="18"/>
                <w:szCs w:val="18"/>
                <w:color w:val="auto"/>
              </w:rPr>
              <w:t>(State or other jurisdiction of incorporation or organization)</w:t>
            </w:r>
          </w:p>
        </w:tc>
        <w:tc>
          <w:tcPr>
            <w:tcW w:w="120" w:type="dxa"/>
            <w:vAlign w:val="bottom"/>
          </w:tcPr>
          <w:p>
            <w:pPr>
              <w:spacing w:after="0"/>
              <w:rPr>
                <w:sz w:val="21"/>
                <w:szCs w:val="21"/>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(I.R.S. Employer Identification No.)</w:t>
            </w:r>
          </w:p>
        </w:tc>
      </w:tr>
      <w:tr>
        <w:trPr>
          <w:trHeight w:val="520"/>
        </w:trPr>
        <w:tc>
          <w:tcPr>
            <w:tcW w:w="698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color w:val="auto"/>
              </w:rPr>
              <w:t>12444 Powerscourt Drive, Suite 550, St. Louis, Missouri 63131</w:t>
            </w:r>
          </w:p>
        </w:tc>
        <w:tc>
          <w:tcPr>
            <w:tcW w:w="426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color w:val="auto"/>
              </w:rPr>
              <w:t>(314) 506-5500</w:t>
            </w:r>
          </w:p>
        </w:tc>
      </w:tr>
      <w:tr>
        <w:trPr>
          <w:trHeight w:val="250"/>
        </w:trPr>
        <w:tc>
          <w:tcPr>
            <w:tcW w:w="36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8"/>
              </w:rPr>
              <w:t>(Address of principal executive offices)</w:t>
            </w:r>
          </w:p>
        </w:tc>
        <w:tc>
          <w:tcPr>
            <w:tcW w:w="330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(Zip Code)</w:t>
            </w:r>
          </w:p>
        </w:tc>
        <w:tc>
          <w:tcPr>
            <w:tcW w:w="1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(Telephone Number, incl. area code)</w:t>
            </w:r>
          </w:p>
        </w:tc>
      </w:tr>
      <w:tr>
        <w:trPr>
          <w:trHeight w:val="580"/>
        </w:trPr>
        <w:tc>
          <w:tcPr>
            <w:tcW w:w="6980" w:type="dxa"/>
            <w:vAlign w:val="bottom"/>
            <w:gridSpan w:val="4"/>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3"/>
        </w:trPr>
        <w:tc>
          <w:tcPr>
            <w:tcW w:w="36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Title of each class</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120" w:type="dxa"/>
            <w:vAlign w:val="bottom"/>
          </w:tcPr>
          <w:p>
            <w:pPr>
              <w:spacing w:after="0"/>
              <w:rPr>
                <w:sz w:val="22"/>
                <w:szCs w:val="22"/>
                <w:color w:val="auto"/>
              </w:rPr>
            </w:pPr>
          </w:p>
        </w:tc>
        <w:tc>
          <w:tcPr>
            <w:tcW w:w="4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Name of each exchange on which registered</w:t>
            </w:r>
          </w:p>
        </w:tc>
      </w:tr>
      <w:tr>
        <w:trPr>
          <w:trHeight w:val="243"/>
        </w:trPr>
        <w:tc>
          <w:tcPr>
            <w:tcW w:w="3680" w:type="dxa"/>
            <w:vAlign w:val="bottom"/>
          </w:tcPr>
          <w:p>
            <w:pPr>
              <w:ind w:left="560"/>
              <w:spacing w:after="0"/>
              <w:rPr>
                <w:sz w:val="20"/>
                <w:szCs w:val="20"/>
                <w:color w:val="auto"/>
              </w:rPr>
            </w:pPr>
            <w:r>
              <w:rPr>
                <w:rFonts w:ascii="Arial" w:cs="Arial" w:eastAsia="Arial" w:hAnsi="Arial"/>
                <w:sz w:val="18"/>
                <w:szCs w:val="18"/>
                <w:color w:val="auto"/>
                <w:w w:val="91"/>
              </w:rPr>
              <w:t>Common Stock, par value $0.50 per share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CASS</w:t>
            </w:r>
          </w:p>
        </w:tc>
        <w:tc>
          <w:tcPr>
            <w:tcW w:w="120" w:type="dxa"/>
            <w:vAlign w:val="bottom"/>
          </w:tcPr>
          <w:p>
            <w:pPr>
              <w:spacing w:after="0"/>
              <w:rPr>
                <w:sz w:val="21"/>
                <w:szCs w:val="21"/>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 xml:space="preserve">      The Nasdaq Global Select Market    </w:t>
            </w:r>
          </w:p>
        </w:tc>
      </w:tr>
      <w:tr>
        <w:trPr>
          <w:trHeight w:val="513"/>
        </w:trPr>
        <w:tc>
          <w:tcPr>
            <w:tcW w:w="6980" w:type="dxa"/>
            <w:vAlign w:val="bottom"/>
            <w:gridSpan w:val="4"/>
          </w:tcPr>
          <w:p>
            <w:pPr>
              <w:ind w:left="20"/>
              <w:spacing w:after="0"/>
              <w:rPr>
                <w:sz w:val="20"/>
                <w:szCs w:val="20"/>
                <w:color w:val="auto"/>
              </w:rPr>
            </w:pPr>
            <w:r>
              <w:rPr>
                <w:rFonts w:ascii="Arial" w:cs="Arial" w:eastAsia="Arial" w:hAnsi="Arial"/>
                <w:sz w:val="18"/>
                <w:szCs w:val="18"/>
                <w:color w:val="auto"/>
              </w:rPr>
              <w:t>Securities registered pursuant to Section 12(g) of the Act:</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3"/>
        </w:trPr>
        <w:tc>
          <w:tcPr>
            <w:tcW w:w="3680" w:type="dxa"/>
            <w:vAlign w:val="bottom"/>
          </w:tcPr>
          <w:p>
            <w:pPr>
              <w:ind w:left="20"/>
              <w:spacing w:after="0"/>
              <w:rPr>
                <w:sz w:val="20"/>
                <w:szCs w:val="20"/>
                <w:color w:val="auto"/>
              </w:rPr>
            </w:pPr>
            <w:r>
              <w:rPr>
                <w:rFonts w:ascii="Arial" w:cs="Arial" w:eastAsia="Arial" w:hAnsi="Arial"/>
                <w:sz w:val="18"/>
                <w:szCs w:val="18"/>
                <w:color w:val="auto"/>
              </w:rPr>
              <w:t xml:space="preserve">                         </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2"/>
                <w:szCs w:val="22"/>
                <w:color w:val="auto"/>
              </w:rPr>
            </w:pPr>
          </w:p>
        </w:tc>
        <w:tc>
          <w:tcPr>
            <w:tcW w:w="4140" w:type="dxa"/>
            <w:vAlign w:val="bottom"/>
          </w:tcPr>
          <w:p>
            <w:pPr>
              <w:spacing w:after="0"/>
              <w:rPr>
                <w:sz w:val="22"/>
                <w:szCs w:val="22"/>
                <w:color w:val="auto"/>
              </w:rPr>
            </w:pPr>
          </w:p>
        </w:tc>
      </w:tr>
      <w:tr>
        <w:trPr>
          <w:trHeight w:val="243"/>
        </w:trPr>
        <w:tc>
          <w:tcPr>
            <w:tcW w:w="3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20" w:type="dxa"/>
            <w:vAlign w:val="bottom"/>
          </w:tcPr>
          <w:p>
            <w:pPr>
              <w:spacing w:after="0"/>
              <w:rPr>
                <w:sz w:val="21"/>
                <w:szCs w:val="21"/>
                <w:color w:val="auto"/>
              </w:rPr>
            </w:pPr>
          </w:p>
        </w:tc>
        <w:tc>
          <w:tcPr>
            <w:tcW w:w="41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8" w:lineRule="exact"/>
        <w:rPr>
          <w:sz w:val="24"/>
          <w:szCs w:val="24"/>
          <w:color w:val="auto"/>
        </w:rPr>
      </w:pPr>
    </w:p>
    <w:p>
      <w:pPr>
        <w:ind w:left="1020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5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2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250"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2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25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337" w:right="339" w:bottom="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8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1020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$520.7 million based on the closing price of the common stock of $33.80 on June 30, 2022, as reported by The Nasdaq Global Select Market. As of February 15, 2023, the Registrant had 13,710,353 shares outstanding of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required for Part III of this report is incorporated by reference to the Registrant’s Proxy Statement for the 2023 Annual Meeting of Shareholders.</w:t>
      </w:r>
    </w:p>
    <w:p>
      <w:pPr>
        <w:spacing w:after="0" w:line="170" w:lineRule="exact"/>
        <w:rPr>
          <w:sz w:val="20"/>
          <w:szCs w:val="20"/>
          <w:color w:val="auto"/>
        </w:rPr>
      </w:pPr>
    </w:p>
    <w:p>
      <w:pPr>
        <w:jc w:val="center"/>
        <w:spacing w:after="0"/>
        <w:tabs>
          <w:tab w:leader="none" w:pos="140" w:val="left"/>
          <w:tab w:leader="none" w:pos="140" w:val="left"/>
        </w:tabs>
        <w:rPr>
          <w:sz w:val="20"/>
          <w:szCs w:val="20"/>
          <w:color w:val="auto"/>
        </w:rPr>
      </w:pPr>
      <w:r>
        <w:rPr>
          <w:rFonts w:ascii="Arial" w:cs="Arial" w:eastAsia="Arial" w:hAnsi="Arial"/>
          <w:sz w:val="18"/>
          <w:szCs w:val="18"/>
          <w:color w:val="auto"/>
        </w:rPr>
        <w:t>Auditor Name: KPMG LLP</w:t>
        <w:tab/>
        <w:t>Auditor Location: St. Louis, MO</w:t>
      </w:r>
      <w:r>
        <w:rPr>
          <w:sz w:val="20"/>
          <w:szCs w:val="20"/>
          <w:color w:val="auto"/>
        </w:rPr>
        <w:tab/>
      </w:r>
      <w:r>
        <w:rPr>
          <w:rFonts w:ascii="Arial" w:cs="Arial" w:eastAsia="Arial" w:hAnsi="Arial"/>
          <w:sz w:val="17"/>
          <w:szCs w:val="17"/>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08088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PART I.</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9760" w:type="dxa"/>
            <w:vAlign w:val="bottom"/>
            <w:gridSpan w:val="27"/>
          </w:tcPr>
          <w:p>
            <w:pPr>
              <w:ind w:left="480"/>
              <w:spacing w:after="0"/>
              <w:rPr>
                <w:sz w:val="20"/>
                <w:szCs w:val="20"/>
                <w:color w:val="auto"/>
              </w:rPr>
            </w:pPr>
            <w:r>
              <w:rPr>
                <w:rFonts w:ascii="Arial" w:cs="Arial" w:eastAsia="Arial" w:hAnsi="Arial"/>
                <w:sz w:val="18"/>
                <w:szCs w:val="18"/>
                <w:color w:val="0000FF"/>
              </w:rPr>
              <w:t>BUSINESS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1A.</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RISK FACTORS</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10</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62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sz w:val="20"/>
                <w:szCs w:val="20"/>
                <w:color w:val="auto"/>
              </w:rPr>
            </w:pPr>
            <w:r>
              <w:rPr>
                <w:rFonts w:ascii="Arial" w:cs="Arial" w:eastAsia="Arial" w:hAnsi="Arial"/>
                <w:sz w:val="18"/>
                <w:szCs w:val="18"/>
                <w:color w:val="0000FF"/>
                <w:w w:val="92"/>
              </w:rPr>
              <w:t>Item 1B.</w:t>
            </w:r>
          </w:p>
        </w:tc>
        <w:tc>
          <w:tcPr>
            <w:tcW w:w="5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26"/>
          </w:tcPr>
          <w:p>
            <w:pPr>
              <w:spacing w:after="0" w:line="202" w:lineRule="exact"/>
              <w:rPr>
                <w:sz w:val="20"/>
                <w:szCs w:val="20"/>
                <w:color w:val="auto"/>
              </w:rPr>
            </w:pPr>
            <w:r>
              <w:rPr>
                <w:rFonts w:ascii="Arial" w:cs="Arial" w:eastAsia="Arial" w:hAnsi="Arial"/>
                <w:sz w:val="18"/>
                <w:szCs w:val="18"/>
                <w:color w:val="0000FF"/>
              </w:rPr>
              <w:t>UNRESOLVED STAFF COMMENTS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EE"/>
                <w:w w:val="79"/>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DBDBDB"/>
            </w:tcBorders>
            <w:shd w:val="clear" w:color="auto" w:fill="DBDBDB"/>
          </w:tcPr>
          <w:p>
            <w:pPr>
              <w:spacing w:after="0"/>
              <w:rPr>
                <w:sz w:val="20"/>
                <w:szCs w:val="20"/>
                <w:color w:val="auto"/>
              </w:rPr>
            </w:pPr>
          </w:p>
        </w:tc>
        <w:tc>
          <w:tcPr>
            <w:tcW w:w="520" w:type="dxa"/>
            <w:vAlign w:val="bottom"/>
            <w:tcBorders>
              <w:bottom w:val="single" w:sz="8" w:color="0000FF"/>
            </w:tcBorders>
            <w:shd w:val="clear" w:color="auto" w:fill="DBDBDB"/>
          </w:tcPr>
          <w:p>
            <w:pPr>
              <w:spacing w:after="0" w:line="202" w:lineRule="exact"/>
              <w:rPr>
                <w:sz w:val="20"/>
                <w:szCs w:val="20"/>
                <w:color w:val="auto"/>
              </w:rPr>
            </w:pPr>
            <w:r>
              <w:rPr>
                <w:rFonts w:ascii="Arial" w:cs="Arial" w:eastAsia="Arial" w:hAnsi="Arial"/>
                <w:sz w:val="18"/>
                <w:szCs w:val="18"/>
                <w:color w:val="0000FF"/>
                <w:w w:val="90"/>
              </w:rPr>
              <w:t>Item 2.</w:t>
            </w:r>
          </w:p>
        </w:tc>
        <w:tc>
          <w:tcPr>
            <w:tcW w:w="660" w:type="dxa"/>
            <w:vAlign w:val="bottom"/>
            <w:tcBorders>
              <w:bottom w:val="single" w:sz="8" w:color="DBDBDB"/>
            </w:tcBorders>
            <w:gridSpan w:val="4"/>
            <w:shd w:val="clear" w:color="auto" w:fill="DBDBDB"/>
          </w:tcPr>
          <w:p>
            <w:pPr>
              <w:spacing w:after="0"/>
              <w:rPr>
                <w:sz w:val="20"/>
                <w:szCs w:val="20"/>
                <w:color w:val="auto"/>
              </w:rPr>
            </w:pPr>
          </w:p>
        </w:tc>
        <w:tc>
          <w:tcPr>
            <w:tcW w:w="480" w:type="dxa"/>
            <w:vAlign w:val="bottom"/>
            <w:tcBorders>
              <w:bottom w:val="single" w:sz="8" w:color="DBDBDB"/>
            </w:tcBorders>
            <w:shd w:val="clear" w:color="auto" w:fill="DBDBDB"/>
          </w:tcPr>
          <w:p>
            <w:pPr>
              <w:spacing w:after="0"/>
              <w:rPr>
                <w:sz w:val="20"/>
                <w:szCs w:val="20"/>
                <w:color w:val="auto"/>
              </w:rPr>
            </w:pPr>
          </w:p>
        </w:tc>
        <w:tc>
          <w:tcPr>
            <w:tcW w:w="1060" w:type="dxa"/>
            <w:vAlign w:val="bottom"/>
            <w:tcBorders>
              <w:bottom w:val="single" w:sz="8" w:color="0000FF"/>
            </w:tcBorders>
            <w:gridSpan w:val="3"/>
            <w:shd w:val="clear" w:color="auto" w:fill="DBDBDB"/>
          </w:tcPr>
          <w:p>
            <w:pPr>
              <w:spacing w:after="0" w:line="202" w:lineRule="exact"/>
              <w:rPr>
                <w:sz w:val="20"/>
                <w:szCs w:val="20"/>
                <w:color w:val="auto"/>
              </w:rPr>
            </w:pPr>
            <w:r>
              <w:rPr>
                <w:rFonts w:ascii="Arial" w:cs="Arial" w:eastAsia="Arial" w:hAnsi="Arial"/>
                <w:sz w:val="18"/>
                <w:szCs w:val="18"/>
                <w:color w:val="0000FF"/>
                <w:w w:val="89"/>
              </w:rPr>
              <w:t>PROPERTIES</w:t>
            </w:r>
          </w:p>
        </w:tc>
        <w:tc>
          <w:tcPr>
            <w:tcW w:w="8220" w:type="dxa"/>
            <w:vAlign w:val="bottom"/>
            <w:tcBorders>
              <w:bottom w:val="single" w:sz="8" w:color="DBDBDB"/>
            </w:tcBorders>
            <w:gridSpan w:val="23"/>
            <w:shd w:val="clear" w:color="auto" w:fill="DBDBDB"/>
          </w:tcPr>
          <w:p>
            <w:pPr>
              <w:spacing w:after="0"/>
              <w:rPr>
                <w:sz w:val="20"/>
                <w:szCs w:val="20"/>
                <w:color w:val="auto"/>
              </w:rPr>
            </w:pPr>
          </w:p>
        </w:tc>
        <w:tc>
          <w:tcPr>
            <w:tcW w:w="180" w:type="dxa"/>
            <w:vAlign w:val="bottom"/>
            <w:tcBorders>
              <w:bottom w:val="single" w:sz="8" w:color="0000EE"/>
            </w:tcBorders>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17</w:t>
            </w:r>
          </w:p>
        </w:tc>
        <w:tc>
          <w:tcPr>
            <w:tcW w:w="2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color w:val="0000FF"/>
              </w:rPr>
              <w:t>Item 3.</w:t>
            </w:r>
          </w:p>
        </w:tc>
        <w:tc>
          <w:tcPr>
            <w:tcW w:w="9760" w:type="dxa"/>
            <w:vAlign w:val="bottom"/>
            <w:gridSpan w:val="27"/>
          </w:tcPr>
          <w:p>
            <w:pPr>
              <w:ind w:left="480"/>
              <w:spacing w:after="0" w:line="202" w:lineRule="exact"/>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EE"/>
                <w:w w:val="79"/>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line="202" w:lineRule="exact"/>
              <w:rPr>
                <w:sz w:val="20"/>
                <w:szCs w:val="20"/>
                <w:color w:val="auto"/>
              </w:rPr>
            </w:pPr>
            <w:r>
              <w:rPr>
                <w:rFonts w:ascii="Arial" w:cs="Arial" w:eastAsia="Arial" w:hAnsi="Arial"/>
                <w:sz w:val="18"/>
                <w:szCs w:val="18"/>
                <w:color w:val="0000FF"/>
                <w:w w:val="90"/>
              </w:rPr>
              <w:t>Item 4.</w:t>
            </w:r>
          </w:p>
        </w:tc>
        <w:tc>
          <w:tcPr>
            <w:tcW w:w="660" w:type="dxa"/>
            <w:vAlign w:val="bottom"/>
            <w:gridSpan w:val="4"/>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928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0000FF"/>
              </w:rPr>
              <w:t>MINE SAFETY DISCLOSURES</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18</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62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color w:val="0000FF"/>
              </w:rPr>
              <w:t>PART II.</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5.</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MARKET FOR REGISTRANT’S COMMON EQUITY, RELATED STOCKHOLDER MATTERS AND</w:t>
            </w: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0000EE"/>
                <w:w w:val="79"/>
              </w:rPr>
              <w:t>19</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DBDBDB"/>
            </w:tcBorders>
            <w:shd w:val="clear" w:color="auto" w:fill="DBDBDB"/>
          </w:tcPr>
          <w:p>
            <w:pPr>
              <w:spacing w:after="0"/>
              <w:rPr>
                <w:sz w:val="18"/>
                <w:szCs w:val="18"/>
                <w:color w:val="auto"/>
              </w:rPr>
            </w:pPr>
          </w:p>
        </w:tc>
        <w:tc>
          <w:tcPr>
            <w:tcW w:w="520" w:type="dxa"/>
            <w:vAlign w:val="bottom"/>
            <w:tcBorders>
              <w:top w:val="single" w:sz="8" w:color="0000FF"/>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40" w:type="dxa"/>
            <w:vAlign w:val="bottom"/>
            <w:tcBorders>
              <w:top w:val="single" w:sz="8" w:color="DBDBDB"/>
            </w:tcBorders>
            <w:shd w:val="clear" w:color="auto" w:fill="DBDBDB"/>
          </w:tcPr>
          <w:p>
            <w:pPr>
              <w:spacing w:after="0"/>
              <w:rPr>
                <w:sz w:val="18"/>
                <w:szCs w:val="18"/>
                <w:color w:val="auto"/>
              </w:rPr>
            </w:pPr>
          </w:p>
        </w:tc>
        <w:tc>
          <w:tcPr>
            <w:tcW w:w="60" w:type="dxa"/>
            <w:vAlign w:val="bottom"/>
            <w:tcBorders>
              <w:top w:val="single" w:sz="8" w:color="DBDBDB"/>
            </w:tcBorders>
            <w:shd w:val="clear" w:color="auto" w:fill="DBDBDB"/>
          </w:tcPr>
          <w:p>
            <w:pPr>
              <w:spacing w:after="0"/>
              <w:rPr>
                <w:sz w:val="18"/>
                <w:szCs w:val="18"/>
                <w:color w:val="auto"/>
              </w:rPr>
            </w:pPr>
          </w:p>
        </w:tc>
        <w:tc>
          <w:tcPr>
            <w:tcW w:w="480" w:type="dxa"/>
            <w:vAlign w:val="bottom"/>
            <w:tcBorders>
              <w:top w:val="single" w:sz="8" w:color="DBDBDB"/>
            </w:tcBorders>
            <w:shd w:val="clear" w:color="auto" w:fill="DBDBDB"/>
          </w:tcPr>
          <w:p>
            <w:pPr>
              <w:spacing w:after="0"/>
              <w:rPr>
                <w:sz w:val="18"/>
                <w:szCs w:val="18"/>
                <w:color w:val="auto"/>
              </w:rPr>
            </w:pPr>
          </w:p>
        </w:tc>
        <w:tc>
          <w:tcPr>
            <w:tcW w:w="480" w:type="dxa"/>
            <w:vAlign w:val="bottom"/>
            <w:tcBorders>
              <w:top w:val="single" w:sz="8" w:color="DBDBDB"/>
            </w:tcBorders>
            <w:shd w:val="clear" w:color="auto" w:fill="DBDBDB"/>
          </w:tcPr>
          <w:p>
            <w:pPr>
              <w:spacing w:after="0"/>
              <w:rPr>
                <w:sz w:val="18"/>
                <w:szCs w:val="18"/>
                <w:color w:val="auto"/>
              </w:rPr>
            </w:pPr>
          </w:p>
        </w:tc>
        <w:tc>
          <w:tcPr>
            <w:tcW w:w="7600" w:type="dxa"/>
            <w:vAlign w:val="bottom"/>
            <w:tcBorders>
              <w:top w:val="single" w:sz="8" w:color="0000FF"/>
            </w:tcBorders>
            <w:gridSpan w:val="21"/>
            <w:shd w:val="clear" w:color="auto" w:fill="DBDBDB"/>
          </w:tcPr>
          <w:p>
            <w:pPr>
              <w:spacing w:after="0" w:line="182" w:lineRule="exact"/>
              <w:rPr>
                <w:sz w:val="20"/>
                <w:szCs w:val="20"/>
                <w:color w:val="auto"/>
              </w:rPr>
            </w:pPr>
            <w:r>
              <w:rPr>
                <w:rFonts w:ascii="Arial" w:cs="Arial" w:eastAsia="Arial" w:hAnsi="Arial"/>
                <w:sz w:val="18"/>
                <w:szCs w:val="18"/>
                <w:color w:val="0000FF"/>
              </w:rPr>
              <w:t>ISSUER PURCHASES OF EQUITY SECURITIES</w:t>
            </w:r>
          </w:p>
        </w:tc>
        <w:tc>
          <w:tcPr>
            <w:tcW w:w="100" w:type="dxa"/>
            <w:vAlign w:val="bottom"/>
            <w:tcBorders>
              <w:top w:val="single" w:sz="8" w:color="DBDBDB"/>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DBDBDB"/>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126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DBDBDB"/>
            </w:tcBorders>
            <w:gridSpan w:val="2"/>
            <w:vMerge w:val="continue"/>
            <w:shd w:val="clear" w:color="auto" w:fill="DBDBDB"/>
          </w:tcPr>
          <w:p>
            <w:pPr>
              <w:spacing w:after="0"/>
              <w:rPr>
                <w:sz w:val="18"/>
                <w:szCs w:val="18"/>
                <w:color w:val="auto"/>
              </w:rPr>
            </w:pPr>
          </w:p>
        </w:tc>
        <w:tc>
          <w:tcPr>
            <w:tcW w:w="20" w:type="dxa"/>
            <w:vAlign w:val="bottom"/>
            <w:tcBorders>
              <w:top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DBDBDB"/>
            </w:tcBorders>
          </w:tcPr>
          <w:p>
            <w:pPr>
              <w:spacing w:after="0"/>
              <w:rPr>
                <w:sz w:val="17"/>
                <w:szCs w:val="17"/>
                <w:color w:val="auto"/>
              </w:rPr>
            </w:pPr>
          </w:p>
        </w:tc>
        <w:tc>
          <w:tcPr>
            <w:tcW w:w="1180" w:type="dxa"/>
            <w:vAlign w:val="bottom"/>
            <w:tcBorders>
              <w:top w:val="single" w:sz="8" w:color="DBDBDB"/>
            </w:tcBorders>
            <w:gridSpan w:val="5"/>
          </w:tcPr>
          <w:p>
            <w:pPr>
              <w:spacing w:after="0" w:line="202" w:lineRule="exact"/>
              <w:rPr>
                <w:sz w:val="20"/>
                <w:szCs w:val="20"/>
                <w:color w:val="auto"/>
              </w:rPr>
            </w:pPr>
            <w:r>
              <w:rPr>
                <w:rFonts w:ascii="Arial" w:cs="Arial" w:eastAsia="Arial" w:hAnsi="Arial"/>
                <w:sz w:val="18"/>
                <w:szCs w:val="18"/>
                <w:color w:val="0000FF"/>
              </w:rPr>
              <w:t>Item 6.</w:t>
            </w:r>
          </w:p>
        </w:tc>
        <w:tc>
          <w:tcPr>
            <w:tcW w:w="480" w:type="dxa"/>
            <w:vAlign w:val="bottom"/>
            <w:tcBorders>
              <w:top w:val="single" w:sz="8" w:color="DBDBDB"/>
            </w:tcBorders>
          </w:tcPr>
          <w:p>
            <w:pPr>
              <w:spacing w:after="0"/>
              <w:rPr>
                <w:sz w:val="17"/>
                <w:szCs w:val="17"/>
                <w:color w:val="auto"/>
              </w:rPr>
            </w:pPr>
          </w:p>
        </w:tc>
        <w:tc>
          <w:tcPr>
            <w:tcW w:w="3760" w:type="dxa"/>
            <w:vAlign w:val="bottom"/>
            <w:tcBorders>
              <w:top w:val="single" w:sz="8" w:color="0000FF"/>
            </w:tcBorders>
            <w:gridSpan w:val="14"/>
          </w:tcPr>
          <w:p>
            <w:pPr>
              <w:spacing w:after="0" w:line="202" w:lineRule="exact"/>
              <w:rPr>
                <w:sz w:val="20"/>
                <w:szCs w:val="20"/>
                <w:color w:val="auto"/>
              </w:rPr>
            </w:pPr>
            <w:r>
              <w:rPr>
                <w:rFonts w:ascii="Arial" w:cs="Arial" w:eastAsia="Arial" w:hAnsi="Arial"/>
                <w:sz w:val="18"/>
                <w:szCs w:val="18"/>
                <w:color w:val="0000FF"/>
              </w:rPr>
              <w:t>RESERVED</w:t>
            </w:r>
          </w:p>
        </w:tc>
        <w:tc>
          <w:tcPr>
            <w:tcW w:w="5520" w:type="dxa"/>
            <w:vAlign w:val="bottom"/>
            <w:tcBorders>
              <w:top w:val="single" w:sz="8" w:color="DBDBDB"/>
            </w:tcBorders>
            <w:gridSpan w:val="1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sz w:val="20"/>
                <w:szCs w:val="20"/>
                <w:color w:val="auto"/>
              </w:rPr>
            </w:pPr>
            <w:r>
              <w:rPr>
                <w:rFonts w:ascii="Arial" w:cs="Arial" w:eastAsia="Arial" w:hAnsi="Arial"/>
                <w:sz w:val="18"/>
                <w:szCs w:val="18"/>
                <w:color w:val="0000EE"/>
                <w:w w:val="79"/>
              </w:rPr>
              <w:t>20</w:t>
            </w:r>
          </w:p>
        </w:tc>
        <w:tc>
          <w:tcPr>
            <w:tcW w:w="2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7.</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0000EE"/>
                <w:w w:val="79"/>
              </w:rPr>
              <w:t>20</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DBDBDB"/>
            </w:tcBorders>
            <w:shd w:val="clear" w:color="auto" w:fill="DBDBDB"/>
          </w:tcPr>
          <w:p>
            <w:pPr>
              <w:spacing w:after="0"/>
              <w:rPr>
                <w:sz w:val="15"/>
                <w:szCs w:val="15"/>
                <w:color w:val="auto"/>
              </w:rPr>
            </w:pPr>
          </w:p>
        </w:tc>
        <w:tc>
          <w:tcPr>
            <w:tcW w:w="520" w:type="dxa"/>
            <w:vAlign w:val="bottom"/>
            <w:tcBorders>
              <w:top w:val="single" w:sz="8" w:color="0000FF"/>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40" w:type="dxa"/>
            <w:vAlign w:val="bottom"/>
            <w:tcBorders>
              <w:top w:val="single" w:sz="8" w:color="DBDBDB"/>
            </w:tcBorders>
            <w:shd w:val="clear" w:color="auto" w:fill="DBDBDB"/>
          </w:tcPr>
          <w:p>
            <w:pPr>
              <w:spacing w:after="0"/>
              <w:rPr>
                <w:sz w:val="15"/>
                <w:szCs w:val="15"/>
                <w:color w:val="auto"/>
              </w:rPr>
            </w:pPr>
          </w:p>
        </w:tc>
        <w:tc>
          <w:tcPr>
            <w:tcW w:w="60" w:type="dxa"/>
            <w:vAlign w:val="bottom"/>
            <w:tcBorders>
              <w:top w:val="single" w:sz="8" w:color="DBDBDB"/>
            </w:tcBorders>
            <w:shd w:val="clear" w:color="auto" w:fill="DBDBDB"/>
          </w:tcPr>
          <w:p>
            <w:pPr>
              <w:spacing w:after="0"/>
              <w:rPr>
                <w:sz w:val="15"/>
                <w:szCs w:val="15"/>
                <w:color w:val="auto"/>
              </w:rPr>
            </w:pPr>
          </w:p>
        </w:tc>
        <w:tc>
          <w:tcPr>
            <w:tcW w:w="480" w:type="dxa"/>
            <w:vAlign w:val="bottom"/>
            <w:tcBorders>
              <w:top w:val="single" w:sz="8" w:color="DBDBDB"/>
            </w:tcBorders>
            <w:shd w:val="clear" w:color="auto" w:fill="DBDBDB"/>
          </w:tcPr>
          <w:p>
            <w:pPr>
              <w:spacing w:after="0"/>
              <w:rPr>
                <w:sz w:val="15"/>
                <w:szCs w:val="15"/>
                <w:color w:val="auto"/>
              </w:rPr>
            </w:pPr>
          </w:p>
        </w:tc>
        <w:tc>
          <w:tcPr>
            <w:tcW w:w="480" w:type="dxa"/>
            <w:vAlign w:val="bottom"/>
            <w:tcBorders>
              <w:top w:val="single" w:sz="8" w:color="DBDBDB"/>
            </w:tcBorders>
            <w:shd w:val="clear" w:color="auto" w:fill="DBDBDB"/>
          </w:tcPr>
          <w:p>
            <w:pPr>
              <w:spacing w:after="0"/>
              <w:rPr>
                <w:sz w:val="15"/>
                <w:szCs w:val="15"/>
                <w:color w:val="auto"/>
              </w:rPr>
            </w:pPr>
          </w:p>
        </w:tc>
        <w:tc>
          <w:tcPr>
            <w:tcW w:w="7780" w:type="dxa"/>
            <w:vAlign w:val="bottom"/>
            <w:tcBorders>
              <w:top w:val="single" w:sz="8" w:color="0000FF"/>
            </w:tcBorders>
            <w:gridSpan w:val="23"/>
            <w:shd w:val="clear" w:color="auto" w:fill="DBDBDB"/>
          </w:tcPr>
          <w:p>
            <w:pPr>
              <w:spacing w:after="0" w:line="182" w:lineRule="exact"/>
              <w:rPr>
                <w:sz w:val="20"/>
                <w:szCs w:val="20"/>
                <w:color w:val="auto"/>
              </w:rPr>
            </w:pPr>
            <w:r>
              <w:rPr>
                <w:rFonts w:ascii="Arial" w:cs="Arial" w:eastAsia="Arial" w:hAnsi="Arial"/>
                <w:sz w:val="18"/>
                <w:szCs w:val="18"/>
                <w:color w:val="0000FF"/>
              </w:rPr>
              <w:t>OPERATIONS</w:t>
            </w:r>
          </w:p>
        </w:tc>
        <w:tc>
          <w:tcPr>
            <w:tcW w:w="160" w:type="dxa"/>
            <w:vAlign w:val="bottom"/>
            <w:tcBorders>
              <w:top w:val="single" w:sz="8" w:color="DBDBDB"/>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26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DBDBDB"/>
            </w:tcBorders>
            <w:gridSpan w:val="2"/>
            <w:vMerge w:val="continue"/>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62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color w:val="0000FF"/>
              </w:rPr>
              <w:t>Item 7A.</w:t>
            </w:r>
          </w:p>
        </w:tc>
        <w:tc>
          <w:tcPr>
            <w:tcW w:w="480" w:type="dxa"/>
            <w:vAlign w:val="bottom"/>
          </w:tcPr>
          <w:p>
            <w:pPr>
              <w:spacing w:after="0"/>
              <w:rPr>
                <w:sz w:val="17"/>
                <w:szCs w:val="17"/>
                <w:color w:val="auto"/>
              </w:rPr>
            </w:pPr>
          </w:p>
        </w:tc>
        <w:tc>
          <w:tcPr>
            <w:tcW w:w="9280" w:type="dxa"/>
            <w:vAlign w:val="bottom"/>
            <w:gridSpan w:val="26"/>
          </w:tcPr>
          <w:p>
            <w:pPr>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EE"/>
                <w:w w:val="79"/>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line="202" w:lineRule="exact"/>
              <w:rPr>
                <w:sz w:val="20"/>
                <w:szCs w:val="20"/>
                <w:color w:val="auto"/>
              </w:rPr>
            </w:pPr>
            <w:r>
              <w:rPr>
                <w:rFonts w:ascii="Arial" w:cs="Arial" w:eastAsia="Arial" w:hAnsi="Arial"/>
                <w:sz w:val="18"/>
                <w:szCs w:val="18"/>
                <w:color w:val="0000FF"/>
                <w:w w:val="90"/>
              </w:rPr>
              <w:t>Item 8.</w:t>
            </w:r>
          </w:p>
        </w:tc>
        <w:tc>
          <w:tcPr>
            <w:tcW w:w="660" w:type="dxa"/>
            <w:vAlign w:val="bottom"/>
            <w:gridSpan w:val="4"/>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928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0000FF"/>
              </w:rPr>
              <w:t>FINANCIAL STATEMENTS AND SUPPLEMENTARY DATA</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37</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62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940" w:type="dxa"/>
            <w:vAlign w:val="bottom"/>
            <w:tcBorders>
              <w:top w:val="single" w:sz="8" w:color="0000FF"/>
            </w:tcBorders>
            <w:shd w:val="clear" w:color="auto" w:fill="DBDBDB"/>
          </w:tcPr>
          <w:p>
            <w:pPr>
              <w:spacing w:after="0"/>
              <w:rPr>
                <w:sz w:val="2"/>
                <w:szCs w:val="2"/>
                <w:color w:val="auto"/>
              </w:rPr>
            </w:pPr>
          </w:p>
        </w:tc>
        <w:tc>
          <w:tcPr>
            <w:tcW w:w="200" w:type="dxa"/>
            <w:vAlign w:val="bottom"/>
            <w:tcBorders>
              <w:top w:val="single" w:sz="8" w:color="0000FF"/>
            </w:tcBorders>
            <w:shd w:val="clear" w:color="auto" w:fill="DBDBDB"/>
          </w:tcPr>
          <w:p>
            <w:pPr>
              <w:spacing w:after="0"/>
              <w:rPr>
                <w:sz w:val="2"/>
                <w:szCs w:val="2"/>
                <w:color w:val="auto"/>
              </w:rPr>
            </w:pPr>
          </w:p>
        </w:tc>
        <w:tc>
          <w:tcPr>
            <w:tcW w:w="48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0000FF"/>
                <w:w w:val="90"/>
              </w:rPr>
              <w:t>Item 9.</w:t>
            </w:r>
          </w:p>
        </w:tc>
        <w:tc>
          <w:tcPr>
            <w:tcW w:w="66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26"/>
          </w:tcPr>
          <w:p>
            <w:pPr>
              <w:spacing w:after="0" w:line="202"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w w:val="79"/>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4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DISCLOSURE</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DBDBDB"/>
          </w:tcPr>
          <w:p>
            <w:pPr>
              <w:spacing w:after="0"/>
              <w:rPr>
                <w:sz w:val="20"/>
                <w:szCs w:val="20"/>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9A.</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CONTROLS AND PROCEDURES</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76</w:t>
            </w: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DBDBDB"/>
            </w:tcBorders>
          </w:tcPr>
          <w:p>
            <w:pPr>
              <w:spacing w:after="0"/>
              <w:rPr>
                <w:sz w:val="17"/>
                <w:szCs w:val="17"/>
                <w:color w:val="auto"/>
              </w:rPr>
            </w:pPr>
          </w:p>
        </w:tc>
        <w:tc>
          <w:tcPr>
            <w:tcW w:w="640" w:type="dxa"/>
            <w:vAlign w:val="bottom"/>
            <w:tcBorders>
              <w:top w:val="single" w:sz="8" w:color="0000FF"/>
            </w:tcBorders>
            <w:gridSpan w:val="3"/>
          </w:tcPr>
          <w:p>
            <w:pPr>
              <w:spacing w:after="0" w:line="202" w:lineRule="exact"/>
              <w:rPr>
                <w:sz w:val="20"/>
                <w:szCs w:val="20"/>
                <w:color w:val="auto"/>
              </w:rPr>
            </w:pPr>
            <w:r>
              <w:rPr>
                <w:rFonts w:ascii="Arial" w:cs="Arial" w:eastAsia="Arial" w:hAnsi="Arial"/>
                <w:sz w:val="18"/>
                <w:szCs w:val="18"/>
                <w:color w:val="0000FF"/>
                <w:w w:val="92"/>
              </w:rPr>
              <w:t>Item 9B.</w:t>
            </w:r>
          </w:p>
        </w:tc>
        <w:tc>
          <w:tcPr>
            <w:tcW w:w="540" w:type="dxa"/>
            <w:vAlign w:val="bottom"/>
            <w:tcBorders>
              <w:top w:val="single" w:sz="8" w:color="DBDBDB"/>
            </w:tcBorders>
            <w:gridSpan w:val="2"/>
          </w:tcPr>
          <w:p>
            <w:pPr>
              <w:spacing w:after="0"/>
              <w:rPr>
                <w:sz w:val="17"/>
                <w:szCs w:val="17"/>
                <w:color w:val="auto"/>
              </w:rPr>
            </w:pPr>
          </w:p>
        </w:tc>
        <w:tc>
          <w:tcPr>
            <w:tcW w:w="480" w:type="dxa"/>
            <w:vAlign w:val="bottom"/>
            <w:tcBorders>
              <w:top w:val="single" w:sz="8" w:color="DBDBDB"/>
            </w:tcBorders>
          </w:tcPr>
          <w:p>
            <w:pPr>
              <w:spacing w:after="0"/>
              <w:rPr>
                <w:sz w:val="17"/>
                <w:szCs w:val="17"/>
                <w:color w:val="auto"/>
              </w:rPr>
            </w:pPr>
          </w:p>
        </w:tc>
        <w:tc>
          <w:tcPr>
            <w:tcW w:w="2600" w:type="dxa"/>
            <w:vAlign w:val="bottom"/>
            <w:tcBorders>
              <w:top w:val="single" w:sz="8" w:color="0000FF"/>
            </w:tcBorders>
            <w:gridSpan w:val="12"/>
          </w:tcPr>
          <w:p>
            <w:pPr>
              <w:spacing w:after="0" w:line="202" w:lineRule="exact"/>
              <w:rPr>
                <w:sz w:val="20"/>
                <w:szCs w:val="20"/>
                <w:color w:val="auto"/>
              </w:rPr>
            </w:pPr>
            <w:r>
              <w:rPr>
                <w:rFonts w:ascii="Arial" w:cs="Arial" w:eastAsia="Arial" w:hAnsi="Arial"/>
                <w:sz w:val="18"/>
                <w:szCs w:val="18"/>
                <w:color w:val="0000FF"/>
              </w:rPr>
              <w:t>OTHER INFORMATION</w:t>
            </w:r>
          </w:p>
        </w:tc>
        <w:tc>
          <w:tcPr>
            <w:tcW w:w="6680" w:type="dxa"/>
            <w:vAlign w:val="bottom"/>
            <w:tcBorders>
              <w:top w:val="single" w:sz="8" w:color="DBDBDB"/>
            </w:tcBorders>
            <w:gridSpan w:val="1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sz w:val="20"/>
                <w:szCs w:val="20"/>
                <w:color w:val="auto"/>
              </w:rPr>
            </w:pPr>
            <w:r>
              <w:rPr>
                <w:rFonts w:ascii="Arial" w:cs="Arial" w:eastAsia="Arial" w:hAnsi="Arial"/>
                <w:sz w:val="18"/>
                <w:szCs w:val="18"/>
                <w:color w:val="0000EE"/>
                <w:w w:val="79"/>
              </w:rPr>
              <w:t>78</w:t>
            </w:r>
          </w:p>
        </w:tc>
        <w:tc>
          <w:tcPr>
            <w:tcW w:w="2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640" w:type="dxa"/>
            <w:vAlign w:val="bottom"/>
            <w:gridSpan w:val="3"/>
            <w:shd w:val="clear" w:color="auto" w:fill="DBDBDB"/>
          </w:tcPr>
          <w:p>
            <w:pPr>
              <w:spacing w:after="0" w:line="202" w:lineRule="exact"/>
              <w:rPr>
                <w:sz w:val="20"/>
                <w:szCs w:val="20"/>
                <w:color w:val="auto"/>
              </w:rPr>
            </w:pPr>
            <w:r>
              <w:rPr>
                <w:rFonts w:ascii="Arial" w:cs="Arial" w:eastAsia="Arial" w:hAnsi="Arial"/>
                <w:sz w:val="18"/>
                <w:szCs w:val="18"/>
                <w:color w:val="0000FF"/>
                <w:w w:val="91"/>
              </w:rPr>
              <w:t>Item 9C.</w:t>
            </w:r>
          </w:p>
        </w:tc>
        <w:tc>
          <w:tcPr>
            <w:tcW w:w="540" w:type="dxa"/>
            <w:vAlign w:val="bottom"/>
            <w:gridSpan w:val="2"/>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928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78</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62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940" w:type="dxa"/>
            <w:vAlign w:val="bottom"/>
            <w:tcBorders>
              <w:top w:val="single" w:sz="8" w:color="0000FF"/>
            </w:tcBorders>
            <w:shd w:val="clear" w:color="auto" w:fill="DBDBDB"/>
          </w:tcPr>
          <w:p>
            <w:pPr>
              <w:spacing w:after="0"/>
              <w:rPr>
                <w:sz w:val="2"/>
                <w:szCs w:val="2"/>
                <w:color w:val="auto"/>
              </w:rPr>
            </w:pPr>
          </w:p>
        </w:tc>
        <w:tc>
          <w:tcPr>
            <w:tcW w:w="200" w:type="dxa"/>
            <w:vAlign w:val="bottom"/>
            <w:tcBorders>
              <w:top w:val="single" w:sz="8" w:color="0000FF"/>
            </w:tcBorders>
            <w:shd w:val="clear" w:color="auto" w:fill="DBDBDB"/>
          </w:tcPr>
          <w:p>
            <w:pPr>
              <w:spacing w:after="0"/>
              <w:rPr>
                <w:sz w:val="2"/>
                <w:szCs w:val="2"/>
                <w:color w:val="auto"/>
              </w:rPr>
            </w:pPr>
          </w:p>
        </w:tc>
        <w:tc>
          <w:tcPr>
            <w:tcW w:w="48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1140" w:type="dxa"/>
            <w:vAlign w:val="bottom"/>
            <w:tcBorders>
              <w:top w:val="single" w:sz="8" w:color="0000FF"/>
            </w:tcBorders>
            <w:shd w:val="clear" w:color="auto" w:fill="DBDBDB"/>
          </w:tcPr>
          <w:p>
            <w:pPr>
              <w:spacing w:after="0"/>
              <w:rPr>
                <w:sz w:val="2"/>
                <w:szCs w:val="2"/>
                <w:color w:val="auto"/>
              </w:rPr>
            </w:pPr>
          </w:p>
        </w:tc>
        <w:tc>
          <w:tcPr>
            <w:tcW w:w="340" w:type="dxa"/>
            <w:vAlign w:val="bottom"/>
            <w:tcBorders>
              <w:top w:val="single" w:sz="8" w:color="0000FF"/>
            </w:tcBorders>
            <w:shd w:val="clear" w:color="auto" w:fill="DBDBDB"/>
          </w:tcPr>
          <w:p>
            <w:pPr>
              <w:spacing w:after="0"/>
              <w:rPr>
                <w:sz w:val="2"/>
                <w:szCs w:val="2"/>
                <w:color w:val="auto"/>
              </w:rPr>
            </w:pPr>
          </w:p>
        </w:tc>
        <w:tc>
          <w:tcPr>
            <w:tcW w:w="820" w:type="dxa"/>
            <w:vAlign w:val="bottom"/>
            <w:tcBorders>
              <w:top w:val="single" w:sz="8" w:color="0000FF"/>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color w:val="0000FF"/>
              </w:rPr>
              <w:t>PART III.</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DBDBDB"/>
          </w:tcPr>
          <w:p>
            <w:pPr>
              <w:spacing w:after="0"/>
              <w:rPr>
                <w:sz w:val="20"/>
                <w:szCs w:val="20"/>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10.</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DIRECTORS, EXECUTIVE OFFICERS AND CORPORATE GOVERNANCE</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79</w:t>
            </w: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DBDBDB"/>
            </w:tcBorders>
          </w:tcPr>
          <w:p>
            <w:pPr>
              <w:spacing w:after="0"/>
              <w:rPr>
                <w:sz w:val="17"/>
                <w:szCs w:val="17"/>
                <w:color w:val="auto"/>
              </w:rPr>
            </w:pPr>
          </w:p>
        </w:tc>
        <w:tc>
          <w:tcPr>
            <w:tcW w:w="600" w:type="dxa"/>
            <w:vAlign w:val="bottom"/>
            <w:tcBorders>
              <w:top w:val="single" w:sz="8" w:color="0000FF"/>
            </w:tcBorders>
            <w:gridSpan w:val="2"/>
          </w:tcPr>
          <w:p>
            <w:pPr>
              <w:spacing w:after="0" w:line="202" w:lineRule="exact"/>
              <w:rPr>
                <w:sz w:val="20"/>
                <w:szCs w:val="20"/>
                <w:color w:val="auto"/>
              </w:rPr>
            </w:pPr>
            <w:r>
              <w:rPr>
                <w:rFonts w:ascii="Arial" w:cs="Arial" w:eastAsia="Arial" w:hAnsi="Arial"/>
                <w:sz w:val="18"/>
                <w:szCs w:val="18"/>
                <w:color w:val="0000FF"/>
                <w:w w:val="89"/>
              </w:rPr>
              <w:t>Item 11.</w:t>
            </w:r>
          </w:p>
        </w:tc>
        <w:tc>
          <w:tcPr>
            <w:tcW w:w="580" w:type="dxa"/>
            <w:vAlign w:val="bottom"/>
            <w:tcBorders>
              <w:top w:val="single" w:sz="8" w:color="DBDBDB"/>
            </w:tcBorders>
            <w:gridSpan w:val="3"/>
          </w:tcPr>
          <w:p>
            <w:pPr>
              <w:spacing w:after="0"/>
              <w:rPr>
                <w:sz w:val="17"/>
                <w:szCs w:val="17"/>
                <w:color w:val="auto"/>
              </w:rPr>
            </w:pPr>
          </w:p>
        </w:tc>
        <w:tc>
          <w:tcPr>
            <w:tcW w:w="480" w:type="dxa"/>
            <w:vAlign w:val="bottom"/>
            <w:tcBorders>
              <w:top w:val="single" w:sz="8" w:color="DBDBDB"/>
            </w:tcBorders>
          </w:tcPr>
          <w:p>
            <w:pPr>
              <w:spacing w:after="0"/>
              <w:rPr>
                <w:sz w:val="17"/>
                <w:szCs w:val="17"/>
                <w:color w:val="auto"/>
              </w:rPr>
            </w:pPr>
          </w:p>
        </w:tc>
        <w:tc>
          <w:tcPr>
            <w:tcW w:w="5800" w:type="dxa"/>
            <w:vAlign w:val="bottom"/>
            <w:tcBorders>
              <w:top w:val="single" w:sz="8" w:color="0000FF"/>
            </w:tcBorders>
            <w:gridSpan w:val="18"/>
          </w:tcPr>
          <w:p>
            <w:pPr>
              <w:spacing w:after="0" w:line="202" w:lineRule="exact"/>
              <w:rPr>
                <w:sz w:val="20"/>
                <w:szCs w:val="20"/>
                <w:color w:val="auto"/>
              </w:rPr>
            </w:pPr>
            <w:r>
              <w:rPr>
                <w:rFonts w:ascii="Arial" w:cs="Arial" w:eastAsia="Arial" w:hAnsi="Arial"/>
                <w:sz w:val="18"/>
                <w:szCs w:val="18"/>
                <w:color w:val="0000FF"/>
              </w:rPr>
              <w:t>EXECUTIVE COMPENSATION</w:t>
            </w:r>
          </w:p>
        </w:tc>
        <w:tc>
          <w:tcPr>
            <w:tcW w:w="3480" w:type="dxa"/>
            <w:vAlign w:val="bottom"/>
            <w:tcBorders>
              <w:top w:val="single" w:sz="8" w:color="DBDBDB"/>
            </w:tcBorders>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sz w:val="20"/>
                <w:szCs w:val="20"/>
                <w:color w:val="auto"/>
              </w:rPr>
            </w:pPr>
            <w:r>
              <w:rPr>
                <w:rFonts w:ascii="Arial" w:cs="Arial" w:eastAsia="Arial" w:hAnsi="Arial"/>
                <w:sz w:val="18"/>
                <w:szCs w:val="18"/>
                <w:color w:val="0000EE"/>
                <w:w w:val="79"/>
              </w:rPr>
              <w:t>79</w:t>
            </w:r>
          </w:p>
        </w:tc>
        <w:tc>
          <w:tcPr>
            <w:tcW w:w="2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12.</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SECURITY OWNERSHIP OF CERTAIN BENEFICIAL OWNERS AND MANAGEMENT AND RELATED</w:t>
            </w: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0000EE"/>
                <w:w w:val="79"/>
              </w:rPr>
              <w:t>79</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DBDBDB"/>
            </w:tcBorders>
            <w:shd w:val="clear" w:color="auto" w:fill="DBDBDB"/>
          </w:tcPr>
          <w:p>
            <w:pPr>
              <w:spacing w:after="0"/>
              <w:rPr>
                <w:sz w:val="15"/>
                <w:szCs w:val="15"/>
                <w:color w:val="auto"/>
              </w:rPr>
            </w:pPr>
          </w:p>
        </w:tc>
        <w:tc>
          <w:tcPr>
            <w:tcW w:w="520" w:type="dxa"/>
            <w:vAlign w:val="bottom"/>
            <w:tcBorders>
              <w:top w:val="single" w:sz="8" w:color="0000FF"/>
            </w:tcBorders>
            <w:shd w:val="clear" w:color="auto" w:fill="DBDBDB"/>
          </w:tcPr>
          <w:p>
            <w:pPr>
              <w:spacing w:after="0"/>
              <w:rPr>
                <w:sz w:val="15"/>
                <w:szCs w:val="15"/>
                <w:color w:val="auto"/>
              </w:rPr>
            </w:pPr>
          </w:p>
        </w:tc>
        <w:tc>
          <w:tcPr>
            <w:tcW w:w="80" w:type="dxa"/>
            <w:vAlign w:val="bottom"/>
            <w:tcBorders>
              <w:top w:val="single" w:sz="8" w:color="0000FF"/>
            </w:tcBorders>
            <w:shd w:val="clear" w:color="auto" w:fill="DBDBDB"/>
          </w:tcPr>
          <w:p>
            <w:pPr>
              <w:spacing w:after="0"/>
              <w:rPr>
                <w:sz w:val="15"/>
                <w:szCs w:val="15"/>
                <w:color w:val="auto"/>
              </w:rPr>
            </w:pPr>
          </w:p>
        </w:tc>
        <w:tc>
          <w:tcPr>
            <w:tcW w:w="40" w:type="dxa"/>
            <w:vAlign w:val="bottom"/>
            <w:tcBorders>
              <w:top w:val="single" w:sz="8" w:color="DBDBDB"/>
            </w:tcBorders>
            <w:shd w:val="clear" w:color="auto" w:fill="DBDBDB"/>
          </w:tcPr>
          <w:p>
            <w:pPr>
              <w:spacing w:after="0"/>
              <w:rPr>
                <w:sz w:val="15"/>
                <w:szCs w:val="15"/>
                <w:color w:val="auto"/>
              </w:rPr>
            </w:pPr>
          </w:p>
        </w:tc>
        <w:tc>
          <w:tcPr>
            <w:tcW w:w="60" w:type="dxa"/>
            <w:vAlign w:val="bottom"/>
            <w:tcBorders>
              <w:top w:val="single" w:sz="8" w:color="DBDBDB"/>
            </w:tcBorders>
            <w:shd w:val="clear" w:color="auto" w:fill="DBDBDB"/>
          </w:tcPr>
          <w:p>
            <w:pPr>
              <w:spacing w:after="0"/>
              <w:rPr>
                <w:sz w:val="15"/>
                <w:szCs w:val="15"/>
                <w:color w:val="auto"/>
              </w:rPr>
            </w:pPr>
          </w:p>
        </w:tc>
        <w:tc>
          <w:tcPr>
            <w:tcW w:w="480" w:type="dxa"/>
            <w:vAlign w:val="bottom"/>
            <w:tcBorders>
              <w:top w:val="single" w:sz="8" w:color="DBDBDB"/>
            </w:tcBorders>
            <w:shd w:val="clear" w:color="auto" w:fill="DBDBDB"/>
          </w:tcPr>
          <w:p>
            <w:pPr>
              <w:spacing w:after="0"/>
              <w:rPr>
                <w:sz w:val="15"/>
                <w:szCs w:val="15"/>
                <w:color w:val="auto"/>
              </w:rPr>
            </w:pPr>
          </w:p>
        </w:tc>
        <w:tc>
          <w:tcPr>
            <w:tcW w:w="480" w:type="dxa"/>
            <w:vAlign w:val="bottom"/>
            <w:tcBorders>
              <w:top w:val="single" w:sz="8" w:color="DBDBDB"/>
            </w:tcBorders>
            <w:shd w:val="clear" w:color="auto" w:fill="DBDBDB"/>
          </w:tcPr>
          <w:p>
            <w:pPr>
              <w:spacing w:after="0"/>
              <w:rPr>
                <w:sz w:val="15"/>
                <w:szCs w:val="15"/>
                <w:color w:val="auto"/>
              </w:rPr>
            </w:pPr>
          </w:p>
        </w:tc>
        <w:tc>
          <w:tcPr>
            <w:tcW w:w="8020" w:type="dxa"/>
            <w:vAlign w:val="bottom"/>
            <w:tcBorders>
              <w:top w:val="single" w:sz="8" w:color="0000FF"/>
            </w:tcBorders>
            <w:gridSpan w:val="25"/>
            <w:shd w:val="clear" w:color="auto" w:fill="DBDBDB"/>
          </w:tcPr>
          <w:p>
            <w:pPr>
              <w:spacing w:after="0" w:line="182" w:lineRule="exact"/>
              <w:rPr>
                <w:sz w:val="20"/>
                <w:szCs w:val="20"/>
                <w:color w:val="auto"/>
              </w:rPr>
            </w:pPr>
            <w:r>
              <w:rPr>
                <w:rFonts w:ascii="Arial" w:cs="Arial" w:eastAsia="Arial" w:hAnsi="Arial"/>
                <w:sz w:val="18"/>
                <w:szCs w:val="18"/>
                <w:color w:val="0000FF"/>
              </w:rPr>
              <w:t>STOCKHOLDER MATTERS</w:t>
            </w:r>
          </w:p>
        </w:tc>
        <w:tc>
          <w:tcPr>
            <w:tcW w:w="126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DBDBDB"/>
            </w:tcBorders>
            <w:gridSpan w:val="2"/>
            <w:vMerge w:val="continue"/>
            <w:shd w:val="clear" w:color="auto" w:fill="DBDBDB"/>
          </w:tcPr>
          <w:p>
            <w:pPr>
              <w:spacing w:after="0"/>
              <w:rPr>
                <w:sz w:val="15"/>
                <w:szCs w:val="15"/>
                <w:color w:val="auto"/>
              </w:rPr>
            </w:pPr>
          </w:p>
        </w:tc>
        <w:tc>
          <w:tcPr>
            <w:tcW w:w="20" w:type="dxa"/>
            <w:vAlign w:val="bottom"/>
            <w:tcBorders>
              <w:top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62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color w:val="0000FF"/>
              </w:rPr>
              <w:t>Item 13.</w:t>
            </w:r>
          </w:p>
        </w:tc>
        <w:tc>
          <w:tcPr>
            <w:tcW w:w="480" w:type="dxa"/>
            <w:vAlign w:val="bottom"/>
          </w:tcPr>
          <w:p>
            <w:pPr>
              <w:spacing w:after="0"/>
              <w:rPr>
                <w:sz w:val="17"/>
                <w:szCs w:val="17"/>
                <w:color w:val="auto"/>
              </w:rPr>
            </w:pPr>
          </w:p>
        </w:tc>
        <w:tc>
          <w:tcPr>
            <w:tcW w:w="9280" w:type="dxa"/>
            <w:vAlign w:val="bottom"/>
            <w:gridSpan w:val="26"/>
          </w:tcPr>
          <w:p>
            <w:pPr>
              <w:spacing w:after="0" w:line="20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EE"/>
                <w:w w:val="79"/>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14.</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PRINCIPAL ACCOUNTANT FEES AND SERVICES</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80</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62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940" w:type="dxa"/>
            <w:vAlign w:val="bottom"/>
            <w:tcBorders>
              <w:top w:val="single" w:sz="8" w:color="0000FF"/>
            </w:tcBorders>
            <w:shd w:val="clear" w:color="auto" w:fill="DBDBDB"/>
          </w:tcPr>
          <w:p>
            <w:pPr>
              <w:spacing w:after="0"/>
              <w:rPr>
                <w:sz w:val="2"/>
                <w:szCs w:val="2"/>
                <w:color w:val="auto"/>
              </w:rPr>
            </w:pPr>
          </w:p>
        </w:tc>
        <w:tc>
          <w:tcPr>
            <w:tcW w:w="200" w:type="dxa"/>
            <w:vAlign w:val="bottom"/>
            <w:tcBorders>
              <w:top w:val="single" w:sz="8" w:color="0000FF"/>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color w:val="0000FF"/>
              </w:rPr>
              <w:t>PART IV.</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11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0000FF"/>
              </w:rPr>
              <w:t>Item 15.</w:t>
            </w: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EXHIBITS AND FINANCIAL STATEMENT SCHEDULES</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81</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62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280" w:type="dxa"/>
            <w:vAlign w:val="bottom"/>
            <w:tcBorders>
              <w:top w:val="single" w:sz="8" w:color="0000FF"/>
            </w:tcBorders>
            <w:shd w:val="clear" w:color="auto" w:fill="DBDBDB"/>
          </w:tcPr>
          <w:p>
            <w:pPr>
              <w:spacing w:after="0"/>
              <w:rPr>
                <w:sz w:val="2"/>
                <w:szCs w:val="2"/>
                <w:color w:val="auto"/>
              </w:rPr>
            </w:pPr>
          </w:p>
        </w:tc>
        <w:tc>
          <w:tcPr>
            <w:tcW w:w="26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0000FF"/>
            </w:tcBorders>
            <w:shd w:val="clear" w:color="auto" w:fill="DBDBDB"/>
          </w:tcPr>
          <w:p>
            <w:pPr>
              <w:spacing w:after="0"/>
              <w:rPr>
                <w:sz w:val="2"/>
                <w:szCs w:val="2"/>
                <w:color w:val="auto"/>
              </w:rPr>
            </w:pPr>
          </w:p>
        </w:tc>
        <w:tc>
          <w:tcPr>
            <w:tcW w:w="940" w:type="dxa"/>
            <w:vAlign w:val="bottom"/>
            <w:tcBorders>
              <w:top w:val="single" w:sz="8" w:color="0000FF"/>
            </w:tcBorders>
            <w:shd w:val="clear" w:color="auto" w:fill="DBDBDB"/>
          </w:tcPr>
          <w:p>
            <w:pPr>
              <w:spacing w:after="0"/>
              <w:rPr>
                <w:sz w:val="2"/>
                <w:szCs w:val="2"/>
                <w:color w:val="auto"/>
              </w:rPr>
            </w:pPr>
          </w:p>
        </w:tc>
        <w:tc>
          <w:tcPr>
            <w:tcW w:w="200" w:type="dxa"/>
            <w:vAlign w:val="bottom"/>
            <w:tcBorders>
              <w:top w:val="single" w:sz="8" w:color="0000FF"/>
            </w:tcBorders>
            <w:shd w:val="clear" w:color="auto" w:fill="DBDBDB"/>
          </w:tcPr>
          <w:p>
            <w:pPr>
              <w:spacing w:after="0"/>
              <w:rPr>
                <w:sz w:val="2"/>
                <w:szCs w:val="2"/>
                <w:color w:val="auto"/>
              </w:rPr>
            </w:pPr>
          </w:p>
        </w:tc>
        <w:tc>
          <w:tcPr>
            <w:tcW w:w="480" w:type="dxa"/>
            <w:vAlign w:val="bottom"/>
            <w:tcBorders>
              <w:top w:val="single" w:sz="8" w:color="0000FF"/>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color w:val="0000FF"/>
              </w:rPr>
              <w:t>Item 16.</w:t>
            </w:r>
          </w:p>
        </w:tc>
        <w:tc>
          <w:tcPr>
            <w:tcW w:w="9760" w:type="dxa"/>
            <w:vAlign w:val="bottom"/>
            <w:gridSpan w:val="27"/>
          </w:tcPr>
          <w:p>
            <w:pPr>
              <w:ind w:left="480"/>
              <w:spacing w:after="0" w:line="202" w:lineRule="exact"/>
              <w:rPr>
                <w:sz w:val="20"/>
                <w:szCs w:val="20"/>
                <w:color w:val="auto"/>
              </w:rPr>
            </w:pPr>
            <w:r>
              <w:rPr>
                <w:rFonts w:ascii="Arial" w:cs="Arial" w:eastAsia="Arial" w:hAnsi="Arial"/>
                <w:sz w:val="18"/>
                <w:szCs w:val="18"/>
                <w:color w:val="0000FF"/>
              </w:rPr>
              <w:t>FORM 10-K SUMMARY</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EE"/>
                <w:w w:val="79"/>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9760" w:type="dxa"/>
            <w:vAlign w:val="bottom"/>
            <w:gridSpan w:val="27"/>
            <w:shd w:val="clear" w:color="auto" w:fill="DBDBDB"/>
          </w:tcPr>
          <w:p>
            <w:pPr>
              <w:ind w:left="480"/>
              <w:spacing w:after="0" w:line="202" w:lineRule="exact"/>
              <w:rPr>
                <w:sz w:val="20"/>
                <w:szCs w:val="20"/>
                <w:color w:val="auto"/>
              </w:rPr>
            </w:pPr>
            <w:r>
              <w:rPr>
                <w:rFonts w:ascii="Arial" w:cs="Arial" w:eastAsia="Arial" w:hAnsi="Arial"/>
                <w:sz w:val="18"/>
                <w:szCs w:val="18"/>
                <w:color w:val="0000FF"/>
              </w:rPr>
              <w:t>SIGNATURES</w:t>
            </w:r>
          </w:p>
        </w:tc>
        <w:tc>
          <w:tcPr>
            <w:tcW w:w="1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0000EE"/>
                <w:w w:val="79"/>
              </w:rPr>
              <w:t>82</w:t>
            </w: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5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86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tcBorders>
            <w:shd w:val="clear" w:color="auto" w:fill="DBDBDB"/>
          </w:tcPr>
          <w:p>
            <w:pPr>
              <w:spacing w:after="0"/>
              <w:rPr>
                <w:sz w:val="2"/>
                <w:szCs w:val="2"/>
                <w:color w:val="auto"/>
              </w:rPr>
            </w:pPr>
          </w:p>
        </w:tc>
        <w:tc>
          <w:tcPr>
            <w:tcW w:w="1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62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9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34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126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 and Core Competencies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Cass is an information services company with a primary focus on processing payables and payables-related transactions for large corporations located in the United States. Cass possesses four core competencies that encompass most of its processing services.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Data acquisition </w:t>
      </w:r>
      <w:r>
        <w:rPr>
          <w:rFonts w:ascii="Arial" w:cs="Arial" w:eastAsia="Arial" w:hAnsi="Arial"/>
          <w:sz w:val="16"/>
          <w:szCs w:val="16"/>
          <w:color w:val="auto"/>
        </w:rPr>
        <w:t>– This refers to the gathering of data elements from diverse, heterogeneous sources and the building of complete databases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Data management </w:t>
      </w:r>
      <w:r>
        <w:rPr>
          <w:rFonts w:ascii="Arial" w:cs="Arial" w:eastAsia="Arial" w:hAnsi="Arial"/>
          <w:sz w:val="18"/>
          <w:szCs w:val="18"/>
          <w:color w:val="auto"/>
        </w:rPr>
        <w:t>– Once data is assembled, Cass is able to utilize the power from derived information to produce significant savings and benefits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Business Intelligence </w:t>
      </w:r>
      <w:r>
        <w:rPr>
          <w:rFonts w:ascii="Arial" w:cs="Arial" w:eastAsia="Arial" w:hAnsi="Arial"/>
          <w:sz w:val="18"/>
          <w:szCs w:val="18"/>
          <w:color w:val="auto"/>
        </w:rPr>
        <w:t>– Receiving information in the right place at the right time and in the required format is paramount for business survival. Cass’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Financial exchange </w:t>
      </w:r>
      <w:r>
        <w:rPr>
          <w:rFonts w:ascii="Arial" w:cs="Arial" w:eastAsia="Arial" w:hAnsi="Arial"/>
          <w:sz w:val="18"/>
          <w:szCs w:val="18"/>
          <w:color w:val="auto"/>
        </w:rPr>
        <w:t>– Since Cass is unique among its competition in that it owns a commercial bank, it is also able to manage the movement of funds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its 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core competencies, enhanced through shared business processes, drive Cass’ strategic business units. Building upon these foundations, Cass continues to explore new business opportunities that leverage these competencies and processes.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Customers and 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Expense Management business unit, also competes with other companies located throughout the United States that pay energy and waste bills and provide management reporting. Available data indicates that the Company is one of the largest providers of energy information processing and payment services. Cass is unique among these competitors in that it is not exclusively affiliated 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 through its Telecom Information Services business unit, is a leader in the growing telecom expense management market and competes with other companies located throughout the United States in this market. The Company, through its Waste Expense Management business competes against small expense management companies along with large national account programs of major haulers. The Company division known as TouchPoint offers a church management software solution and an on-line platform to provide generosity services for faith-based and non-profit organizations, which is a complementary service offering to the Bank’s faith-based customers. Also, the Company, through its CassPay operation, competes with providers of corporate payment solutions.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restaurant franchises, and faith-based ministries located in St. Louis, Missouri and other selected cities located throughout the United States.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holds several trademarks for the payment and rating services it provides. These include: FreightPay®, Transdata®, Ratemaker®, Best Rate®, Rate Exchange®, CassPort®, Cass Freight Index®, Cass Truckload Linehaul Index®, Cass Intermodal Price Index® Expense$mart®, ExpenseSmart®, TouchPoint®, Gyve®, Generosity Made Simple®, WasteVision™ and Direct2Carrier Payments™. The Company holds patents for methods and systems for managing employee-liable expenses and methods and systems for communicating expense management information.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have a varied client base and are not dependent on any one customer or group of customers for a significant portion of its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its subsidiaries had 940 full-time and 269 part-time employees as of February 15, 2023. Of these employees, the Bank had 70 full-time and no part-time employees.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Cass has long been committed to comprehensive and competitive compensation and benefits programs to attract and retain talent in a competitive environment. Retention of skilled and highly trained employees is critical as the Company’s future operating results depend substantially upon the continued service of executive officers and key personnel. Furthering the philosophy to attract and retain a pool of talented and motivated employees who will continue to advance the Company’s purpose and contribute to overall success, compensation and benefits programs include: a noncontributory profit sharing program for most employees; a defined contribution 401(k) plan to provide retirement benefits to eligible employees; a performance-based equity compensation program for executive officers and key personnel; and incentive programs for loan and sales personnel. Cass also provides comprehensive health, dental, and vision plans to most employees, as well as free employee assistance programs to all employees and members of their families.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 invests in employees’ future by assisting with tuition reimbursement for continued education throughout the Company’s employee ranks.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Employees are also able to participate in educational seminars run by outside parties to maintain and expand professional knowledge.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develop a workforce that aligns with the Company’s corporate values, regularly sponsored campaigns and events occur, such as charitable workplace campaigns, food drives to assist local food banks, and toy drives to support charities during the holidays. Additionally, the Company supports a number of organizations with annual financial contributions.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the benefits of building a corporate culture that promotes diversity, equity and inclusion ("DEI") to foster unique ideas and ways of thinking. In pursuit of the Company's overall DEI mission, Cass focuses on: a) cultivating an environment that encourages collaboration, flexibility and fairness to enable all employees to contribute to their full potential; b) promoting diversity in our talent management and succession planning processes and employee development programs; and c) ensuring leadership commitment in facilitating the Company's DEI efforts.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2022, the Company created a DEI Committee. The DEI Committee was formed after a thorough process of determining a charter and is actively in the process of expanding the Company's DEI vision. The committee members are passionate about DEI efforts and represent the Company's various business divisions and corporate departments. The Company continues to promote DEI within its culture and make improvements to human resources programs to support related initiatives. As of December 31, 2022, 70% of the Company's U.S. employees were female, and 23% were ethnically diverse. Within the management group, 47% were female, and 16% were ethnically diverse. Over the past year, the Company has continued to support and provide diversity training to all employees. The Company continues its commitment to providing a workplace that is free of harassment and discrimination by taking proactive measures and providing all employees with non-discrimination and sexual harassment prevention training on an annual basis. The DEI initiatives will continue to be supported and promoted to provide all employees a place where they feel welcomed, appreciated and valued.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Equal opportunities, anti-harassment, non-discrimination, the health and safety of employees and work-life balance are actively promoted as more fully described in the Company's Environmental, Social, and Governance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Bank Holding Company Activities </w:t>
      </w:r>
      <w:r>
        <w:rPr>
          <w:rFonts w:ascii="Arial" w:cs="Arial" w:eastAsia="Arial" w:hAnsi="Arial"/>
          <w:sz w:val="16"/>
          <w:szCs w:val="16"/>
          <w:color w:val="auto"/>
        </w:rPr>
        <w:t>– In general, the BHC Act limits the business of bank holding companies to banking, managing or controlling banks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The Dodd-Frank Act </w:t>
      </w:r>
      <w:r>
        <w:rPr>
          <w:rFonts w:ascii="Arial" w:cs="Arial" w:eastAsia="Arial" w:hAnsi="Arial"/>
          <w:sz w:val="17"/>
          <w:szCs w:val="17"/>
          <w:color w:val="auto"/>
        </w:rPr>
        <w:t>– The Dodd-Frank Wall Street Reform and Consumer Protection Act (the “Dodd-Frank Act”), enacted in July 2010, significantly</w:t>
      </w:r>
      <w:r>
        <w:rPr>
          <w:rFonts w:ascii="Arial" w:cs="Arial" w:eastAsia="Arial" w:hAnsi="Arial"/>
          <w:sz w:val="17"/>
          <w:szCs w:val="17"/>
          <w:i w:val="1"/>
          <w:iCs w:val="1"/>
          <w:color w:val="auto"/>
        </w:rPr>
        <w:t xml:space="preserve"> </w:t>
      </w:r>
      <w:r>
        <w:rPr>
          <w:rFonts w:ascii="Arial" w:cs="Arial" w:eastAsia="Arial" w:hAnsi="Arial"/>
          <w:sz w:val="17"/>
          <w:szCs w:val="17"/>
          <w:color w:val="auto"/>
        </w:rPr>
        <w:t>restructured the financial regulatory environment in the United States, affecting all bank holding companies and banks, including the Company and the Bank, some of which are described in more detail below. The impact of the Dodd-Frank Act on the Company and the Bank has been substantial.</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Dividends and Stock Repurchases </w:t>
      </w:r>
      <w:r>
        <w:rPr>
          <w:rFonts w:ascii="Arial" w:cs="Arial" w:eastAsia="Arial" w:hAnsi="Arial"/>
          <w:sz w:val="17"/>
          <w:szCs w:val="17"/>
          <w:color w:val="auto"/>
        </w:rPr>
        <w:t>– Both the Company and the Bank are subject to various regulations that restrict their ability to pay dividends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dividends that they may pay. Under the Federal Deposit Insurance Corporation Improvement Act of 1991,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the Company's Board of Directors has authorized stock repurchase plans. 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a bank holding company is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August 2022, the Inflation Reduction Act of 2022 (the “Inflation Reduction Act") was enacted. Among other things, the Inflation Reduction Act imposes a new 1% excise tax on the fair market value of stock repurchased after December 31, 2022 by publicly traded U.S. corporations. With certain exceptions, the value of stock repurchased is determined net of stock issued in the year, including shares issued pursuant to compensatory arrangements.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Capital Requirements </w:t>
      </w:r>
      <w:r>
        <w:rPr>
          <w:rFonts w:ascii="Arial" w:cs="Arial" w:eastAsia="Arial" w:hAnsi="Arial"/>
          <w:sz w:val="18"/>
          <w:szCs w:val="18"/>
          <w:color w:val="auto"/>
        </w:rPr>
        <w:t>– As a bank holding company, the Company and the Bank are subject to capital requirements pursuant to the FRB’s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require the Company and the Bank to maintain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minimum ratio of common equity Tier 1 capital to risk-weighted assets of at least 4.5%, plus a 2.5% capital conservation buffer (resulting in a minimum common equity Tier 1 capital ratio of 7.0%);</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minimum ratio of Tier 1 capital to risk-weighted assets of at least 6.0%, plus a 2.5% capital conservation buffer (resulting in a minimum Tier 1 capital ratio of 8.5%);</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(resulting in a minimum total capital ratio of 10.5%);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FRB has authority to establish individual minimum capital requirements in appropriate cases upon a determination that an institution’s capital level is or may become inadequate in light of the particular risks or circumstances. As of December 31, 2022, the Company and the Bank met all capital adequacy requirements under the Basel III Capital Rules.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went into effect on January 1, 2023,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Source of Strength Doctrine </w:t>
      </w:r>
      <w:r>
        <w:rPr>
          <w:rFonts w:ascii="Arial" w:cs="Arial" w:eastAsia="Arial" w:hAnsi="Arial"/>
          <w:sz w:val="17"/>
          <w:szCs w:val="17"/>
          <w:color w:val="auto"/>
        </w:rPr>
        <w:t>– FRB and other regulations require bank holding companies to act as a source of financial and managerial strength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Deposit Insurance </w:t>
      </w:r>
      <w:r>
        <w:rPr>
          <w:rFonts w:ascii="Arial" w:cs="Arial" w:eastAsia="Arial" w:hAnsi="Arial"/>
          <w:sz w:val="16"/>
          <w:szCs w:val="16"/>
          <w:color w:val="auto"/>
        </w:rPr>
        <w:t>– Substantially all of the deposits of the Bank are insured up to applicable limits by the Deposit Insurance Fund (“DIF”) of the FDIC,</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FDIC insurance expense totaled $415,700, $300,200 and $152,500 for the years ended December 31, 2022, 2021 and 2020, respectively.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2022, the FDIC adopted a final rule to increase the initial base deposit insurance assessment rate schedules uniformly by 2 basis points beginning with the first quarterly assessment period of 2023. The increased assessment is expected to improve the likelihood that the DIF reserve ratio would reach the statutory minimum of 1.35% by the statutory deadline prescribed under the FDIC's amended restoration plan.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Prompt Corrective Action </w:t>
      </w:r>
      <w:r>
        <w:rPr>
          <w:rFonts w:ascii="Arial" w:cs="Arial" w:eastAsia="Arial" w:hAnsi="Arial"/>
          <w:sz w:val="18"/>
          <w:szCs w:val="18"/>
          <w:color w:val="auto"/>
        </w:rPr>
        <w:t>– The Basel III Capital Rules incorporate new requirements into the prompt correction action framework, described above. The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w:t>
      </w:r>
    </w:p>
    <w:p>
      <w:pPr>
        <w:spacing w:after="0" w:line="1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2022, the most recent notification from the regulatory agencies categorized the Company and the Bank as well-capitalized. For further information regarding the capital ratios and leverage ratio of the Company and the Bank, see Item 8, Note 2 of this report.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Safety and Soundness Regulations </w:t>
      </w:r>
      <w:r>
        <w:rPr>
          <w:rFonts w:ascii="Arial" w:cs="Arial" w:eastAsia="Arial" w:hAnsi="Arial"/>
          <w:sz w:val="17"/>
          <w:szCs w:val="17"/>
          <w:color w:val="auto"/>
        </w:rPr>
        <w:t>– In accordance with the FDIA, the federal banking agencies adopted guidelines establishing general standards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Loans-to-One-Borrower </w:t>
      </w:r>
      <w:r>
        <w:rPr>
          <w:rFonts w:ascii="Arial" w:cs="Arial" w:eastAsia="Arial" w:hAnsi="Arial"/>
          <w:sz w:val="18"/>
          <w:szCs w:val="18"/>
          <w:color w:val="auto"/>
        </w:rPr>
        <w:t>– The Bank generally may not make loans or extend credit to a single or related group of borrowers in excess of 15% of</w:t>
      </w:r>
      <w:r>
        <w:rPr>
          <w:rFonts w:ascii="Arial" w:cs="Arial" w:eastAsia="Arial" w:hAnsi="Arial"/>
          <w:sz w:val="18"/>
          <w:szCs w:val="18"/>
          <w:i w:val="1"/>
          <w:iCs w:val="1"/>
          <w:color w:val="auto"/>
        </w:rPr>
        <w:t xml:space="preserve"> </w:t>
      </w:r>
      <w:r>
        <w:rPr>
          <w:rFonts w:ascii="Arial" w:cs="Arial" w:eastAsia="Arial" w:hAnsi="Arial"/>
          <w:sz w:val="18"/>
          <w:szCs w:val="18"/>
          <w:color w:val="auto"/>
        </w:rPr>
        <w:t>unimpaired capital and surplus. An additional amount may be loaned, up to 10% of unimpaired capital and surplus, if the loan is secured by readily marketable collateral, which generally does not include real estate. As of December 31, 2022, the Bank was in compliance with the loans-to-one-borrower limitations.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Depositor Preference </w:t>
      </w:r>
      <w:r>
        <w:rPr>
          <w:rFonts w:ascii="Arial" w:cs="Arial" w:eastAsia="Arial" w:hAnsi="Arial"/>
          <w:sz w:val="18"/>
          <w:szCs w:val="18"/>
          <w:color w:val="auto"/>
        </w:rPr>
        <w:t>– The FDIA provides that, in the event of the “liquidation or other resolution” of an insured depository institution, the claims of</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Community Reinvestment Act </w:t>
      </w:r>
      <w:r>
        <w:rPr>
          <w:rFonts w:ascii="Arial" w:cs="Arial" w:eastAsia="Arial" w:hAnsi="Arial"/>
          <w:sz w:val="17"/>
          <w:szCs w:val="17"/>
          <w:color w:val="auto"/>
        </w:rPr>
        <w:t>– The Community Reinvestment Act of 1977 (“CRA”) requires depository institutions to assist in meeting the credit needs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2022, federal banking regulators requested comment on a joint notice of proposed rulemaking intended to strengthen and modernize the CRA regulations and framework. Until the proposed rulemaking is final and effective, the Company and the Bank will continue to operate under the CRA regulations currently in effect. At this time, it is uncertain what effect the impending CRA regulations will have on the Company and the Bank with respect to their CRA activities.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Financial Privacy </w:t>
      </w:r>
      <w:r>
        <w:rPr>
          <w:rFonts w:ascii="Arial" w:cs="Arial" w:eastAsia="Arial" w:hAnsi="Arial"/>
          <w:sz w:val="18"/>
          <w:szCs w:val="18"/>
          <w:color w:val="auto"/>
        </w:rPr>
        <w:t>– Banks and other financial institutions are subject to regulations that limit their ability to disclose non-public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to nonaffiliated third parties. These limitations require disclosure of privacy policies to consumers and affect how consumer information is transmitted through diversified financial companies and conveyed to outside vendors.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Transactions with Affiliates </w:t>
      </w:r>
      <w:r>
        <w:rPr>
          <w:rFonts w:ascii="Arial" w:cs="Arial" w:eastAsia="Arial" w:hAnsi="Arial"/>
          <w:sz w:val="18"/>
          <w:szCs w:val="18"/>
          <w:color w:val="auto"/>
        </w:rPr>
        <w:t>– Transactions between the Bank and its affiliates are subject to regulations that limit the types and amounts of covered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Cybersecurity </w:t>
      </w:r>
      <w:r>
        <w:rPr>
          <w:rFonts w:ascii="Arial" w:cs="Arial" w:eastAsia="Arial" w:hAnsi="Arial"/>
          <w:sz w:val="18"/>
          <w:szCs w:val="18"/>
          <w:color w:val="auto"/>
        </w:rPr>
        <w:t>– Federal regulators regularly issue new and updated guidance and standards regarding cybersecurity intended to enhance cyber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among financial institutions and public companies generally. Financial institutions are expected to comply with such guidance and standards and develop appropriate risk management processes and security controls. If the Company fails to observe the regulatory guidance, it could be subject to various regulatory sanctions, including financial penalties.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Recently, the federal banking agencies adopted a final rule requiring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 Banking organizations are also required to notify each affected customer as soon as possible in the event of an incident that results in actual or potential harm to the integrity or availability of information and systems or that violates or threatens to violate the organization’s security for four or more hours.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Risks and exposures related to cybersecurity attacks, including litigation and enforcement risks,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Bank Secrecy Act/Anti Money Laundering Regulation, USA PATRIOT Act and National Defense Authorization Act - </w:t>
      </w:r>
      <w:r>
        <w:rPr>
          <w:rFonts w:ascii="Arial" w:cs="Arial" w:eastAsia="Arial" w:hAnsi="Arial"/>
          <w:sz w:val="17"/>
          <w:szCs w:val="17"/>
          <w:color w:val="auto"/>
        </w:rPr>
        <w:t>The Bank Secrecy Act ("BSA"), the</w:t>
      </w:r>
      <w:r>
        <w:rPr>
          <w:rFonts w:ascii="Arial" w:cs="Arial" w:eastAsia="Arial" w:hAnsi="Arial"/>
          <w:sz w:val="17"/>
          <w:szCs w:val="17"/>
          <w:i w:val="1"/>
          <w:iCs w:val="1"/>
          <w:color w:val="auto"/>
        </w:rPr>
        <w:t xml:space="preserve"> </w:t>
      </w:r>
      <w:r>
        <w:rPr>
          <w:rFonts w:ascii="Arial" w:cs="Arial" w:eastAsia="Arial" w:hAnsi="Arial"/>
          <w:sz w:val="17"/>
          <w:szCs w:val="17"/>
          <w:color w:val="auto"/>
        </w:rPr>
        <w:t>USA PATRIOT Act and other laws and regulations require financial institutions, among other duties, to institute and maintain an effective Anti Money Laundering ("AML") program and to file timely reports such as suspicious activity reports and currency transaction reports. The Company is required to comply with these and other AML requirements. The federal banking agencies and the Financial Crimes Enforcement Network (“FinCEN”) are authorized to impose significant civil money penalties for violations of those requirements and have recently engaged in coordinated enforcement efforts against banks and other financial services providers with the Department of Justice, Drug Enforcement Administration and Internal Revenue Service. The Company is also subject to increased scrutiny of compliance with the rules enforced by the Office of Foreign Assets Control.</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USA PATRIOT Act gives federal agencies additional powers to address terrorist threats through enhanced domestic security measures, expanded surveillance powers, increased information sharing, and broadened AML requirements. The USA PATRIOT Act mandates that financial service companies implement additional policies and procedures and take heightened measures designed to address any or all of the following matters: customer identification programs, money laundering, terrorist financing, identifying and reporting suspicious activities and currency transactions, currency crimes, and cooperation between financial institutions and law enforcement authorities.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2021, Congress enacted the National Defense Authorization Act, which enacted the most significant overhaul of the BSA and related AML laws since the USA PATRIOT Act. Notable amendments include (i)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information will be maintained by FinCEN and made available upon request to financial institutions); (ii) enhanced whistleblower provisions, which provide that one or more whistleblowers who voluntarily provide original information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leading to the successful enforcement of violations of the AML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(iii) increased penalties for violations of the BSA; (iv) improvements to existing information sharing provisions that permit financial institutions to share information relating to suspicious activity reports with foreign branches, subsidiaries, and affiliates (except those located in China, Russia, or certain other jurisdictions) for the purpose of combating illicit finance risks; and (v) expanded duties and powers of FinCEN. Many of the requirements included in the AML amendments will require additional rulemakings, reports and other measures, and the impact of these rules will depend on, among other things, rulemaking and implementation guidance. On December 8, 2021, FinCEN issued proposed regulations that would implement the amendments regarding beneficial ownership if adopted as proposed.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The operations of the Company and the Bank are also subject to:</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Truth-In-Lending Act, governing disclosures of credit terms to consumer borrowers;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Fair Credit Reporting Act, governing the provision of consumer information to credit reporting agencies and the use of consumer information;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Fair Debt Collection Act, governing the manner in which consumer debts may be collected by collection agencies;</w:t>
      </w:r>
    </w:p>
    <w:p>
      <w:pPr>
        <w:spacing w:after="0" w:line="117"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Electronic Funds Transfer Act, governing automatic deposits to and withdrawals from deposit accounts and customers’ rights and liabilities arising from the use of automated teller machines and other electronic banking services.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Real Estate Settlement Procedures Act,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Clearing for the 21st Century Act (also known as “Check 21”), which gives “substitute checks,” such as digital check images and copies made from that image, the same legal standing as the original paper check.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SEC Reports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reference to the Company’s website address does not constitute incorporation by reference of the information contained on the website and should not be considered part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by Bank Holding Companies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statistical disclosure by bank holding companies, refer to Item 7, “Management’s Discussion and Analysis of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Market Conditions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political, economic or industry conditions may be less favorable than expected.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global pandemics, natural disasters, risks related to climate change, and other factors outside of Cass’ control may adversely affect the Company. Economic downturns could result in the delinquency of outstanding loans, which could have a material adverse impact on Cass’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developments concerning customer credit quality could affect Cass’ financial results.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interest rates could affect Cass’ net interest income and balance sheet.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Due in part to the increase in the Federal Funds rate throughout 2022, the Company's net interest margin increased to 2.74% in 2022 from 2.31% in 2021, therefore increasing net interest income. As discussed in greater detail in Item 7A, “Quantitative and Qualitative Disclosures about Market Risk,” a decline in market interest rates would be expected to have a negative impact on the Company’s net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goodwill and other intangible assets may decline in the future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Company had $21.4 million of goodwill and other intangible assets. A significant decline in the Company's expected future cash flows, a significant adverse change in the business climate, slower growth rates or a significant and sustained decline in the price of the Company's common stock may necessitate taking charges in the future related to the impairment of goodwill and other intangible assets which could have a material adverse effect on the Company's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circumstances, Cass remits payment of invoices prior to receiving funds from its customers. As such, Cass could experience losses if such funds are not received from customers after payment is remitted.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losses related to funds remitted for payment to freight carriers, utility companies and other such companies, prior to receiving funds from its customers.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 has lending concentrations, including, but not limited to, faith-based ministries located in selected cities, franchise restaurants, and privately-held businesses located in or near St. Louis, Missouri, that could suffer a significant decline which could adversely affect the Company.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adversely impacted by the replacement of LIBOR as a reference rate.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United Kingdom’s Financial Conduct Authority and the administrator of LIBOR have announced that the publication of the most commonly used U.S. dollar London Interbank Offered Rate (“LIBOR”) settings will cease to be published or cease to be representative after June 30, 2023. The publication of all other LIBOR settings ceased to be published as of December 31, 2021. The Adjustable Interest Rate (LIBOR) Act, enacted in March 2022, provides a statutory framework to replace U.S. dollar LIBOR with a benchmark rate based on the Secured Overnight Financing Rate (“SOFR”) for contracts governed by U.S. law that have no or ineffective fallbacks, and in December 2022, the Federal Reserve Board adopted related implementing rules. Although governmental authorities have endeavored to facilitate an orderly discontinuation of LIBOR, no assurance can be provided that this aim will be achieved or that the use, level, and volatility of LIBOR or other interest rates or the value of LIBOR-based securities will not be adversely affected. As a result, and despite the enactment of the LIBOR Act, for the most commonly used LIBOR settings, the use or selection of a successor rate could expose the Company to risks associated with disputes and litigation with customers and counterparties and other market participants in connection with implementing LIBOR fallback provisions.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While the Company does not currently originate loans tied to LIBOR, the Company has five loan relationships originated and/or purchased in prior periods that include attributes that are tied to LIBOR. Since proposed alternative rates are calculated differently, payments under contracts referencing new rates will differ from those referencing LIBOR. Failure to adequately manage this transition process could adversely impact the Company's reputation.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Operations of the Company’s customer base are impacted by macro-economic factors such as a strong dollar and/or volatility in commodity prices. A reduction in its customers’ operations could have a material adverse effect on Cass’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Operations and Strategic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difficulties or cybersecurity problems could damage Cass’ reputation and business.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The Company also relies on electronic communications and information systems to store sensitive customer data. Any failure, interruption, breach in 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A material security problem affecting Cass could damage its reputation, deter prospects from purchasing its products and services, deter customers from using its products and services or result in liability to Cass.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Cloud technologies are also critical to the operation of the Company's systems, and reliance on cloud technologies is growing. Service disruptions in cloud technologies may lead to delays in accessing, or the loss of, data that is important to the Company's businesses and may hinder customers access to products and services.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third-party vendors, including as a result of cyber-attacks, could i) disrupt the proper functioning of Cass’ networks and systems and therefore operations and/or those of certain customers; ii) result in the unauthorized access to, and destruction, loss, theft, misappropriation or release of confidential, sensitive or otherwise valuable information of the Company or its customers; iii) result in a violation of applicable privacy, data breach and other laws, subjecting the Company to additional regulatory scrutiny and expose Cass to civil litigation, governmental fines and possible financial liability; iv) require significant management attention and resources to remedy the damages that result; or v) harm Cass’ reputation or cause a decrease in the number of customers that choose to do business with the Company. The occurrence of any of the foregoing could have a material adverse effect on Cass’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must respond to rapid technological changes and these changes may be more difficult or expensive than anticipated.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competitors introduce new products and services embodying new technologies,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reducing risk exposures might not be effective.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borrowing, repayment, investment, deposit, and payable processing practices may be different than anticipated.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allowance for credit losses (“ACL”) is subject to continuing evaluation and may be insufficient.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an ACL, which is a reserve established through a provision for credit losses charged to expense. The ACL is a valuation account that is deducted from the amortized cost basis to present the net amount expected to be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collected on loans. Management uses a systematic, documented approach in determining the appropriate level of ACL, which represents management’s estimate of losses in loans and off-balance sheet exposures as of the balance sheet date. Management estimated the allowance balance using relevant available information from internal and external factors, relating to past events, current conditions and reasonable and supportable forecasts based on economic sources, such as Gross Domestic Product (“GDP”). Historical credit loss experience, of both the Company and similar peer banks, provides the basis for the estimation of expected credit losses. Adjustments to historical loss information are made for asset quality trends, borrower’s ability to pay, collateral, and other environmental factors. The ACL is measured on a collective pool basis when similar risk characteristics exist. The determination of the appropriate level of the allowance for credit losses inherently involves a high degree of subjectivity and requires management to make estimates based on risks and trends that are subject to material change. Continuing deterioration in economic conditions, including the possibility of a recession, affecting borrowers and securities issuers; inflation; rising interest rates; new information regarding existing loans, credit commitments and securities holdings; the lingering effects of the COVID-19 pandemic or other global pandemics; natural disasters and risks related to climate change; and identification of additional problem loans, ratings down-grades and other factors, both within and outside of the Company’s control, may require an increase in the allowances for credit losses on loans, securities and off-balance sheet credit exposures.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application of the model used to determine the ACL could result in volatility in earnings. Additionally, if charge-offs in future periods exceed the ACL, the Company will need additional provisions to increase the ACL. Any increases in the ACL will result in a decrease in net income and, possibly, capital, and may have a material adverse effect on the Company’s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Operations—Provision and Allowance for Credit Losses and Unfunded Commitments” and Item 8, “Financial Statements and Supplementary Data—Note 1”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product and pricing pressure within Cass’ markets may change.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maintain and expand customer relationships may differ from expectations.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there are risks and uncertainties associated with the introduction of new products and services, including substantial investments of time and resources. The introduction and development of new products and services may not be achieved along expected timelines, or at all, and may not be successful as a result of factors beyond the Company’s control, including regulatory, competition and external market factors. Failure to successfully manage these risks in the development and implementation of new products or services, and failure to integrate such new products and services into our existing system of internal controls,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the Bank are subject to liquidity risk.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requires liquidity to meet deposit and accounts and drafts payable obligations as they come due. Access to funding sources in amounts adequate to finance the Company’s commitments and business activities or on terms that are acceptable or favorable to the Company could be impaired by risks and uncertainties that are beyond the Company’s control, including those described in this Item 1A, “Risk Factors” section.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access to deposits and accounts and drafts payable for liquidity purposes may also be adversely affected by the needs of the Company’s depositors and customers. A failure to maintain adequate liquidity could have a material adverse effect on the Company’s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retain key officers and employees may change.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Legal and Accounting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and the Bank are subject to extensive government regulation and supervision and possible enforcement or other legal actions that could detrimentally affect Cass’ business.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1, “Business—Supervision and Regulation,” and Item 8, Note 2 to the consolidated financial statements included elsewhere in this report for additional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need to raise additional capital or sell assets if it fails to meet regulatory capital requirements or meet commitments and liquidity needs. Such capital may not be available on favorable terms, or at 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Fully phased in, the Basel III Capital rules implemented stricter capital requirements and leverage limits and methods for calculating risk-weighted assets, meaning the Company is required to hold more capital against such assets. Complying with these more stringent capital requirements could result in management modifying its business strategy and could limit the Company’s ability to make distributions, including paying dividends, or buying back shares.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may also need to raise additional capital in the future to provide it with sufficient capital resources and liquidity to meet commitments and business needs. The ability to raise additional capital, if needed, will depend on, among other things, conditions in the capital markets at that time and the Company’s financial condition, as well as the need for other financial institutions to raise capital at the same time. Economic conditions and the loss of confidence in financial institutions may increase the cost of funding and limit access to certain customary sources of capital, including inter-bank borrowings, repurchase agreements and borrowings from the discount window of the Federal Reserve.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inability to raise additional capital on acceptable terms when needed could have a materially adverse effect on the Company’s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Legal and regulatory proceedings and related matters with respect to the financial services industry, including those directly involving the Company and its subsidiaries, could adversely affect Cass or the financial services industry in general.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Cass has identified one accounting policy as being “critical” to the presentation of its financial condition and results of operations because it requires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Cass is subject to examinations and challenges by tax authorities, which, if not resolved in the Company’s favor, could adversely affect the Company’s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normal course of business, Cass and its affiliates are routinely subject to examinations and challenges from federal and state tax authorities regarding the amount of taxes due in connection with investments it has made and the businesses 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stock price can become volatile and fluctuate widely in response to a variety of factors.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events beyond the Company’s control, such as severe weather, natural disasters, terrorist activities or other hostilities, may adversely affect the general economy, financial and capital markets, specific industries, and the Company.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could have a material negative impact on the Company and its clients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business, as well as the operations and activities of it clients, could be negatively impacted by climate change. Climate change presents both immediate and long-term risks to Cass and its clients and these risks are expected to increase over time. Climate changes presents multi-faceted risks, including (i) operational risk from the physical effects of climate events on facilities and other assets as well as those of clients; (ii) credit risk from borrowers with significant exposure to climate risk; and (iii) reputational risk from stakeholder concerns about practices related to climate change, carbon footprint and business relationships with clients who operate in carbon-intensive industries. The Company's business, reputation and ability to attract and retain employees may also be harmed if the response to climate change is perceived to be ineffective or insufficient.</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Climate change exposes Cass to physical risk as its effects may lead to more frequent and more extreme weather events, such as prolonged droughts or flooding, tornados, hurricanes, wildfires and extreme seasonal weather; and longer-term shifts, such as increasing average temperatures, ozone depletion and rising sea levels. Such events and long-term shifts may damage, destroy or otherwise impact the value or productivity of the Company's properties and other assets; reduce the availability of insurance; and/or disrupt operations and other activities through prolonged outages. Such events and long-term shifts may also have a significant impact on Cass customers, which could amplify credit risk by diminishing borrowers’ repayment capacity or collateral values, and other businesses and counterparties with whom we transact, which could have a broader impact on the economy, supply chains and distribution networks.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Climate change also exposes Cass to transition risks associated with the transition to a less carbon-dependent economy. Transition risks may result from changes in policies; laws and regulations; technologies; and/or market preferences to address climate change. Such changes could materially, negatively impact our business, results of operations, financial condition and/or our reputation, in addition to having a similar impact on our clients. Cass has clients who operate in carbon-intensive industries that are exposed to climate risks, such as those risks related to the transition to a less carbon-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dependent economy, as well as clients who operate in low-carbon industries that may be subject to risks associated with new technologies. Federal and state banking regulators and supervisory authorities, investors and other stakeholders have increasingly viewed financial institutions as important in helping to address the risks related to climate change both directly and with respect to their clients, which may result in financial institutions coming under increased pressure regarding the disclosure and management of their climate risks and related lending and investment activities. Given that climate change could impose systemic risks upon the financial sector, either via disruptions in economic activity resulting from the physical impacts of climate change or changes in policies as the economy transitions to a less carbon-intensive environment, the Company faces regulatory risk of increasing focus on the resilience to climate-related risks, including in the context of stress testing for various climate stress scenarios. Ongoing legislative or regulatory uncertainties and changes regarding climate risk management and practices may result in higher regulatory, compliance, credit and reputational risks and costs.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Environmental, Social and Governance (“ESG”) risks that could adversely affect its reputation and the market price of its securities.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subject to a variety of risks arising from ESG matters. ESG matters include climate risk, hiring practices, the diversity of the work force, and racial and social justice issues involving the Company’s personnel, customers and third parties with whom it otherwise does business. Risks arising from ESG matters may adversely affect, among other things, reputation and the market price of the Company’s securities. Further, the Company may be exposed to negative publicity based on the identity and activities of those to whom it lends and with which it otherwise does business and the public’s view of the approach and performance of its customers and business partners with respect to ESG matters. Any such negative publicity could arise from adverse news coverage in traditional media and could also spread through the use of social media platforms. The Company’s relationships and reputation with its existing and prospective customers and third parties with which it does business could be damaged if it were to become the subject of any such negative publicity. This, in turn, could have an adverse effect on the Company’s ability to attract and retain customers and employees and could have a negative impact on the market price for securities. Investors have begun to consider the steps taken and resources allocated by financial institutions and other commercial organizations to address ESG matters when making investment and operational decisions. Certain investors are beginning to incorporate the business risks of climate change and the adequacy of companies’ responses to the risks posed by climate change and other ESG matters into their investment theses. These shifts in investing priorities may result in adverse effects on the market price of the Company’s securities to the extent that investors determine that the Company has not made sufficient progress on ESG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office space in St. Louis County, Missouri, to house the headquarters of the Company and the Bank. The Company’s headquarters occupy 7,549 square feet in an office center at 12444 Powerscourt Drive. The Bank’s headquarters occupy 16,572 square feet in the same center at 12412 Powerscourt Drive.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owns approximately 61,500 square feet of office space at 13001 Hollenberg Drive in Bridgeton, Missouri where the Company’s transportation processing activities are performed.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owns a production facility of approximately 48,300 square feet located at 2675 Corporate Exchange Drive, Columbus, Ohio. Additional facilities are located in Greenville, South Carolina, Wellington, Kansas, Jacksonville, Florida, and Brighton, Michigan. The Company has offices in Breda, Netherlands, Basingstoke, United Kingdom, and Singapore to service its multinational customers.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Bank owns a banking facility near downtown St. Louis, Missouri, has an operating branch in the Bridgeton, Missouri location, and has an additional leased facility in Colorado Springs, Colorado.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these facilities are suitable and adequate for the Company’s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jc w:val="both"/>
        <w:ind w:left="740" w:hanging="728"/>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is quoted on The Nasdaq Global Select Market® under the symbol “CASS.” As of February 15, 2023, there were approximately 5,405 holders of record of the Company’s common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continuously paid regularly scheduled cash dividends since 1934 and expects to continue to pay quarterly cash dividends in the future. However, future dividend payments will depend on the Company’s earnings, capital requirements, financial condition, applicable banking regulatory requirements and other factors considered relevant by the Company’s Board of Directors.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maintains a treasury stock buyback program approved by the Board of Directors in October 2021 pursuant to which the Board of Directors has authorized the repurchase of up to 750,000 shares of the Company’s common stock and has no expiration date. The Company has repurchased 409,293 shares under this treasury stock buyback program and therefore has 340,707 shares remaining for repurchase.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repurchased a total of 130,374 shares at an aggregate cost of $5.3 million during the year ended December 31, 2022 and 713,857 shares at an aggregate cost of $31.0 million during the year ended December 31, 2021. A portion of the repurchased shares may be used for the Company’s employee benefit plans and the balance will be available for other general corporate purposes. The pace of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December 31, 2022, the Company did not repurchase any shares of its common stock pursuant to its treasury stock buyback program.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Quoted on The Nasdaq Stock Market for the Last Five Fiscal Years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cumulative total returns over the last five fiscal years of a hypothetical investment of $100 in shares of common stock of the Company with a hypothetical investment of $100 in The Nasdaq Stock Market (“Nasdaq”), the index of Nasdaq computer and data processing stocks, and the index of Nasdaq bank stocks. The graph assumes $100 was invested on December 31, 2017, with dividends reinvested. Returns are based on period end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657850" cy="3000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the consolidated financial statements and the accompanying Notes to Financial Statements (Part II, Item 8 of this Form 10-K). This section generally discusses the results of operations for 2022 compared to 2021. For discussion related to the results of operations and changes in financial condition for 2021 compared to 2020 refer to Part II, Item 7, "Management's Discussion and Analysis of Financial Condition and Results of Operations" in the Company's 2021 Annual Report on Form 10-K filed with the SEC on February 28, 2022.</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intends for the discussion of financial condition and results of operations that follows to provide information that will assist the reader in understanding the Consolidated Financial Statements, the changes in certain key items in those financial statements from year to year, and the primary factors that accounted for those changes, as well as how certain accounting principles, policies, and estimates affect the Consolidated Financial Statements. This discussion should be read in conjunction the Consolidated Financial Statements and the related notes that appear in Part II, Item 8 of this document.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transactional level payment services, and investment of account balances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generated during the payment process. The amount, type, and calculation of service fees vary greatly by service offering, but generally follow the volume of transactions processed. Transactional level payment services and interest income from the balances generated during the payment processing cycle are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recorded revenue of $182.5 million in 2022, up 18.4% from the prior year, primarily due to an increase in transportation and facility dollar volumes processed and rising interest rates. Net income was $34.9 million, and diluted EPS was $2.53 per share, increases of 22.0% and 26.5% from the prior year, respectively.</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continues to operate profitably, posting a 1.35% return on average assets and 16.53% return on average equity. The Company’s common equity Tier 1 capital ratio was 12.80% at December 31, 2022, significantly exceeding regulatory requirements. In addition, the Company has maintained exceptional credit quality with non-performing loans to total loans of 0.11% at December 31, 2022 and no loan charge-offs during the year ended December 31, 2022.</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solid capital and liquidity positions, combined with ongoing earnings, are expected to continue to allow for investment in strategic opportunities when they become available, in addition to return of capital to shareholders. The Company delivered $20.7 million in dividend payments and share repurchases during 2022. The Company continues to invest in the technology, processes, and people required to support its multi-national customer base.</w:t>
      </w:r>
    </w:p>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A summary of significant accounting policies and a summary of recent accounting pronouncements applicable to the Company's Consolidated Financial Statements are included in Item 8, "Financial Statements and Supplementary Data— Note 1.”</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Allowance for Credit Losses</w:t>
      </w:r>
      <w:r>
        <w:rPr>
          <w:rFonts w:ascii="Arial" w:cs="Arial" w:eastAsia="Arial" w:hAnsi="Arial"/>
          <w:sz w:val="16"/>
          <w:szCs w:val="16"/>
          <w:color w:val="auto"/>
        </w:rPr>
        <w:t>. The Company performs periodic and systematic detailed reviews of its loan portfolio to determine management’s estimate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lifetime expected credit losses. The process combines many factors: economic factors, historical credit loss experience, of both the Company and similar peer banks, loan portfolio growth and concentrations, asset quality, risk tolerance, and other qualitative and quantitative factors which could affect future credit loss. Given the Company's recent historical loss experience, the impact of the qualitative risk factors related to the collective ACL is a substantial percentage of the overall ACL. Because current economic conditions and forecasts can change and future events are inherently difficult to predict, the anticipated amount of estimated credit losses, and therefore the appropriateness of the ACL, could change significantly. It is difficult to estimate how potential changes in any one economic factor or input might affect the overall allowance because a wide variety of factors and inputs are considered in estimating the ACL and changes in those factors and inputs considered may not occur at the same rate and may not be consistent across all loan types. Additionally, changes in factors and inputs may be directionally inconsistent, such that improvement in one factor may offset deterioration in others.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 The Company believes the level of ACL is appropriate. These policies affect both segments of the Company. The impact and associated risks related to these policies on the Company’s business operations are discussed in the Note 1 "Summary of Significant Accounting Policies" and Note 4 "Loans," as well as the “Provision and Allowance for Credit Losses and Allowance for Unfunded Commitments” section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Summary of Results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3"/>
        </w:trPr>
        <w:tc>
          <w:tcPr>
            <w:tcW w:w="3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 v. 2021</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 v. 2020</w:t>
            </w:r>
          </w:p>
        </w:tc>
      </w:tr>
      <w:tr>
        <w:trPr>
          <w:trHeight w:val="256"/>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Processing fees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76,470</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74,589</w:t>
            </w:r>
          </w:p>
        </w:tc>
        <w:tc>
          <w:tcPr>
            <w:tcW w:w="58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74,638</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2.5 %</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3200" w:type="dxa"/>
            <w:vAlign w:val="bottom"/>
          </w:tcPr>
          <w:p>
            <w:pPr>
              <w:ind w:left="20"/>
              <w:spacing w:after="0"/>
              <w:rPr>
                <w:sz w:val="20"/>
                <w:szCs w:val="20"/>
                <w:color w:val="auto"/>
              </w:rPr>
            </w:pPr>
            <w:r>
              <w:rPr>
                <w:rFonts w:ascii="Arial" w:cs="Arial" w:eastAsia="Arial" w:hAnsi="Arial"/>
                <w:sz w:val="18"/>
                <w:szCs w:val="18"/>
                <w:color w:val="auto"/>
              </w:rPr>
              <w:t>Financial fees</w:t>
            </w:r>
          </w:p>
        </w:tc>
        <w:tc>
          <w:tcPr>
            <w:tcW w:w="34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43,757</w:t>
            </w:r>
          </w:p>
        </w:tc>
        <w:tc>
          <w:tcPr>
            <w:tcW w:w="400" w:type="dxa"/>
            <w:vAlign w:val="bottom"/>
          </w:tcPr>
          <w:p>
            <w:pPr>
              <w:spacing w:after="0"/>
              <w:rPr>
                <w:sz w:val="22"/>
                <w:szCs w:val="22"/>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32,733</w:t>
            </w:r>
          </w:p>
        </w:tc>
        <w:tc>
          <w:tcPr>
            <w:tcW w:w="58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23,107</w:t>
            </w:r>
          </w:p>
        </w:tc>
        <w:tc>
          <w:tcPr>
            <w:tcW w:w="100" w:type="dxa"/>
            <w:vAlign w:val="bottom"/>
          </w:tcPr>
          <w:p>
            <w:pPr>
              <w:spacing w:after="0"/>
              <w:rPr>
                <w:sz w:val="22"/>
                <w:szCs w:val="22"/>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33.7</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41.7</w:t>
            </w:r>
          </w:p>
        </w:tc>
      </w:tr>
      <w:tr>
        <w:trPr>
          <w:trHeight w:val="257"/>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DBDBDB"/>
          </w:tcPr>
          <w:p>
            <w:pPr>
              <w:spacing w:after="0"/>
              <w:rPr>
                <w:sz w:val="22"/>
                <w:szCs w:val="22"/>
                <w:color w:val="auto"/>
              </w:rPr>
            </w:pPr>
          </w:p>
        </w:tc>
        <w:tc>
          <w:tcPr>
            <w:tcW w:w="12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58,844</w:t>
            </w:r>
          </w:p>
        </w:tc>
        <w:tc>
          <w:tcPr>
            <w:tcW w:w="4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44,326</w:t>
            </w:r>
          </w:p>
        </w:tc>
        <w:tc>
          <w:tcPr>
            <w:tcW w:w="580" w:type="dxa"/>
            <w:vAlign w:val="bottom"/>
            <w:shd w:val="clear" w:color="auto" w:fill="DBDBDB"/>
          </w:tcPr>
          <w:p>
            <w:pPr>
              <w:spacing w:after="0"/>
              <w:rPr>
                <w:sz w:val="22"/>
                <w:szCs w:val="22"/>
                <w:color w:val="auto"/>
              </w:rPr>
            </w:pPr>
          </w:p>
        </w:tc>
        <w:tc>
          <w:tcPr>
            <w:tcW w:w="10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45,325</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rPr>
              <w:t>32.8</w:t>
            </w:r>
          </w:p>
        </w:tc>
        <w:tc>
          <w:tcPr>
            <w:tcW w:w="144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(2.2)</w:t>
            </w:r>
          </w:p>
        </w:tc>
      </w:tr>
      <w:tr>
        <w:trPr>
          <w:trHeight w:val="256"/>
        </w:trPr>
        <w:tc>
          <w:tcPr>
            <w:tcW w:w="3200" w:type="dxa"/>
            <w:vAlign w:val="bottom"/>
          </w:tcPr>
          <w:p>
            <w:pPr>
              <w:ind w:left="20"/>
              <w:spacing w:after="0"/>
              <w:rPr>
                <w:sz w:val="20"/>
                <w:szCs w:val="20"/>
                <w:color w:val="auto"/>
              </w:rPr>
            </w:pPr>
            <w:r>
              <w:rPr>
                <w:rFonts w:ascii="Arial" w:cs="Arial" w:eastAsia="Arial" w:hAnsi="Arial"/>
                <w:sz w:val="18"/>
                <w:szCs w:val="18"/>
                <w:color w:val="auto"/>
              </w:rPr>
              <w:t>Provision for (release of) credit losses</w:t>
            </w:r>
          </w:p>
        </w:tc>
        <w:tc>
          <w:tcPr>
            <w:tcW w:w="34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1,350</w:t>
            </w:r>
          </w:p>
        </w:tc>
        <w:tc>
          <w:tcPr>
            <w:tcW w:w="40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58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2"/>
                <w:szCs w:val="22"/>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(1138.5)</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(116.0)</w:t>
            </w:r>
          </w:p>
        </w:tc>
      </w:tr>
      <w:tr>
        <w:trPr>
          <w:trHeight w:val="257"/>
        </w:trPr>
        <w:tc>
          <w:tcPr>
            <w:tcW w:w="3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4,755</w:t>
            </w:r>
          </w:p>
        </w:tc>
        <w:tc>
          <w:tcPr>
            <w:tcW w:w="40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2,369</w:t>
            </w:r>
          </w:p>
        </w:tc>
        <w:tc>
          <w:tcPr>
            <w:tcW w:w="5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rPr>
              <w:t>100.7</w:t>
            </w:r>
          </w:p>
        </w:tc>
        <w:tc>
          <w:tcPr>
            <w:tcW w:w="144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(12.1)</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182,476</w:t>
            </w:r>
          </w:p>
        </w:tc>
        <w:tc>
          <w:tcPr>
            <w:tcW w:w="4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154,147</w:t>
            </w:r>
          </w:p>
        </w:tc>
        <w:tc>
          <w:tcPr>
            <w:tcW w:w="5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144,956</w:t>
            </w:r>
          </w:p>
        </w:tc>
        <w:tc>
          <w:tcPr>
            <w:tcW w:w="100" w:type="dxa"/>
            <w:vAlign w:val="bottom"/>
          </w:tcPr>
          <w:p>
            <w:pPr>
              <w:spacing w:after="0"/>
              <w:rPr>
                <w:sz w:val="21"/>
                <w:szCs w:val="21"/>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18.4</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57"/>
        </w:trPr>
        <w:tc>
          <w:tcPr>
            <w:tcW w:w="3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Operating expense</w:t>
            </w:r>
          </w:p>
        </w:tc>
        <w:tc>
          <w:tcPr>
            <w:tcW w:w="34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139,576</w:t>
            </w:r>
          </w:p>
        </w:tc>
        <w:tc>
          <w:tcPr>
            <w:tcW w:w="40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120,326</w:t>
            </w:r>
          </w:p>
        </w:tc>
        <w:tc>
          <w:tcPr>
            <w:tcW w:w="5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114,615</w:t>
            </w:r>
          </w:p>
        </w:tc>
        <w:tc>
          <w:tcPr>
            <w:tcW w:w="10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rPr>
              <w:t>16.0</w:t>
            </w:r>
          </w:p>
        </w:tc>
        <w:tc>
          <w:tcPr>
            <w:tcW w:w="14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5.0</w:t>
            </w: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42,900</w:t>
            </w:r>
          </w:p>
        </w:tc>
        <w:tc>
          <w:tcPr>
            <w:tcW w:w="4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33,821</w:t>
            </w:r>
          </w:p>
        </w:tc>
        <w:tc>
          <w:tcPr>
            <w:tcW w:w="5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30,341</w:t>
            </w:r>
          </w:p>
        </w:tc>
        <w:tc>
          <w:tcPr>
            <w:tcW w:w="100" w:type="dxa"/>
            <w:vAlign w:val="bottom"/>
          </w:tcPr>
          <w:p>
            <w:pPr>
              <w:spacing w:after="0"/>
              <w:rPr>
                <w:sz w:val="21"/>
                <w:szCs w:val="21"/>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26.8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11.5</w:t>
            </w:r>
          </w:p>
        </w:tc>
      </w:tr>
      <w:tr>
        <w:trPr>
          <w:trHeight w:val="257"/>
        </w:trPr>
        <w:tc>
          <w:tcPr>
            <w:tcW w:w="3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7,996</w:t>
            </w:r>
          </w:p>
        </w:tc>
        <w:tc>
          <w:tcPr>
            <w:tcW w:w="40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5,217</w:t>
            </w:r>
          </w:p>
        </w:tc>
        <w:tc>
          <w:tcPr>
            <w:tcW w:w="580" w:type="dxa"/>
            <w:vAlign w:val="bottom"/>
            <w:tcBorders>
              <w:bottom w:val="single" w:sz="8" w:color="auto"/>
            </w:tcBorders>
            <w:shd w:val="clear" w:color="auto" w:fill="DBDBDB"/>
          </w:tcPr>
          <w:p>
            <w:pPr>
              <w:spacing w:after="0"/>
              <w:rPr>
                <w:sz w:val="22"/>
                <w:szCs w:val="22"/>
                <w:color w:val="auto"/>
              </w:rPr>
            </w:pPr>
          </w:p>
        </w:tc>
        <w:tc>
          <w:tcPr>
            <w:tcW w:w="10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rPr>
              <w:t>53.3</w:t>
            </w:r>
          </w:p>
        </w:tc>
        <w:tc>
          <w:tcPr>
            <w:tcW w:w="14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1.0</w:t>
            </w:r>
          </w:p>
        </w:tc>
      </w:tr>
      <w:tr>
        <w:trPr>
          <w:trHeight w:val="25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34,904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28,604</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25,176</w:t>
            </w: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22.0</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13.6</w:t>
            </w:r>
          </w:p>
        </w:tc>
      </w:tr>
      <w:tr>
        <w:trPr>
          <w:trHeight w:val="257"/>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2.53</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2.00</w:t>
            </w:r>
          </w:p>
        </w:tc>
        <w:tc>
          <w:tcPr>
            <w:tcW w:w="58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rPr>
              <w:t>26.5</w:t>
            </w:r>
          </w:p>
        </w:tc>
        <w:tc>
          <w:tcPr>
            <w:tcW w:w="14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15.6</w:t>
            </w: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Return on average assets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1.35 %</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63"/>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Return on average equity</w:t>
            </w:r>
          </w:p>
        </w:tc>
        <w:tc>
          <w:tcPr>
            <w:tcW w:w="3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16.53 %</w:t>
            </w:r>
          </w:p>
        </w:tc>
        <w:tc>
          <w:tcPr>
            <w:tcW w:w="40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11.29 %</w:t>
            </w:r>
          </w:p>
        </w:tc>
        <w:tc>
          <w:tcPr>
            <w:tcW w:w="580" w:type="dxa"/>
            <w:vAlign w:val="bottom"/>
            <w:shd w:val="clear" w:color="auto" w:fill="DBDBDB"/>
          </w:tcPr>
          <w:p>
            <w:pPr>
              <w:spacing w:after="0"/>
              <w:rPr>
                <w:sz w:val="22"/>
                <w:szCs w:val="2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10.23 %</w:t>
            </w:r>
          </w:p>
        </w:tc>
        <w:tc>
          <w:tcPr>
            <w:tcW w:w="100" w:type="dxa"/>
            <w:vAlign w:val="bottom"/>
            <w:shd w:val="clear" w:color="auto" w:fill="DBDBDB"/>
          </w:tcPr>
          <w:p>
            <w:pPr>
              <w:spacing w:after="0"/>
              <w:rPr>
                <w:sz w:val="22"/>
                <w:szCs w:val="22"/>
                <w:color w:val="auto"/>
              </w:rPr>
            </w:pPr>
          </w:p>
        </w:tc>
        <w:tc>
          <w:tcPr>
            <w:tcW w:w="17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recorded revenue of $182.5 million in 2022, up 18.4% from the prior year, primarily due to an increase in transportation and facility dollar volumes processed and rising interest rates. Net income was $34.9 million, and diluted EPS was $2.53 per share, increases of 22.0% and 26.5% from the prior year,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posted a 1.35% return on average assets and 16.53% return on average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Further detail about the components of revenue and expenses are explained in the sections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fee revenue and other income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 v. 2021</w:t>
            </w: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 v. 2020</w:t>
            </w:r>
          </w:p>
        </w:tc>
      </w:tr>
      <w:tr>
        <w:trPr>
          <w:trHeight w:val="257"/>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Transportation invoice transaction volume</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36,807</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36,783</w:t>
            </w:r>
          </w:p>
        </w:tc>
        <w:tc>
          <w:tcPr>
            <w:tcW w:w="40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33,184</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0.1 %</w:t>
            </w:r>
          </w:p>
        </w:tc>
        <w:tc>
          <w:tcPr>
            <w:tcW w:w="1480" w:type="dxa"/>
            <w:vAlign w:val="bottom"/>
            <w:shd w:val="clear" w:color="auto" w:fill="DBDBDB"/>
          </w:tcPr>
          <w:p>
            <w:pPr>
              <w:ind w:left="940"/>
              <w:spacing w:after="0"/>
              <w:rPr>
                <w:sz w:val="20"/>
                <w:szCs w:val="20"/>
                <w:color w:val="auto"/>
              </w:rPr>
            </w:pPr>
            <w:r>
              <w:rPr>
                <w:rFonts w:ascii="Arial" w:cs="Arial" w:eastAsia="Arial" w:hAnsi="Arial"/>
                <w:sz w:val="18"/>
                <w:szCs w:val="18"/>
                <w:color w:val="auto"/>
                <w:w w:val="92"/>
              </w:rPr>
              <w:t>10.8 %</w:t>
            </w: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Transportation invoice dollar volume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44,749,359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36,829,841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26,516,803</w:t>
            </w:r>
          </w:p>
        </w:tc>
        <w:tc>
          <w:tcPr>
            <w:tcW w:w="100" w:type="dxa"/>
            <w:vAlign w:val="bottom"/>
          </w:tcPr>
          <w:p>
            <w:pPr>
              <w:spacing w:after="0"/>
              <w:rPr>
                <w:sz w:val="21"/>
                <w:szCs w:val="21"/>
                <w:color w:val="auto"/>
              </w:rPr>
            </w:pP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21.5</w:t>
            </w:r>
          </w:p>
        </w:tc>
        <w:tc>
          <w:tcPr>
            <w:tcW w:w="1480" w:type="dxa"/>
            <w:vAlign w:val="bottom"/>
          </w:tcPr>
          <w:p>
            <w:pPr>
              <w:ind w:left="940"/>
              <w:spacing w:after="0"/>
              <w:rPr>
                <w:sz w:val="20"/>
                <w:szCs w:val="20"/>
                <w:color w:val="auto"/>
              </w:rPr>
            </w:pPr>
            <w:r>
              <w:rPr>
                <w:rFonts w:ascii="Arial" w:cs="Arial" w:eastAsia="Arial" w:hAnsi="Arial"/>
                <w:sz w:val="18"/>
                <w:szCs w:val="18"/>
                <w:color w:val="auto"/>
              </w:rPr>
              <w:t>38.9</w:t>
            </w:r>
          </w:p>
        </w:tc>
      </w:tr>
      <w:tr>
        <w:trPr>
          <w:trHeight w:val="263"/>
        </w:trPr>
        <w:tc>
          <w:tcPr>
            <w:tcW w:w="3360" w:type="dxa"/>
            <w:vAlign w:val="bottom"/>
            <w:shd w:val="clear" w:color="auto" w:fill="DBDBDB"/>
          </w:tcPr>
          <w:p>
            <w:pPr>
              <w:ind w:left="20"/>
              <w:spacing w:after="0" w:line="263" w:lineRule="exact"/>
              <w:rPr>
                <w:sz w:val="20"/>
                <w:szCs w:val="20"/>
                <w:color w:val="auto"/>
              </w:rPr>
            </w:pPr>
            <w:r>
              <w:rPr>
                <w:rFonts w:ascii="Arial" w:cs="Arial" w:eastAsia="Arial" w:hAnsi="Arial"/>
                <w:sz w:val="18"/>
                <w:szCs w:val="18"/>
                <w:color w:val="auto"/>
              </w:rPr>
              <w:t>Facility transaction volume</w:t>
            </w:r>
            <w:r>
              <w:rPr>
                <w:rFonts w:ascii="Arial" w:cs="Arial" w:eastAsia="Arial" w:hAnsi="Arial"/>
                <w:sz w:val="23"/>
                <w:szCs w:val="23"/>
                <w:b w:val="1"/>
                <w:bCs w:val="1"/>
                <w:color w:val="auto"/>
                <w:vertAlign w:val="superscript"/>
              </w:rPr>
              <w:t>(1)</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12,990</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12,499</w:t>
            </w:r>
          </w:p>
        </w:tc>
        <w:tc>
          <w:tcPr>
            <w:tcW w:w="40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3.9</w:t>
            </w:r>
          </w:p>
        </w:tc>
        <w:tc>
          <w:tcPr>
            <w:tcW w:w="14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(0.6)</w:t>
            </w:r>
          </w:p>
        </w:tc>
      </w:tr>
      <w:tr>
        <w:trPr>
          <w:trHeight w:val="257"/>
        </w:trPr>
        <w:tc>
          <w:tcPr>
            <w:tcW w:w="3360" w:type="dxa"/>
            <w:vAlign w:val="bottom"/>
          </w:tcPr>
          <w:p>
            <w:pPr>
              <w:ind w:left="20"/>
              <w:spacing w:after="0" w:line="256" w:lineRule="exact"/>
              <w:rPr>
                <w:sz w:val="20"/>
                <w:szCs w:val="20"/>
                <w:color w:val="auto"/>
              </w:rPr>
            </w:pPr>
            <w:r>
              <w:rPr>
                <w:rFonts w:ascii="Arial" w:cs="Arial" w:eastAsia="Arial" w:hAnsi="Arial"/>
                <w:sz w:val="18"/>
                <w:szCs w:val="18"/>
                <w:color w:val="auto"/>
              </w:rPr>
              <w:t>Facility dollar volume</w:t>
            </w:r>
            <w:r>
              <w:rPr>
                <w:rFonts w:ascii="Arial" w:cs="Arial" w:eastAsia="Arial" w:hAnsi="Arial"/>
                <w:sz w:val="23"/>
                <w:szCs w:val="23"/>
                <w:b w:val="1"/>
                <w:bCs w:val="1"/>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19,514,049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15,867,556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13,458,231</w:t>
            </w:r>
          </w:p>
        </w:tc>
        <w:tc>
          <w:tcPr>
            <w:tcW w:w="100" w:type="dxa"/>
            <w:vAlign w:val="bottom"/>
          </w:tcPr>
          <w:p>
            <w:pPr>
              <w:spacing w:after="0"/>
              <w:rPr>
                <w:sz w:val="22"/>
                <w:szCs w:val="22"/>
                <w:color w:val="auto"/>
              </w:rPr>
            </w:pP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23.0</w:t>
            </w:r>
          </w:p>
        </w:tc>
        <w:tc>
          <w:tcPr>
            <w:tcW w:w="1480" w:type="dxa"/>
            <w:vAlign w:val="bottom"/>
          </w:tcPr>
          <w:p>
            <w:pPr>
              <w:ind w:left="940"/>
              <w:spacing w:after="0"/>
              <w:rPr>
                <w:sz w:val="20"/>
                <w:szCs w:val="20"/>
                <w:color w:val="auto"/>
              </w:rPr>
            </w:pPr>
            <w:r>
              <w:rPr>
                <w:rFonts w:ascii="Arial" w:cs="Arial" w:eastAsia="Arial" w:hAnsi="Arial"/>
                <w:sz w:val="18"/>
                <w:szCs w:val="18"/>
                <w:color w:val="auto"/>
              </w:rPr>
              <w:t>17.9</w:t>
            </w:r>
          </w:p>
        </w:tc>
      </w:tr>
      <w:tr>
        <w:trPr>
          <w:trHeight w:val="257"/>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Processing fees</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76,470</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74,589</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74,638</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2.5</w:t>
            </w:r>
          </w:p>
        </w:tc>
        <w:tc>
          <w:tcPr>
            <w:tcW w:w="14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(0.1)</w:t>
            </w: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Financial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43,757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32,733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23,107</w:t>
            </w:r>
          </w:p>
        </w:tc>
        <w:tc>
          <w:tcPr>
            <w:tcW w:w="100" w:type="dxa"/>
            <w:vAlign w:val="bottom"/>
          </w:tcPr>
          <w:p>
            <w:pPr>
              <w:spacing w:after="0"/>
              <w:rPr>
                <w:sz w:val="21"/>
                <w:szCs w:val="21"/>
                <w:color w:val="auto"/>
              </w:rPr>
            </w:pP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33.7</w:t>
            </w:r>
          </w:p>
        </w:tc>
        <w:tc>
          <w:tcPr>
            <w:tcW w:w="1480" w:type="dxa"/>
            <w:vAlign w:val="bottom"/>
          </w:tcPr>
          <w:p>
            <w:pPr>
              <w:ind w:left="940"/>
              <w:spacing w:after="0"/>
              <w:rPr>
                <w:sz w:val="20"/>
                <w:szCs w:val="20"/>
                <w:color w:val="auto"/>
              </w:rPr>
            </w:pPr>
            <w:r>
              <w:rPr>
                <w:rFonts w:ascii="Arial" w:cs="Arial" w:eastAsia="Arial" w:hAnsi="Arial"/>
                <w:sz w:val="18"/>
                <w:szCs w:val="18"/>
                <w:color w:val="auto"/>
              </w:rPr>
              <w:t>41.7</w:t>
            </w:r>
          </w:p>
        </w:tc>
      </w:tr>
      <w:tr>
        <w:trPr>
          <w:trHeight w:val="263"/>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fees</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4,755</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2,369</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DBDBDB"/>
          </w:tcPr>
          <w:p>
            <w:pPr>
              <w:spacing w:after="0"/>
              <w:rPr>
                <w:sz w:val="22"/>
                <w:szCs w:val="22"/>
                <w:color w:val="auto"/>
              </w:rPr>
            </w:pPr>
          </w:p>
        </w:tc>
        <w:tc>
          <w:tcPr>
            <w:tcW w:w="176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100.7</w:t>
            </w:r>
          </w:p>
        </w:tc>
        <w:tc>
          <w:tcPr>
            <w:tcW w:w="14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(12.1)</w:t>
            </w:r>
          </w:p>
        </w:tc>
      </w:tr>
    </w:tbl>
    <w:p>
      <w:pPr>
        <w:spacing w:after="0" w:line="80"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Includes energy, telecom and environmental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fees increased $11.0 million, or 33.7%, in 2022 as a result of the increases in total invoice dollars processed and paid and a higher interest rate environment as compared to the prior year. Transportation and facility invoice dollars processed and paid increased 21.5% and 23.0%, respectively. The significant increase in dollars processed and paid was due to inflationary pressures and higher energy prices, among other factors.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Processing fees increased $1.9 million, or 2.5%, during 2022 largely driven by a 3.9% increase in facility transaction volumes as well as an increase in fees received for ancillary processing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$2.4 million as compared to the prior year primarily due to the TouchPoint acquisition in June 2022 and increased bank service fees due to customer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 v. 2021</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 v. 2020</w:t>
            </w:r>
          </w:p>
        </w:tc>
      </w:tr>
      <w:tr>
        <w:trPr>
          <w:trHeight w:val="257"/>
        </w:trPr>
        <w:tc>
          <w:tcPr>
            <w:tcW w:w="3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earning assets</w:t>
            </w: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2,205,792</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1,999,609</w:t>
            </w:r>
          </w:p>
        </w:tc>
        <w:tc>
          <w:tcPr>
            <w:tcW w:w="4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1,674,297</w:t>
            </w:r>
          </w:p>
        </w:tc>
        <w:tc>
          <w:tcPr>
            <w:tcW w:w="100" w:type="dxa"/>
            <w:vAlign w:val="bottom"/>
            <w:shd w:val="clear" w:color="auto" w:fill="DBDBDB"/>
          </w:tcPr>
          <w:p>
            <w:pPr>
              <w:spacing w:after="0"/>
              <w:rPr>
                <w:sz w:val="22"/>
                <w:szCs w:val="22"/>
                <w:color w:val="auto"/>
              </w:rPr>
            </w:pPr>
          </w:p>
        </w:tc>
        <w:tc>
          <w:tcPr>
            <w:tcW w:w="16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10.3 %</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19.4 %</w:t>
            </w:r>
          </w:p>
        </w:tc>
      </w:tr>
      <w:tr>
        <w:trPr>
          <w:trHeight w:val="256"/>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Net interest income </w:t>
            </w:r>
            <w:r>
              <w:rPr>
                <w:rFonts w:ascii="Arial" w:cs="Arial" w:eastAsia="Arial" w:hAnsi="Arial"/>
                <w:sz w:val="23"/>
                <w:szCs w:val="23"/>
                <w:b w:val="1"/>
                <w:bCs w:val="1"/>
                <w:color w:val="auto"/>
                <w:vertAlign w:val="superscript"/>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60,533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46,199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47,214</w:t>
            </w:r>
          </w:p>
        </w:tc>
        <w:tc>
          <w:tcPr>
            <w:tcW w:w="100" w:type="dxa"/>
            <w:vAlign w:val="bottom"/>
          </w:tcPr>
          <w:p>
            <w:pPr>
              <w:spacing w:after="0"/>
              <w:rPr>
                <w:sz w:val="22"/>
                <w:szCs w:val="22"/>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31.0</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57"/>
        </w:trPr>
        <w:tc>
          <w:tcPr>
            <w:tcW w:w="318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3"/>
                <w:szCs w:val="23"/>
                <w:b w:val="1"/>
                <w:bCs w:val="1"/>
                <w:color w:val="auto"/>
                <w:vertAlign w:val="superscript"/>
              </w:rPr>
              <w:t>(1)</w:t>
            </w:r>
          </w:p>
        </w:tc>
        <w:tc>
          <w:tcPr>
            <w:tcW w:w="36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2.74 %</w:t>
            </w:r>
          </w:p>
        </w:tc>
        <w:tc>
          <w:tcPr>
            <w:tcW w:w="240" w:type="dxa"/>
            <w:vAlign w:val="bottom"/>
            <w:shd w:val="clear" w:color="auto" w:fill="DBDBDB"/>
          </w:tcPr>
          <w:p>
            <w:pPr>
              <w:spacing w:after="0"/>
              <w:rPr>
                <w:sz w:val="22"/>
                <w:szCs w:val="2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2.31 %</w:t>
            </w:r>
          </w:p>
        </w:tc>
        <w:tc>
          <w:tcPr>
            <w:tcW w:w="420" w:type="dxa"/>
            <w:vAlign w:val="bottom"/>
            <w:shd w:val="clear" w:color="auto" w:fill="DBDBDB"/>
          </w:tcPr>
          <w:p>
            <w:pPr>
              <w:spacing w:after="0"/>
              <w:rPr>
                <w:sz w:val="22"/>
                <w:szCs w:val="22"/>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2.82 %</w:t>
            </w:r>
          </w:p>
        </w:tc>
        <w:tc>
          <w:tcPr>
            <w:tcW w:w="100" w:type="dxa"/>
            <w:vAlign w:val="bottom"/>
            <w:shd w:val="clear" w:color="auto" w:fill="DBDBDB"/>
          </w:tcPr>
          <w:p>
            <w:pPr>
              <w:spacing w:after="0"/>
              <w:rPr>
                <w:sz w:val="22"/>
                <w:szCs w:val="22"/>
                <w:color w:val="auto"/>
              </w:rPr>
            </w:pPr>
          </w:p>
        </w:tc>
        <w:tc>
          <w:tcPr>
            <w:tcW w:w="168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Yield on earning assets </w:t>
            </w:r>
            <w:r>
              <w:rPr>
                <w:rFonts w:ascii="Arial" w:cs="Arial" w:eastAsia="Arial" w:hAnsi="Arial"/>
                <w:sz w:val="23"/>
                <w:szCs w:val="23"/>
                <w:b w:val="1"/>
                <w:bCs w:val="1"/>
                <w:color w:val="auto"/>
                <w:vertAlign w:val="superscript"/>
              </w:rPr>
              <w:t>(1)</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2.90 %</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2.37 %</w:t>
            </w: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2.96 %</w:t>
            </w:r>
          </w:p>
        </w:tc>
        <w:tc>
          <w:tcPr>
            <w:tcW w:w="100" w:type="dxa"/>
            <w:vAlign w:val="bottom"/>
          </w:tcPr>
          <w:p>
            <w:pPr>
              <w:spacing w:after="0"/>
              <w:rPr>
                <w:sz w:val="22"/>
                <w:szCs w:val="22"/>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3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Rate on interest bearing liabilities</w:t>
            </w:r>
          </w:p>
        </w:tc>
        <w:tc>
          <w:tcPr>
            <w:tcW w:w="36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0.58 %</w:t>
            </w:r>
          </w:p>
        </w:tc>
        <w:tc>
          <w:tcPr>
            <w:tcW w:w="240" w:type="dxa"/>
            <w:vAlign w:val="bottom"/>
            <w:tcBorders>
              <w:bottom w:val="single" w:sz="8" w:color="auto"/>
            </w:tcBorders>
            <w:shd w:val="clear" w:color="auto" w:fill="DBDBDB"/>
          </w:tcPr>
          <w:p>
            <w:pPr>
              <w:spacing w:after="0"/>
              <w:rPr>
                <w:sz w:val="21"/>
                <w:szCs w:val="21"/>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0.20 %</w:t>
            </w:r>
          </w:p>
        </w:tc>
        <w:tc>
          <w:tcPr>
            <w:tcW w:w="42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0.49 %</w:t>
            </w:r>
          </w:p>
        </w:tc>
        <w:tc>
          <w:tcPr>
            <w:tcW w:w="100" w:type="dxa"/>
            <w:vAlign w:val="bottom"/>
            <w:tcBorders>
              <w:bottom w:val="single" w:sz="8" w:color="auto"/>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Presented on a tax-equivalent basis using a tax rate of 21%.</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net interest income in 2022 compared to 2021 is primarily due to the Federal Reserve’s actions to increase the Federal Funds rate throughout the year of 2022, positively affecting the net interest rate margin which increased to 2.74% as compared to 2.31% in the prior year. Additionally, a 10.3% increase in average earning assets contributed to the increase in net interest income. The yield on interest-earning assets increased 53 basis points from 2.37% in 2021 to 2.90% in 2022 while the cost of interest-bearing liabilities increased 38 basis points from 0.20% in 2021 to 0.58% in 2022.</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loans increased $104.3 million, or 11.8%, to $992.0 million. This increase was due to solid loan growth during 2022, specifically in the Company's franchise restaurants, faith-based and lease financing receivables portfolios. These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increases were offset by a $64.9 million decrease in average PPP loans as compared to 2021. The average yield on loans increased 2 basis points to 3.98% in 2022 as the increase in market interest rates was offset by a decline of $2.4 million in PPP loan fees.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investment securities increased $291.2 million, or 58.5%. The Company purchased investment securities throughout 2021 and 2022 in an effort to deploy short-term investments into investment securities to enhance the yield on interest-earning assets. The investment portfolio will expand and contract over time as the Company manages its liquidity and interest rate position. The average tax-equivalent yield on investment securities in 2022 was consistent with 2021 at 2.30%.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short-term investments, consisting of interest-bearing deposits in other financial institutions and federal funds sold, decreased $189.3 million, or 30.8%. The decrease is primarily a result of the increase in the average balances of investment securities, loans, payments in advance of funding and bank owned life insurance, partially offset by the increase in the average balances of deposits and accounts and drafts payable. The average yield on short-term investments increased 139 basis points to 1.51% in 2022 due to the increase in short-term market interest rates. The vast majority of these short-term investments are held at the Federal Reserve Bank.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interest-bearing deposits increased $11.2 million, or 1.9%, and average non-interest-bearing demand deposits increased $140.2 million, or 31.3%. These increases were largely due to organic growth within our customer base. The cost of interest-bearing deposits increased 38 basis points to 0.58% in 2022 as a result of the rising rate environment.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2022</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2021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5"/>
                <w:szCs w:val="15"/>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Interest</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5"/>
                <w:szCs w:val="15"/>
                <w:color w:val="auto"/>
              </w:rPr>
            </w:pPr>
          </w:p>
        </w:tc>
        <w:tc>
          <w:tcPr>
            <w:tcW w:w="76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Interest</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Average</w:t>
            </w:r>
          </w:p>
        </w:tc>
        <w:tc>
          <w:tcPr>
            <w:tcW w:w="1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Interest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Income/</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Yield/ Rate</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Income/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Yield/ Rate</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Income/</w:t>
            </w: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Yield/ Rate</w:t>
            </w:r>
          </w:p>
        </w:tc>
        <w:tc>
          <w:tcPr>
            <w:tcW w:w="0" w:type="dxa"/>
            <w:vAlign w:val="bottom"/>
          </w:tcPr>
          <w:p>
            <w:pPr>
              <w:spacing w:after="0"/>
              <w:rPr>
                <w:sz w:val="1"/>
                <w:szCs w:val="1"/>
                <w:color w:val="auto"/>
              </w:rPr>
            </w:pPr>
          </w:p>
        </w:tc>
      </w:tr>
      <w:tr>
        <w:trPr>
          <w:trHeight w:val="197"/>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Expense</w:t>
            </w:r>
          </w:p>
        </w:tc>
        <w:tc>
          <w:tcPr>
            <w:tcW w:w="9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Expense</w:t>
            </w:r>
          </w:p>
        </w:tc>
        <w:tc>
          <w:tcPr>
            <w:tcW w:w="10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Balance</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Expense</w:t>
            </w: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DBDBDB"/>
          </w:tcPr>
          <w:p>
            <w:pPr>
              <w:spacing w:after="0" w:line="202" w:lineRule="exact"/>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8"/>
                <w:szCs w:val="18"/>
                <w:b w:val="1"/>
                <w:bCs w:val="1"/>
                <w:color w:val="auto"/>
                <w:vertAlign w:val="superscript"/>
              </w:rPr>
              <w:t>(1)</w:t>
            </w:r>
          </w:p>
        </w:tc>
        <w:tc>
          <w:tcPr>
            <w:tcW w:w="1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Interest-earning assets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DBDBDB"/>
          </w:tcPr>
          <w:p>
            <w:pPr>
              <w:spacing w:after="0"/>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b w:val="1"/>
                <w:bCs w:val="1"/>
                <w:color w:val="auto"/>
                <w:vertAlign w:val="superscript"/>
              </w:rPr>
              <w:t>(2),</w:t>
            </w:r>
            <w:r>
              <w:rPr>
                <w:rFonts w:ascii="Arial" w:cs="Arial" w:eastAsia="Arial" w:hAnsi="Arial"/>
                <w:sz w:val="14"/>
                <w:szCs w:val="14"/>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992,004</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39,460</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3.98 %</w:t>
            </w:r>
          </w:p>
        </w:tc>
        <w:tc>
          <w:tcPr>
            <w:tcW w:w="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887,662</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35,178</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3.96 %</w:t>
            </w:r>
          </w:p>
        </w:tc>
        <w:tc>
          <w:tcPr>
            <w:tcW w:w="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906,361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37,665</w:t>
            </w:r>
          </w:p>
        </w:tc>
        <w:tc>
          <w:tcPr>
            <w:tcW w:w="920" w:type="dxa"/>
            <w:vAlign w:val="bottom"/>
            <w:shd w:val="clear" w:color="auto" w:fill="DBDBDB"/>
          </w:tcPr>
          <w:p>
            <w:pPr>
              <w:ind w:left="480"/>
              <w:spacing w:after="0"/>
              <w:rPr>
                <w:sz w:val="20"/>
                <w:szCs w:val="20"/>
                <w:color w:val="auto"/>
              </w:rPr>
            </w:pPr>
            <w:r>
              <w:rPr>
                <w:rFonts w:ascii="Arial" w:cs="Arial" w:eastAsia="Arial" w:hAnsi="Arial"/>
                <w:sz w:val="14"/>
                <w:szCs w:val="14"/>
                <w:color w:val="auto"/>
                <w:w w:val="96"/>
              </w:rPr>
              <w:t>4.16 %</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4"/>
                <w:szCs w:val="14"/>
                <w:color w:val="auto"/>
              </w:rPr>
              <w:t xml:space="preserve">Securities </w:t>
            </w:r>
            <w:r>
              <w:rPr>
                <w:rFonts w:ascii="Arial" w:cs="Arial" w:eastAsia="Arial" w:hAnsi="Arial"/>
                <w:sz w:val="18"/>
                <w:szCs w:val="18"/>
                <w:b w:val="1"/>
                <w:bCs w:val="1"/>
                <w:color w:val="auto"/>
                <w:vertAlign w:val="superscript"/>
              </w:rPr>
              <w:t>(4)</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Taxable</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509,537</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10,083</w:t>
            </w:r>
          </w:p>
        </w:tc>
        <w:tc>
          <w:tcPr>
            <w:tcW w:w="9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1.98</w:t>
            </w: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192,885</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2,547</w:t>
            </w: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1.32</w:t>
            </w: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75,938</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1,686</w:t>
            </w:r>
          </w:p>
        </w:tc>
        <w:tc>
          <w:tcPr>
            <w:tcW w:w="9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4"/>
                <w:szCs w:val="14"/>
                <w:color w:val="auto"/>
              </w:rPr>
              <w:t xml:space="preserve">Tax-exempt </w:t>
            </w:r>
            <w:r>
              <w:rPr>
                <w:rFonts w:ascii="Arial" w:cs="Arial" w:eastAsia="Arial" w:hAnsi="Arial"/>
                <w:sz w:val="18"/>
                <w:szCs w:val="18"/>
                <w:b w:val="1"/>
                <w:bCs w:val="1"/>
                <w:color w:val="auto"/>
                <w:vertAlign w:val="superscript"/>
              </w:rPr>
              <w:t>(3)</w:t>
            </w:r>
          </w:p>
        </w:tc>
        <w:tc>
          <w:tcPr>
            <w:tcW w:w="1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279,247</w:t>
            </w:r>
          </w:p>
        </w:tc>
        <w:tc>
          <w:tcPr>
            <w:tcW w:w="1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8,043</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2.88</w:t>
            </w:r>
          </w:p>
        </w:tc>
        <w:tc>
          <w:tcPr>
            <w:tcW w:w="20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304,672</w:t>
            </w:r>
          </w:p>
        </w:tc>
        <w:tc>
          <w:tcPr>
            <w:tcW w:w="16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8,919</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2.93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289,316</w:t>
            </w:r>
          </w:p>
        </w:tc>
        <w:tc>
          <w:tcPr>
            <w:tcW w:w="14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8,993</w:t>
            </w:r>
          </w:p>
        </w:tc>
        <w:tc>
          <w:tcPr>
            <w:tcW w:w="920" w:type="dxa"/>
            <w:vAlign w:val="bottom"/>
          </w:tcPr>
          <w:p>
            <w:pPr>
              <w:ind w:left="48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Certificates of deposit</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20"/>
                <w:szCs w:val="20"/>
                <w:color w:val="auto"/>
              </w:rPr>
            </w:pPr>
            <w:r>
              <w:rPr>
                <w:rFonts w:ascii="Arial" w:cs="Arial" w:eastAsia="Arial" w:hAnsi="Arial"/>
                <w:sz w:val="14"/>
                <w:szCs w:val="14"/>
                <w:color w:val="auto"/>
              </w:rPr>
              <w:t>Short-term investments</w:t>
            </w: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425,004</w:t>
            </w:r>
          </w:p>
        </w:tc>
        <w:tc>
          <w:tcPr>
            <w:tcW w:w="1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6,429</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1.51</w:t>
            </w: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614,390</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726</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0.12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402,427</w:t>
            </w: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1,226</w:t>
            </w:r>
          </w:p>
        </w:tc>
        <w:tc>
          <w:tcPr>
            <w:tcW w:w="920" w:type="dxa"/>
            <w:vAlign w:val="bottom"/>
          </w:tcPr>
          <w:p>
            <w:pPr>
              <w:ind w:left="480"/>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Total interest-earning assets</w:t>
            </w:r>
          </w:p>
        </w:tc>
        <w:tc>
          <w:tcPr>
            <w:tcW w:w="1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2,205,792</w:t>
            </w:r>
          </w:p>
        </w:tc>
        <w:tc>
          <w:tcPr>
            <w:tcW w:w="18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64,015</w:t>
            </w:r>
          </w:p>
        </w:tc>
        <w:tc>
          <w:tcPr>
            <w:tcW w:w="9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2.90</w:t>
            </w:r>
          </w:p>
        </w:tc>
        <w:tc>
          <w:tcPr>
            <w:tcW w:w="2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1,999,609</w:t>
            </w:r>
          </w:p>
        </w:tc>
        <w:tc>
          <w:tcPr>
            <w:tcW w:w="16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47,370</w:t>
            </w: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2.37</w:t>
            </w:r>
          </w:p>
        </w:tc>
        <w:tc>
          <w:tcPr>
            <w:tcW w:w="2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1,674,297</w:t>
            </w:r>
          </w:p>
        </w:tc>
        <w:tc>
          <w:tcPr>
            <w:tcW w:w="14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49,576</w:t>
            </w:r>
          </w:p>
        </w:tc>
        <w:tc>
          <w:tcPr>
            <w:tcW w:w="9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Non-interest-earning assets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Cash and due from banks</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20,772</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21,220</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16,979</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120"/>
              <w:spacing w:after="0"/>
              <w:rPr>
                <w:sz w:val="20"/>
                <w:szCs w:val="20"/>
                <w:color w:val="auto"/>
              </w:rPr>
            </w:pPr>
            <w:r>
              <w:rPr>
                <w:rFonts w:ascii="Arial" w:cs="Arial" w:eastAsia="Arial" w:hAnsi="Arial"/>
                <w:sz w:val="14"/>
                <w:szCs w:val="14"/>
                <w:color w:val="auto"/>
              </w:rPr>
              <w:t>Premises and equipment, net</w:t>
            </w: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19,291</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17,846</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19,623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Payments in excess of funding</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278,185</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211,809</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160,692</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120"/>
              <w:spacing w:after="0"/>
              <w:rPr>
                <w:sz w:val="20"/>
                <w:szCs w:val="20"/>
                <w:color w:val="auto"/>
              </w:rPr>
            </w:pPr>
            <w:r>
              <w:rPr>
                <w:rFonts w:ascii="Arial" w:cs="Arial" w:eastAsia="Arial" w:hAnsi="Arial"/>
                <w:sz w:val="14"/>
                <w:szCs w:val="14"/>
                <w:color w:val="auto"/>
              </w:rPr>
              <w:t>Bank owned life insurance</w:t>
            </w: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46,468</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26,766</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17,817</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Goodwill and other intangibles</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19,558</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17,273</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18,132</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120"/>
              <w:spacing w:after="0" w:line="143" w:lineRule="exact"/>
              <w:rPr>
                <w:sz w:val="20"/>
                <w:szCs w:val="20"/>
                <w:color w:val="auto"/>
              </w:rPr>
            </w:pPr>
            <w:r>
              <w:rPr>
                <w:rFonts w:ascii="Arial" w:cs="Arial" w:eastAsia="Arial" w:hAnsi="Arial"/>
                <w:sz w:val="14"/>
                <w:szCs w:val="14"/>
                <w:color w:val="auto"/>
              </w:rPr>
              <w:t>Unrealized (loss) gain on investment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(43,147)</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15,833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18,368</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51,686</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35,231</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37,218</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120"/>
              <w:spacing w:after="0"/>
              <w:rPr>
                <w:sz w:val="20"/>
                <w:szCs w:val="20"/>
                <w:color w:val="auto"/>
              </w:rPr>
            </w:pPr>
            <w:r>
              <w:rPr>
                <w:rFonts w:ascii="Arial" w:cs="Arial" w:eastAsia="Arial" w:hAnsi="Arial"/>
                <w:sz w:val="14"/>
                <w:szCs w:val="14"/>
                <w:color w:val="auto"/>
              </w:rPr>
              <w:t>Allowance for credit losses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(12,527)</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(11,595)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(11,016)</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2,586,078</w:t>
            </w:r>
          </w:p>
        </w:tc>
        <w:tc>
          <w:tcPr>
            <w:tcW w:w="1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2,333,992</w:t>
            </w:r>
          </w:p>
        </w:tc>
        <w:tc>
          <w:tcPr>
            <w:tcW w:w="1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1,952,110</w:t>
            </w:r>
          </w:p>
        </w:tc>
        <w:tc>
          <w:tcPr>
            <w:tcW w:w="14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auto"/>
            </w:tcBorders>
          </w:tcPr>
          <w:p>
            <w:pPr>
              <w:spacing w:after="0" w:line="196" w:lineRule="exact"/>
              <w:rPr>
                <w:sz w:val="20"/>
                <w:szCs w:val="20"/>
                <w:color w:val="auto"/>
              </w:rPr>
            </w:pPr>
            <w:r>
              <w:rPr>
                <w:rFonts w:ascii="Arial" w:cs="Arial" w:eastAsia="Arial" w:hAnsi="Arial"/>
                <w:sz w:val="14"/>
                <w:szCs w:val="14"/>
                <w:b w:val="1"/>
                <w:bCs w:val="1"/>
                <w:color w:val="auto"/>
                <w:w w:val="96"/>
              </w:rPr>
              <w:t xml:space="preserve">Liabilities and Shareholders’ Equity </w:t>
            </w:r>
            <w:r>
              <w:rPr>
                <w:rFonts w:ascii="Arial" w:cs="Arial" w:eastAsia="Arial" w:hAnsi="Arial"/>
                <w:sz w:val="18"/>
                <w:szCs w:val="18"/>
                <w:b w:val="1"/>
                <w:bCs w:val="1"/>
                <w:color w:val="auto"/>
                <w:w w:val="96"/>
                <w:vertAlign w:val="superscript"/>
              </w:rPr>
              <w:t>(1)</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Interest-bearing liabilities</w:t>
            </w:r>
          </w:p>
        </w:tc>
        <w:tc>
          <w:tcPr>
            <w:tcW w:w="1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120"/>
              <w:spacing w:after="0"/>
              <w:rPr>
                <w:sz w:val="20"/>
                <w:szCs w:val="20"/>
                <w:color w:val="auto"/>
              </w:rPr>
            </w:pPr>
            <w:r>
              <w:rPr>
                <w:rFonts w:ascii="Arial" w:cs="Arial" w:eastAsia="Arial" w:hAnsi="Arial"/>
                <w:sz w:val="14"/>
                <w:szCs w:val="14"/>
                <w:color w:val="auto"/>
              </w:rPr>
              <w:t>Interest-bearing demand deposits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549,054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3,118</w:t>
            </w:r>
          </w:p>
        </w:tc>
        <w:tc>
          <w:tcPr>
            <w:tcW w:w="980" w:type="dxa"/>
            <w:vAlign w:val="bottom"/>
          </w:tcPr>
          <w:p>
            <w:pPr>
              <w:jc w:val="right"/>
              <w:spacing w:after="0"/>
              <w:rPr>
                <w:sz w:val="20"/>
                <w:szCs w:val="20"/>
                <w:color w:val="auto"/>
              </w:rPr>
            </w:pPr>
            <w:r>
              <w:rPr>
                <w:rFonts w:ascii="Arial" w:cs="Arial" w:eastAsia="Arial" w:hAnsi="Arial"/>
                <w:sz w:val="14"/>
                <w:szCs w:val="14"/>
                <w:color w:val="auto"/>
              </w:rPr>
              <w:t>0.57 %</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521,409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582</w:t>
            </w:r>
          </w:p>
        </w:tc>
        <w:tc>
          <w:tcPr>
            <w:tcW w:w="1000" w:type="dxa"/>
            <w:vAlign w:val="bottom"/>
          </w:tcPr>
          <w:p>
            <w:pPr>
              <w:jc w:val="right"/>
              <w:spacing w:after="0"/>
              <w:rPr>
                <w:sz w:val="20"/>
                <w:szCs w:val="20"/>
                <w:color w:val="auto"/>
              </w:rPr>
            </w:pPr>
            <w:r>
              <w:rPr>
                <w:rFonts w:ascii="Arial" w:cs="Arial" w:eastAsia="Arial" w:hAnsi="Arial"/>
                <w:sz w:val="14"/>
                <w:szCs w:val="14"/>
                <w:color w:val="auto"/>
              </w:rPr>
              <w:t>0.11 %</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398,585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1,313</w:t>
            </w:r>
          </w:p>
        </w:tc>
        <w:tc>
          <w:tcPr>
            <w:tcW w:w="920" w:type="dxa"/>
            <w:vAlign w:val="bottom"/>
          </w:tcPr>
          <w:p>
            <w:pPr>
              <w:ind w:left="480"/>
              <w:spacing w:after="0"/>
              <w:rPr>
                <w:sz w:val="20"/>
                <w:szCs w:val="20"/>
                <w:color w:val="auto"/>
              </w:rPr>
            </w:pPr>
            <w:r>
              <w:rPr>
                <w:rFonts w:ascii="Arial" w:cs="Arial" w:eastAsia="Arial" w:hAnsi="Arial"/>
                <w:sz w:val="14"/>
                <w:szCs w:val="14"/>
                <w:color w:val="auto"/>
                <w:w w:val="96"/>
              </w:rPr>
              <w:t>0.33 %</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Savings deposits</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13,288</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38</w:t>
            </w:r>
          </w:p>
        </w:tc>
        <w:tc>
          <w:tcPr>
            <w:tcW w:w="9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0.29</w:t>
            </w: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18,398</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9</w:t>
            </w: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0.05</w:t>
            </w: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13,819</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24</w:t>
            </w:r>
          </w:p>
        </w:tc>
        <w:tc>
          <w:tcPr>
            <w:tcW w:w="9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90"/>
        </w:trPr>
        <w:tc>
          <w:tcPr>
            <w:tcW w:w="2480" w:type="dxa"/>
            <w:vAlign w:val="bottom"/>
          </w:tcPr>
          <w:p>
            <w:pPr>
              <w:ind w:left="120"/>
              <w:spacing w:after="0"/>
              <w:rPr>
                <w:sz w:val="20"/>
                <w:szCs w:val="20"/>
                <w:color w:val="auto"/>
              </w:rPr>
            </w:pPr>
            <w:r>
              <w:rPr>
                <w:rFonts w:ascii="Arial" w:cs="Arial" w:eastAsia="Arial" w:hAnsi="Arial"/>
                <w:sz w:val="14"/>
                <w:szCs w:val="14"/>
                <w:color w:val="auto"/>
              </w:rPr>
              <w:t>Time deposits &gt;=$250</w:t>
            </w: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18,272</w:t>
            </w:r>
          </w:p>
        </w:tc>
        <w:tc>
          <w:tcPr>
            <w:tcW w:w="1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0.99</w:t>
            </w: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14,576</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139</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0.95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20,036</w:t>
            </w: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920" w:type="dxa"/>
            <w:vAlign w:val="bottom"/>
          </w:tcPr>
          <w:p>
            <w:pPr>
              <w:ind w:left="48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Other time deposits</w:t>
            </w:r>
          </w:p>
        </w:tc>
        <w:tc>
          <w:tcPr>
            <w:tcW w:w="1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22,637</w:t>
            </w:r>
          </w:p>
        </w:tc>
        <w:tc>
          <w:tcPr>
            <w:tcW w:w="1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145</w:t>
            </w:r>
          </w:p>
        </w:tc>
        <w:tc>
          <w:tcPr>
            <w:tcW w:w="9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0.64</w:t>
            </w:r>
          </w:p>
        </w:tc>
        <w:tc>
          <w:tcPr>
            <w:tcW w:w="20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37,676</w:t>
            </w:r>
          </w:p>
        </w:tc>
        <w:tc>
          <w:tcPr>
            <w:tcW w:w="1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441</w:t>
            </w: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1.17</w:t>
            </w:r>
          </w:p>
        </w:tc>
        <w:tc>
          <w:tcPr>
            <w:tcW w:w="2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47,970</w:t>
            </w:r>
          </w:p>
        </w:tc>
        <w:tc>
          <w:tcPr>
            <w:tcW w:w="14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756</w:t>
            </w:r>
          </w:p>
        </w:tc>
        <w:tc>
          <w:tcPr>
            <w:tcW w:w="9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interest-bearing deposits</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603,251</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3,482</w:t>
            </w:r>
          </w:p>
        </w:tc>
        <w:tc>
          <w:tcPr>
            <w:tcW w:w="9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0.58</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592,059</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1,171</w:t>
            </w: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0.20</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480,410</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2,360</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Short-term borrowings</w:t>
            </w:r>
          </w:p>
        </w:tc>
        <w:tc>
          <w:tcPr>
            <w:tcW w:w="1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14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interest-bearing liabilities</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603,262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3,482</w:t>
            </w:r>
          </w:p>
        </w:tc>
        <w:tc>
          <w:tcPr>
            <w:tcW w:w="9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0.58</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592,069</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1,171</w:t>
            </w: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0.20</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480,471</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2,362</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Noninterest-bearing liabilities</w:t>
            </w:r>
          </w:p>
        </w:tc>
        <w:tc>
          <w:tcPr>
            <w:tcW w:w="14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120"/>
              <w:spacing w:after="0"/>
              <w:rPr>
                <w:sz w:val="20"/>
                <w:szCs w:val="20"/>
                <w:color w:val="auto"/>
              </w:rPr>
            </w:pPr>
            <w:r>
              <w:rPr>
                <w:rFonts w:ascii="Arial" w:cs="Arial" w:eastAsia="Arial" w:hAnsi="Arial"/>
                <w:sz w:val="14"/>
                <w:szCs w:val="14"/>
                <w:color w:val="auto"/>
              </w:rPr>
              <w:t>Demand deposits</w:t>
            </w: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588,121</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447,880</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356,433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Accounts and drafts payable</w:t>
            </w:r>
          </w:p>
        </w:tc>
        <w:tc>
          <w:tcPr>
            <w:tcW w:w="1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1,141,329</w:t>
            </w: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986,572</w:t>
            </w:r>
          </w:p>
        </w:tc>
        <w:tc>
          <w:tcPr>
            <w:tcW w:w="1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803,605</w:t>
            </w:r>
          </w:p>
        </w:tc>
        <w:tc>
          <w:tcPr>
            <w:tcW w:w="1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42,224</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54,035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65,513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2,374,936</w:t>
            </w:r>
          </w:p>
        </w:tc>
        <w:tc>
          <w:tcPr>
            <w:tcW w:w="18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2,080,556</w:t>
            </w:r>
          </w:p>
        </w:tc>
        <w:tc>
          <w:tcPr>
            <w:tcW w:w="16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1,706,022</w:t>
            </w:r>
          </w:p>
        </w:tc>
        <w:tc>
          <w:tcPr>
            <w:tcW w:w="14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211,142</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253,436</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246,088</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2,586,078</w:t>
            </w:r>
          </w:p>
        </w:tc>
        <w:tc>
          <w:tcPr>
            <w:tcW w:w="1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2,333,992</w:t>
            </w:r>
          </w:p>
        </w:tc>
        <w:tc>
          <w:tcPr>
            <w:tcW w:w="1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1,952,110</w:t>
            </w:r>
          </w:p>
        </w:tc>
        <w:tc>
          <w:tcPr>
            <w:tcW w:w="14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xml:space="preserve">Net interest income </w:t>
            </w:r>
            <w:r>
              <w:rPr>
                <w:rFonts w:ascii="Arial" w:cs="Arial" w:eastAsia="Arial" w:hAnsi="Arial"/>
                <w:sz w:val="18"/>
                <w:szCs w:val="18"/>
                <w:b w:val="1"/>
                <w:bCs w:val="1"/>
                <w:color w:val="auto"/>
                <w:vertAlign w:val="superscript"/>
              </w:rPr>
              <w:t>(3)</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60,533</w:t>
            </w: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46,199</w:t>
            </w: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47,214</w:t>
            </w: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DBDBDB"/>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b w:val="1"/>
                <w:bCs w:val="1"/>
                <w:color w:val="auto"/>
                <w:vertAlign w:val="superscript"/>
              </w:rPr>
              <w:t>(3)</w:t>
            </w:r>
          </w:p>
        </w:tc>
        <w:tc>
          <w:tcPr>
            <w:tcW w:w="1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2.74 %</w:t>
            </w:r>
          </w:p>
        </w:tc>
        <w:tc>
          <w:tcPr>
            <w:tcW w:w="2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2.31 %</w:t>
            </w:r>
          </w:p>
        </w:tc>
        <w:tc>
          <w:tcPr>
            <w:tcW w:w="20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920" w:type="dxa"/>
            <w:vAlign w:val="bottom"/>
            <w:shd w:val="clear" w:color="auto" w:fill="DBDBDB"/>
          </w:tcPr>
          <w:p>
            <w:pPr>
              <w:ind w:left="480"/>
              <w:spacing w:after="0"/>
              <w:rPr>
                <w:sz w:val="20"/>
                <w:szCs w:val="20"/>
                <w:color w:val="auto"/>
              </w:rPr>
            </w:pPr>
            <w:r>
              <w:rPr>
                <w:rFonts w:ascii="Arial" w:cs="Arial" w:eastAsia="Arial" w:hAnsi="Arial"/>
                <w:sz w:val="14"/>
                <w:szCs w:val="14"/>
                <w:color w:val="auto"/>
                <w:w w:val="96"/>
              </w:rPr>
              <w:t>2.82 %</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20"/>
                <w:szCs w:val="20"/>
                <w:color w:val="auto"/>
              </w:rPr>
            </w:pPr>
            <w:r>
              <w:rPr>
                <w:rFonts w:ascii="Arial" w:cs="Arial" w:eastAsia="Arial" w:hAnsi="Arial"/>
                <w:sz w:val="14"/>
                <w:szCs w:val="14"/>
                <w:color w:val="auto"/>
              </w:rPr>
              <w:t>Interest spread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2.32 %</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2.17 %</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w w:val="96"/>
              </w:rPr>
              <w:t>2.47 %</w:t>
            </w: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Balances shown are daily averages.</w:t>
      </w:r>
    </w:p>
    <w:p>
      <w:pPr>
        <w:spacing w:after="0" w:line="23" w:lineRule="exact"/>
        <w:rPr>
          <w:rFonts w:ascii="Arial" w:cs="Arial" w:eastAsia="Arial" w:hAnsi="Arial"/>
          <w:sz w:val="18"/>
          <w:szCs w:val="18"/>
          <w:b w:val="1"/>
          <w:bCs w:val="1"/>
          <w:color w:val="auto"/>
        </w:rPr>
      </w:pPr>
    </w:p>
    <w:p>
      <w:pPr>
        <w:ind w:left="660" w:right="480" w:hanging="652"/>
        <w:spacing w:after="0" w:line="265" w:lineRule="auto"/>
        <w:tabs>
          <w:tab w:leader="none" w:pos="654"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Interest income on loans includes net loan fees of $684,000, $3.4 million, and $3.6 million for 2022, 2021 and 2020, respectively. Loan fees include $167,000, $2.6 million, and $3.1 million of PPP loan fees for 2022, 2021 and 2020, respectively.</w:t>
      </w:r>
    </w:p>
    <w:p>
      <w:pPr>
        <w:ind w:left="660" w:right="120" w:hanging="652"/>
        <w:spacing w:after="0" w:line="250" w:lineRule="auto"/>
        <w:tabs>
          <w:tab w:leader="none" w:pos="65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Interest income is presented on a tax-equivalent basis assuming a tax rate of 21%. The tax-equivalent adjustment was approximately $1.7 million for 2022 and $1.9 million for each of 2021 and 2020.</w:t>
      </w:r>
    </w:p>
    <w:p>
      <w:pPr>
        <w:ind w:left="660" w:right="100" w:hanging="652"/>
        <w:spacing w:after="0" w:line="260" w:lineRule="auto"/>
        <w:tabs>
          <w:tab w:leader="none" w:pos="65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For purposes of these computations, yields on investment securities are computed as interest income divided by the average amortized cost of the investments.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Analysis of Net Interest Income Changes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9840" w:type="dxa"/>
            <w:vAlign w:val="bottom"/>
            <w:gridSpan w:val="12"/>
          </w:tcPr>
          <w:p>
            <w:pPr>
              <w:spacing w:after="0"/>
              <w:rPr>
                <w:sz w:val="20"/>
                <w:szCs w:val="20"/>
                <w:color w:val="auto"/>
              </w:rPr>
            </w:pPr>
            <w:r>
              <w:rPr>
                <w:rFonts w:ascii="Arial" w:cs="Arial" w:eastAsia="Arial" w:hAnsi="Arial"/>
                <w:sz w:val="18"/>
                <w:szCs w:val="18"/>
                <w:color w:val="auto"/>
                <w:w w:val="92"/>
              </w:rPr>
              <w:t>The following table presents the changes in interest income and expense between years due to changes in volume and interest rates.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7"/>
        </w:trPr>
        <w:tc>
          <w:tcPr>
            <w:tcW w:w="2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2022 Over 2021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2021 Over 2020</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57"/>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0"/>
              <w:spacing w:after="0" w:line="256" w:lineRule="exact"/>
              <w:rPr>
                <w:sz w:val="20"/>
                <w:szCs w:val="20"/>
                <w:color w:val="auto"/>
              </w:rPr>
            </w:pPr>
            <w:r>
              <w:rPr>
                <w:rFonts w:ascii="Arial" w:cs="Arial" w:eastAsia="Arial" w:hAnsi="Arial"/>
                <w:sz w:val="18"/>
                <w:szCs w:val="18"/>
                <w:b w:val="1"/>
                <w:bCs w:val="1"/>
                <w:color w:val="auto"/>
                <w:w w:val="94"/>
              </w:rPr>
              <w:t xml:space="preserve">Volume </w:t>
            </w:r>
            <w:r>
              <w:rPr>
                <w:rFonts w:ascii="Arial" w:cs="Arial" w:eastAsia="Arial" w:hAnsi="Arial"/>
                <w:sz w:val="23"/>
                <w:szCs w:val="23"/>
                <w:b w:val="1"/>
                <w:bCs w:val="1"/>
                <w:color w:val="auto"/>
                <w:w w:val="94"/>
                <w:vertAlign w:val="superscript"/>
              </w:rPr>
              <w:t>(1)</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line="256" w:lineRule="exact"/>
              <w:rPr>
                <w:sz w:val="20"/>
                <w:szCs w:val="20"/>
                <w:color w:val="auto"/>
              </w:rPr>
            </w:pPr>
            <w:r>
              <w:rPr>
                <w:rFonts w:ascii="Arial" w:cs="Arial" w:eastAsia="Arial" w:hAnsi="Arial"/>
                <w:sz w:val="18"/>
                <w:szCs w:val="18"/>
                <w:b w:val="1"/>
                <w:bCs w:val="1"/>
                <w:color w:val="auto"/>
              </w:rPr>
              <w:t xml:space="preserve">Rate </w:t>
            </w:r>
            <w:r>
              <w:rPr>
                <w:rFonts w:ascii="Arial" w:cs="Arial" w:eastAsia="Arial" w:hAnsi="Arial"/>
                <w:sz w:val="23"/>
                <w:szCs w:val="23"/>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line="256" w:lineRule="exact"/>
              <w:rPr>
                <w:sz w:val="20"/>
                <w:szCs w:val="20"/>
                <w:color w:val="auto"/>
              </w:rPr>
            </w:pPr>
            <w:r>
              <w:rPr>
                <w:rFonts w:ascii="Arial" w:cs="Arial" w:eastAsia="Arial" w:hAnsi="Arial"/>
                <w:sz w:val="18"/>
                <w:szCs w:val="18"/>
                <w:b w:val="1"/>
                <w:bCs w:val="1"/>
                <w:color w:val="auto"/>
                <w:w w:val="95"/>
              </w:rPr>
              <w:t>Volume</w:t>
            </w:r>
            <w:r>
              <w:rPr>
                <w:rFonts w:ascii="Arial" w:cs="Arial" w:eastAsia="Arial" w:hAnsi="Arial"/>
                <w:sz w:val="23"/>
                <w:szCs w:val="23"/>
                <w:b w:val="1"/>
                <w:bCs w:val="1"/>
                <w:color w:val="auto"/>
                <w:w w:val="95"/>
                <w:vertAlign w:val="superscript"/>
              </w:rPr>
              <w:t>(1)</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line="256" w:lineRule="exact"/>
              <w:rPr>
                <w:sz w:val="20"/>
                <w:szCs w:val="20"/>
                <w:color w:val="auto"/>
              </w:rPr>
            </w:pPr>
            <w:r>
              <w:rPr>
                <w:rFonts w:ascii="Arial" w:cs="Arial" w:eastAsia="Arial" w:hAnsi="Arial"/>
                <w:sz w:val="18"/>
                <w:szCs w:val="18"/>
                <w:b w:val="1"/>
                <w:bCs w:val="1"/>
                <w:color w:val="auto"/>
              </w:rPr>
              <w:t xml:space="preserve">Rate </w:t>
            </w:r>
            <w:r>
              <w:rPr>
                <w:rFonts w:ascii="Arial" w:cs="Arial" w:eastAsia="Arial" w:hAnsi="Arial"/>
                <w:sz w:val="23"/>
                <w:szCs w:val="23"/>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Increase (decrease) in interest</w:t>
            </w:r>
          </w:p>
        </w:tc>
        <w:tc>
          <w:tcPr>
            <w:tcW w:w="2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44"/>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57"/>
        </w:trPr>
        <w:tc>
          <w:tcPr>
            <w:tcW w:w="26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Loans </w:t>
            </w:r>
            <w:r>
              <w:rPr>
                <w:rFonts w:ascii="Arial" w:cs="Arial" w:eastAsia="Arial" w:hAnsi="Arial"/>
                <w:sz w:val="23"/>
                <w:szCs w:val="23"/>
                <w:b w:val="1"/>
                <w:bCs w:val="1"/>
                <w:color w:val="auto"/>
                <w:vertAlign w:val="superscript"/>
              </w:rPr>
              <w:t>(2),</w:t>
            </w: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56"/>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50"/>
        </w:trPr>
        <w:tc>
          <w:tcPr>
            <w:tcW w:w="2660" w:type="dxa"/>
            <w:vAlign w:val="bottom"/>
          </w:tcPr>
          <w:p>
            <w:pPr>
              <w:ind w:left="300"/>
              <w:spacing w:after="0"/>
              <w:rPr>
                <w:sz w:val="20"/>
                <w:szCs w:val="20"/>
                <w:color w:val="auto"/>
              </w:rPr>
            </w:pPr>
            <w:r>
              <w:rPr>
                <w:rFonts w:ascii="Arial" w:cs="Arial" w:eastAsia="Arial" w:hAnsi="Arial"/>
                <w:sz w:val="18"/>
                <w:szCs w:val="18"/>
                <w:color w:val="auto"/>
              </w:rPr>
              <w:t>Taxable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5,780</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1,756</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1,761</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63"/>
        </w:trPr>
        <w:tc>
          <w:tcPr>
            <w:tcW w:w="2660" w:type="dxa"/>
            <w:vAlign w:val="bottom"/>
            <w:shd w:val="clear" w:color="auto" w:fill="DBDBDB"/>
          </w:tcPr>
          <w:p>
            <w:pPr>
              <w:ind w:left="300"/>
              <w:spacing w:after="0" w:line="263"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3"/>
                <w:szCs w:val="23"/>
                <w:b w:val="1"/>
                <w:bCs w:val="1"/>
                <w:color w:val="auto"/>
                <w:vertAlign w:val="superscript"/>
              </w:rPr>
              <w:t>(3)</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(537)</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2660" w:type="dxa"/>
            <w:vAlign w:val="bottom"/>
          </w:tcPr>
          <w:p>
            <w:pPr>
              <w:ind w:left="30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2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(291)</w:t>
            </w:r>
          </w:p>
        </w:tc>
        <w:tc>
          <w:tcPr>
            <w:tcW w:w="32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5,994</w:t>
            </w:r>
          </w:p>
        </w:tc>
        <w:tc>
          <w:tcPr>
            <w:tcW w:w="34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bottom w:val="single" w:sz="8" w:color="auto"/>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256</w:t>
            </w:r>
          </w:p>
        </w:tc>
        <w:tc>
          <w:tcPr>
            <w:tcW w:w="3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(756)</w:t>
            </w:r>
          </w:p>
        </w:tc>
        <w:tc>
          <w:tcPr>
            <w:tcW w:w="34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5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interest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8,905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7,740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16,645</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r>
      <w:tr>
        <w:trPr>
          <w:trHeight w:val="257"/>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 on:</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15"/>
        </w:trPr>
        <w:tc>
          <w:tcPr>
            <w:tcW w:w="2660" w:type="dxa"/>
            <w:vAlign w:val="bottom"/>
          </w:tcPr>
          <w:p>
            <w:pPr>
              <w:ind w:left="300"/>
              <w:spacing w:after="0"/>
              <w:rPr>
                <w:sz w:val="20"/>
                <w:szCs w:val="20"/>
                <w:color w:val="auto"/>
              </w:rPr>
            </w:pPr>
            <w:r>
              <w:rPr>
                <w:rFonts w:ascii="Arial" w:cs="Arial" w:eastAsia="Arial" w:hAnsi="Arial"/>
                <w:sz w:val="18"/>
                <w:szCs w:val="18"/>
                <w:color w:val="auto"/>
              </w:rPr>
              <w:t>Interest-bearing demand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2,504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63"/>
        </w:trPr>
        <w:tc>
          <w:tcPr>
            <w:tcW w:w="26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6</w:t>
            </w: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2660" w:type="dxa"/>
            <w:vAlign w:val="bottom"/>
          </w:tcPr>
          <w:p>
            <w:pPr>
              <w:ind w:left="300"/>
              <w:spacing w:after="0"/>
              <w:rPr>
                <w:sz w:val="20"/>
                <w:szCs w:val="20"/>
                <w:color w:val="auto"/>
              </w:rPr>
            </w:pPr>
            <w:r>
              <w:rPr>
                <w:rFonts w:ascii="Arial" w:cs="Arial" w:eastAsia="Arial" w:hAnsi="Arial"/>
                <w:sz w:val="18"/>
                <w:szCs w:val="18"/>
                <w:color w:val="auto"/>
              </w:rPr>
              <w:t>Time deposits &gt;=$250</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63"/>
        </w:trPr>
        <w:tc>
          <w:tcPr>
            <w:tcW w:w="26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Other time deposits</w:t>
            </w:r>
          </w:p>
        </w:tc>
        <w:tc>
          <w:tcPr>
            <w:tcW w:w="2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w:t>
            </w:r>
          </w:p>
        </w:tc>
      </w:tr>
      <w:tr>
        <w:trPr>
          <w:trHeight w:val="250"/>
        </w:trPr>
        <w:tc>
          <w:tcPr>
            <w:tcW w:w="26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Short-term borrowings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2,385</w:t>
            </w:r>
          </w:p>
        </w:tc>
        <w:tc>
          <w:tcPr>
            <w:tcW w:w="34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(1,308)</w:t>
            </w:r>
          </w:p>
        </w:tc>
        <w:tc>
          <w:tcPr>
            <w:tcW w:w="34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(1,191)</w:t>
            </w:r>
          </w:p>
        </w:tc>
      </w:tr>
      <w:tr>
        <w:trPr>
          <w:trHeight w:val="25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interest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8,979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r>
    </w:tbl>
    <w:p>
      <w:pPr>
        <w:spacing w:after="0" w:line="80" w:lineRule="exact"/>
        <w:rPr>
          <w:sz w:val="20"/>
          <w:szCs w:val="20"/>
          <w:color w:val="auto"/>
        </w:rPr>
      </w:pPr>
    </w:p>
    <w:p>
      <w:pPr>
        <w:ind w:left="660" w:right="160" w:hanging="652"/>
        <w:spacing w:after="0" w:line="258" w:lineRule="auto"/>
        <w:tabs>
          <w:tab w:leader="none" w:pos="65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change in interest due to the combined rate/volume variance has been allocated in proportion to the absolute dollar amounts of the change in each.</w:t>
      </w:r>
    </w:p>
    <w:p>
      <w:pPr>
        <w:spacing w:after="0" w:line="1" w:lineRule="exact"/>
        <w:rPr>
          <w:rFonts w:ascii="Arial" w:cs="Arial" w:eastAsia="Arial" w:hAnsi="Arial"/>
          <w:sz w:val="18"/>
          <w:szCs w:val="18"/>
          <w:b w:val="1"/>
          <w:bCs w:val="1"/>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Interest income includes net loan fees.</w:t>
      </w:r>
    </w:p>
    <w:p>
      <w:pPr>
        <w:spacing w:after="0" w:line="9" w:lineRule="exact"/>
        <w:rPr>
          <w:rFonts w:ascii="Arial" w:cs="Arial" w:eastAsia="Arial" w:hAnsi="Arial"/>
          <w:sz w:val="18"/>
          <w:szCs w:val="18"/>
          <w:b w:val="1"/>
          <w:bCs w:val="1"/>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Interest income is presented on a tax-equivalent basis assuming a tax rate of 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Interest earned on the loan portfolio is a primary source of income for the Company. The loan portfolio was $1.08 billion, representing 42.1% of the Company's total assets as of December 31, 2022 and generated $39.5 million in interest income during the year then ended. The following tables show the composition of the loan portfolio at the end of the periods indicated and remaining maturities for loans as of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Loans by Type</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r>
      <w:tr>
        <w:trPr>
          <w:trHeight w:val="250"/>
        </w:trPr>
        <w:tc>
          <w:tcPr>
            <w:tcW w:w="1440" w:type="dxa"/>
            <w:vAlign w:val="bottom"/>
          </w:tcPr>
          <w:p>
            <w:pPr>
              <w:spacing w:after="0"/>
              <w:rPr>
                <w:sz w:val="21"/>
                <w:szCs w:val="21"/>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40" w:type="dxa"/>
            <w:vAlign w:val="bottom"/>
          </w:tcPr>
          <w:p>
            <w:pPr>
              <w:spacing w:after="0"/>
              <w:rPr>
                <w:sz w:val="21"/>
                <w:szCs w:val="21"/>
                <w:color w:val="auto"/>
              </w:rPr>
            </w:pPr>
          </w:p>
        </w:tc>
      </w:tr>
      <w:tr>
        <w:trPr>
          <w:trHeight w:val="256"/>
        </w:trPr>
        <w:tc>
          <w:tcPr>
            <w:tcW w:w="1440" w:type="dxa"/>
            <w:vAlign w:val="bottom"/>
          </w:tcPr>
          <w:p>
            <w:pPr>
              <w:spacing w:after="0"/>
              <w:rPr>
                <w:sz w:val="22"/>
                <w:szCs w:val="22"/>
                <w:color w:val="auto"/>
              </w:rPr>
            </w:pPr>
          </w:p>
        </w:tc>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561,616</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450,336</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298,984</w:t>
            </w:r>
          </w:p>
        </w:tc>
        <w:tc>
          <w:tcPr>
            <w:tcW w:w="1440" w:type="dxa"/>
            <w:vAlign w:val="bottom"/>
          </w:tcPr>
          <w:p>
            <w:pPr>
              <w:spacing w:after="0"/>
              <w:rPr>
                <w:sz w:val="22"/>
                <w:szCs w:val="22"/>
                <w:color w:val="auto"/>
              </w:rPr>
            </w:pPr>
          </w:p>
        </w:tc>
      </w:tr>
      <w:tr>
        <w:trPr>
          <w:trHeight w:val="250"/>
        </w:trPr>
        <w:tc>
          <w:tcPr>
            <w:tcW w:w="14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Real estate (commercial and faith-based):</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1440" w:type="dxa"/>
            <w:vAlign w:val="bottom"/>
          </w:tcPr>
          <w:p>
            <w:pPr>
              <w:spacing w:after="0"/>
              <w:rPr>
                <w:sz w:val="22"/>
                <w:szCs w:val="22"/>
                <w:color w:val="auto"/>
              </w:rPr>
            </w:pPr>
          </w:p>
        </w:tc>
        <w:tc>
          <w:tcPr>
            <w:tcW w:w="4040" w:type="dxa"/>
            <w:vAlign w:val="bottom"/>
            <w:shd w:val="clear" w:color="auto" w:fill="DBDBDB"/>
          </w:tcPr>
          <w:p>
            <w:pPr>
              <w:ind w:left="280"/>
              <w:spacing w:after="0"/>
              <w:rPr>
                <w:sz w:val="20"/>
                <w:szCs w:val="20"/>
                <w:color w:val="auto"/>
              </w:rPr>
            </w:pPr>
            <w:r>
              <w:rPr>
                <w:rFonts w:ascii="Arial" w:cs="Arial" w:eastAsia="Arial" w:hAnsi="Arial"/>
                <w:sz w:val="18"/>
                <w:szCs w:val="18"/>
                <w:color w:val="auto"/>
              </w:rPr>
              <w:t>Mortgage</w:t>
            </w:r>
          </w:p>
        </w:tc>
        <w:tc>
          <w:tcPr>
            <w:tcW w:w="380" w:type="dxa"/>
            <w:vAlign w:val="bottom"/>
            <w:shd w:val="clear" w:color="auto" w:fill="DBDBDB"/>
          </w:tcPr>
          <w:p>
            <w:pPr>
              <w:spacing w:after="0"/>
              <w:rPr>
                <w:sz w:val="22"/>
                <w:szCs w:val="2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495,280</w:t>
            </w:r>
          </w:p>
        </w:tc>
        <w:tc>
          <w:tcPr>
            <w:tcW w:w="220" w:type="dxa"/>
            <w:vAlign w:val="bottom"/>
            <w:shd w:val="clear" w:color="auto" w:fill="DBDBDB"/>
          </w:tcPr>
          <w:p>
            <w:pPr>
              <w:spacing w:after="0"/>
              <w:rPr>
                <w:sz w:val="22"/>
                <w:szCs w:val="22"/>
                <w:color w:val="auto"/>
              </w:rPr>
            </w:pPr>
          </w:p>
        </w:tc>
        <w:tc>
          <w:tcPr>
            <w:tcW w:w="1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464,341</w:t>
            </w:r>
          </w:p>
        </w:tc>
        <w:tc>
          <w:tcPr>
            <w:tcW w:w="38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434,080</w:t>
            </w:r>
          </w:p>
        </w:tc>
        <w:tc>
          <w:tcPr>
            <w:tcW w:w="1440" w:type="dxa"/>
            <w:vAlign w:val="bottom"/>
          </w:tcPr>
          <w:p>
            <w:pPr>
              <w:spacing w:after="0"/>
              <w:rPr>
                <w:sz w:val="22"/>
                <w:szCs w:val="22"/>
                <w:color w:val="auto"/>
              </w:rPr>
            </w:pPr>
          </w:p>
        </w:tc>
      </w:tr>
      <w:tr>
        <w:trPr>
          <w:trHeight w:val="250"/>
        </w:trPr>
        <w:tc>
          <w:tcPr>
            <w:tcW w:w="1440" w:type="dxa"/>
            <w:vAlign w:val="bottom"/>
          </w:tcPr>
          <w:p>
            <w:pPr>
              <w:spacing w:after="0"/>
              <w:rPr>
                <w:sz w:val="21"/>
                <w:szCs w:val="21"/>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25,968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39,461</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48,908</w:t>
            </w:r>
          </w:p>
        </w:tc>
        <w:tc>
          <w:tcPr>
            <w:tcW w:w="1440" w:type="dxa"/>
            <w:vAlign w:val="bottom"/>
          </w:tcPr>
          <w:p>
            <w:pPr>
              <w:spacing w:after="0"/>
              <w:rPr>
                <w:sz w:val="21"/>
                <w:szCs w:val="21"/>
                <w:color w:val="auto"/>
              </w:rPr>
            </w:pPr>
          </w:p>
        </w:tc>
      </w:tr>
      <w:tr>
        <w:trPr>
          <w:trHeight w:val="263"/>
        </w:trPr>
        <w:tc>
          <w:tcPr>
            <w:tcW w:w="1440" w:type="dxa"/>
            <w:vAlign w:val="bottom"/>
          </w:tcPr>
          <w:p>
            <w:pPr>
              <w:spacing w:after="0"/>
              <w:rPr>
                <w:sz w:val="22"/>
                <w:szCs w:val="22"/>
                <w:color w:val="auto"/>
              </w:rPr>
            </w:pPr>
          </w:p>
        </w:tc>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PPP</w:t>
            </w:r>
          </w:p>
        </w:tc>
        <w:tc>
          <w:tcPr>
            <w:tcW w:w="380" w:type="dxa"/>
            <w:vAlign w:val="bottom"/>
            <w:shd w:val="clear" w:color="auto" w:fill="DBDBDB"/>
          </w:tcPr>
          <w:p>
            <w:pPr>
              <w:spacing w:after="0"/>
              <w:rPr>
                <w:sz w:val="22"/>
                <w:szCs w:val="2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2"/>
                <w:szCs w:val="22"/>
                <w:color w:val="auto"/>
              </w:rPr>
            </w:pPr>
          </w:p>
        </w:tc>
        <w:tc>
          <w:tcPr>
            <w:tcW w:w="1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6,299</w:t>
            </w:r>
          </w:p>
        </w:tc>
        <w:tc>
          <w:tcPr>
            <w:tcW w:w="38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109,704</w:t>
            </w:r>
          </w:p>
        </w:tc>
        <w:tc>
          <w:tcPr>
            <w:tcW w:w="1440" w:type="dxa"/>
            <w:vAlign w:val="bottom"/>
          </w:tcPr>
          <w:p>
            <w:pPr>
              <w:spacing w:after="0"/>
              <w:rPr>
                <w:sz w:val="22"/>
                <w:szCs w:val="22"/>
                <w:color w:val="auto"/>
              </w:rPr>
            </w:pPr>
          </w:p>
        </w:tc>
      </w:tr>
      <w:tr>
        <w:trPr>
          <w:trHeight w:val="250"/>
        </w:trPr>
        <w:tc>
          <w:tcPr>
            <w:tcW w:w="14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21"/>
                <w:szCs w:val="21"/>
                <w:color w:val="auto"/>
              </w:rPr>
            </w:pPr>
          </w:p>
        </w:tc>
        <w:tc>
          <w:tcPr>
            <w:tcW w:w="2500" w:type="dxa"/>
            <w:vAlign w:val="bottom"/>
            <w:gridSpan w:val="2"/>
          </w:tcPr>
          <w:p>
            <w:pPr>
              <w:jc w:val="right"/>
              <w:ind w:right="1500"/>
              <w:spacing w:after="0"/>
              <w:rPr>
                <w:sz w:val="20"/>
                <w:szCs w:val="20"/>
                <w:color w:val="auto"/>
              </w:rPr>
            </w:pPr>
            <w:r>
              <w:rPr>
                <w:rFonts w:ascii="Arial" w:cs="Arial" w:eastAsia="Arial" w:hAnsi="Arial"/>
                <w:sz w:val="18"/>
                <w:szCs w:val="18"/>
                <w:color w:val="auto"/>
              </w:rPr>
              <w:t>—</w:t>
            </w:r>
          </w:p>
        </w:tc>
      </w:tr>
      <w:tr>
        <w:trPr>
          <w:trHeight w:val="250"/>
        </w:trPr>
        <w:tc>
          <w:tcPr>
            <w:tcW w:w="1440" w:type="dxa"/>
            <w:vAlign w:val="bottom"/>
          </w:tcPr>
          <w:p>
            <w:pPr>
              <w:spacing w:after="0"/>
              <w:rPr>
                <w:sz w:val="21"/>
                <w:szCs w:val="21"/>
                <w:color w:val="auto"/>
              </w:rPr>
            </w:pPr>
          </w:p>
        </w:tc>
        <w:tc>
          <w:tcPr>
            <w:tcW w:w="40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loans</w:t>
            </w:r>
          </w:p>
        </w:tc>
        <w:tc>
          <w:tcPr>
            <w:tcW w:w="38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1,082,906</w:t>
            </w:r>
          </w:p>
        </w:tc>
        <w:tc>
          <w:tcPr>
            <w:tcW w:w="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960,567</w:t>
            </w:r>
          </w:p>
        </w:tc>
        <w:tc>
          <w:tcPr>
            <w:tcW w:w="380" w:type="dxa"/>
            <w:vAlign w:val="bottom"/>
            <w:tcBorders>
              <w:top w:val="single" w:sz="8" w:color="auto"/>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891,676</w:t>
            </w:r>
          </w:p>
        </w:tc>
        <w:tc>
          <w:tcPr>
            <w:tcW w:w="1440" w:type="dxa"/>
            <w:vAlign w:val="bottom"/>
          </w:tcPr>
          <w:p>
            <w:pPr>
              <w:spacing w:after="0"/>
              <w:rPr>
                <w:sz w:val="21"/>
                <w:szCs w:val="21"/>
                <w:color w:val="auto"/>
              </w:rPr>
            </w:pPr>
          </w:p>
        </w:tc>
      </w:tr>
      <w:tr>
        <w:trPr>
          <w:trHeight w:val="918"/>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2"/>
        </w:trPr>
        <w:tc>
          <w:tcPr>
            <w:tcW w:w="14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w w:val="96"/>
              </w:rPr>
              <w:t>Loans by Maturity as of December 31, 2022</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ind w:left="620"/>
              <w:spacing w:after="0"/>
              <w:rPr>
                <w:sz w:val="20"/>
                <w:szCs w:val="20"/>
                <w:color w:val="auto"/>
              </w:rPr>
            </w:pPr>
            <w:r>
              <w:rPr>
                <w:rFonts w:ascii="Arial" w:cs="Arial" w:eastAsia="Arial" w:hAnsi="Arial"/>
                <w:sz w:val="18"/>
                <w:szCs w:val="18"/>
                <w:b w:val="1"/>
                <w:bCs w:val="1"/>
                <w:color w:val="auto"/>
              </w:rPr>
              <w:t>One Year</w:t>
            </w:r>
          </w:p>
        </w:tc>
        <w:tc>
          <w:tcPr>
            <w:tcW w:w="240" w:type="dxa"/>
            <w:vAlign w:val="bottom"/>
          </w:tcPr>
          <w:p>
            <w:pPr>
              <w:spacing w:after="0"/>
              <w:rPr>
                <w:sz w:val="24"/>
                <w:szCs w:val="24"/>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Over 1 Year</w:t>
            </w:r>
          </w:p>
        </w:tc>
        <w:tc>
          <w:tcPr>
            <w:tcW w:w="260" w:type="dxa"/>
            <w:vAlign w:val="bottom"/>
          </w:tcPr>
          <w:p>
            <w:pPr>
              <w:spacing w:after="0"/>
              <w:rPr>
                <w:sz w:val="24"/>
                <w:szCs w:val="24"/>
                <w:color w:val="auto"/>
              </w:rPr>
            </w:pPr>
          </w:p>
        </w:tc>
        <w:tc>
          <w:tcPr>
            <w:tcW w:w="22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Over 5 Years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Or Less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Through 5 Years</w:t>
            </w:r>
          </w:p>
        </w:tc>
        <w:tc>
          <w:tcPr>
            <w:tcW w:w="260" w:type="dxa"/>
            <w:vAlign w:val="bottom"/>
          </w:tcPr>
          <w:p>
            <w:pPr>
              <w:spacing w:after="0"/>
              <w:rPr>
                <w:sz w:val="21"/>
                <w:szCs w:val="21"/>
                <w:color w:val="auto"/>
              </w:rPr>
            </w:pPr>
          </w:p>
        </w:tc>
        <w:tc>
          <w:tcPr>
            <w:tcW w:w="2220" w:type="dxa"/>
            <w:vAlign w:val="bottom"/>
            <w:gridSpan w:val="3"/>
          </w:tcPr>
          <w:p>
            <w:pPr>
              <w:jc w:val="right"/>
              <w:ind w:right="370"/>
              <w:spacing w:after="0" w:line="243" w:lineRule="exact"/>
              <w:rPr>
                <w:sz w:val="20"/>
                <w:szCs w:val="20"/>
                <w:color w:val="auto"/>
              </w:rPr>
            </w:pPr>
            <w:r>
              <w:rPr>
                <w:rFonts w:ascii="Arial" w:cs="Arial" w:eastAsia="Arial" w:hAnsi="Arial"/>
                <w:sz w:val="18"/>
                <w:szCs w:val="18"/>
                <w:b w:val="1"/>
                <w:bCs w:val="1"/>
                <w:color w:val="auto"/>
                <w:w w:val="98"/>
              </w:rPr>
              <w:t xml:space="preserve">Through 15 Years </w:t>
            </w:r>
            <w:r>
              <w:rPr>
                <w:rFonts w:ascii="Arial" w:cs="Arial" w:eastAsia="Arial" w:hAnsi="Arial"/>
                <w:sz w:val="23"/>
                <w:szCs w:val="23"/>
                <w:b w:val="1"/>
                <w:bCs w:val="1"/>
                <w:color w:val="auto"/>
                <w:w w:val="98"/>
                <w:vertAlign w:val="superscript"/>
              </w:rPr>
              <w:t>(1)</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69"/>
        </w:trPr>
        <w:tc>
          <w:tcPr>
            <w:tcW w:w="23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Fixed</w:t>
            </w: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1"/>
              </w:rPr>
              <w:t>Floating</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Fixed</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1"/>
              </w:rPr>
              <w:t>Floating</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Fixed</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9"/>
              </w:rPr>
              <w:t>Floating</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Rate</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Rate</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2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13,708</w:t>
            </w:r>
          </w:p>
        </w:tc>
        <w:tc>
          <w:tcPr>
            <w:tcW w:w="34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42,342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256,197</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24,189</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221,287</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3,893</w:t>
            </w:r>
          </w:p>
        </w:tc>
        <w:tc>
          <w:tcPr>
            <w:tcW w:w="3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561,616</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20,904</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304,823</w:t>
            </w:r>
          </w:p>
        </w:tc>
        <w:tc>
          <w:tcPr>
            <w:tcW w:w="2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15,915</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133,617</w:t>
            </w:r>
          </w:p>
        </w:tc>
        <w:tc>
          <w:tcPr>
            <w:tcW w:w="2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12,879</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495,280</w:t>
            </w:r>
          </w:p>
        </w:tc>
      </w:tr>
      <w:tr>
        <w:trPr>
          <w:trHeight w:val="229"/>
        </w:trPr>
        <w:tc>
          <w:tcPr>
            <w:tcW w:w="2380" w:type="dxa"/>
            <w:vAlign w:val="bottom"/>
          </w:tcPr>
          <w:p>
            <w:pPr>
              <w:ind w:left="26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8,096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25,968</w:t>
            </w:r>
          </w:p>
        </w:tc>
      </w:tr>
      <w:tr>
        <w:trPr>
          <w:trHeight w:val="230"/>
        </w:trPr>
        <w:tc>
          <w:tcPr>
            <w:tcW w:w="2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PPP</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2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loans</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42,708</w:t>
            </w:r>
          </w:p>
        </w:tc>
        <w:tc>
          <w:tcPr>
            <w:tcW w:w="34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62,662</w:t>
            </w:r>
          </w:p>
        </w:tc>
        <w:tc>
          <w:tcPr>
            <w:tcW w:w="10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561,970</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43,890</w:t>
            </w:r>
          </w:p>
        </w:tc>
        <w:tc>
          <w:tcPr>
            <w:tcW w:w="8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354,904</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16,772</w:t>
            </w: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1,082,906</w:t>
            </w:r>
          </w:p>
        </w:tc>
      </w:tr>
    </w:tbl>
    <w:p>
      <w:pPr>
        <w:spacing w:after="0" w:line="18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Company did not have any loans with maturities greater than 15 years.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concentrations of loans exceeding 10% of total loans, which are not otherwise disclosed in the loan portfolio composition table and as are discussed in Item 8, Note 4, of this report. The Company's primary market niche for banking services is privately held businesses, franchise restaurants, and faith-based ministries.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$500,000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Loans increased $122.3 million, or 12.7%, to $1.08 billion at December 31, 2022. Lease finance receivables and franchise restaurant loans, which are both included in commercial and industrial loans, increased $80.4 million, or 100.1%, and $34.3 million, or 18.1%, respectively, during 2022. These increases were due to organic growth in an effort to expand these loan types. Faith-based mortgages increased $31.7 million, or 8.9%, during 2022. These increases were partially offset by the decrease in PPP loans of $6.3 million at December 31, 2021 to $0 at December 31, 2022. Additional details regarding the types and maturities of loans in the loan portfolio are contained in the tables above and in Item 8, Note 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Credit Losses on Loans and Allowance for Unfunded Commitments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recorded a provision for credit losses and off-balance sheet credit exposures of $1.4 million in 2022 and a release of credit losses of $130,000 in 2021. The amount of the provision for (release of) credit losses was derived from the Company’s CECL model. The amount of the provision will fluctuate as determined by these analyses. The Company had net loan recoveries of $13,000 and $27,000 in 2022 and 2021, respectively. The ACL was $13.5 million at December 31, 2022 compared to $12.0 million at December 31, 2021. The ACL represented 1.25% of outstanding loans at both December 31, 2022 and December 31, 2021. The allowance for unfunded commitments was $232,000 at December 31, 2022 and $367,000 at December 31, 2021. There was one nonperforming loan outstanding with an outstanding balance of $1.2 million, or 0.11% of total loans, at December 31, 2022 and no nonperforming loans outstanding at December 31, 2021. The single nonperforming loan at December 31, 2022 paid off in full during January 2023.</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has been established and is maintained to estimate the lifetime credit losses expected in the loan portfolio. An ongoing assessment is performed to determine if the balance is adequate. Charges or credits are made to expense based on changes in the economic forecast, qualitative risk factors, loan volume, and individual loans. For loans that are individually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evaluated, the Company uses two impairment measurement methods: 1) the present value of expected future cash flows and 2) collateral values.</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summarizes activity in the ACL and the allocation of the allowance to the Company’s loan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Summary of Credit Loss Experience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9"/>
        </w:trPr>
        <w:tc>
          <w:tcPr>
            <w:tcW w:w="3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3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Allowance at beginning of year</w:t>
            </w: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12,041</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11,944</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11,279</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10,225</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10,205</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Loans charged-off:</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Real estate (commercial and faith-based):</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60" w:type="dxa"/>
            <w:vAlign w:val="bottom"/>
            <w:shd w:val="clear" w:color="auto" w:fill="DBDBDB"/>
          </w:tcPr>
          <w:p>
            <w:pPr>
              <w:ind w:left="920"/>
              <w:spacing w:after="0"/>
              <w:rPr>
                <w:sz w:val="20"/>
                <w:szCs w:val="20"/>
                <w:color w:val="auto"/>
              </w:rPr>
            </w:pPr>
            <w:r>
              <w:rPr>
                <w:rFonts w:ascii="Arial" w:cs="Arial" w:eastAsia="Arial" w:hAnsi="Arial"/>
                <w:sz w:val="18"/>
                <w:szCs w:val="18"/>
                <w:color w:val="auto"/>
              </w:rPr>
              <w:t>Mortgage</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3760" w:type="dxa"/>
            <w:vAlign w:val="bottom"/>
          </w:tcPr>
          <w:p>
            <w:pPr>
              <w:ind w:left="920"/>
              <w:spacing w:after="0"/>
              <w:rPr>
                <w:sz w:val="20"/>
                <w:szCs w:val="20"/>
                <w:color w:val="auto"/>
              </w:rPr>
            </w:pPr>
            <w:r>
              <w:rPr>
                <w:rFonts w:ascii="Arial" w:cs="Arial" w:eastAsia="Arial" w:hAnsi="Arial"/>
                <w:sz w:val="18"/>
                <w:szCs w:val="18"/>
                <w:color w:val="auto"/>
              </w:rPr>
              <w:t>Construction</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loans charged-off</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Recoveries of loans previously charged-off:</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30"/>
        </w:trPr>
        <w:tc>
          <w:tcPr>
            <w:tcW w:w="37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Real estate (commercial and faith-based):</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60" w:type="dxa"/>
            <w:vAlign w:val="bottom"/>
          </w:tcPr>
          <w:p>
            <w:pPr>
              <w:ind w:left="920"/>
              <w:spacing w:after="0"/>
              <w:rPr>
                <w:sz w:val="20"/>
                <w:szCs w:val="20"/>
                <w:color w:val="auto"/>
              </w:rPr>
            </w:pPr>
            <w:r>
              <w:rPr>
                <w:rFonts w:ascii="Arial" w:cs="Arial" w:eastAsia="Arial" w:hAnsi="Arial"/>
                <w:sz w:val="18"/>
                <w:szCs w:val="18"/>
                <w:color w:val="auto"/>
              </w:rPr>
              <w:t>Mortgage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shd w:val="clear" w:color="auto" w:fill="DBDBDB"/>
          </w:tcPr>
          <w:p>
            <w:pPr>
              <w:ind w:left="920"/>
              <w:spacing w:after="0"/>
              <w:rPr>
                <w:sz w:val="20"/>
                <w:szCs w:val="20"/>
                <w:color w:val="auto"/>
              </w:rPr>
            </w:pPr>
            <w:r>
              <w:rPr>
                <w:rFonts w:ascii="Arial" w:cs="Arial" w:eastAsia="Arial" w:hAnsi="Arial"/>
                <w:sz w:val="18"/>
                <w:szCs w:val="18"/>
                <w:color w:val="auto"/>
              </w:rPr>
              <w:t>Construction</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98"/>
              </w:rPr>
              <w:t>Total recoveries of loans previously charged-off</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20</w:t>
            </w: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loans recovered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w:t>
            </w:r>
          </w:p>
        </w:tc>
      </w:tr>
      <w:tr>
        <w:trPr>
          <w:trHeight w:val="223"/>
        </w:trPr>
        <w:tc>
          <w:tcPr>
            <w:tcW w:w="3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1,485</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645</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at end of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13,539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11,944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10,556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10,225</w:t>
            </w:r>
          </w:p>
        </w:tc>
      </w:tr>
      <w:tr>
        <w:trPr>
          <w:trHeight w:val="169"/>
        </w:trPr>
        <w:tc>
          <w:tcPr>
            <w:tcW w:w="376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rPr>
              <w:t>Cumulative effect of accounting change (ASU</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6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8"/>
                <w:szCs w:val="18"/>
                <w:color w:val="auto"/>
              </w:rPr>
              <w:t>2016-13)</w:t>
            </w:r>
          </w:p>
        </w:tc>
        <w:tc>
          <w:tcPr>
            <w:tcW w:w="30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723</w:t>
            </w:r>
          </w:p>
        </w:tc>
        <w:tc>
          <w:tcPr>
            <w:tcW w:w="36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at beginning of next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13,539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11,944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11,279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10,225</w:t>
            </w:r>
          </w:p>
        </w:tc>
      </w:tr>
      <w:tr>
        <w:trPr>
          <w:trHeight w:val="169"/>
        </w:trPr>
        <w:tc>
          <w:tcPr>
            <w:tcW w:w="376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rPr>
              <w:t>Allowance for unfunded commitments at</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6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367</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402</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(Release of) provision for credit losses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169"/>
        </w:trPr>
        <w:tc>
          <w:tcPr>
            <w:tcW w:w="376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w w:val="99"/>
              </w:rPr>
              <w:t>Allowance for unfunded commitments at end of</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6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8"/>
                <w:szCs w:val="18"/>
                <w:color w:val="auto"/>
              </w:rPr>
              <w:t>year</w:t>
            </w:r>
          </w:p>
        </w:tc>
        <w:tc>
          <w:tcPr>
            <w:tcW w:w="30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232</w:t>
            </w:r>
          </w:p>
        </w:tc>
        <w:tc>
          <w:tcPr>
            <w:tcW w:w="3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367</w:t>
            </w:r>
          </w:p>
        </w:tc>
        <w:tc>
          <w:tcPr>
            <w:tcW w:w="180" w:type="dxa"/>
            <w:vAlign w:val="bottom"/>
            <w:tcBorders>
              <w:bottom w:val="single" w:sz="8" w:color="auto"/>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567</w:t>
            </w:r>
          </w:p>
        </w:tc>
        <w:tc>
          <w:tcPr>
            <w:tcW w:w="3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169"/>
        </w:trPr>
        <w:tc>
          <w:tcPr>
            <w:tcW w:w="3760" w:type="dxa"/>
            <w:vAlign w:val="bottom"/>
          </w:tcPr>
          <w:p>
            <w:pPr>
              <w:ind w:left="20"/>
              <w:spacing w:after="0" w:line="169" w:lineRule="exact"/>
              <w:rPr>
                <w:sz w:val="20"/>
                <w:szCs w:val="20"/>
                <w:color w:val="auto"/>
              </w:rPr>
            </w:pPr>
            <w:r>
              <w:rPr>
                <w:rFonts w:ascii="Arial" w:cs="Arial" w:eastAsia="Arial" w:hAnsi="Arial"/>
                <w:sz w:val="18"/>
                <w:szCs w:val="18"/>
                <w:color w:val="auto"/>
              </w:rPr>
              <w:t>Cumulative effect of accounting change (ASU</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3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2016-13)</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402</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169"/>
        </w:trPr>
        <w:tc>
          <w:tcPr>
            <w:tcW w:w="376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rPr>
              <w:t>Allowance for unfunded commitments at</w:t>
            </w:r>
          </w:p>
        </w:tc>
        <w:tc>
          <w:tcPr>
            <w:tcW w:w="3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r>
      <w:tr>
        <w:trPr>
          <w:trHeight w:val="243"/>
        </w:trPr>
        <w:tc>
          <w:tcPr>
            <w:tcW w:w="376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8"/>
                <w:szCs w:val="18"/>
                <w:color w:val="auto"/>
              </w:rPr>
              <w:t>beginning of next year</w:t>
            </w:r>
          </w:p>
        </w:tc>
        <w:tc>
          <w:tcPr>
            <w:tcW w:w="3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232</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367</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567</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402</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Loans outstanding: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Average</w:t>
            </w: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992,004</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887,662</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906,631</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760,153</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710,846</w:t>
            </w: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1,082,906</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960,567</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891,676</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772,638</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721,587</w:t>
            </w:r>
          </w:p>
        </w:tc>
      </w:tr>
      <w:tr>
        <w:trPr>
          <w:trHeight w:val="175"/>
        </w:trPr>
        <w:tc>
          <w:tcPr>
            <w:tcW w:w="37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Ratio of allowance for credit losses to loans</w:t>
            </w:r>
          </w:p>
        </w:tc>
        <w:tc>
          <w:tcPr>
            <w:tcW w:w="3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43"/>
        </w:trPr>
        <w:tc>
          <w:tcPr>
            <w:tcW w:w="37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outstanding at December 31</w:t>
            </w:r>
          </w:p>
        </w:tc>
        <w:tc>
          <w:tcPr>
            <w:tcW w:w="30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1.25 %</w:t>
            </w:r>
          </w:p>
        </w:tc>
        <w:tc>
          <w:tcPr>
            <w:tcW w:w="3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1.25 %</w:t>
            </w:r>
          </w:p>
        </w:tc>
        <w:tc>
          <w:tcPr>
            <w:tcW w:w="180" w:type="dxa"/>
            <w:vAlign w:val="bottom"/>
            <w:shd w:val="clear" w:color="auto" w:fill="DBDBDB"/>
          </w:tcPr>
          <w:p>
            <w:pPr>
              <w:spacing w:after="0"/>
              <w:rPr>
                <w:sz w:val="21"/>
                <w:szCs w:val="21"/>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1.34 %</w:t>
            </w:r>
          </w:p>
        </w:tc>
        <w:tc>
          <w:tcPr>
            <w:tcW w:w="3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1.37 %</w:t>
            </w:r>
          </w:p>
        </w:tc>
        <w:tc>
          <w:tcPr>
            <w:tcW w:w="36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1.42 %</w:t>
            </w:r>
          </w:p>
        </w:tc>
      </w:tr>
      <w:tr>
        <w:trPr>
          <w:trHeight w:val="176"/>
        </w:trPr>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Ratio of net recoveries to average loans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3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shd w:val="clear" w:color="auto" w:fill="DBDBDB"/>
          </w:tcPr>
          <w:p>
            <w:pPr>
              <w:ind w:left="20"/>
              <w:spacing w:after="0" w:line="223" w:lineRule="exact"/>
              <w:rPr>
                <w:sz w:val="20"/>
                <w:szCs w:val="20"/>
                <w:color w:val="auto"/>
              </w:rPr>
            </w:pPr>
            <w:r>
              <w:rPr>
                <w:rFonts w:ascii="Arial" w:cs="Arial" w:eastAsia="Arial" w:hAnsi="Arial"/>
                <w:sz w:val="18"/>
                <w:szCs w:val="18"/>
                <w:color w:val="auto"/>
              </w:rPr>
              <w:t xml:space="preserve">Allocation of allowance for credit losses </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5,977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5,035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4,635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4,874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4,179</w:t>
            </w:r>
          </w:p>
        </w:tc>
      </w:tr>
      <w:tr>
        <w:trPr>
          <w:trHeight w:val="229"/>
        </w:trPr>
        <w:tc>
          <w:tcPr>
            <w:tcW w:w="37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Real estate (commercial and faith-based):</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30"/>
        </w:trPr>
        <w:tc>
          <w:tcPr>
            <w:tcW w:w="3760" w:type="dxa"/>
            <w:vAlign w:val="bottom"/>
          </w:tcPr>
          <w:p>
            <w:pPr>
              <w:ind w:left="640"/>
              <w:spacing w:after="0"/>
              <w:rPr>
                <w:sz w:val="20"/>
                <w:szCs w:val="20"/>
                <w:color w:val="auto"/>
              </w:rPr>
            </w:pPr>
            <w:r>
              <w:rPr>
                <w:rFonts w:ascii="Arial" w:cs="Arial" w:eastAsia="Arial" w:hAnsi="Arial"/>
                <w:sz w:val="18"/>
                <w:szCs w:val="18"/>
                <w:color w:val="auto"/>
              </w:rPr>
              <w:t>Mortgage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7,378</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6,714</w:t>
            </w:r>
          </w:p>
        </w:tc>
        <w:tc>
          <w:tcPr>
            <w:tcW w:w="1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6,892</w:t>
            </w:r>
          </w:p>
        </w:tc>
        <w:tc>
          <w:tcPr>
            <w:tcW w:w="3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5,370</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5,378</w:t>
            </w:r>
          </w:p>
        </w:tc>
      </w:tr>
      <w:tr>
        <w:trPr>
          <w:trHeight w:val="229"/>
        </w:trPr>
        <w:tc>
          <w:tcPr>
            <w:tcW w:w="3760" w:type="dxa"/>
            <w:vAlign w:val="bottom"/>
            <w:shd w:val="clear" w:color="auto" w:fill="DBDBDB"/>
          </w:tcPr>
          <w:p>
            <w:pPr>
              <w:ind w:left="640"/>
              <w:spacing w:after="0"/>
              <w:rPr>
                <w:sz w:val="20"/>
                <w:szCs w:val="20"/>
                <w:color w:val="auto"/>
              </w:rPr>
            </w:pPr>
            <w:r>
              <w:rPr>
                <w:rFonts w:ascii="Arial" w:cs="Arial" w:eastAsia="Arial" w:hAnsi="Arial"/>
                <w:sz w:val="18"/>
                <w:szCs w:val="18"/>
                <w:color w:val="auto"/>
              </w:rPr>
              <w:t>Construction</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312</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244</w:t>
            </w:r>
          </w:p>
        </w:tc>
      </w:tr>
      <w:tr>
        <w:trPr>
          <w:trHeight w:val="230"/>
        </w:trPr>
        <w:tc>
          <w:tcPr>
            <w:tcW w:w="3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424</w:t>
            </w:r>
          </w:p>
        </w:tc>
      </w:tr>
      <w:tr>
        <w:trPr>
          <w:trHeight w:val="223"/>
        </w:trPr>
        <w:tc>
          <w:tcPr>
            <w:tcW w:w="3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13,539</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12,041</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11,944</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10,556</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10,225</w:t>
            </w:r>
          </w:p>
        </w:tc>
      </w:tr>
      <w:tr>
        <w:trPr>
          <w:trHeight w:val="250"/>
        </w:trPr>
        <w:tc>
          <w:tcPr>
            <w:tcW w:w="3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3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Percentage of categories to total loans:</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51.9 %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46.9 %</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41.9 %</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38.4 %</w:t>
            </w:r>
          </w:p>
        </w:tc>
      </w:tr>
      <w:tr>
        <w:trPr>
          <w:trHeight w:val="229"/>
        </w:trPr>
        <w:tc>
          <w:tcPr>
            <w:tcW w:w="37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Real estate (commercial and faith-based):</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29"/>
        </w:trPr>
        <w:tc>
          <w:tcPr>
            <w:tcW w:w="3760" w:type="dxa"/>
            <w:vAlign w:val="bottom"/>
          </w:tcPr>
          <w:p>
            <w:pPr>
              <w:ind w:left="680"/>
              <w:spacing w:after="0"/>
              <w:rPr>
                <w:sz w:val="20"/>
                <w:szCs w:val="20"/>
                <w:color w:val="auto"/>
              </w:rPr>
            </w:pPr>
            <w:r>
              <w:rPr>
                <w:rFonts w:ascii="Arial" w:cs="Arial" w:eastAsia="Arial" w:hAnsi="Arial"/>
                <w:sz w:val="18"/>
                <w:szCs w:val="18"/>
                <w:color w:val="auto"/>
              </w:rPr>
              <w:t>Mortgage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48.3 %</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52.8 %</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57.1 %</w:t>
            </w:r>
          </w:p>
        </w:tc>
      </w:tr>
      <w:tr>
        <w:trPr>
          <w:trHeight w:val="229"/>
        </w:trPr>
        <w:tc>
          <w:tcPr>
            <w:tcW w:w="37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Construction</w:t>
            </w:r>
          </w:p>
        </w:tc>
        <w:tc>
          <w:tcPr>
            <w:tcW w:w="30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2.4 %</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4.1 %</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5.5 %</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5.3 %</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PPP</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0.7 %</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760" w:type="dxa"/>
            <w:vAlign w:val="bottom"/>
            <w:tcBorders>
              <w:bottom w:val="single" w:sz="8" w:color="auto"/>
            </w:tcBorders>
            <w:shd w:val="clear" w:color="auto" w:fill="DBDBDB"/>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bl>
    <w:p>
      <w:pPr>
        <w:spacing w:after="0" w:line="202"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Although specific allocations exist, the entire allowance is available to absorb losses in any particular loan category.</w:t>
      </w:r>
    </w:p>
    <w:p>
      <w:pPr>
        <w:sectPr>
          <w:pgSz w:w="11900" w:h="16838" w:orient="portrait"/>
          <w:cols w:equalWidth="0" w:num="1">
            <w:col w:w="11240"/>
          </w:cols>
          <w:pgMar w:left="320" w:top="337" w:right="3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Nonperforming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Nonperforming loans are defined as loans on non-accrual status and loans 90 days or more past due but still accruing. Nonperforming assets include nonperforming loans plus foreclosed real estate. Troubled debt restructurings are not included in nonperforming loans unless they are on non-accrual status or past due 90 days or more.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There was no interest income recognized on nonaccrual loans for the years ended 2022 and 2021.</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one nonaccrual loan of $1.2 million at December 31, 2022 and no nonaccrual loans at December 31, 2021. There were no foreclosed assets at December 31, 2022 or December 31, 2021. The single nonperforming loan at December 31, 2022 paid off in full during January 2023.</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have any foreign loans. The Company's loan portfolio includes $212,000 of single family real estate mortgages, as the Company does not market its services to retail customers. Also, the Company had no sub-prime mortgage loans or residential development loans in its portfolio in any of the years presented.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have any other interest-earning assets which would have been included in nonaccrual, past due or restructured loans if such assets were loans.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Summary of Nonperforming Assets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9"/>
        </w:trPr>
        <w:tc>
          <w:tcPr>
            <w:tcW w:w="3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2018</w:t>
            </w:r>
          </w:p>
        </w:tc>
      </w:tr>
      <w:tr>
        <w:trPr>
          <w:trHeight w:val="223"/>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Nonaccrual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175"/>
        </w:trPr>
        <w:tc>
          <w:tcPr>
            <w:tcW w:w="370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w w:val="98"/>
              </w:rPr>
              <w:t>Contractually past due 90 days or more and</w:t>
            </w:r>
          </w:p>
        </w:tc>
        <w:tc>
          <w:tcPr>
            <w:tcW w:w="3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43"/>
        </w:trPr>
        <w:tc>
          <w:tcPr>
            <w:tcW w:w="37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still accruing</w:t>
            </w:r>
          </w:p>
        </w:tc>
        <w:tc>
          <w:tcPr>
            <w:tcW w:w="32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1"/>
                <w:szCs w:val="21"/>
                <w:color w:val="auto"/>
              </w:rPr>
            </w:pPr>
          </w:p>
        </w:tc>
        <w:tc>
          <w:tcPr>
            <w:tcW w:w="11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1"/>
                <w:szCs w:val="21"/>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1"/>
                <w:szCs w:val="21"/>
                <w:color w:val="auto"/>
              </w:rPr>
            </w:pPr>
          </w:p>
        </w:tc>
        <w:tc>
          <w:tcPr>
            <w:tcW w:w="11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Real estate – mortgage: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Nonaccrual</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300" w:type="dxa"/>
            <w:vAlign w:val="bottom"/>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175"/>
        </w:trPr>
        <w:tc>
          <w:tcPr>
            <w:tcW w:w="3700" w:type="dxa"/>
            <w:vAlign w:val="bottom"/>
          </w:tcPr>
          <w:p>
            <w:pPr>
              <w:ind w:left="240"/>
              <w:spacing w:after="0" w:line="176" w:lineRule="exact"/>
              <w:rPr>
                <w:sz w:val="20"/>
                <w:szCs w:val="20"/>
                <w:color w:val="auto"/>
              </w:rPr>
            </w:pPr>
            <w:r>
              <w:rPr>
                <w:rFonts w:ascii="Arial" w:cs="Arial" w:eastAsia="Arial" w:hAnsi="Arial"/>
                <w:sz w:val="18"/>
                <w:szCs w:val="18"/>
                <w:color w:val="auto"/>
                <w:w w:val="98"/>
              </w:rPr>
              <w:t>Contractually past due 90 days or more and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37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still accruing</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nonperforming loans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1,150</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foreclosed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nonperforming assets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1,150</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ind w:left="8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2022 compared to 2021 and 2020 include the following significant pre-tax components: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36"/>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9"/>
        </w:trPr>
        <w:tc>
          <w:tcPr>
            <w:tcW w:w="3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Personnel</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106,474</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92,155</w:t>
            </w:r>
          </w:p>
        </w:tc>
        <w:tc>
          <w:tcPr>
            <w:tcW w:w="4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88,062</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3,676</w:t>
            </w:r>
          </w:p>
        </w:tc>
        <w:tc>
          <w:tcPr>
            <w:tcW w:w="28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3,739</w:t>
            </w:r>
          </w:p>
        </w:tc>
      </w:tr>
      <w:tr>
        <w:trPr>
          <w:trHeight w:val="230"/>
        </w:trPr>
        <w:tc>
          <w:tcPr>
            <w:tcW w:w="3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Equipment</w:t>
            </w:r>
          </w:p>
        </w:tc>
        <w:tc>
          <w:tcPr>
            <w:tcW w:w="40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6,668</w:t>
            </w:r>
          </w:p>
        </w:tc>
        <w:tc>
          <w:tcPr>
            <w:tcW w:w="280" w:type="dxa"/>
            <w:vAlign w:val="bottom"/>
            <w:shd w:val="clear" w:color="auto" w:fill="DBDBDB"/>
          </w:tcPr>
          <w:p>
            <w:pPr>
              <w:spacing w:after="0"/>
              <w:rPr>
                <w:sz w:val="19"/>
                <w:szCs w:val="19"/>
                <w:color w:val="auto"/>
              </w:rPr>
            </w:pPr>
          </w:p>
        </w:tc>
        <w:tc>
          <w:tcPr>
            <w:tcW w:w="15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6,745</w:t>
            </w:r>
          </w:p>
        </w:tc>
        <w:tc>
          <w:tcPr>
            <w:tcW w:w="46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6,568</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28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33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Other operating</w:t>
            </w:r>
          </w:p>
        </w:tc>
        <w:tc>
          <w:tcPr>
            <w:tcW w:w="40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22,078</w:t>
            </w:r>
          </w:p>
        </w:tc>
        <w:tc>
          <w:tcPr>
            <w:tcW w:w="28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16,743</w:t>
            </w:r>
          </w:p>
        </w:tc>
        <w:tc>
          <w:tcPr>
            <w:tcW w:w="4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15,387</w:t>
            </w: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139,576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120,326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 increased 16.0% in 2022 compared to 2021, primarily as a result of higher personnel and other operating expenses.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Personnel expense increased $14.3 million, or 15.5%, to $106.5 million as a result of merit increases, wage pressures, an increase in average full-time equivalent employees of 10.0% due to the TouchPoint acquisition and strategic investment in optical character recognition, artificial intelligence, machine learning and other processes to consume images and produce data. Also driving the increase in personnel expense was an increase in stock compensation and profit sharing due to improved Company earnings and the impact on performance based restricted stock. Stock compensation increased $3.9 million and profit sharing increased $1.4 million as compared to the prior year.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operating expense increased $5.3 million, or 31.9%, to $22.1 million as a result of higher levels of travel, business development, employee procurement, data processing, insurance, and other professional fees. Partially causing the increase in data processing, other professional fees, and other operating expenses are investments in technology initiatives, resulting in elevated expense levels as multiple technology platforms are being maintained prior to switching over to what the Company believes will be more efficient technology platforms for facility and freight data entry processing by the end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expense in 2022 totaled $8.0 million, compared to $5.2 million in 2021. When measured as a percent of pre-tax income, the Company’s effective tax rate was 18.6% and 15.4% in 2022 and 2021, respectively. The increase in the effective tax rate in 2022 compared to 2021 was primarily due to changes in the levels of tax credits, tax-free interest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on municipal securities, and other miscellaneous book to tax true-ups upon filing of the Company's tax returns for the years ended December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securities increased $81.0 million, or 12.0%, during 2022 to $754.5 million at December 31, 2022. U.S. Treasury securities increased to $155.3 million during 2022 compared to none held in 2021. State and political securities decreased $76.0 million, or 20.5%, to $295.1 million as a result of runoff in the portfolio and a decrease in fair value due to the change in market interest rates.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2022, the Company's purchase of investment securities totaled $232.1 million.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single issuer of securities in the investment portfolio at December 31, 2022 for which the aggregate amortized cost exceeded 10% of total shareholders'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Investments by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66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37"/>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6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 and political subdivisions</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295,126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371,128</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305,974</w:t>
            </w:r>
          </w:p>
        </w:tc>
      </w:tr>
      <w:tr>
        <w:trPr>
          <w:trHeight w:val="176"/>
        </w:trPr>
        <w:tc>
          <w:tcPr>
            <w:tcW w:w="6640" w:type="dxa"/>
            <w:vAlign w:val="bottom"/>
          </w:tcPr>
          <w:p>
            <w:pPr>
              <w:ind w:left="20"/>
              <w:spacing w:after="0" w:line="176" w:lineRule="exact"/>
              <w:rPr>
                <w:sz w:val="20"/>
                <w:szCs w:val="20"/>
                <w:color w:val="auto"/>
              </w:rPr>
            </w:pPr>
            <w:r>
              <w:rPr>
                <w:rFonts w:ascii="Arial" w:cs="Arial" w:eastAsia="Arial" w:hAnsi="Arial"/>
                <w:sz w:val="18"/>
                <w:szCs w:val="18"/>
                <w:color w:val="auto"/>
                <w:w w:val="99"/>
              </w:rPr>
              <w:t>Mortgage-backed securities issued or guaranteed by U.S. Government agencies or</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sponsored enterprises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168,646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51,752</w:t>
            </w:r>
          </w:p>
        </w:tc>
      </w:tr>
      <w:tr>
        <w:trPr>
          <w:trHeight w:val="230"/>
        </w:trPr>
        <w:tc>
          <w:tcPr>
            <w:tcW w:w="6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85,097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84,338</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6640" w:type="dxa"/>
            <w:vAlign w:val="bottom"/>
          </w:tcPr>
          <w:p>
            <w:pPr>
              <w:ind w:left="20"/>
              <w:spacing w:after="0" w:line="176" w:lineRule="exact"/>
              <w:rPr>
                <w:sz w:val="20"/>
                <w:szCs w:val="20"/>
                <w:color w:val="auto"/>
              </w:rPr>
            </w:pPr>
            <w:r>
              <w:rPr>
                <w:rFonts w:ascii="Arial" w:cs="Arial" w:eastAsia="Arial" w:hAnsi="Arial"/>
                <w:sz w:val="18"/>
                <w:szCs w:val="18"/>
                <w:color w:val="auto"/>
                <w:w w:val="91"/>
              </w:rPr>
              <w:t>Asset-backed securities issued or guaranteed by U.S. Government agencies or sponsored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enterprises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Treasury securities</w:t>
            </w: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155,283</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754,468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673,453</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357,726</w:t>
            </w:r>
          </w:p>
        </w:tc>
      </w:tr>
    </w:tbl>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Investment Securities by Maturity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December 31,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Within 1</w:t>
            </w:r>
          </w:p>
        </w:tc>
        <w:tc>
          <w:tcPr>
            <w:tcW w:w="26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Over 1 to 5</w:t>
            </w:r>
          </w:p>
        </w:tc>
        <w:tc>
          <w:tcPr>
            <w:tcW w:w="28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Over 5 to</w:t>
            </w:r>
          </w:p>
        </w:tc>
        <w:tc>
          <w:tcPr>
            <w:tcW w:w="300" w:type="dxa"/>
            <w:vAlign w:val="bottom"/>
          </w:tcPr>
          <w:p>
            <w:pPr>
              <w:spacing w:after="0"/>
              <w:rPr>
                <w:sz w:val="18"/>
                <w:szCs w:val="18"/>
                <w:color w:val="auto"/>
              </w:rPr>
            </w:pPr>
          </w:p>
        </w:tc>
        <w:tc>
          <w:tcPr>
            <w:tcW w:w="1460" w:type="dxa"/>
            <w:vAlign w:val="bottom"/>
          </w:tcPr>
          <w:p>
            <w:pPr>
              <w:jc w:val="right"/>
              <w:ind w:right="710"/>
              <w:spacing w:after="0"/>
              <w:rPr>
                <w:sz w:val="20"/>
                <w:szCs w:val="20"/>
                <w:color w:val="auto"/>
              </w:rPr>
            </w:pPr>
            <w:r>
              <w:rPr>
                <w:rFonts w:ascii="Arial" w:cs="Arial" w:eastAsia="Arial" w:hAnsi="Arial"/>
                <w:sz w:val="18"/>
                <w:szCs w:val="18"/>
                <w:b w:val="1"/>
                <w:bCs w:val="1"/>
                <w:color w:val="auto"/>
              </w:rPr>
              <w:t>Over</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10 Years</w:t>
            </w:r>
          </w:p>
        </w:tc>
        <w:tc>
          <w:tcPr>
            <w:tcW w:w="300" w:type="dxa"/>
            <w:vAlign w:val="bottom"/>
          </w:tcPr>
          <w:p>
            <w:pPr>
              <w:spacing w:after="0"/>
              <w:rPr>
                <w:sz w:val="21"/>
                <w:szCs w:val="21"/>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10 Years</w:t>
            </w:r>
          </w:p>
        </w:tc>
        <w:tc>
          <w:tcPr>
            <w:tcW w:w="1540" w:type="dxa"/>
            <w:vAlign w:val="bottom"/>
            <w:gridSpan w:val="2"/>
          </w:tcPr>
          <w:p>
            <w:pPr>
              <w:jc w:val="right"/>
              <w:ind w:right="782"/>
              <w:spacing w:after="0"/>
              <w:rPr>
                <w:sz w:val="20"/>
                <w:szCs w:val="20"/>
                <w:color w:val="auto"/>
              </w:rPr>
            </w:pPr>
            <w:r>
              <w:rPr>
                <w:rFonts w:ascii="Arial" w:cs="Arial" w:eastAsia="Arial" w:hAnsi="Arial"/>
                <w:sz w:val="18"/>
                <w:szCs w:val="18"/>
                <w:b w:val="1"/>
                <w:bCs w:val="1"/>
                <w:color w:val="auto"/>
              </w:rPr>
              <w:t>Yield</w:t>
            </w:r>
          </w:p>
        </w:tc>
      </w:tr>
      <w:tr>
        <w:trPr>
          <w:trHeight w:val="223"/>
        </w:trPr>
        <w:tc>
          <w:tcPr>
            <w:tcW w:w="33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State and political subdivisions</w:t>
            </w:r>
          </w:p>
        </w:tc>
        <w:tc>
          <w:tcPr>
            <w:tcW w:w="32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16,197</w:t>
            </w:r>
          </w:p>
        </w:tc>
        <w:tc>
          <w:tcPr>
            <w:tcW w:w="26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117,515</w:t>
            </w:r>
          </w:p>
        </w:tc>
        <w:tc>
          <w:tcPr>
            <w:tcW w:w="28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109,509</w:t>
            </w:r>
          </w:p>
        </w:tc>
        <w:tc>
          <w:tcPr>
            <w:tcW w:w="30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rPr>
              <w:t>51,905</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2.77 %</w:t>
            </w:r>
          </w:p>
        </w:tc>
        <w:tc>
          <w:tcPr>
            <w:tcW w:w="340" w:type="dxa"/>
            <w:vAlign w:val="bottom"/>
            <w:tcBorders>
              <w:top w:val="single" w:sz="8" w:color="DBDBDB"/>
            </w:tcBorders>
            <w:shd w:val="clear" w:color="auto" w:fill="DBDBDB"/>
          </w:tcPr>
          <w:p>
            <w:pPr>
              <w:jc w:val="right"/>
              <w:ind w:right="122"/>
              <w:spacing w:after="0" w:line="136" w:lineRule="exact"/>
              <w:rPr>
                <w:sz w:val="20"/>
                <w:szCs w:val="20"/>
                <w:color w:val="auto"/>
              </w:rPr>
            </w:pPr>
            <w:r>
              <w:rPr>
                <w:rFonts w:ascii="Arial" w:cs="Arial" w:eastAsia="Arial" w:hAnsi="Arial"/>
                <w:sz w:val="12"/>
                <w:szCs w:val="12"/>
                <w:b w:val="1"/>
                <w:bCs w:val="1"/>
                <w:color w:val="auto"/>
                <w:w w:val="95"/>
              </w:rPr>
              <w:t>(1)</w:t>
            </w: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Mortgage-backed securities issued or</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w w:val="92"/>
              </w:rPr>
              <w:t>guaranteed by U.S. Government agencies or</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sponsored enterprises</w:t>
            </w:r>
          </w:p>
        </w:tc>
        <w:tc>
          <w:tcPr>
            <w:tcW w:w="3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48,264</w:t>
            </w:r>
          </w:p>
        </w:tc>
        <w:tc>
          <w:tcPr>
            <w:tcW w:w="300" w:type="dxa"/>
            <w:vAlign w:val="bottom"/>
          </w:tcPr>
          <w:p>
            <w:pPr>
              <w:spacing w:after="0"/>
              <w:rPr>
                <w:sz w:val="21"/>
                <w:szCs w:val="21"/>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125,278</w:t>
            </w:r>
          </w:p>
        </w:tc>
        <w:tc>
          <w:tcPr>
            <w:tcW w:w="1200" w:type="dxa"/>
            <w:vAlign w:val="bottom"/>
          </w:tcPr>
          <w:p>
            <w:pPr>
              <w:jc w:val="right"/>
              <w:spacing w:after="0"/>
              <w:rPr>
                <w:sz w:val="20"/>
                <w:szCs w:val="20"/>
                <w:color w:val="auto"/>
              </w:rPr>
            </w:pPr>
            <w:r>
              <w:rPr>
                <w:rFonts w:ascii="Arial" w:cs="Arial" w:eastAsia="Arial" w:hAnsi="Arial"/>
                <w:sz w:val="18"/>
                <w:szCs w:val="18"/>
                <w:color w:val="auto"/>
              </w:rPr>
              <w:t>1.71 %</w:t>
            </w:r>
          </w:p>
        </w:tc>
        <w:tc>
          <w:tcPr>
            <w:tcW w:w="340" w:type="dxa"/>
            <w:vAlign w:val="bottom"/>
          </w:tcPr>
          <w:p>
            <w:pPr>
              <w:spacing w:after="0"/>
              <w:rPr>
                <w:sz w:val="21"/>
                <w:szCs w:val="21"/>
                <w:color w:val="auto"/>
              </w:rPr>
            </w:pPr>
          </w:p>
        </w:tc>
      </w:tr>
      <w:tr>
        <w:trPr>
          <w:trHeight w:val="229"/>
        </w:trPr>
        <w:tc>
          <w:tcPr>
            <w:tcW w:w="3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37,592</w:t>
            </w:r>
          </w:p>
        </w:tc>
        <w:tc>
          <w:tcPr>
            <w:tcW w:w="28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47,505</w:t>
            </w:r>
          </w:p>
        </w:tc>
        <w:tc>
          <w:tcPr>
            <w:tcW w:w="300" w:type="dxa"/>
            <w:vAlign w:val="bottom"/>
            <w:shd w:val="clear" w:color="auto" w:fill="DBDBDB"/>
          </w:tcPr>
          <w:p>
            <w:pPr>
              <w:spacing w:after="0"/>
              <w:rPr>
                <w:sz w:val="19"/>
                <w:szCs w:val="19"/>
                <w:color w:val="auto"/>
              </w:rPr>
            </w:pPr>
          </w:p>
        </w:tc>
        <w:tc>
          <w:tcPr>
            <w:tcW w:w="146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2.82 %</w:t>
            </w:r>
          </w:p>
        </w:tc>
        <w:tc>
          <w:tcPr>
            <w:tcW w:w="340" w:type="dxa"/>
            <w:vAlign w:val="bottom"/>
            <w:shd w:val="clear" w:color="auto" w:fill="DBDBDB"/>
          </w:tcPr>
          <w:p>
            <w:pPr>
              <w:spacing w:after="0"/>
              <w:rPr>
                <w:sz w:val="19"/>
                <w:szCs w:val="19"/>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w w:val="90"/>
              </w:rPr>
              <w:t>Asset-backed securities issued or guaranteed</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w w:val="94"/>
              </w:rPr>
              <w:t>by U.S. Government agencies or sponsored</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enterprises</w:t>
            </w:r>
          </w:p>
        </w:tc>
        <w:tc>
          <w:tcPr>
            <w:tcW w:w="3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45,023</w:t>
            </w:r>
          </w:p>
        </w:tc>
        <w:tc>
          <w:tcPr>
            <w:tcW w:w="1200" w:type="dxa"/>
            <w:vAlign w:val="bottom"/>
          </w:tcPr>
          <w:p>
            <w:pPr>
              <w:jc w:val="right"/>
              <w:spacing w:after="0"/>
              <w:rPr>
                <w:sz w:val="20"/>
                <w:szCs w:val="20"/>
                <w:color w:val="auto"/>
              </w:rPr>
            </w:pPr>
            <w:r>
              <w:rPr>
                <w:rFonts w:ascii="Arial" w:cs="Arial" w:eastAsia="Arial" w:hAnsi="Arial"/>
                <w:sz w:val="18"/>
                <w:szCs w:val="18"/>
                <w:color w:val="auto"/>
              </w:rPr>
              <w:t>4.32 %</w:t>
            </w:r>
          </w:p>
        </w:tc>
        <w:tc>
          <w:tcPr>
            <w:tcW w:w="340" w:type="dxa"/>
            <w:vAlign w:val="bottom"/>
          </w:tcPr>
          <w:p>
            <w:pPr>
              <w:spacing w:after="0"/>
              <w:rPr>
                <w:sz w:val="21"/>
                <w:szCs w:val="21"/>
                <w:color w:val="auto"/>
              </w:rPr>
            </w:pPr>
          </w:p>
        </w:tc>
      </w:tr>
      <w:tr>
        <w:trPr>
          <w:trHeight w:val="230"/>
        </w:trPr>
        <w:tc>
          <w:tcPr>
            <w:tcW w:w="3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Treasury securities</w:t>
            </w:r>
          </w:p>
        </w:tc>
        <w:tc>
          <w:tcPr>
            <w:tcW w:w="3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48,980</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106,303</w:t>
            </w:r>
          </w:p>
        </w:tc>
        <w:tc>
          <w:tcPr>
            <w:tcW w:w="2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2.67 %</w:t>
            </w:r>
          </w:p>
        </w:tc>
        <w:tc>
          <w:tcPr>
            <w:tcW w:w="340" w:type="dxa"/>
            <w:vAlign w:val="bottom"/>
            <w:shd w:val="clear" w:color="auto" w:fill="DBDBDB"/>
          </w:tcPr>
          <w:p>
            <w:pPr>
              <w:spacing w:after="0"/>
              <w:rPr>
                <w:sz w:val="19"/>
                <w:szCs w:val="19"/>
                <w:color w:val="auto"/>
              </w:rPr>
            </w:pPr>
          </w:p>
        </w:tc>
      </w:tr>
      <w:tr>
        <w:trPr>
          <w:trHeight w:val="223"/>
        </w:trPr>
        <w:tc>
          <w:tcPr>
            <w:tcW w:w="3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65,221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261,763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205,278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222,206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340" w:type="dxa"/>
            <w:vAlign w:val="bottom"/>
            <w:tcBorders>
              <w:bottom w:val="single" w:sz="8" w:color="DBDBDB"/>
            </w:tcBorders>
          </w:tcPr>
          <w:p>
            <w:pPr>
              <w:spacing w:after="0"/>
              <w:rPr>
                <w:sz w:val="19"/>
                <w:szCs w:val="19"/>
                <w:color w:val="auto"/>
              </w:rPr>
            </w:pPr>
          </w:p>
        </w:tc>
      </w:tr>
      <w:tr>
        <w:trPr>
          <w:trHeight w:val="223"/>
        </w:trPr>
        <w:tc>
          <w:tcPr>
            <w:tcW w:w="3340" w:type="dxa"/>
            <w:vAlign w:val="bottom"/>
            <w:tcBorders>
              <w:bottom w:val="single" w:sz="8" w:color="auto"/>
            </w:tcBorders>
            <w:shd w:val="clear" w:color="auto" w:fill="DBDBDB"/>
          </w:tcPr>
          <w:p>
            <w:pPr>
              <w:ind w:left="20"/>
              <w:spacing w:after="0" w:line="223"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3"/>
                <w:szCs w:val="23"/>
                <w:b w:val="1"/>
                <w:bCs w:val="1"/>
                <w:color w:val="auto"/>
                <w:vertAlign w:val="superscript"/>
              </w:rPr>
              <w:t>(1)</w:t>
            </w:r>
          </w:p>
        </w:tc>
        <w:tc>
          <w:tcPr>
            <w:tcW w:w="3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3.30 %</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3.34 %</w:t>
            </w:r>
          </w:p>
        </w:tc>
        <w:tc>
          <w:tcPr>
            <w:tcW w:w="2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2.23 %</w:t>
            </w:r>
          </w:p>
        </w:tc>
        <w:tc>
          <w:tcPr>
            <w:tcW w:w="30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rPr>
              <w:t>2.24 %</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2.57 %</w:t>
            </w:r>
          </w:p>
        </w:tc>
        <w:tc>
          <w:tcPr>
            <w:tcW w:w="340" w:type="dxa"/>
            <w:vAlign w:val="bottom"/>
            <w:shd w:val="clear" w:color="auto" w:fill="DBDBDB"/>
          </w:tcPr>
          <w:p>
            <w:pPr>
              <w:spacing w:after="0"/>
              <w:rPr>
                <w:sz w:val="19"/>
                <w:szCs w:val="19"/>
                <w:color w:val="auto"/>
              </w:rPr>
            </w:pPr>
          </w:p>
        </w:tc>
      </w:tr>
    </w:tbl>
    <w:p>
      <w:pPr>
        <w:spacing w:after="0" w:line="33"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3"/>
          <w:szCs w:val="23"/>
          <w:b w:val="1"/>
          <w:bCs w:val="1"/>
          <w:color w:val="auto"/>
          <w:vertAlign w:val="superscript"/>
        </w:rPr>
      </w:pPr>
      <w:r>
        <w:rPr>
          <w:rFonts w:ascii="Arial" w:cs="Arial" w:eastAsia="Arial" w:hAnsi="Arial"/>
          <w:sz w:val="18"/>
          <w:szCs w:val="18"/>
          <w:color w:val="auto"/>
        </w:rPr>
        <w:t>Yields are presented on a tax-equivalent basis assuming a tax rate of 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and Accounts and Drafts Payable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Noninterest-bearing demand deposits increased 10.3% to $642.8 million at December 31, 2022 primarily as a result of an increase in balances related to CassPay customers. These balances can fluctuate significantly on a day to day basis. Interest-bearing deposits decreased $24.4 million, or 3.8%, to $614.5 million at December 31, 2022.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Accounts and drafts payable generated by the Company in its payment processing operations increased $17.2 million, or 1.6%, to $1.07 billion, at December 31, 2022. Due to the Company’s payment processing cycle, average balances are much more indicative of the underlying activity than period-end balances since point-in-time comparisons can be misleading if the comparison dates fall on different days of the week. Average accounts and drafts payable increased $154.8 million, or 15.7%, to $1.14 billion during 2022. The higher average accounts and drafts payable was due to a significant increase in dollars processed from inflationary pressures and higher energy prices, among other factors.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w w:val="97"/>
              </w:rPr>
              <w:t>Maturities of Certificates of Deposit as of December 31, 2022</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$100 to Less</w:t>
            </w: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$250 or</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$100 or Less</w:t>
            </w:r>
          </w:p>
        </w:tc>
        <w:tc>
          <w:tcPr>
            <w:tcW w:w="2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Than $250</w:t>
            </w:r>
          </w:p>
        </w:tc>
        <w:tc>
          <w:tcPr>
            <w:tcW w:w="280" w:type="dxa"/>
            <w:vAlign w:val="bottom"/>
          </w:tcPr>
          <w:p>
            <w:pPr>
              <w:spacing w:after="0"/>
              <w:rPr>
                <w:sz w:val="21"/>
                <w:szCs w:val="21"/>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More</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Three months or less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789</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10,230</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16,300</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Three to six months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10,265</w:t>
            </w:r>
          </w:p>
        </w:tc>
      </w:tr>
      <w:tr>
        <w:trPr>
          <w:trHeight w:val="230"/>
        </w:trPr>
        <w:tc>
          <w:tcPr>
            <w:tcW w:w="5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Six to twelve months</w:t>
            </w: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11,360</w:t>
            </w:r>
          </w:p>
        </w:tc>
      </w:tr>
      <w:tr>
        <w:trPr>
          <w:trHeight w:val="229"/>
        </w:trPr>
        <w:tc>
          <w:tcPr>
            <w:tcW w:w="5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Over twelve months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r>
      <w:tr>
        <w:trPr>
          <w:trHeight w:val="248"/>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20,137</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17,958</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40,621</w:t>
            </w: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balances of liquid assets consist of cash and cash equivalents, which include cash and due from banks, interest-bearing deposits in other financial institutions, federal funds sold, and money market funds, totaled $200.9 million at December 31, 2022, a decrease of $314.0 million, or 61.0%, from December 31, 2021. The decrease during 2022 is primarily attributed to available cash being used for purchases of available-for-sale investment securities and to fund loan growth. At December 31, 2022, cash and cash equivalents represented 7.8% of total assets and are the Company’s and its subsidiaries’ primary source of liquidity to meet future expected and unexpected loan demand, depositor withdrawals or reductions in accounts and drafts payable.</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Secondary sources of liquidity include the investment portfolio and borrowing lines. Total investment securities available-for-sale at fair value were $754.5 million at December 31, 2022, an increase of $81.0 million, or 12.0%, from December 31, 2021. Investment securities represented 29.3% of total assets at December 31, 2022. Of the total portfolio, 8.8% mature in one year or less, 34.6% mature after one year through five years and 56.6% mature after five years.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the Bank had unsecured lines of credit at six correspondent banks to purchase federal funds up to a maximum of $83.0 million in aggregate. As of December 31, 2022, the Bank had secured lines of credit with the Federal Home Loan Bank of $237.8 million collateralized by commercial mortgage loans. At December 31, 2022, the Company had lines of credit from three banks up to a maximum of $200.0 million in aggregate collateralized by state and political subdivision securities. There were no amounts outstanding at December 31, 2022, and 2021 under any of the lines of credit.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provided by operating activities for the years 2022, 2021 and 2020 were $51.6 million, $34.5 million, and $47.8 million, respectively. Net income plus depreciation and amortization accounts for most of the operating cash</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provided. Net cash flows from investing and financing activities fluctuate greatly as the Company actively manages its 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2023. The Company anticipates the annual capital expenditures for 2023 should range from $8 million to $10 million. Capital expenditures in 2023 are expected to consist of equipment and software related to the payment and information processing services business.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plus amortization of intangible assets, net amortization of premium/discount on investment securities and depreciation of premises and equipment was $45.9 million and $41.1 million for the years ended December 31, 2022 and 2021, respectively, an increase of $4.8 million year over year. The increase was due to the increase in net income of $6.3 million, partially offset by a decrease in net amortization of premium/discount on investment securities of $1.1 million. The net amortization of premium/discount on investment securities is dependent on the type of securities purchased and changes in the prevailing market interest rate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impacting the $17.1 million increase in net cash provided by operating activities include:</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other operating activities, net of $9.4 million, primarily due to changes in various accounts receivable and payable;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stock-based compensation expense of $3.9 million due to improved Company earnings and the impact on performance based stock;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change in the provision for (release of) credit losses of $1.5 million due to loan growth in 2022.</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an overall basis, the Company's $17.1 million increase in net cash provided by operating activities was due to improved revenue and profitability largely due to higher financial fee revenue and net interest income. The improved revenue and profitability for 2022 is in large part due to a 33.7% increase in financial fees and 32.8% increase in net interest income. Financial fees increased as a result of an increase in total invoice dollars processed and paid and a higher interest rate environment as compared to the prior year. Transportation and facility invoice dollars processed and paid increased 21.5% and 23.0%, respectively. The significant increase in dollars processed and paid was due to inflationary pressures and higher energy prices, among other factors. The increase in net interest income in 2022 compared to 2021 is primarily due to the Federal Reserve’s actions to increase the Federal Funds rate throughout the year of 2022, positively affecting the net interest rate margin which increased to 2.74% as compared to 2.31% in the prior year. Additionally, a 10.3% increase in average earning assets contributed to the increase in net interest income.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generated net cash provided by operating activities of $34.5 million and $47.8 million for the years ended December 31, 2021 and 2020, respectively, a decrease of $13.2 million.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plus amortization of intangible assets, net amortization of premium/discount on investment securities and depreciation of premises and equipment was $41.1 million and $36.4 million for the years ended December 31, 2021 and 2020, respectively, an increase of $4.7 million. The increase was largely due to the increase in net income of $3.4 million in addition to an increase in net amortization of premium/discount on investment securities of $1.4 million primarily resulting from the purchase of $494.2 million of securities available-for-sale in 2021, typically at a premium given the prevailing low interest rate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impacting the $13.2 million decrease in net cash provided by operating activities include:</w:t>
      </w:r>
    </w:p>
    <w:p>
      <w:pPr>
        <w:spacing w:after="0" w:line="23" w:lineRule="exact"/>
        <w:rPr>
          <w:sz w:val="20"/>
          <w:szCs w:val="20"/>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change in the pension liability of $6.2 million primarily due to the investment performance of the pension assets and changes in other actuarial assumptions, including the discount rate;</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in other operating activities, net, of $10.1 million primarily due to a $5.0 million change associated with payroll taxes deferred under the CARES Act in 2020 that were paid in 2021, and the receipt of PPP fees from the SBA in 2020 that were recognized into interest income in 2021 resulting in a $3.6 million change; partially offset by:</w:t>
      </w:r>
    </w:p>
    <w:p>
      <w:pPr>
        <w:spacing w:after="0" w:line="1" w:lineRule="exact"/>
        <w:rPr>
          <w:rFonts w:ascii="Arial" w:cs="Arial" w:eastAsia="Arial" w:hAnsi="Arial"/>
          <w:sz w:val="18"/>
          <w:szCs w:val="18"/>
          <w:color w:val="auto"/>
        </w:rPr>
      </w:pPr>
    </w:p>
    <w:p>
      <w:pPr>
        <w:ind w:left="1300" w:hanging="320"/>
        <w:spacing w:after="0" w:line="250"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increase in stock-based compensation expense of $592,000 due to an increase in the fair value of restricted stock grants to personnel and improved company performance; and</w:t>
      </w: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change in the (release of) provision for credit losses of $940,000 due to improved credit quality.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an overall basis, despite the $13.2 million decrease in net cash provided by operating activities, the Company generated a higher level of cash from operating activities in 2021 due to improved revenue and profitability, partially offset by an increase in the negative impact of noncash items. The improved revenue and profitability for 2021 is in large part due to a 38.9% increase in dollars processed in transportation due to supply chain disruptions, fuel surcharges, and scarcity of carrier supply experienced throughout the market generally in 2021, among other factors.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inflation, and energy costs as well as new business opportunities available to the Company.</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invoices are processed) from the Company’s transportation customers.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 During 2022, new business was added in both the transportation and facility expense management operations, driven by both successful marketing efforts and the solid market leadership position held by Cass.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2022 as shown in Item 8, Note 2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paid were $15.4 million in each of 2022 and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was $206.3 million, or 8.0% of total assets, at December 31, 2022, a decrease of $39.5 million as compared to December 31, 2021. The decrease was primarily a result of an increase in accumulated other comprehensive loss of $59.8 million due to the change in market values on investment securities as a result of the rising interest rate environment, the payment of cash dividends of $15.4 million, and the repurchase of treasury shares of $5.3 million, partially offset by net income of $34.9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from the Bank are a source of funds for payment of dividends by the Company to its shareholders. The only restrictions on dividends are those dictated by regulatory capital requirements, state corporate laws and prudent and sound banking principles. During 2022, the Bank paid dividends of $15.0 million to the Company. As of December 31,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unappropriated retained earnings of $29.2 million were available at the Bank for the declaration of dividends to the Company without prior approval from regulatory authorities.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treasury stock buyback program approved by the Board of Directors in October 2021 pursuant to which the Board of Directors has authorized the repurchase of up to 750,000 shares of the Company’s common stock and has no expiration date. A total of 340,707 shares remain under the buyback program at December 31,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repurchased a total of 130,374 shares at an aggregate cost of $5.3 million during the year ended December 31, 2022 and 713,857 shares at an aggregate cost of $31.0 million during the year ended December 31, 2021. A portion of the repurchased shares may be used for the Company’s employee benefit plans, and the balance will be available for other general corporate purposes. The pace of future repurchase activity will depend on factors such as levels of regulatory capital,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Inflation could have the impact of increasing our operating expenses, such as compensation expense. Inflationary pressures may also have an impact on total assets, earnings and capital, which could impact the Company's ability to grow. During 2021 and 2022, supply chain disruption, rising energy prices and inflation, among other factors, had the impact of increasing the average balance of accounts and drafts payable and total assets. An increase in total assets could have the impact of decreasing our regulatory capital ratios if earnings and total regulatory capital do not increase at the same rate.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rising inflation, the Federal Reserve has increased the Federal Funds rate over the course of 2022 and into the first quarter of 2023. The increase in the Federal Funds rate has contributed to the increase in the Company's net interest margin to 2.74% in 2022 from 2.31% in 2021, therefore positively impacting net interest income. There can be no assurance that further increases in the Federal Funds rate will occur, and the Company continues to monitor such impact to its future levels of net interest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Contractual Obligations and Off-Balance Sheet Arrangements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2022, an allowance for unfunded commitments of $232,000 had been recorded. See Item 7, “Management’s Discussion and Analysis of Financial Condition and Results of Operations— Provision and Allowance for Credit Losses and Unfunded Commitments.”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Commercial and standby letters of credit are commitments issued by the Company or its subsidiaries to guarantee the performance of a customer to a third party. These off-balance sheet financial instruments generally have fixed expiration dates or other termination clauses and may require payment of a fee. At December 31, 2022, the balance of loan commitments, standby and commercial letters of credit were $237.0 million, $14.5 million and $354,000,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 See Note 14 "Disclosures about Fair Value of Financial Instruments" for more information.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the Company did not make a contribution to its noncontributory defined benefit pension plan. In determining pension expense, the Company makes several assumptions, including the discount rate and long-term rate of return on assets. These assumptions are determined at the beginning of the plan year based on interest rate levels and financial market performance.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For 2022, these assumptions were as follows:</w:t>
            </w:r>
          </w:p>
        </w:tc>
        <w:tc>
          <w:tcPr>
            <w:tcW w:w="4480" w:type="dxa"/>
            <w:vAlign w:val="bottom"/>
          </w:tcPr>
          <w:p>
            <w:pPr>
              <w:spacing w:after="0"/>
              <w:rPr>
                <w:sz w:val="20"/>
                <w:szCs w:val="20"/>
                <w:color w:val="auto"/>
              </w:rPr>
            </w:pPr>
          </w:p>
        </w:tc>
      </w:tr>
      <w:tr>
        <w:trPr>
          <w:trHeight w:val="472"/>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Assumption</w:t>
            </w:r>
          </w:p>
        </w:tc>
        <w:tc>
          <w:tcPr>
            <w:tcW w:w="4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Rate</w:t>
            </w:r>
          </w:p>
        </w:tc>
      </w:tr>
      <w:tr>
        <w:trPr>
          <w:trHeight w:val="223"/>
        </w:trPr>
        <w:tc>
          <w:tcPr>
            <w:tcW w:w="6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discount rate</w:t>
            </w:r>
          </w:p>
        </w:tc>
        <w:tc>
          <w:tcPr>
            <w:tcW w:w="4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2.85 %</w:t>
            </w: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long-term rate of return on assets</w:t>
            </w:r>
          </w:p>
        </w:tc>
        <w:tc>
          <w:tcPr>
            <w:tcW w:w="4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6.00 %</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faces market risk to the extent that its net interest income is affected by changes in market interest rates. The asset/liability management discipline as applied by the Company seeks to limit the volatility, to the extent possible, that can result from changes in market interest rates. This is accomplished by limiting the concentration of maturities of fixed rate investments, loans, and deposits; matching fixed rate assets and liabilities to the extent possible; and optimizing the mix of fees and net interest income. However, the Company's asset/liability position often differs from other financial holding companies with positive cumulative "gaps." This asset sensitive position is caused primarily by the operations of the Company, which generate large balances of accounts and drafts payable. These balances, which are noninterest bearing, can cause the Company to become susceptible to changes in interest rates, with a decreasing net interest margin in periods of declining interest rates and an increasing net interest margin in periods of rising interest rates, like the Company is currently experiencing.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ALCO measures the Company's interest rate risk sensitivity on a quarterly basis to monitor and manage the variability of earnings in various interest rate environments. The ALCO evaluates the Company's risk position to determine whether the level of exposure is significant enough to hedge a potential decline in earnings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Another measurement tool used by management is net interest income simulation, which forecasts net interest income during the coming 12 months under different interest rate scenarios.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2022, from an immediate and sustained parallel change in interest rates in three varying scenarios is shown below.</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equity under different rate scenarios gives insight into the magnitude of risk to future earnings due to rate changes. Management has set policy limits relating to declines in the market value of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illustrates the projected impact of interest rate shocks on net interest income as of December 31, 2022:</w:t>
      </w:r>
    </w:p>
    <w:p>
      <w:pPr>
        <w:spacing w:after="0" w:line="262"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Change in Interest Rates</w:t>
            </w:r>
          </w:p>
        </w:tc>
        <w:tc>
          <w:tcPr>
            <w:tcW w:w="39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 Change in Net Interest Income</w:t>
            </w:r>
          </w:p>
        </w:tc>
      </w:tr>
      <w:tr>
        <w:trPr>
          <w:trHeight w:val="223"/>
        </w:trPr>
        <w:tc>
          <w:tcPr>
            <w:tcW w:w="35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89"/>
              </w:rPr>
              <w:t>+200 basis points</w:t>
            </w:r>
          </w:p>
        </w:tc>
        <w:tc>
          <w:tcPr>
            <w:tcW w:w="396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0"/>
              </w:rPr>
              <w:t>10.6%</w:t>
            </w:r>
          </w:p>
        </w:tc>
      </w:tr>
      <w:tr>
        <w:trPr>
          <w:trHeight w:val="229"/>
        </w:trPr>
        <w:tc>
          <w:tcPr>
            <w:tcW w:w="3580" w:type="dxa"/>
            <w:vAlign w:val="bottom"/>
          </w:tcPr>
          <w:p>
            <w:pPr>
              <w:jc w:val="center"/>
              <w:ind w:left="30"/>
              <w:spacing w:after="0"/>
              <w:rPr>
                <w:sz w:val="20"/>
                <w:szCs w:val="20"/>
                <w:color w:val="auto"/>
              </w:rPr>
            </w:pPr>
            <w:r>
              <w:rPr>
                <w:rFonts w:ascii="Arial" w:cs="Arial" w:eastAsia="Arial" w:hAnsi="Arial"/>
                <w:sz w:val="18"/>
                <w:szCs w:val="18"/>
                <w:color w:val="auto"/>
                <w:w w:val="89"/>
              </w:rPr>
              <w:t>+100 basis points</w:t>
            </w:r>
          </w:p>
        </w:tc>
        <w:tc>
          <w:tcPr>
            <w:tcW w:w="3960" w:type="dxa"/>
            <w:vAlign w:val="bottom"/>
          </w:tcPr>
          <w:p>
            <w:pPr>
              <w:jc w:val="center"/>
              <w:ind w:left="130"/>
              <w:spacing w:after="0"/>
              <w:rPr>
                <w:sz w:val="20"/>
                <w:szCs w:val="20"/>
                <w:color w:val="auto"/>
              </w:rPr>
            </w:pPr>
            <w:r>
              <w:rPr>
                <w:rFonts w:ascii="Arial" w:cs="Arial" w:eastAsia="Arial" w:hAnsi="Arial"/>
                <w:sz w:val="18"/>
                <w:szCs w:val="18"/>
                <w:color w:val="auto"/>
                <w:w w:val="87"/>
              </w:rPr>
              <w:t>4.2</w:t>
            </w:r>
          </w:p>
        </w:tc>
      </w:tr>
      <w:tr>
        <w:trPr>
          <w:trHeight w:val="230"/>
        </w:trPr>
        <w:tc>
          <w:tcPr>
            <w:tcW w:w="35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89"/>
              </w:rPr>
              <w:t>-100 basis points</w:t>
            </w:r>
          </w:p>
        </w:tc>
        <w:tc>
          <w:tcPr>
            <w:tcW w:w="396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r>
      <w:tr>
        <w:trPr>
          <w:trHeight w:val="229"/>
        </w:trPr>
        <w:tc>
          <w:tcPr>
            <w:tcW w:w="35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-200 basis points</w:t>
            </w:r>
          </w:p>
        </w:tc>
        <w:tc>
          <w:tcPr>
            <w:tcW w:w="39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1"/>
              </w:rPr>
              <w:t>(1.5)</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generally asset sensitive as average interest-earning assets of $2.21 billion for 2022 greatly exceeded average interest-bearing liabilities of $603.3 million. The table above on the projected impact of interest rate shocks results from a static balance sheet at December 31, 2022. On an average balance basis, the percent change in net interest income generally is higher to the positive for a rising interest rate environment and more negative for a declining interest rate environment. Since the Company held fewer short-term investments ($179.9 million) on its ending balance sheet at December 31, 2022 than its average balance for full year 2022 of $425.0 million, the percent changes in net interest income are not necessarily representative of what would occur in a changing interest rate environment as these short-term investments are floating rate assets. The Company's cash position can vary significantly on a day to day basis.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4"/>
        </w:trPr>
        <w:tc>
          <w:tcPr>
            <w:tcW w:w="720" w:type="dxa"/>
            <w:vAlign w:val="bottom"/>
          </w:tcPr>
          <w:p>
            <w:pPr>
              <w:spacing w:after="0"/>
              <w:rPr>
                <w:sz w:val="24"/>
                <w:szCs w:val="24"/>
                <w:color w:val="auto"/>
              </w:rPr>
            </w:pPr>
          </w:p>
        </w:tc>
        <w:tc>
          <w:tcPr>
            <w:tcW w:w="7460" w:type="dxa"/>
            <w:vAlign w:val="bottom"/>
            <w:gridSpan w:val="2"/>
          </w:tcPr>
          <w:p>
            <w:pPr>
              <w:ind w:left="2440"/>
              <w:spacing w:after="0"/>
              <w:rPr>
                <w:sz w:val="20"/>
                <w:szCs w:val="20"/>
                <w:color w:val="auto"/>
              </w:rPr>
            </w:pPr>
            <w:r>
              <w:rPr>
                <w:rFonts w:ascii="Arial" w:cs="Arial" w:eastAsia="Arial" w:hAnsi="Arial"/>
                <w:sz w:val="18"/>
                <w:szCs w:val="18"/>
                <w:b w:val="1"/>
                <w:bCs w:val="1"/>
                <w:color w:val="auto"/>
              </w:rPr>
              <w:t>CASS INFORMATION SYSTEMS,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p>
        </w:tc>
        <w:tc>
          <w:tcPr>
            <w:tcW w:w="7460" w:type="dxa"/>
            <w:vAlign w:val="bottom"/>
            <w:gridSpan w:val="2"/>
          </w:tcPr>
          <w:p>
            <w:pPr>
              <w:ind w:left="3340"/>
              <w:spacing w:after="0"/>
              <w:rPr>
                <w:sz w:val="20"/>
                <w:szCs w:val="20"/>
                <w:color w:val="auto"/>
              </w:rPr>
            </w:pPr>
            <w:r>
              <w:rPr>
                <w:rFonts w:ascii="Arial" w:cs="Arial" w:eastAsia="Arial" w:hAnsi="Arial"/>
                <w:sz w:val="18"/>
                <w:szCs w:val="18"/>
                <w:b w:val="1"/>
                <w:bCs w:val="1"/>
                <w:color w:val="auto"/>
              </w:rPr>
              <w:t>CONSOLIDATED BALANCE SHEETS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72"/>
        </w:trPr>
        <w:tc>
          <w:tcPr>
            <w:tcW w:w="7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23"/>
        </w:trPr>
        <w:tc>
          <w:tcPr>
            <w:tcW w:w="81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(In thousands except share and per share data)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Cash and due from banks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12,301</w:t>
            </w:r>
          </w:p>
        </w:tc>
      </w:tr>
      <w:tr>
        <w:trPr>
          <w:trHeight w:val="229"/>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179,947</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502,627</w:t>
            </w:r>
          </w:p>
        </w:tc>
      </w:tr>
      <w:tr>
        <w:trPr>
          <w:trHeight w:val="223"/>
        </w:trPr>
        <w:tc>
          <w:tcPr>
            <w:tcW w:w="818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200,942</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514,928</w:t>
            </w:r>
          </w:p>
        </w:tc>
      </w:tr>
      <w:tr>
        <w:trPr>
          <w:trHeight w:val="223"/>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Securities available-for-sale, at fair value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754,468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673,453</w:t>
            </w:r>
          </w:p>
        </w:tc>
      </w:tr>
      <w:tr>
        <w:trPr>
          <w:trHeight w:val="257"/>
        </w:trPr>
        <w:tc>
          <w:tcPr>
            <w:tcW w:w="8180" w:type="dxa"/>
            <w:vAlign w:val="bottom"/>
            <w:gridSpan w:val="3"/>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Loans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1,082,906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960,567</w:t>
            </w:r>
          </w:p>
        </w:tc>
      </w:tr>
      <w:tr>
        <w:trPr>
          <w:trHeight w:val="229"/>
        </w:trPr>
        <w:tc>
          <w:tcPr>
            <w:tcW w:w="818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Less allowance for credit losses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w:t>
            </w:r>
          </w:p>
        </w:tc>
      </w:tr>
      <w:tr>
        <w:trPr>
          <w:trHeight w:val="223"/>
        </w:trPr>
        <w:tc>
          <w:tcPr>
            <w:tcW w:w="720" w:type="dxa"/>
            <w:vAlign w:val="bottom"/>
            <w:shd w:val="clear" w:color="auto" w:fill="DBDBDB"/>
          </w:tcPr>
          <w:p>
            <w:pPr>
              <w:spacing w:after="0"/>
              <w:rPr>
                <w:sz w:val="19"/>
                <w:szCs w:val="19"/>
                <w:color w:val="auto"/>
              </w:rPr>
            </w:pPr>
          </w:p>
        </w:tc>
        <w:tc>
          <w:tcPr>
            <w:tcW w:w="7460" w:type="dxa"/>
            <w:vAlign w:val="bottom"/>
            <w:gridSpan w:val="2"/>
            <w:shd w:val="clear" w:color="auto" w:fill="DBDBDB"/>
          </w:tcPr>
          <w:p>
            <w:pPr>
              <w:ind w:left="60"/>
              <w:spacing w:after="0"/>
              <w:rPr>
                <w:sz w:val="20"/>
                <w:szCs w:val="20"/>
                <w:color w:val="auto"/>
              </w:rPr>
            </w:pPr>
            <w:r>
              <w:rPr>
                <w:rFonts w:ascii="Arial" w:cs="Arial" w:eastAsia="Arial" w:hAnsi="Arial"/>
                <w:sz w:val="18"/>
                <w:szCs w:val="18"/>
                <w:color w:val="auto"/>
              </w:rPr>
              <w:t>Loans, net</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1,069,367</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948,526</w:t>
            </w:r>
          </w:p>
        </w:tc>
      </w:tr>
      <w:tr>
        <w:trPr>
          <w:trHeight w:val="223"/>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Payments in advance of funding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293,775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291,427</w:t>
            </w:r>
          </w:p>
        </w:tc>
      </w:tr>
      <w:tr>
        <w:trPr>
          <w:trHeight w:val="229"/>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Premises and equipment, net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19,958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18,113</w:t>
            </w:r>
          </w:p>
        </w:tc>
      </w:tr>
      <w:tr>
        <w:trPr>
          <w:trHeight w:val="230"/>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Investments in bank-owned life insurance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43,176</w:t>
            </w:r>
          </w:p>
        </w:tc>
      </w:tr>
      <w:tr>
        <w:trPr>
          <w:trHeight w:val="229"/>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17,309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14,262</w:t>
            </w:r>
          </w:p>
        </w:tc>
      </w:tr>
      <w:tr>
        <w:trPr>
          <w:trHeight w:val="230"/>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29"/>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Accounts and drafts receivable from customers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95,779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4,992</w:t>
            </w:r>
          </w:p>
        </w:tc>
      </w:tr>
      <w:tr>
        <w:trPr>
          <w:trHeight w:val="230"/>
        </w:trPr>
        <w:tc>
          <w:tcPr>
            <w:tcW w:w="8180" w:type="dxa"/>
            <w:vAlign w:val="bottom"/>
            <w:tcBorders>
              <w:bottom w:val="single" w:sz="8" w:color="DBDBDB"/>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69,301</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43,460</w:t>
            </w:r>
          </w:p>
        </w:tc>
      </w:tr>
      <w:tr>
        <w:trPr>
          <w:trHeight w:val="248"/>
        </w:trPr>
        <w:tc>
          <w:tcPr>
            <w:tcW w:w="720" w:type="dxa"/>
            <w:vAlign w:val="bottom"/>
            <w:tcBorders>
              <w:bottom w:val="single" w:sz="8" w:color="DBDBDB"/>
            </w:tcBorders>
            <w:shd w:val="clear" w:color="auto" w:fill="DBDBDB"/>
          </w:tcPr>
          <w:p>
            <w:pPr>
              <w:spacing w:after="0"/>
              <w:rPr>
                <w:sz w:val="21"/>
                <w:szCs w:val="21"/>
                <w:color w:val="auto"/>
              </w:rPr>
            </w:pPr>
          </w:p>
        </w:tc>
        <w:tc>
          <w:tcPr>
            <w:tcW w:w="7460" w:type="dxa"/>
            <w:vAlign w:val="bottom"/>
            <w:tcBorders>
              <w:bottom w:val="single" w:sz="8" w:color="DBDBDB"/>
            </w:tcBorders>
            <w:gridSpan w:val="2"/>
            <w:shd w:val="clear" w:color="auto" w:fill="DBDBDB"/>
          </w:tcPr>
          <w:p>
            <w:pPr>
              <w:ind w:left="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2,573,023</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2,554,901</w:t>
            </w:r>
          </w:p>
        </w:tc>
      </w:tr>
      <w:tr>
        <w:trPr>
          <w:trHeight w:val="20"/>
        </w:trPr>
        <w:tc>
          <w:tcPr>
            <w:tcW w:w="8180" w:type="dxa"/>
            <w:vAlign w:val="bottom"/>
            <w:tcBorders>
              <w:top w:val="single" w:sz="8" w:color="DBDBDB"/>
            </w:tcBorders>
            <w:gridSpan w:val="3"/>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Deposits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Noninterest-bearing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642,757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582,642</w:t>
            </w:r>
          </w:p>
        </w:tc>
      </w:tr>
      <w:tr>
        <w:trPr>
          <w:trHeight w:val="230"/>
        </w:trPr>
        <w:tc>
          <w:tcPr>
            <w:tcW w:w="818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Interest-bearing</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614,460</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638,861</w:t>
            </w:r>
          </w:p>
        </w:tc>
      </w:tr>
      <w:tr>
        <w:trPr>
          <w:trHeight w:val="223"/>
        </w:trPr>
        <w:tc>
          <w:tcPr>
            <w:tcW w:w="720" w:type="dxa"/>
            <w:vAlign w:val="bottom"/>
            <w:tcBorders>
              <w:bottom w:val="single" w:sz="8" w:color="DBDBDB"/>
            </w:tcBorders>
          </w:tcPr>
          <w:p>
            <w:pPr>
              <w:spacing w:after="0"/>
              <w:rPr>
                <w:sz w:val="19"/>
                <w:szCs w:val="19"/>
                <w:color w:val="auto"/>
              </w:rPr>
            </w:pPr>
          </w:p>
        </w:tc>
        <w:tc>
          <w:tcPr>
            <w:tcW w:w="7460" w:type="dxa"/>
            <w:vAlign w:val="bottom"/>
            <w:tcBorders>
              <w:bottom w:val="single" w:sz="8" w:color="DBDBDB"/>
            </w:tcBorders>
            <w:gridSpan w:val="2"/>
          </w:tcPr>
          <w:p>
            <w:pPr>
              <w:ind w:left="60"/>
              <w:spacing w:after="0"/>
              <w:rPr>
                <w:sz w:val="20"/>
                <w:szCs w:val="20"/>
                <w:color w:val="auto"/>
              </w:rPr>
            </w:pPr>
            <w:r>
              <w:rPr>
                <w:rFonts w:ascii="Arial" w:cs="Arial" w:eastAsia="Arial" w:hAnsi="Arial"/>
                <w:sz w:val="18"/>
                <w:szCs w:val="18"/>
                <w:color w:val="auto"/>
              </w:rPr>
              <w:t>Total deposits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1,257,217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1,221,503</w:t>
            </w:r>
          </w:p>
        </w:tc>
      </w:tr>
      <w:tr>
        <w:trPr>
          <w:trHeight w:val="223"/>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Accounts and drafts payable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1,067,600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1,050,396</w:t>
            </w:r>
          </w:p>
        </w:tc>
      </w:tr>
      <w:tr>
        <w:trPr>
          <w:trHeight w:val="230"/>
        </w:trPr>
        <w:tc>
          <w:tcPr>
            <w:tcW w:w="8180" w:type="dxa"/>
            <w:vAlign w:val="bottom"/>
            <w:tcBorders>
              <w:bottom w:val="single" w:sz="8" w:color="DBDBDB"/>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41,881</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37,204</w:t>
            </w:r>
          </w:p>
        </w:tc>
      </w:tr>
      <w:tr>
        <w:trPr>
          <w:trHeight w:val="223"/>
        </w:trPr>
        <w:tc>
          <w:tcPr>
            <w:tcW w:w="720" w:type="dxa"/>
            <w:vAlign w:val="bottom"/>
            <w:shd w:val="clear" w:color="auto" w:fill="DBDBDB"/>
          </w:tcPr>
          <w:p>
            <w:pPr>
              <w:spacing w:after="0"/>
              <w:rPr>
                <w:sz w:val="19"/>
                <w:szCs w:val="19"/>
                <w:color w:val="auto"/>
              </w:rPr>
            </w:pPr>
          </w:p>
        </w:tc>
        <w:tc>
          <w:tcPr>
            <w:tcW w:w="7460" w:type="dxa"/>
            <w:vAlign w:val="bottom"/>
            <w:gridSpan w:val="2"/>
            <w:shd w:val="clear" w:color="auto" w:fill="DBDBDB"/>
          </w:tcPr>
          <w:p>
            <w:pPr>
              <w:ind w:left="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2,366,698</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2,309,103</w:t>
            </w:r>
          </w:p>
        </w:tc>
      </w:tr>
      <w:tr>
        <w:trPr>
          <w:trHeight w:val="237"/>
        </w:trPr>
        <w:tc>
          <w:tcPr>
            <w:tcW w:w="7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Preferred stock, par value $0.50 per share; 2,000,000 shares authorized and no shares issued</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180" w:type="dxa"/>
            <w:vAlign w:val="bottom"/>
            <w:gridSpan w:val="3"/>
            <w:shd w:val="clear" w:color="auto" w:fill="DBDBDB"/>
          </w:tcPr>
          <w:p>
            <w:pPr>
              <w:ind w:left="20"/>
              <w:spacing w:after="0" w:line="176" w:lineRule="exact"/>
              <w:rPr>
                <w:sz w:val="20"/>
                <w:szCs w:val="20"/>
                <w:color w:val="auto"/>
              </w:rPr>
            </w:pPr>
            <w:r>
              <w:rPr>
                <w:rFonts w:ascii="Arial" w:cs="Arial" w:eastAsia="Arial" w:hAnsi="Arial"/>
                <w:sz w:val="18"/>
                <w:szCs w:val="18"/>
                <w:color w:val="auto"/>
                <w:w w:val="99"/>
              </w:rPr>
              <w:t>Common stock, par value $0.50 per share; 40,000,000 shares authorized; 15,505,772 shares issued at</w:t>
            </w:r>
          </w:p>
        </w:tc>
        <w:tc>
          <w:tcPr>
            <w:tcW w:w="3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r>
      <w:tr>
        <w:trPr>
          <w:trHeight w:val="188"/>
        </w:trPr>
        <w:tc>
          <w:tcPr>
            <w:tcW w:w="8180" w:type="dxa"/>
            <w:vAlign w:val="bottom"/>
            <w:gridSpan w:val="3"/>
            <w:shd w:val="clear" w:color="auto" w:fill="DBDBDB"/>
          </w:tcPr>
          <w:p>
            <w:pPr>
              <w:ind w:left="180"/>
              <w:spacing w:after="0" w:line="189" w:lineRule="exact"/>
              <w:rPr>
                <w:sz w:val="20"/>
                <w:szCs w:val="20"/>
                <w:color w:val="auto"/>
              </w:rPr>
            </w:pPr>
            <w:r>
              <w:rPr>
                <w:rFonts w:ascii="Arial" w:cs="Arial" w:eastAsia="Arial" w:hAnsi="Arial"/>
                <w:sz w:val="18"/>
                <w:szCs w:val="18"/>
                <w:color w:val="auto"/>
                <w:w w:val="89"/>
              </w:rPr>
              <w:t>December 31, 2022 and 2021; 13,669,656 and 13,734,295 shares outstanding at December 31, 2022 and 2021,</w:t>
            </w:r>
          </w:p>
        </w:tc>
        <w:tc>
          <w:tcPr>
            <w:tcW w:w="34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230"/>
        </w:trPr>
        <w:tc>
          <w:tcPr>
            <w:tcW w:w="8180" w:type="dxa"/>
            <w:vAlign w:val="bottom"/>
            <w:gridSpan w:val="3"/>
            <w:shd w:val="clear" w:color="auto" w:fill="DBDBDB"/>
          </w:tcPr>
          <w:p>
            <w:pPr>
              <w:ind w:left="18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7,753</w:t>
            </w:r>
          </w:p>
        </w:tc>
      </w:tr>
      <w:tr>
        <w:trPr>
          <w:trHeight w:val="230"/>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207,422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204,276</w:t>
            </w:r>
          </w:p>
        </w:tc>
      </w:tr>
      <w:tr>
        <w:trPr>
          <w:trHeight w:val="229"/>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131,682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112,220</w:t>
            </w:r>
          </w:p>
        </w:tc>
      </w:tr>
      <w:tr>
        <w:trPr>
          <w:trHeight w:val="175"/>
        </w:trPr>
        <w:tc>
          <w:tcPr>
            <w:tcW w:w="818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Common shares in treasury, at cost (1,836,116 shares at December 31, 2022 and 1,771,477 shares at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180" w:type="dxa"/>
            <w:vAlign w:val="bottom"/>
            <w:gridSpan w:val="3"/>
          </w:tcPr>
          <w:p>
            <w:pPr>
              <w:ind w:left="180"/>
              <w:spacing w:after="0"/>
              <w:rPr>
                <w:sz w:val="20"/>
                <w:szCs w:val="20"/>
                <w:color w:val="auto"/>
              </w:rPr>
            </w:pPr>
            <w:r>
              <w:rPr>
                <w:rFonts w:ascii="Arial" w:cs="Arial" w:eastAsia="Arial" w:hAnsi="Arial"/>
                <w:sz w:val="18"/>
                <w:szCs w:val="18"/>
                <w:color w:val="auto"/>
              </w:rPr>
              <w:t>December 31, 2021, respectively)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(78,904)</w:t>
            </w:r>
          </w:p>
        </w:tc>
      </w:tr>
      <w:tr>
        <w:trPr>
          <w:trHeight w:val="229"/>
        </w:trPr>
        <w:tc>
          <w:tcPr>
            <w:tcW w:w="81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(59,321)</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w:t>
            </w:r>
          </w:p>
        </w:tc>
      </w:tr>
      <w:tr>
        <w:trPr>
          <w:trHeight w:val="223"/>
        </w:trPr>
        <w:tc>
          <w:tcPr>
            <w:tcW w:w="720" w:type="dxa"/>
            <w:vAlign w:val="bottom"/>
            <w:tcBorders>
              <w:bottom w:val="single" w:sz="8" w:color="DBDBDB"/>
            </w:tcBorders>
          </w:tcPr>
          <w:p>
            <w:pPr>
              <w:spacing w:after="0"/>
              <w:rPr>
                <w:sz w:val="19"/>
                <w:szCs w:val="19"/>
                <w:color w:val="auto"/>
              </w:rPr>
            </w:pPr>
          </w:p>
        </w:tc>
        <w:tc>
          <w:tcPr>
            <w:tcW w:w="7460" w:type="dxa"/>
            <w:vAlign w:val="bottom"/>
            <w:tcBorders>
              <w:bottom w:val="single" w:sz="8" w:color="DBDBDB"/>
            </w:tcBorders>
            <w:gridSpan w:val="2"/>
          </w:tcPr>
          <w:p>
            <w:pPr>
              <w:ind w:left="6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206,325</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245,798</w:t>
            </w:r>
          </w:p>
        </w:tc>
      </w:tr>
      <w:tr>
        <w:trPr>
          <w:trHeight w:val="248"/>
        </w:trPr>
        <w:tc>
          <w:tcPr>
            <w:tcW w:w="720" w:type="dxa"/>
            <w:vAlign w:val="bottom"/>
            <w:tcBorders>
              <w:bottom w:val="single" w:sz="8" w:color="DBDBDB"/>
            </w:tcBorders>
            <w:shd w:val="clear" w:color="auto" w:fill="DBDBDB"/>
          </w:tcPr>
          <w:p>
            <w:pPr>
              <w:spacing w:after="0"/>
              <w:rPr>
                <w:sz w:val="21"/>
                <w:szCs w:val="21"/>
                <w:color w:val="auto"/>
              </w:rPr>
            </w:pPr>
          </w:p>
        </w:tc>
        <w:tc>
          <w:tcPr>
            <w:tcW w:w="7460" w:type="dxa"/>
            <w:vAlign w:val="bottom"/>
            <w:tcBorders>
              <w:bottom w:val="single" w:sz="8" w:color="DBDBDB"/>
            </w:tcBorders>
            <w:gridSpan w:val="2"/>
            <w:shd w:val="clear" w:color="auto" w:fill="DBDBDB"/>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2,573,023</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2,554,901</w:t>
            </w:r>
          </w:p>
        </w:tc>
      </w:tr>
      <w:tr>
        <w:trPr>
          <w:trHeight w:val="20"/>
        </w:trPr>
        <w:tc>
          <w:tcPr>
            <w:tcW w:w="720" w:type="dxa"/>
            <w:vAlign w:val="bottom"/>
            <w:tcBorders>
              <w:top w:val="single" w:sz="8" w:color="DBDBDB"/>
            </w:tcBorders>
          </w:tcPr>
          <w:p>
            <w:pPr>
              <w:spacing w:after="0" w:line="20" w:lineRule="exact"/>
              <w:rPr>
                <w:sz w:val="1"/>
                <w:szCs w:val="1"/>
                <w:color w:val="auto"/>
              </w:rPr>
            </w:pPr>
          </w:p>
        </w:tc>
        <w:tc>
          <w:tcPr>
            <w:tcW w:w="4860" w:type="dxa"/>
            <w:vAlign w:val="bottom"/>
            <w:tcBorders>
              <w:top w:val="single" w:sz="8" w:color="DBDBDB"/>
            </w:tcBorders>
          </w:tcPr>
          <w:p>
            <w:pPr>
              <w:spacing w:after="0" w:line="20" w:lineRule="exact"/>
              <w:rPr>
                <w:sz w:val="1"/>
                <w:szCs w:val="1"/>
                <w:color w:val="auto"/>
              </w:rPr>
            </w:pPr>
          </w:p>
        </w:tc>
        <w:tc>
          <w:tcPr>
            <w:tcW w:w="26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Fee Revenue and Other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Processing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76,470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74,589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74,638</w:t>
            </w:r>
          </w:p>
        </w:tc>
      </w:tr>
      <w:tr>
        <w:trPr>
          <w:trHeight w:val="229"/>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Financial fees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43,757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32,733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23,107</w:t>
            </w:r>
          </w:p>
        </w:tc>
      </w:tr>
      <w:tr>
        <w:trPr>
          <w:trHeight w:val="229"/>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r>
      <w:tr>
        <w:trPr>
          <w:trHeight w:val="223"/>
        </w:trPr>
        <w:tc>
          <w:tcPr>
            <w:tcW w:w="66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Total fee revenue and other income</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124,982</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109,691</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100,441</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Interest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Interest and fees on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37,665</w:t>
            </w:r>
          </w:p>
        </w:tc>
      </w:tr>
      <w:tr>
        <w:trPr>
          <w:trHeight w:val="229"/>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and dividends on securities: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6600" w:type="dxa"/>
            <w:vAlign w:val="bottom"/>
          </w:tcPr>
          <w:p>
            <w:pPr>
              <w:ind w:left="560"/>
              <w:spacing w:after="0"/>
              <w:rPr>
                <w:sz w:val="20"/>
                <w:szCs w:val="20"/>
                <w:color w:val="auto"/>
              </w:rPr>
            </w:pPr>
            <w:r>
              <w:rPr>
                <w:rFonts w:ascii="Arial" w:cs="Arial" w:eastAsia="Arial" w:hAnsi="Arial"/>
                <w:sz w:val="18"/>
                <w:szCs w:val="18"/>
                <w:color w:val="auto"/>
              </w:rPr>
              <w:t>Taxable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30"/>
        </w:trPr>
        <w:tc>
          <w:tcPr>
            <w:tcW w:w="66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Exempt from federal income taxes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7,046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7,104</w:t>
            </w:r>
          </w:p>
        </w:tc>
      </w:tr>
      <w:tr>
        <w:trPr>
          <w:trHeight w:val="229"/>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Interest on federal funds sold and other short-term investments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66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Total interest income</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62,326</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45,497</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47,687</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Interest on deposits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2,360</w:t>
            </w:r>
          </w:p>
        </w:tc>
      </w:tr>
      <w:tr>
        <w:trPr>
          <w:trHeight w:val="230"/>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on short-term borrowings</w:t>
            </w:r>
          </w:p>
        </w:tc>
        <w:tc>
          <w:tcPr>
            <w:tcW w:w="34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600" w:type="dxa"/>
            <w:vAlign w:val="bottom"/>
            <w:tcBorders>
              <w:bottom w:val="single" w:sz="8" w:color="DBDBDB"/>
            </w:tcBorders>
          </w:tcPr>
          <w:p>
            <w:pPr>
              <w:ind w:left="56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DBDBDB"/>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w:t>
            </w:r>
          </w:p>
        </w:tc>
      </w:tr>
      <w:tr>
        <w:trPr>
          <w:trHeight w:val="223"/>
        </w:trPr>
        <w:tc>
          <w:tcPr>
            <w:tcW w:w="6600" w:type="dxa"/>
            <w:vAlign w:val="bottom"/>
            <w:shd w:val="clear" w:color="auto" w:fill="DBDBDB"/>
          </w:tcPr>
          <w:p>
            <w:pPr>
              <w:ind w:left="900"/>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58,844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44,326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45,325</w:t>
            </w:r>
          </w:p>
        </w:tc>
      </w:tr>
      <w:tr>
        <w:trPr>
          <w:trHeight w:val="230"/>
        </w:trPr>
        <w:tc>
          <w:tcPr>
            <w:tcW w:w="6600" w:type="dxa"/>
            <w:vAlign w:val="bottom"/>
            <w:tcBorders>
              <w:bottom w:val="single" w:sz="8" w:color="DBDBDB"/>
            </w:tcBorders>
          </w:tcPr>
          <w:p>
            <w:pPr>
              <w:ind w:left="80"/>
              <w:spacing w:after="0"/>
              <w:rPr>
                <w:sz w:val="20"/>
                <w:szCs w:val="20"/>
                <w:color w:val="auto"/>
              </w:rPr>
            </w:pPr>
            <w:r>
              <w:rPr>
                <w:rFonts w:ascii="Arial" w:cs="Arial" w:eastAsia="Arial" w:hAnsi="Arial"/>
                <w:sz w:val="18"/>
                <w:szCs w:val="18"/>
                <w:color w:val="auto"/>
              </w:rPr>
              <w:t>Provision for (release of) credit losses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r>
      <w:tr>
        <w:trPr>
          <w:trHeight w:val="223"/>
        </w:trPr>
        <w:tc>
          <w:tcPr>
            <w:tcW w:w="6600" w:type="dxa"/>
            <w:vAlign w:val="bottom"/>
            <w:shd w:val="clear" w:color="auto" w:fill="DBDBDB"/>
          </w:tcPr>
          <w:p>
            <w:pPr>
              <w:ind w:left="900"/>
              <w:spacing w:after="0"/>
              <w:rPr>
                <w:sz w:val="20"/>
                <w:szCs w:val="20"/>
                <w:color w:val="auto"/>
              </w:rPr>
            </w:pPr>
            <w:r>
              <w:rPr>
                <w:rFonts w:ascii="Arial" w:cs="Arial" w:eastAsia="Arial" w:hAnsi="Arial"/>
                <w:sz w:val="18"/>
                <w:szCs w:val="18"/>
                <w:color w:val="auto"/>
              </w:rPr>
              <w:t>Net interest income after provision for (release of) credit losses</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57,494</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44,515</w:t>
            </w:r>
          </w:p>
        </w:tc>
      </w:tr>
      <w:tr>
        <w:trPr>
          <w:trHeight w:val="223"/>
        </w:trPr>
        <w:tc>
          <w:tcPr>
            <w:tcW w:w="6600" w:type="dxa"/>
            <w:vAlign w:val="bottom"/>
            <w:tcBorders>
              <w:bottom w:val="single" w:sz="8" w:color="DBDBDB"/>
            </w:tcBorders>
          </w:tcPr>
          <w:p>
            <w:pPr>
              <w:ind w:left="90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182,476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144,956</w:t>
            </w:r>
          </w:p>
        </w:tc>
      </w:tr>
      <w:tr>
        <w:trPr>
          <w:trHeight w:val="250"/>
        </w:trPr>
        <w:tc>
          <w:tcPr>
            <w:tcW w:w="66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Operating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Personnel</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106,474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92,155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88,062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3,739</w:t>
            </w:r>
          </w:p>
        </w:tc>
      </w:tr>
      <w:tr>
        <w:trPr>
          <w:trHeight w:val="230"/>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Equipment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6,668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6,745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6,568</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operating</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22,078</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16,743</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15,387</w:t>
            </w:r>
          </w:p>
        </w:tc>
      </w:tr>
      <w:tr>
        <w:trPr>
          <w:trHeight w:val="223"/>
        </w:trPr>
        <w:tc>
          <w:tcPr>
            <w:tcW w:w="6600" w:type="dxa"/>
            <w:vAlign w:val="bottom"/>
            <w:tcBorders>
              <w:bottom w:val="single" w:sz="8" w:color="DBDBDB"/>
            </w:tcBorders>
          </w:tcPr>
          <w:p>
            <w:pPr>
              <w:ind w:left="560"/>
              <w:spacing w:after="0"/>
              <w:rPr>
                <w:sz w:val="20"/>
                <w:szCs w:val="20"/>
                <w:color w:val="auto"/>
              </w:rPr>
            </w:pPr>
            <w:r>
              <w:rPr>
                <w:rFonts w:ascii="Arial" w:cs="Arial" w:eastAsia="Arial" w:hAnsi="Arial"/>
                <w:sz w:val="18"/>
                <w:szCs w:val="18"/>
                <w:color w:val="auto"/>
              </w:rPr>
              <w:t>Total operating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139,576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120,326</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114,615</w:t>
            </w:r>
          </w:p>
        </w:tc>
      </w:tr>
      <w:tr>
        <w:trPr>
          <w:trHeight w:val="223"/>
        </w:trPr>
        <w:tc>
          <w:tcPr>
            <w:tcW w:w="6600" w:type="dxa"/>
            <w:vAlign w:val="bottom"/>
            <w:shd w:val="clear" w:color="auto" w:fill="DBDBDB"/>
          </w:tcPr>
          <w:p>
            <w:pPr>
              <w:ind w:left="90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33,821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30,341</w:t>
            </w:r>
          </w:p>
        </w:tc>
      </w:tr>
      <w:tr>
        <w:trPr>
          <w:trHeight w:val="230"/>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r>
      <w:tr>
        <w:trPr>
          <w:trHeight w:val="248"/>
        </w:trPr>
        <w:tc>
          <w:tcPr>
            <w:tcW w:w="6600" w:type="dxa"/>
            <w:vAlign w:val="bottom"/>
            <w:tcBorders>
              <w:bottom w:val="single" w:sz="8" w:color="DBDBDB"/>
            </w:tcBorders>
            <w:shd w:val="clear" w:color="auto" w:fill="DBDBDB"/>
          </w:tcPr>
          <w:p>
            <w:pPr>
              <w:ind w:left="90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34,904</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25,176</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34,904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25,176</w:t>
            </w:r>
          </w:p>
        </w:tc>
      </w:tr>
      <w:tr>
        <w:trPr>
          <w:trHeight w:val="229"/>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Net unrealized (loss) gain on securities available-for-sale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6,689</w:t>
            </w:r>
          </w:p>
        </w:tc>
      </w:tr>
      <w:tr>
        <w:trPr>
          <w:trHeight w:val="230"/>
        </w:trPr>
        <w:tc>
          <w:tcPr>
            <w:tcW w:w="660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Tax effect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18,981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(1,592)</w:t>
            </w: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Reclassification adjustments for gains included in net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29"/>
        </w:trPr>
        <w:tc>
          <w:tcPr>
            <w:tcW w:w="660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Tax effect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FASB ASC 715 pension adjustment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12,548</w:t>
            </w:r>
          </w:p>
        </w:tc>
      </w:tr>
      <w:tr>
        <w:trPr>
          <w:trHeight w:val="229"/>
        </w:trPr>
        <w:tc>
          <w:tcPr>
            <w:tcW w:w="660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Tax effect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(2,987)</w:t>
            </w:r>
          </w:p>
        </w:tc>
      </w:tr>
      <w:tr>
        <w:trPr>
          <w:trHeight w:val="230"/>
        </w:trPr>
        <w:tc>
          <w:tcPr>
            <w:tcW w:w="66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6600" w:type="dxa"/>
            <w:vAlign w:val="bottom"/>
            <w:shd w:val="clear" w:color="auto" w:fill="DBDBDB"/>
          </w:tcPr>
          <w:p>
            <w:pPr>
              <w:ind w:left="68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(59,774)</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13,905</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 comprehensive (loss)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39,081</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For the Years Ended December 31,</w:t>
            </w:r>
          </w:p>
        </w:tc>
        <w:tc>
          <w:tcPr>
            <w:tcW w:w="1020" w:type="dxa"/>
            <w:vAlign w:val="bottom"/>
            <w:tcBorders>
              <w:bottom w:val="single" w:sz="8" w:color="auto"/>
            </w:tcBorders>
          </w:tcPr>
          <w:p>
            <w:pPr>
              <w:spacing w:after="0"/>
              <w:rPr>
                <w:sz w:val="18"/>
                <w:szCs w:val="18"/>
                <w:color w:val="auto"/>
              </w:rPr>
            </w:pPr>
          </w:p>
        </w:tc>
      </w:tr>
      <w:tr>
        <w:trPr>
          <w:trHeight w:val="21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34,904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28,604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25,176</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r>
      <w:tr>
        <w:trPr>
          <w:trHeight w:val="213"/>
        </w:trPr>
        <w:tc>
          <w:tcPr>
            <w:tcW w:w="6600" w:type="dxa"/>
            <w:vAlign w:val="bottom"/>
          </w:tcPr>
          <w:p>
            <w:pPr>
              <w:ind w:left="5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19"/>
        </w:trPr>
        <w:tc>
          <w:tcPr>
            <w:tcW w:w="66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Net amortization of premium/discount on investment securities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7,328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5,939</w:t>
            </w:r>
          </w:p>
        </w:tc>
      </w:tr>
      <w:tr>
        <w:trPr>
          <w:trHeight w:val="213"/>
        </w:trPr>
        <w:tc>
          <w:tcPr>
            <w:tcW w:w="6600" w:type="dxa"/>
            <w:vAlign w:val="bottom"/>
          </w:tcPr>
          <w:p>
            <w:pPr>
              <w:ind w:left="56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4,471</w:t>
            </w:r>
          </w:p>
        </w:tc>
      </w:tr>
      <w:tr>
        <w:trPr>
          <w:trHeight w:val="219"/>
        </w:trPr>
        <w:tc>
          <w:tcPr>
            <w:tcW w:w="66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Gains on sales of securities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(1,075)</w:t>
            </w:r>
          </w:p>
        </w:tc>
      </w:tr>
      <w:tr>
        <w:trPr>
          <w:trHeight w:val="213"/>
        </w:trPr>
        <w:tc>
          <w:tcPr>
            <w:tcW w:w="6600" w:type="dxa"/>
            <w:vAlign w:val="bottom"/>
          </w:tcPr>
          <w:p>
            <w:pPr>
              <w:ind w:left="5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2,267</w:t>
            </w:r>
          </w:p>
        </w:tc>
      </w:tr>
      <w:tr>
        <w:trPr>
          <w:trHeight w:val="219"/>
        </w:trPr>
        <w:tc>
          <w:tcPr>
            <w:tcW w:w="66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Provision for (release of) credit losses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810</w:t>
            </w:r>
          </w:p>
        </w:tc>
      </w:tr>
      <w:tr>
        <w:trPr>
          <w:trHeight w:val="213"/>
        </w:trPr>
        <w:tc>
          <w:tcPr>
            <w:tcW w:w="6600" w:type="dxa"/>
            <w:vAlign w:val="bottom"/>
          </w:tcPr>
          <w:p>
            <w:pPr>
              <w:ind w:left="560"/>
              <w:spacing w:after="0"/>
              <w:rPr>
                <w:sz w:val="20"/>
                <w:szCs w:val="20"/>
                <w:color w:val="auto"/>
              </w:rPr>
            </w:pPr>
            <w:r>
              <w:rPr>
                <w:rFonts w:ascii="Arial" w:cs="Arial" w:eastAsia="Arial" w:hAnsi="Arial"/>
                <w:sz w:val="16"/>
                <w:szCs w:val="16"/>
                <w:color w:val="auto"/>
              </w:rPr>
              <w:t>Deferred income tax benefit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219"/>
        </w:trPr>
        <w:tc>
          <w:tcPr>
            <w:tcW w:w="66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Increase in current income tax liability</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1,237</w:t>
            </w:r>
          </w:p>
        </w:tc>
      </w:tr>
      <w:tr>
        <w:trPr>
          <w:trHeight w:val="213"/>
        </w:trPr>
        <w:tc>
          <w:tcPr>
            <w:tcW w:w="6600" w:type="dxa"/>
            <w:vAlign w:val="bottom"/>
          </w:tcPr>
          <w:p>
            <w:pPr>
              <w:ind w:left="560"/>
              <w:spacing w:after="0"/>
              <w:rPr>
                <w:sz w:val="20"/>
                <w:szCs w:val="20"/>
                <w:color w:val="auto"/>
              </w:rPr>
            </w:pPr>
            <w:r>
              <w:rPr>
                <w:rFonts w:ascii="Arial" w:cs="Arial" w:eastAsia="Arial" w:hAnsi="Arial"/>
                <w:sz w:val="16"/>
                <w:szCs w:val="16"/>
                <w:color w:val="auto"/>
              </w:rPr>
              <w:t>(Decrease) increase in pension liability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4,423</w:t>
            </w:r>
          </w:p>
        </w:tc>
      </w:tr>
      <w:tr>
        <w:trPr>
          <w:trHeight w:val="219"/>
        </w:trPr>
        <w:tc>
          <w:tcPr>
            <w:tcW w:w="66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(Increase) decrease in accounts receivable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756</w:t>
            </w:r>
          </w:p>
        </w:tc>
      </w:tr>
      <w:tr>
        <w:trPr>
          <w:trHeight w:val="213"/>
        </w:trPr>
        <w:tc>
          <w:tcPr>
            <w:tcW w:w="660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Other operating activities,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3,792</w:t>
            </w:r>
          </w:p>
        </w:tc>
      </w:tr>
      <w:tr>
        <w:trPr>
          <w:trHeight w:val="213"/>
        </w:trPr>
        <w:tc>
          <w:tcPr>
            <w:tcW w:w="66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51,608</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34,547</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47,781</w:t>
            </w:r>
          </w:p>
        </w:tc>
      </w:tr>
      <w:tr>
        <w:trPr>
          <w:trHeight w:val="34"/>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Proceeds from sales of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63,774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21,943</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maturities of securities available-for-sale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61,209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96,951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63,789</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Purchases of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(494,226)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(20,043)</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increase in loans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(122,326)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(68,664)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(119,183)</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Purchase of bank-owned life insurance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(Increase) decrease in payments in advance of funding</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(96,864)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11,595</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Purchases of premises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(2,001)</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Asset acquisition of TouchPoint</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(4,814)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660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(306,390)</w:t>
            </w:r>
          </w:p>
        </w:tc>
        <w:tc>
          <w:tcPr>
            <w:tcW w:w="100" w:type="dxa"/>
            <w:vAlign w:val="bottom"/>
            <w:tcBorders>
              <w:bottom w:val="single" w:sz="8" w:color="DBDBDB"/>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(528,517)</w:t>
            </w:r>
          </w:p>
        </w:tc>
        <w:tc>
          <w:tcPr>
            <w:tcW w:w="100" w:type="dxa"/>
            <w:vAlign w:val="bottom"/>
            <w:tcBorders>
              <w:bottom w:val="single" w:sz="8" w:color="DBDBDB"/>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(43,900)</w:t>
            </w:r>
          </w:p>
        </w:tc>
      </w:tr>
      <w:tr>
        <w:trPr>
          <w:trHeight w:val="213"/>
        </w:trPr>
        <w:tc>
          <w:tcPr>
            <w:tcW w:w="6600" w:type="dxa"/>
            <w:vAlign w:val="bottom"/>
            <w:tcBorders>
              <w:top w:val="single" w:sz="8" w:color="DBDBDB"/>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340" w:type="dxa"/>
            <w:vAlign w:val="bottom"/>
            <w:tcBorders>
              <w:top w:val="single" w:sz="8" w:color="DBDBDB"/>
            </w:tcBorders>
          </w:tcPr>
          <w:p>
            <w:pPr>
              <w:spacing w:after="0"/>
              <w:rPr>
                <w:sz w:val="18"/>
                <w:szCs w:val="18"/>
                <w:color w:val="auto"/>
              </w:rPr>
            </w:pPr>
          </w:p>
        </w:tc>
        <w:tc>
          <w:tcPr>
            <w:tcW w:w="114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4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increase in noninterest-bearing demand deposits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60,115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89,138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142,413</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(decrease) increase in interest-bearing demand and savings deposits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90,310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166,289</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decrease in time deposits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(6,563)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(8,801)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(14,982)</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(increase) decrease in accounts and drafts receivable from customers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(90,787)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59,404</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increase in accounts and drafts payable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17,204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215,010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151,091</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decrease in short-term borrowings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(18,000)</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dividends paid</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(15,442)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(15,446)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(15,599)</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Purchase of common shares for treasury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(30,997)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(6,825)</w:t>
            </w:r>
          </w:p>
        </w:tc>
      </w:tr>
      <w:tr>
        <w:trPr>
          <w:trHeight w:val="219"/>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financing activities, net</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(1,098)</w:t>
            </w:r>
          </w:p>
        </w:tc>
      </w:tr>
      <w:tr>
        <w:trPr>
          <w:trHeight w:val="206"/>
        </w:trPr>
        <w:tc>
          <w:tcPr>
            <w:tcW w:w="660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(59,204)</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338,370</w:t>
            </w: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462,693</w:t>
            </w:r>
          </w:p>
        </w:tc>
      </w:tr>
      <w:tr>
        <w:trPr>
          <w:trHeight w:val="213"/>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(313,986)</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(155,600)</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466,574</w:t>
            </w:r>
          </w:p>
        </w:tc>
      </w:tr>
      <w:tr>
        <w:trPr>
          <w:trHeight w:val="213"/>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514,928</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670,528</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203,954</w:t>
            </w:r>
          </w:p>
        </w:tc>
      </w:tr>
      <w:tr>
        <w:trPr>
          <w:trHeight w:val="238"/>
        </w:trPr>
        <w:tc>
          <w:tcPr>
            <w:tcW w:w="6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200,942</w:t>
            </w:r>
          </w:p>
        </w:tc>
        <w:tc>
          <w:tcPr>
            <w:tcW w:w="10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514,928</w:t>
            </w:r>
          </w:p>
        </w:tc>
        <w:tc>
          <w:tcPr>
            <w:tcW w:w="10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670,528</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r>
        <w:trPr>
          <w:trHeight w:val="216"/>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Supplemental information:</w:t>
            </w: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r>
      <w:tr>
        <w:trPr>
          <w:trHeight w:val="213"/>
        </w:trPr>
        <w:tc>
          <w:tcPr>
            <w:tcW w:w="6600" w:type="dxa"/>
            <w:vAlign w:val="bottom"/>
          </w:tcPr>
          <w:p>
            <w:pPr>
              <w:ind w:left="560"/>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2,426</w:t>
            </w:r>
          </w:p>
        </w:tc>
      </w:tr>
      <w:tr>
        <w:trPr>
          <w:trHeight w:val="219"/>
        </w:trPr>
        <w:tc>
          <w:tcPr>
            <w:tcW w:w="66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Cash paid for income taxes</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8,396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5,637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4,732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6"/>
                <w:szCs w:val="16"/>
                <w:color w:val="auto"/>
              </w:rPr>
            </w:pPr>
          </w:p>
        </w:tc>
        <w:tc>
          <w:tcPr>
            <w:tcW w:w="1060" w:type="dxa"/>
            <w:vAlign w:val="bottom"/>
            <w:gridSpan w:val="2"/>
          </w:tcPr>
          <w:p>
            <w:pPr>
              <w:ind w:left="60"/>
              <w:spacing w:after="0" w:line="189" w:lineRule="exact"/>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2"/>
              </w:rPr>
              <w:t>Treasury</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8"/>
              </w:rPr>
              <w:t>Comprehensive</w:t>
            </w:r>
          </w:p>
        </w:tc>
        <w:tc>
          <w:tcPr>
            <w:tcW w:w="260" w:type="dxa"/>
            <w:vAlign w:val="bottom"/>
          </w:tcPr>
          <w:p>
            <w:pPr>
              <w:spacing w:after="0"/>
              <w:rPr>
                <w:sz w:val="16"/>
                <w:szCs w:val="16"/>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Income (Loss)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205,397</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90,341</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(45,381)</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(13,920)</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244,190</w:t>
            </w:r>
          </w:p>
        </w:tc>
        <w:tc>
          <w:tcPr>
            <w:tcW w:w="0" w:type="dxa"/>
            <w:vAlign w:val="bottom"/>
          </w:tcPr>
          <w:p>
            <w:pPr>
              <w:spacing w:after="0"/>
              <w:rPr>
                <w:sz w:val="1"/>
                <w:szCs w:val="1"/>
                <w:color w:val="auto"/>
              </w:rPr>
            </w:pPr>
          </w:p>
        </w:tc>
      </w:tr>
      <w:tr>
        <w:trPr>
          <w:trHeight w:val="155"/>
        </w:trPr>
        <w:tc>
          <w:tcPr>
            <w:tcW w:w="3200" w:type="dxa"/>
            <w:vAlign w:val="bottom"/>
          </w:tcPr>
          <w:p>
            <w:pPr>
              <w:ind w:left="20"/>
              <w:spacing w:after="0" w:line="156" w:lineRule="exact"/>
              <w:rPr>
                <w:sz w:val="20"/>
                <w:szCs w:val="20"/>
                <w:color w:val="auto"/>
              </w:rPr>
            </w:pPr>
            <w:r>
              <w:rPr>
                <w:rFonts w:ascii="Arial" w:cs="Arial" w:eastAsia="Arial" w:hAnsi="Arial"/>
                <w:sz w:val="18"/>
                <w:szCs w:val="18"/>
                <w:color w:val="auto"/>
              </w:rPr>
              <w:t>Cumulative effect of accounting change</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(ASU 2016-13), net of tax</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January 1, 2020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205,397</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89,485</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(45,381)</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(13,920)</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243,334</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25,176</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25,176</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Cash dividends ($1.08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176"/>
        </w:trPr>
        <w:tc>
          <w:tcPr>
            <w:tcW w:w="3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Issuance of 72,448 common shares</w:t>
            </w: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w w:val="97"/>
              </w:rPr>
              <w:t>pursuant to stock-based compensation</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plan, net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Purchase of 162,901 common shares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13,905</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204,875</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99,062</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261,160</w:t>
            </w:r>
          </w:p>
        </w:tc>
        <w:tc>
          <w:tcPr>
            <w:tcW w:w="0" w:type="dxa"/>
            <w:vAlign w:val="bottom"/>
          </w:tcPr>
          <w:p>
            <w:pPr>
              <w:spacing w:after="0"/>
              <w:rPr>
                <w:sz w:val="1"/>
                <w:szCs w:val="1"/>
                <w:color w:val="auto"/>
              </w:rPr>
            </w:pPr>
          </w:p>
        </w:tc>
      </w:tr>
      <w:tr>
        <w:trPr>
          <w:trHeight w:val="88"/>
        </w:trPr>
        <w:tc>
          <w:tcPr>
            <w:tcW w:w="32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0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4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dividends ($1.09 per share)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(15,446)</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line="176" w:lineRule="exact"/>
              <w:rPr>
                <w:sz w:val="20"/>
                <w:szCs w:val="20"/>
                <w:color w:val="auto"/>
              </w:rPr>
            </w:pPr>
            <w:r>
              <w:rPr>
                <w:rFonts w:ascii="Arial" w:cs="Arial" w:eastAsia="Arial" w:hAnsi="Arial"/>
                <w:sz w:val="18"/>
                <w:szCs w:val="18"/>
                <w:color w:val="auto"/>
              </w:rPr>
              <w:t>Issuance of 85,056 common shares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80"/>
              <w:spacing w:after="0" w:line="189" w:lineRule="exact"/>
              <w:rPr>
                <w:sz w:val="20"/>
                <w:szCs w:val="20"/>
                <w:color w:val="auto"/>
              </w:rPr>
            </w:pPr>
            <w:r>
              <w:rPr>
                <w:rFonts w:ascii="Arial" w:cs="Arial" w:eastAsia="Arial" w:hAnsi="Arial"/>
                <w:sz w:val="18"/>
                <w:szCs w:val="18"/>
                <w:color w:val="auto"/>
                <w:w w:val="97"/>
              </w:rPr>
              <w:t>pursuant to stock-based compensation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plan,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Purchase of 713,857 common shares</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(30,997)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(30,997)</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204,276</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112,220</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(78,904)</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245,798</w:t>
            </w: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34,904</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34,904</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Cash dividends ($1.13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(15,442)</w:t>
            </w:r>
          </w:p>
        </w:tc>
        <w:tc>
          <w:tcPr>
            <w:tcW w:w="0" w:type="dxa"/>
            <w:vAlign w:val="bottom"/>
          </w:tcPr>
          <w:p>
            <w:pPr>
              <w:spacing w:after="0"/>
              <w:rPr>
                <w:sz w:val="1"/>
                <w:szCs w:val="1"/>
                <w:color w:val="auto"/>
              </w:rPr>
            </w:pPr>
          </w:p>
        </w:tc>
      </w:tr>
      <w:tr>
        <w:trPr>
          <w:trHeight w:val="175"/>
        </w:trPr>
        <w:tc>
          <w:tcPr>
            <w:tcW w:w="3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Issuance of 82,172 common shares</w:t>
            </w: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w w:val="97"/>
              </w:rPr>
              <w:t>pursuant to stock-based compensation</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plan, net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Purchase of 130,374 common shares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(59,774)</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(59,774)</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206,325</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Summary of Operations </w:t>
      </w:r>
      <w:r>
        <w:rPr>
          <w:rFonts w:ascii="Arial" w:cs="Arial" w:eastAsia="Arial" w:hAnsi="Arial"/>
          <w:sz w:val="17"/>
          <w:szCs w:val="17"/>
          <w:color w:val="auto"/>
        </w:rPr>
        <w:t>The Company provides payment and information services, which include processing and payment of transportation, energy,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telecommunications and environmental invoices. These services include the acquisition and management of data, information delivery and financial exchange. The consolidated balance sheet captions, “Accounts and drafts payable” and “Payments in advance of funding,” represent the Company’s resulting financial position related to the payment services that are performed for customers. The Company also provides a full range of banking services to individual, corporate and institutional customers through the Bank, its wholly owned bank subsidiary.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accounting and reporting policies of the Company and its subsidiaries conform to U.S. GAAP. The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include the accounts of the Company and its wholly owned subsidiaries after elimination of intercompany transactions. Certain amounts in the 2021 and 2020 consolidated financial statements have been reclassified to conform to the 2022 presentation. Such reclassifications have no effect on previously reported net income or shareholders’ equity.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In preparing the consolidated financial statements, Company management is required to make estimates and assumptions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affect the reported amounts in the consolidated financial statements.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For purposes of the consolidated statements of cash flows, the Company considers cash and due from banks, interest-bearing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deposits in other financial institutions, and federal funds sold and other short-term investments to be cash and cash equivalents.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Investment in Debt Securities </w:t>
      </w:r>
      <w:r>
        <w:rPr>
          <w:rFonts w:ascii="Arial" w:cs="Arial" w:eastAsia="Arial" w:hAnsi="Arial"/>
          <w:sz w:val="18"/>
          <w:szCs w:val="18"/>
          <w:color w:val="auto"/>
        </w:rPr>
        <w:t>The Company classifies its investment securities as available-for-sale. Securities classified as available-for-sale are carried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fair value. Unrealized gains and losses, net of the related tax effect, are excluded from earnings and reported in accumulated other comprehensive income, a component of shareholders’ equity. Securities are periodically evaluated for credit losses in accordance with the guidance provided in FASB ASC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("ASC 326").</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available for sale investment securities in an unrealized loss position, the entire loss in fair value is required to be recognized in current earnings if the Company intends to sell the securities or believes it likely that it will be required to sell the security before the anticipated recovery. If neither condition is met, and the Company does not expect to recover the amortized cost basis, the Company determines whether the decline in fair value resulted from credit losses or other factors. If the assessment indicates that a credit loss exists, the present value of cash flows expected to be collected is compared to the amortized cost basis of the security. If the present value of cash flows expected to be collected is less than the amortized cost basis, a credit loss has occurred, and an allowance for credit losses is recorded. The allowance for credit losses is limited by the amount that the fair value is less than the amortized cost basis. Any impairment not recorded through the provision for credit losses would be recognized in other comprehensive income.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allowance for credit losses would be recorded as a provision for credit losses on the consolidated statements of income. Losses would be charged against the allowance for credit losses on securities when management believes the uncollectibility of an available-for-sale security is confirmed or when either of the conditions regarding intent or requirement to sell is met.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Premiums and discounts are amortized or accreted to interest income over the expected lives of the respective securities using the level-yield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is recognized when earned. Gains and losses are calculated using the specific identification method.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Interest on loans is recognized based upon the principal amounts outstanding. It is the Company’s policy to discontinue the accrual of interest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Allowance for Credit Losses </w:t>
      </w:r>
      <w:r>
        <w:rPr>
          <w:rFonts w:ascii="Arial" w:cs="Arial" w:eastAsia="Arial" w:hAnsi="Arial"/>
          <w:sz w:val="18"/>
          <w:szCs w:val="18"/>
          <w:color w:val="auto"/>
        </w:rPr>
        <w:t>The ACL is increased by provisions charged to expense and is available to absorb charge-offs, net of recoveries.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utilizes a systematic, documented approach in determining the appropriate level of the ACL. Management’s approach provides for estimated current expected credit losses on loans in accordance with ASC 326. These estimates are based upon a number of factors, such as payment history, financial condition of the borrower, expected future cash flows and collateral exposure.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ACL is a valuation account that is deducted from the amortized cost basis to present the net amount expected to be collected on the loans. Loans are charged off against the ACL when management believes the uncollectibility of a loan balance is confirmed. Expected recoveries for amounts previously charged off and expected to be charged off do not exceed the aggregate of amounts previously charged off and expected to be charged off.</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estimated the allowance balance using relevant available information from internal and external sources, relating to past events, current conditions and reasonable and supportable forecasts based on economic factors, such as GDP. Historical credit loss experience, of both the Company and similar peer banks, provides the basis for the estimation of expected credit losses. Adjustments to historical loss information are made for concentration risk, asset quality trends, borrower’s ability to pay, collateral, and other environmental factors. It is difficult to estimate how potential changes in any one economic factor or input might affect the overall ACL because a wide variety of factors and inputs are considered in estimating the allowance and changes in those factors and inputs considered may not occur at the same rate and may not be consistent across all loan types. Additionally, changes in factors and inputs may be directionally inconsistent, such that improvement in one factor may offset deterioration in others. The ACL is measured on a collective pool basis when similar risk characteristics exist. Management believes the ACL is adequate to absorb expected losses in the loan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following portfolio segments: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Commercial &amp; Industrial (“C&amp;I”) </w:t>
      </w:r>
      <w:r>
        <w:rPr>
          <w:rFonts w:ascii="Arial" w:cs="Arial" w:eastAsia="Arial" w:hAnsi="Arial"/>
          <w:sz w:val="17"/>
          <w:szCs w:val="17"/>
          <w:color w:val="auto"/>
        </w:rPr>
        <w:t>– C&amp;I loans consist of loans to small and medium-sized businesses in a wide variety of industries, franchise lending,</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financing to companies of all sizes. These loans are generally collateralized by inventory, accounts receivable, equipment, and other commercial assets, and may be supported by other credit enhancements such as personal guarantees. Risk arises primarily due to a difference between expected and actual cash flows of the borrower. However, the recoverability of these loans is also dependent on other factors primarily dictated by the type of collateral securing these loans. The fair value of the collateral securing these loans may fluctuate as market conditions change. Included within C&amp;I are revolving loans supported by borrowing bases that fluctuate depending on the amount of underlying collateral.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Real Estate (“CRE”) </w:t>
      </w:r>
      <w:r>
        <w:rPr>
          <w:rFonts w:ascii="Arial" w:cs="Arial" w:eastAsia="Arial" w:hAnsi="Arial"/>
          <w:sz w:val="18"/>
          <w:szCs w:val="18"/>
          <w:color w:val="auto"/>
        </w:rPr>
        <w:t>– CRE loans include various types of loans for which the Company holds real property as collateral. Commercial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lending activity is typically restricted to owner-occupied properties or to investor properties that are owned by customers with a current banking relationship. The primary risks of CRE loans include the borrower’s inability to pay and material decreases in the value of the real estate being held as collateral.</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Faith-based CRE </w:t>
      </w:r>
      <w:r>
        <w:rPr>
          <w:rFonts w:ascii="Arial" w:cs="Arial" w:eastAsia="Arial" w:hAnsi="Arial"/>
          <w:sz w:val="16"/>
          <w:szCs w:val="16"/>
          <w:color w:val="auto"/>
        </w:rPr>
        <w:t>– Faith-based CRE loans include loans to faith-based ministries for which the Company holds real property as collateral. The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risks of faith-based CRE loans include the borrower’s inability to pay and material decreases in the value of the real estate being held as collateral.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Construction and Land Development </w:t>
      </w:r>
      <w:r>
        <w:rPr>
          <w:rFonts w:ascii="Arial" w:cs="Arial" w:eastAsia="Arial" w:hAnsi="Arial"/>
          <w:sz w:val="18"/>
          <w:szCs w:val="18"/>
          <w:color w:val="auto"/>
        </w:rPr>
        <w:t>– The Company originates loans to finance construction projects including faith-based and commercial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loans are generally collateralized by first liens on the real estate and have floating interest rates. The primary risks of construction loans are construction completion and timing risk. Adverse economic conditions may negatively impact the borrowers’ ability to complete the project. Additionally, the fair value of the underlying collateral may fluctuate as market conditions change.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ACL is calculated as the difference between the amortized cost basis of the loan portfolio and the projections from the weighted-average remaining maturity ("WARM") model that the Company developed. The WARM model utilizes an attrition analysis, including events such as payoffs, matured loans, and renewals in the borrowers’ control, to anticipate the length of time it would take for each portfolio segment to runoff. Management incorporates a one-year GDP forecast and an immediate reversion to peer historical loss rates to determine the annual charge off rates over the estimated life of the loans. After the reasonable and supportable forecast period, the model reverts to long-run historical average loss rates of its peers. However, for the faith-based CRE ACL, beyond the reasonable and supportable forecast period, loss rates are reverted immediately to the Company’s long-run historical averages, as this represents a unique loan segment to the peer portfolios. The economic forecast is based on management’s assessment of the length and pattern of the current economic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cycle. The resulting annual charge off rate determined for each year in the WARM model is applied to the loan balances estimated in the attrition analysis.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accounts for the inherent uncertainty of the underlying economic forecast by reviewing forecast scenarios. Additionally, the ACL calculation includes subjective adjustments for qualitative risk factors that are likely to cause estimated credit losses to differ from historical experience. These qualitative adjustments may increase or reduce reserve levels and include adjustments for lending management experience and risk tolerance, value of underlying collateral, loan review and audit results, asset quality and portfolio trends, loan portfolio growth and loan concentrations. The Company has elected to exclude accrued interest receivable ("AIR") from the allowance for credit losses calculation. When a loan is placed on non-accrual, any recorded AIR is reversed against interest income.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ACL is decreased by net charge-offs and is increased by provisions for credit losses that are charged to the consolidated statements of operations. Charge-offs, if any, are typically measured for each loan based on a thorough analysis of the most probable source of repayment, such as the present value of the loan’s expected future cash flows, the loan’s estimated fair value, or the estimated fair value of the underlying collateral less costs of disposition for collateral-dependent loans. When it is determined that specific loans, or portions thereof, are uncollectible, these amounts are charged off against the ACL.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loan commitments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ACL for funded loans, the Company maintains reserves to cover the risk of loss associated with off-balance sheet unfunded loan commitments. The allowance for off-balance sheet credit losses is maintained within other liabilities in the statements of financial condition. Under the CECL framework, adjustments to this liability are recorded as provision for credit losses in the consolidated statements of operations. Unfunded loan commitment balances are evaluated by loan segment. In order to establish the required level of reserve, the Company applies average historical utilization rates and ACL loan model loss rates for each loan segment to the outstanding unfunded commitment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 If either of the above criteria is not met, the Company will evaluate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is compared to the amortized cost basis of the security and any excess is recorded as an allowance for credit loss. For U.S. agency-backed securities where the risk of nonpayment of the amortized cost basis is zero, the Company will not measure expected credit losses on these securities. When the loss is not considered a result of credit loss, the cost basis of the security is written down to fair value, with the loss charge recognized in AOCI. Credit losses are not estimated for AIR from investment securities as interest deemed uncollectible is written off through interest income.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Individually Evaluated Loans </w:t>
      </w:r>
      <w:r>
        <w:rPr>
          <w:rFonts w:ascii="Arial" w:cs="Arial" w:eastAsia="Arial" w:hAnsi="Arial"/>
          <w:sz w:val="16"/>
          <w:szCs w:val="16"/>
          <w:color w:val="auto"/>
        </w:rPr>
        <w:t>A loan is considered individually evaluated when it is probable that a creditor will be unable to collect all amounts due, both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 and interest, according to the contractual terms of the loan agreement. Individually evaluated loans are generally measured based on the expected future cash flows and discounted at the loan's effective interest rate. Alternatively, reference to an observable market price could be used to individually evaluate loans, if one exists, or the fair value of the collateral for a collateral-dependent loan. Regardless of the historical measurement method used, the Company measures individually evaluated loans based on the fair value of the collateral when the Company determines foreclosure is probable. Additionally, troubled debt restructurings are measured by discounting the total expected future cash flows at the loan's effective rate of interest as stated in the original loan agreement. The Company uses its methods as discussed above for recognizing interest on individually evaluated loans.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Foreclosed Assets </w:t>
      </w:r>
      <w:r>
        <w:rPr>
          <w:rFonts w:ascii="Arial" w:cs="Arial" w:eastAsia="Arial" w:hAnsi="Arial"/>
          <w:sz w:val="16"/>
          <w:szCs w:val="16"/>
          <w:color w:val="auto"/>
        </w:rPr>
        <w:t>Real estate acquired as a result of foreclosure is initially recorded at fair value less estimated selling costs. Fair value is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through the receipt of appraisals. Any write down to fair value at the time the property is acquired is recorded as a charge-off to the allowance for credit losses. Any decline in the fair value of the property subsequent to acquisition is recorded as a charge to non-interest expense.</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Premises and Equipment </w:t>
      </w:r>
      <w:r>
        <w:rPr>
          <w:rFonts w:ascii="Arial" w:cs="Arial" w:eastAsia="Arial" w:hAnsi="Arial"/>
          <w:sz w:val="17"/>
          <w:szCs w:val="17"/>
          <w:color w:val="auto"/>
        </w:rPr>
        <w:t>Premises and equipment are stated at cost less accumulated depreciation and amortization. Depreciation is computed over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Cost in excess of fair value of net assets acquired has resulted from business acquisitions. Goodwill and intangible assets with indefinite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useful lives are not amortized, but instead are tested for impairment at least annually. Intangible assets with definite useful lives are amortized on a straight-line basis over their respective estimated useful lives.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Periodically, the Company reviews intangible assets for events or changes in circumstances that may indicate that the carrying amount of the assets may not be recoverable. Based on those reviews, adjustments of recorded amounts have not been required.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Non-marketable Equity Investments </w:t>
      </w:r>
      <w:r>
        <w:rPr>
          <w:rFonts w:ascii="Arial" w:cs="Arial" w:eastAsia="Arial" w:hAnsi="Arial"/>
          <w:sz w:val="18"/>
          <w:szCs w:val="18"/>
          <w:color w:val="auto"/>
        </w:rPr>
        <w:t>The Company accounts for non-marketable equity investments, in which it holds less than a 20% ownership,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investments without readily determinable fair values. As a result, the carrying value of the investment is determined under the measurement alternative of cost, less impairment (if any), adjusted for fair value changes when observable prices are available. The Company periodically evaluates for impairment of these investments. In performing this evaluation, the Company considers various factors including the investee's financial condition, results of operations, operating trends and other financial ratios. Non-marketable equity investments are included in other assets on the consolidated balance sheets.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Treasury Stock </w:t>
      </w:r>
      <w:r>
        <w:rPr>
          <w:rFonts w:ascii="Arial" w:cs="Arial" w:eastAsia="Arial" w:hAnsi="Arial"/>
          <w:sz w:val="18"/>
          <w:szCs w:val="18"/>
          <w:color w:val="auto"/>
        </w:rPr>
        <w:t>Purchases of the Company’s common stock are recorded at cost. Upon reissuance, treasury stock is reduced based upon the average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of shares held.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Comprehensive income consists of net income, changes in net unrealized gains (losses) on available-for-sale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liability adjustments and is presented in the accompanying consolidated statements of shareholders' equity and consolidated statements of comprehensive income.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Processing Fees </w:t>
      </w:r>
      <w:r>
        <w:rPr>
          <w:rFonts w:ascii="Arial" w:cs="Arial" w:eastAsia="Arial" w:hAnsi="Arial"/>
          <w:sz w:val="18"/>
          <w:szCs w:val="18"/>
          <w:color w:val="auto"/>
        </w:rPr>
        <w:t>A majority of the Company’s fee revenue is attributable to providing services related to processing and payment of invoices.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include invoice processing, transportation invoice rating, payment processing and services,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Financial fees </w:t>
      </w:r>
      <w:r>
        <w:rPr>
          <w:rFonts w:ascii="Arial" w:cs="Arial" w:eastAsia="Arial" w:hAnsi="Arial"/>
          <w:sz w:val="18"/>
          <w:szCs w:val="18"/>
          <w:color w:val="auto"/>
        </w:rPr>
        <w:t>The Company earns fees on a transaction level basis for invoice payment services when making customer payments. Fees are recognized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point in time when the payment transactions are made, which is when the performance obligation is satisfied.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Deferred tax assets and liabilities are recognized for the estimated future tax consequences attributable to differences between the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carrying amounts of existing assets and liabilities and their respective tax bases.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 Company and its subsidiaries file U.S. federal and certain state income tax returns on a consolidated basis. In addition, certain state jurisdictions are filed on a separate company basis by the Company or its subsidiaries.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earnings per share is computed by dividing net income by the weighted average number of common shares outstanding.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is computed by dividing net income by the sum of the weighted average number of common shares outstanding and the weighted average number of potential common shares outstanding.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follows FASB ASC 718,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Stock Options and Other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718”),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requires that all stock-based compensation be recognized as an expense in the financial statements and that such cost be measured at the fair value of the award. ASC 718 also requires that excess tax benefits related to stock option exercises and restricted stock awards be reflected as financing cash inflows instead of operating cash inflows.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Pension Plans </w:t>
      </w:r>
      <w:r>
        <w:rPr>
          <w:rFonts w:ascii="Arial" w:cs="Arial" w:eastAsia="Arial" w:hAnsi="Arial"/>
          <w:sz w:val="16"/>
          <w:szCs w:val="16"/>
          <w:color w:val="auto"/>
        </w:rPr>
        <w:t>The amounts recognized in the consolidated financial statements related to pension are determined from actuarial valuations. Inherent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these valuations are assumptions including expected return on plan assets, discount rates at which the liabilities could be settled at December 31, 2022, rate of increase in mortality rates. These assumptions are updated annually and are disclosed in Note 10. The Company follows FASB ASC 715, </w:t>
      </w:r>
      <w:r>
        <w:rPr>
          <w:rFonts w:ascii="Arial" w:cs="Arial" w:eastAsia="Arial" w:hAnsi="Arial"/>
          <w:sz w:val="16"/>
          <w:szCs w:val="16"/>
          <w:i w:val="1"/>
          <w:iCs w:val="1"/>
          <w:color w:val="auto"/>
        </w:rPr>
        <w:t>Compensation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 Retirement Benefits </w:t>
      </w:r>
      <w:r>
        <w:rPr>
          <w:rFonts w:ascii="Arial" w:cs="Arial" w:eastAsia="Arial" w:hAnsi="Arial"/>
          <w:sz w:val="18"/>
          <w:szCs w:val="18"/>
          <w:color w:val="auto"/>
        </w:rPr>
        <w:t>(“ASC 715”), which requires companies to recognize the overfunded or underfunded status of a defined benefit postretirement plan</w:t>
      </w:r>
      <w:r>
        <w:rPr>
          <w:rFonts w:ascii="Arial" w:cs="Arial" w:eastAsia="Arial" w:hAnsi="Arial"/>
          <w:sz w:val="18"/>
          <w:szCs w:val="18"/>
          <w:i w:val="1"/>
          <w:iCs w:val="1"/>
          <w:color w:val="auto"/>
        </w:rPr>
        <w:t xml:space="preserve"> </w:t>
      </w:r>
      <w:r>
        <w:rPr>
          <w:rFonts w:ascii="Arial" w:cs="Arial" w:eastAsia="Arial" w:hAnsi="Arial"/>
          <w:sz w:val="18"/>
          <w:szCs w:val="18"/>
          <w:color w:val="auto"/>
        </w:rPr>
        <w:t>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Company follows the provisions of FASB ASC 820,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defines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Additionally, the Company records individually evaluated credits and other real estate owned at their fair value on a nonrecurring basis. The nonrecurring fair value adjustments typically involve application of lower-of-cost-or-market accounting or impairment write-downs of individual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2022, the FASB issued 2022-02, </w:t>
      </w:r>
      <w:r>
        <w:rPr>
          <w:rFonts w:ascii="Arial" w:cs="Arial" w:eastAsia="Arial" w:hAnsi="Arial"/>
          <w:sz w:val="18"/>
          <w:szCs w:val="18"/>
          <w:i w:val="1"/>
          <w:iCs w:val="1"/>
          <w:color w:val="auto"/>
        </w:rPr>
        <w:t>Financial Instruments – Credit Losses (Topic 326): Troubled Debt Restructurings and Vintage Disclosures</w:t>
      </w:r>
      <w:r>
        <w:rPr>
          <w:rFonts w:ascii="Arial" w:cs="Arial" w:eastAsia="Arial" w:hAnsi="Arial"/>
          <w:sz w:val="18"/>
          <w:szCs w:val="18"/>
          <w:color w:val="auto"/>
        </w:rPr>
        <w:t xml:space="preserve"> ("ASU 2022-02"). This ASU eliminates the accounting guidance for troubled debt restructurings by creditors that have adopted the CECL methodology for estimating allowances for credit losses and enhances the disclosure requirements for loan restructurings made with borrowers experiencing financial difficulty. In addition, the amendments require a public business entity to disclose current period gross charge-offs for financing receivables and net investment in leases by year of origination in the vintage disclosures. ASU 2022-02 is effective for fiscal years beginning after December 15, 2022, including interim periods within those fiscal years. The Company does not expect implementation of this ASU to have a material impact on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Regulatory Restrictions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result in certain mandatory, and possibly additional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discretionary actions by regulators that, if undertaken, could have a direct material effect on the Company’s consolidated financial statements. Under capital adequacy guidelines, the Company and the Bank must meet specific capital guidelines 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2022 and 2021, the Company and the Bank met all capital adequacy requirements to which they are subject.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also subject to the regulatory framework for prompt corrective action. As of December 31, 2022,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2022, unappropriated retained earnings of $29.2 million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restricted funds on deposit used to meet regulatory reserve requirements at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actual and required capital amounts and ratios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8"/>
              </w:rPr>
              <w:t>Requirement to be</w:t>
            </w:r>
          </w:p>
        </w:tc>
      </w:tr>
      <w:tr>
        <w:trPr>
          <w:trHeight w:val="243"/>
        </w:trPr>
        <w:tc>
          <w:tcPr>
            <w:tcW w:w="37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w w:val="89"/>
              </w:rPr>
              <w:t>Requirements</w:t>
            </w: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7"/>
              </w:rPr>
              <w:t>Well-Capitalized</w:t>
            </w:r>
          </w:p>
        </w:tc>
      </w:tr>
      <w:tr>
        <w:trPr>
          <w:trHeight w:val="22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Amount</w:t>
            </w: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Ratio</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Amount</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Ratio</w:t>
            </w:r>
          </w:p>
        </w:tc>
        <w:tc>
          <w:tcPr>
            <w:tcW w:w="12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r>
      <w:tr>
        <w:trPr>
          <w:trHeight w:val="22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At December 31, 2022</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257,313</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13.52 %</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152,306</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8.00 %</w:t>
            </w: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 %</w:t>
            </w: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186,075</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93,044</w:t>
            </w:r>
          </w:p>
        </w:tc>
        <w:tc>
          <w:tcPr>
            <w:tcW w:w="1060" w:type="dxa"/>
            <w:vAlign w:val="bottom"/>
          </w:tcPr>
          <w:p>
            <w:pPr>
              <w:ind w:left="36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89"/>
              </w:rPr>
              <w:t>116,305</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176"/>
        </w:trPr>
        <w:tc>
          <w:tcPr>
            <w:tcW w:w="37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Common Equity Tier I Capital (to risk-weighted</w:t>
            </w:r>
          </w:p>
        </w:tc>
        <w:tc>
          <w:tcPr>
            <w:tcW w:w="1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r>
      <w:tr>
        <w:trPr>
          <w:trHeight w:val="243"/>
        </w:trPr>
        <w:tc>
          <w:tcPr>
            <w:tcW w:w="37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243,774</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85,672</w:t>
            </w:r>
          </w:p>
        </w:tc>
        <w:tc>
          <w:tcPr>
            <w:tcW w:w="1060" w:type="dxa"/>
            <w:vAlign w:val="bottom"/>
          </w:tcPr>
          <w:p>
            <w:pPr>
              <w:ind w:left="36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172,848</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52,337</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75,598</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243,774</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12.80</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114,229</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172,848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14.86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69,783</w:t>
            </w:r>
          </w:p>
        </w:tc>
        <w:tc>
          <w:tcPr>
            <w:tcW w:w="1060" w:type="dxa"/>
            <w:vAlign w:val="bottom"/>
          </w:tcPr>
          <w:p>
            <w:pPr>
              <w:ind w:left="3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93,044</w:t>
            </w:r>
          </w:p>
        </w:tc>
        <w:tc>
          <w:tcPr>
            <w:tcW w:w="10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243,774</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102,386</w:t>
            </w:r>
          </w:p>
        </w:tc>
        <w:tc>
          <w:tcPr>
            <w:tcW w:w="1060" w:type="dxa"/>
            <w:vAlign w:val="bottom"/>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rPr>
              <w:t>172,848</w:t>
            </w:r>
          </w:p>
        </w:tc>
        <w:tc>
          <w:tcPr>
            <w:tcW w:w="9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10.77</w:t>
            </w:r>
          </w:p>
        </w:tc>
        <w:tc>
          <w:tcPr>
            <w:tcW w:w="22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rPr>
              <w:t>64,196</w:t>
            </w:r>
          </w:p>
        </w:tc>
        <w:tc>
          <w:tcPr>
            <w:tcW w:w="10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80,245</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At December 31, 2021</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240,265</w:t>
            </w:r>
          </w:p>
        </w:tc>
        <w:tc>
          <w:tcPr>
            <w:tcW w:w="960" w:type="dxa"/>
            <w:vAlign w:val="bottom"/>
          </w:tcPr>
          <w:p>
            <w:pPr>
              <w:jc w:val="right"/>
              <w:spacing w:after="0"/>
              <w:rPr>
                <w:sz w:val="20"/>
                <w:szCs w:val="20"/>
                <w:color w:val="auto"/>
              </w:rPr>
            </w:pPr>
            <w:r>
              <w:rPr>
                <w:rFonts w:ascii="Arial" w:cs="Arial" w:eastAsia="Arial" w:hAnsi="Arial"/>
                <w:sz w:val="18"/>
                <w:szCs w:val="18"/>
                <w:color w:val="auto"/>
              </w:rPr>
              <w:t>14.86 %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129,339</w:t>
            </w:r>
          </w:p>
        </w:tc>
        <w:tc>
          <w:tcPr>
            <w:tcW w:w="1060" w:type="dxa"/>
            <w:vAlign w:val="bottom"/>
          </w:tcPr>
          <w:p>
            <w:pPr>
              <w:ind w:left="360"/>
              <w:spacing w:after="0"/>
              <w:rPr>
                <w:sz w:val="20"/>
                <w:szCs w:val="20"/>
                <w:color w:val="auto"/>
              </w:rPr>
            </w:pPr>
            <w:r>
              <w:rPr>
                <w:rFonts w:ascii="Arial" w:cs="Arial" w:eastAsia="Arial" w:hAnsi="Arial"/>
                <w:sz w:val="18"/>
                <w:szCs w:val="18"/>
                <w:color w:val="auto"/>
              </w:rPr>
              <w:t>8.00 %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 %</w:t>
            </w:r>
          </w:p>
        </w:tc>
      </w:tr>
      <w:tr>
        <w:trPr>
          <w:trHeight w:val="229"/>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174,614</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17.21</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81,163</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8.00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89"/>
              </w:rPr>
              <w:t>101,454</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Common Equity Tier I Capital (to risk-weighted</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6"/>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228,224</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14.11</w:t>
            </w:r>
          </w:p>
        </w:tc>
        <w:tc>
          <w:tcPr>
            <w:tcW w:w="220" w:type="dxa"/>
            <w:vAlign w:val="bottom"/>
            <w:shd w:val="clear" w:color="auto" w:fill="DBDBDB"/>
          </w:tcPr>
          <w:p>
            <w:pPr>
              <w:spacing w:after="0"/>
              <w:rPr>
                <w:sz w:val="20"/>
                <w:szCs w:val="20"/>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72,764</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DBDBDB"/>
          </w:tcPr>
          <w:p>
            <w:pPr>
              <w:spacing w:after="0"/>
              <w:rPr>
                <w:sz w:val="20"/>
                <w:szCs w:val="20"/>
                <w:color w:val="auto"/>
              </w:rPr>
            </w:pP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163,030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16.07</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45,654</w:t>
            </w:r>
          </w:p>
        </w:tc>
        <w:tc>
          <w:tcPr>
            <w:tcW w:w="1060" w:type="dxa"/>
            <w:vAlign w:val="bottom"/>
          </w:tcPr>
          <w:p>
            <w:pPr>
              <w:ind w:left="36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65,945</w:t>
            </w: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Tier I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228,224</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14.11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97,019</w:t>
            </w:r>
          </w:p>
        </w:tc>
        <w:tc>
          <w:tcPr>
            <w:tcW w:w="1060" w:type="dxa"/>
            <w:vAlign w:val="bottom"/>
          </w:tcPr>
          <w:p>
            <w:pPr>
              <w:ind w:left="3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163,030</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16.07</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60,872</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81,163</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228,224</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99,163</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163,030</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11.05</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59,036</w:t>
            </w: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73,795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at December 31, 2022 and 2021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measured at fair value on a recurring basis. The amortized cost, gross unrealized gains, gross unrealized losses and fair value of debt and equity securities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600" w:type="dxa"/>
            <w:vAlign w:val="bottom"/>
          </w:tcPr>
          <w:p>
            <w:pPr>
              <w:spacing w:after="0"/>
              <w:rPr>
                <w:sz w:val="14"/>
                <w:szCs w:val="14"/>
                <w:color w:val="auto"/>
              </w:rPr>
            </w:pPr>
          </w:p>
        </w:tc>
        <w:tc>
          <w:tcPr>
            <w:tcW w:w="1080" w:type="dxa"/>
            <w:vAlign w:val="bottom"/>
            <w:gridSpan w:val="2"/>
          </w:tcPr>
          <w:p>
            <w:pPr>
              <w:jc w:val="center"/>
              <w:ind w:right="430"/>
              <w:spacing w:after="0" w:line="169" w:lineRule="exact"/>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430"/>
              <w:spacing w:after="0" w:line="169"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5"/>
                <w:szCs w:val="15"/>
                <w:color w:val="auto"/>
              </w:rPr>
            </w:pPr>
          </w:p>
        </w:tc>
        <w:tc>
          <w:tcPr>
            <w:tcW w:w="1220" w:type="dxa"/>
            <w:vAlign w:val="bottom"/>
            <w:gridSpan w:val="2"/>
          </w:tcPr>
          <w:p>
            <w:pPr>
              <w:jc w:val="center"/>
              <w:ind w:right="21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8"/>
              </w:rPr>
              <w:t>317,376</w:t>
            </w:r>
          </w:p>
        </w:tc>
        <w:tc>
          <w:tcPr>
            <w:tcW w:w="6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(22,304)</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295,126</w:t>
            </w:r>
          </w:p>
        </w:tc>
        <w:tc>
          <w:tcPr>
            <w:tcW w:w="0" w:type="dxa"/>
            <w:vAlign w:val="bottom"/>
          </w:tcPr>
          <w:p>
            <w:pPr>
              <w:spacing w:after="0"/>
              <w:rPr>
                <w:sz w:val="1"/>
                <w:szCs w:val="1"/>
                <w:color w:val="auto"/>
              </w:rPr>
            </w:pPr>
          </w:p>
        </w:tc>
      </w:tr>
      <w:tr>
        <w:trPr>
          <w:trHeight w:val="175"/>
        </w:trPr>
        <w:tc>
          <w:tcPr>
            <w:tcW w:w="43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Mortgage-backed securities issued or guaranteed by U.S.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government agencies or sponsored enterprises</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205,175</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(31,236)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173,939</w:t>
            </w:r>
          </w:p>
        </w:tc>
        <w:tc>
          <w:tcPr>
            <w:tcW w:w="0" w:type="dxa"/>
            <w:vAlign w:val="bottom"/>
          </w:tcPr>
          <w:p>
            <w:pPr>
              <w:spacing w:after="0"/>
              <w:rPr>
                <w:sz w:val="1"/>
                <w:szCs w:val="1"/>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83"/>
              </w:rPr>
              <w:t>96,348</w:t>
            </w:r>
          </w:p>
        </w:tc>
        <w:tc>
          <w:tcPr>
            <w:tcW w:w="6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(11,251)</w:t>
            </w: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85,097</w:t>
            </w:r>
          </w:p>
        </w:tc>
        <w:tc>
          <w:tcPr>
            <w:tcW w:w="0" w:type="dxa"/>
            <w:vAlign w:val="bottom"/>
          </w:tcPr>
          <w:p>
            <w:pPr>
              <w:spacing w:after="0"/>
              <w:rPr>
                <w:sz w:val="1"/>
                <w:szCs w:val="1"/>
                <w:color w:val="auto"/>
              </w:rPr>
            </w:pPr>
          </w:p>
        </w:tc>
      </w:tr>
      <w:tr>
        <w:trPr>
          <w:trHeight w:val="257"/>
        </w:trPr>
        <w:tc>
          <w:tcPr>
            <w:tcW w:w="30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158,935</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155,283</w:t>
            </w:r>
          </w:p>
        </w:tc>
        <w:tc>
          <w:tcPr>
            <w:tcW w:w="0" w:type="dxa"/>
            <w:vAlign w:val="bottom"/>
          </w:tcPr>
          <w:p>
            <w:pPr>
              <w:spacing w:after="0"/>
              <w:rPr>
                <w:sz w:val="1"/>
                <w:szCs w:val="1"/>
                <w:color w:val="auto"/>
              </w:rPr>
            </w:pPr>
          </w:p>
        </w:tc>
      </w:tr>
      <w:tr>
        <w:trPr>
          <w:trHeight w:val="215"/>
        </w:trPr>
        <w:tc>
          <w:tcPr>
            <w:tcW w:w="478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w w:val="89"/>
              </w:rPr>
              <w:t>Asset backed securities issued or guaranteed by U.S. Government</w:t>
            </w:r>
          </w:p>
        </w:tc>
        <w:tc>
          <w:tcPr>
            <w:tcW w:w="24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agencies or sponsored enterprises</w:t>
            </w:r>
          </w:p>
        </w:tc>
        <w:tc>
          <w:tcPr>
            <w:tcW w:w="1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83"/>
              </w:rPr>
              <w:t>47,213</w:t>
            </w:r>
          </w:p>
        </w:tc>
        <w:tc>
          <w:tcPr>
            <w:tcW w:w="600" w:type="dxa"/>
            <w:vAlign w:val="bottom"/>
            <w:tcBorders>
              <w:bottom w:val="single" w:sz="8" w:color="auto"/>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80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(2,190)</w:t>
            </w:r>
          </w:p>
        </w:tc>
        <w:tc>
          <w:tcPr>
            <w:tcW w:w="24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45,023</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825,047</w:t>
            </w: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754,468</w:t>
            </w:r>
          </w:p>
        </w:tc>
        <w:tc>
          <w:tcPr>
            <w:tcW w:w="0" w:type="dxa"/>
            <w:vAlign w:val="bottom"/>
          </w:tcPr>
          <w:p>
            <w:pPr>
              <w:spacing w:after="0"/>
              <w:rPr>
                <w:sz w:val="1"/>
                <w:szCs w:val="1"/>
                <w:color w:val="auto"/>
              </w:rPr>
            </w:pPr>
          </w:p>
        </w:tc>
      </w:tr>
      <w:tr>
        <w:trPr>
          <w:trHeight w:val="56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600" w:type="dxa"/>
            <w:vAlign w:val="bottom"/>
          </w:tcPr>
          <w:p>
            <w:pPr>
              <w:spacing w:after="0"/>
              <w:rPr>
                <w:sz w:val="14"/>
                <w:szCs w:val="14"/>
                <w:color w:val="auto"/>
              </w:rPr>
            </w:pPr>
          </w:p>
        </w:tc>
        <w:tc>
          <w:tcPr>
            <w:tcW w:w="1080" w:type="dxa"/>
            <w:vAlign w:val="bottom"/>
            <w:gridSpan w:val="2"/>
          </w:tcPr>
          <w:p>
            <w:pPr>
              <w:jc w:val="center"/>
              <w:ind w:right="430"/>
              <w:spacing w:after="0" w:line="169" w:lineRule="exact"/>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430"/>
              <w:spacing w:after="0" w:line="169"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5"/>
                <w:szCs w:val="15"/>
                <w:color w:val="auto"/>
              </w:rPr>
            </w:pPr>
          </w:p>
        </w:tc>
        <w:tc>
          <w:tcPr>
            <w:tcW w:w="1220" w:type="dxa"/>
            <w:vAlign w:val="bottom"/>
            <w:gridSpan w:val="2"/>
          </w:tcPr>
          <w:p>
            <w:pPr>
              <w:jc w:val="center"/>
              <w:ind w:right="21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8"/>
              </w:rPr>
              <w:t>359,187</w:t>
            </w:r>
          </w:p>
        </w:tc>
        <w:tc>
          <w:tcPr>
            <w:tcW w:w="6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12,931</w:t>
            </w: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371,128</w:t>
            </w:r>
          </w:p>
        </w:tc>
        <w:tc>
          <w:tcPr>
            <w:tcW w:w="0" w:type="dxa"/>
            <w:vAlign w:val="bottom"/>
          </w:tcPr>
          <w:p>
            <w:pPr>
              <w:spacing w:after="0"/>
              <w:rPr>
                <w:sz w:val="1"/>
                <w:szCs w:val="1"/>
                <w:color w:val="auto"/>
              </w:rPr>
            </w:pPr>
          </w:p>
        </w:tc>
      </w:tr>
      <w:tr>
        <w:trPr>
          <w:trHeight w:val="215"/>
        </w:trPr>
        <w:tc>
          <w:tcPr>
            <w:tcW w:w="4340" w:type="dxa"/>
            <w:vAlign w:val="bottom"/>
            <w:gridSpan w:val="3"/>
          </w:tcPr>
          <w:p>
            <w:pPr>
              <w:ind w:left="20"/>
              <w:spacing w:after="0"/>
              <w:rPr>
                <w:sz w:val="20"/>
                <w:szCs w:val="20"/>
                <w:color w:val="auto"/>
              </w:rPr>
            </w:pPr>
            <w:r>
              <w:rPr>
                <w:rFonts w:ascii="Arial" w:cs="Arial" w:eastAsia="Arial" w:hAnsi="Arial"/>
                <w:sz w:val="18"/>
                <w:szCs w:val="18"/>
                <w:color w:val="auto"/>
                <w:w w:val="93"/>
              </w:rPr>
              <w:t>Mortgage-backed securities issued or guaranteed by U.S.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government agencies or sponsored enterprises</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170,711</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168,646</w:t>
            </w:r>
          </w:p>
        </w:tc>
        <w:tc>
          <w:tcPr>
            <w:tcW w:w="0" w:type="dxa"/>
            <w:vAlign w:val="bottom"/>
          </w:tcPr>
          <w:p>
            <w:pPr>
              <w:spacing w:after="0"/>
              <w:rPr>
                <w:sz w:val="1"/>
                <w:szCs w:val="1"/>
                <w:color w:val="auto"/>
              </w:rPr>
            </w:pPr>
          </w:p>
        </w:tc>
      </w:tr>
      <w:tr>
        <w:trPr>
          <w:trHeight w:val="257"/>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83"/>
              </w:rPr>
              <w:t>84,538</w:t>
            </w:r>
          </w:p>
        </w:tc>
        <w:tc>
          <w:tcPr>
            <w:tcW w:w="6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8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84,338</w:t>
            </w:r>
          </w:p>
        </w:tc>
        <w:tc>
          <w:tcPr>
            <w:tcW w:w="0" w:type="dxa"/>
            <w:vAlign w:val="bottom"/>
          </w:tcPr>
          <w:p>
            <w:pPr>
              <w:spacing w:after="0"/>
              <w:rPr>
                <w:sz w:val="1"/>
                <w:szCs w:val="1"/>
                <w:color w:val="auto"/>
              </w:rPr>
            </w:pPr>
          </w:p>
        </w:tc>
      </w:tr>
      <w:tr>
        <w:trPr>
          <w:trHeight w:val="215"/>
        </w:trPr>
        <w:tc>
          <w:tcPr>
            <w:tcW w:w="4780" w:type="dxa"/>
            <w:vAlign w:val="bottom"/>
            <w:gridSpan w:val="4"/>
          </w:tcPr>
          <w:p>
            <w:pPr>
              <w:ind w:left="20"/>
              <w:spacing w:after="0"/>
              <w:rPr>
                <w:sz w:val="20"/>
                <w:szCs w:val="20"/>
                <w:color w:val="auto"/>
              </w:rPr>
            </w:pPr>
            <w:r>
              <w:rPr>
                <w:rFonts w:ascii="Arial" w:cs="Arial" w:eastAsia="Arial" w:hAnsi="Arial"/>
                <w:sz w:val="18"/>
                <w:szCs w:val="18"/>
                <w:color w:val="auto"/>
                <w:w w:val="89"/>
              </w:rPr>
              <w:t>Asset backed securities issued or guaranteed by U.S. government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agencies or sponsored enterprises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49,835</w:t>
            </w: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49,341</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gridSpan w:val="2"/>
            <w:shd w:val="clear" w:color="auto" w:fill="DBDBDB"/>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8"/>
              </w:rPr>
              <w:t>664,271</w:t>
            </w:r>
          </w:p>
        </w:tc>
        <w:tc>
          <w:tcPr>
            <w:tcW w:w="60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13,138</w:t>
            </w:r>
          </w:p>
        </w:tc>
        <w:tc>
          <w:tcPr>
            <w:tcW w:w="32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(3,956)</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673,453</w:t>
            </w:r>
          </w:p>
        </w:tc>
        <w:tc>
          <w:tcPr>
            <w:tcW w:w="0" w:type="dxa"/>
            <w:vAlign w:val="bottom"/>
          </w:tcPr>
          <w:p>
            <w:pPr>
              <w:spacing w:after="0"/>
              <w:rPr>
                <w:sz w:val="1"/>
                <w:szCs w:val="1"/>
                <w:color w:val="auto"/>
              </w:rPr>
            </w:pPr>
          </w:p>
        </w:tc>
      </w:tr>
      <w:tr>
        <w:trPr>
          <w:trHeight w:val="506"/>
        </w:trPr>
        <w:tc>
          <w:tcPr>
            <w:tcW w:w="4780" w:type="dxa"/>
            <w:vAlign w:val="bottom"/>
            <w:gridSpan w:val="4"/>
          </w:tcPr>
          <w:p>
            <w:pPr>
              <w:spacing w:after="0"/>
              <w:rPr>
                <w:sz w:val="20"/>
                <w:szCs w:val="20"/>
                <w:color w:val="auto"/>
              </w:rPr>
            </w:pPr>
            <w:r>
              <w:rPr>
                <w:rFonts w:ascii="Arial" w:cs="Arial" w:eastAsia="Arial" w:hAnsi="Arial"/>
                <w:sz w:val="18"/>
                <w:szCs w:val="18"/>
                <w:color w:val="auto"/>
                <w:w w:val="91"/>
              </w:rPr>
              <w:t>The fair values of securities with unrealized losses are as follows: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Less than 12 months</w:t>
            </w:r>
          </w:p>
        </w:tc>
        <w:tc>
          <w:tcPr>
            <w:tcW w:w="1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12 months or more</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w w:val="97"/>
              </w:rPr>
              <w:t>Estimated</w:t>
            </w:r>
          </w:p>
        </w:tc>
        <w:tc>
          <w:tcPr>
            <w:tcW w:w="1420" w:type="dxa"/>
            <w:vAlign w:val="bottom"/>
            <w:gridSpan w:val="3"/>
          </w:tcPr>
          <w:p>
            <w:pPr>
              <w:jc w:val="right"/>
              <w:ind w:right="210"/>
              <w:spacing w:after="0" w:line="176" w:lineRule="exact"/>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5"/>
                <w:szCs w:val="15"/>
                <w:color w:val="auto"/>
              </w:rPr>
            </w:pPr>
          </w:p>
        </w:tc>
        <w:tc>
          <w:tcPr>
            <w:tcW w:w="1120" w:type="dxa"/>
            <w:vAlign w:val="bottom"/>
            <w:gridSpan w:val="2"/>
          </w:tcPr>
          <w:p>
            <w:pPr>
              <w:jc w:val="right"/>
              <w:ind w:right="150"/>
              <w:spacing w:after="0" w:line="176" w:lineRule="exact"/>
              <w:rPr>
                <w:sz w:val="20"/>
                <w:szCs w:val="20"/>
                <w:color w:val="auto"/>
              </w:rPr>
            </w:pPr>
            <w:r>
              <w:rPr>
                <w:rFonts w:ascii="Arial" w:cs="Arial" w:eastAsia="Arial" w:hAnsi="Arial"/>
                <w:sz w:val="18"/>
                <w:szCs w:val="18"/>
                <w:b w:val="1"/>
                <w:bCs w:val="1"/>
                <w:color w:val="auto"/>
                <w:w w:val="99"/>
              </w:rPr>
              <w:t>Estimated</w:t>
            </w:r>
          </w:p>
        </w:tc>
        <w:tc>
          <w:tcPr>
            <w:tcW w:w="280" w:type="dxa"/>
            <w:vAlign w:val="bottom"/>
          </w:tcPr>
          <w:p>
            <w:pPr>
              <w:spacing w:after="0"/>
              <w:rPr>
                <w:sz w:val="15"/>
                <w:szCs w:val="15"/>
                <w:color w:val="auto"/>
              </w:rPr>
            </w:pPr>
          </w:p>
        </w:tc>
        <w:tc>
          <w:tcPr>
            <w:tcW w:w="11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9"/>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54"/>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214,919</w:t>
            </w:r>
          </w:p>
        </w:tc>
        <w:tc>
          <w:tcPr>
            <w:tcW w:w="4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8,958</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22"/>
                <w:szCs w:val="2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47,474</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13,346</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262,393</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22,304</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Mortgage-backed securities issued or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w w:val="90"/>
              </w:rPr>
              <w:t>guaranteed by U.S. government agencies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or sponsored enterprises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53,732</w:t>
            </w:r>
          </w:p>
        </w:tc>
        <w:tc>
          <w:tcPr>
            <w:tcW w:w="440" w:type="dxa"/>
            <w:vAlign w:val="bottom"/>
          </w:tcPr>
          <w:p>
            <w:pPr>
              <w:spacing w:after="0"/>
              <w:rPr>
                <w:sz w:val="21"/>
                <w:szCs w:val="21"/>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6,135</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118,017</w:t>
            </w: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25,101</w:t>
            </w:r>
          </w:p>
        </w:tc>
        <w:tc>
          <w:tcPr>
            <w:tcW w:w="22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171,749</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57"/>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32,517</w:t>
            </w:r>
          </w:p>
        </w:tc>
        <w:tc>
          <w:tcPr>
            <w:tcW w:w="440" w:type="dxa"/>
            <w:vAlign w:val="bottom"/>
            <w:shd w:val="clear" w:color="auto" w:fill="DBDBDB"/>
          </w:tcPr>
          <w:p>
            <w:pPr>
              <w:spacing w:after="0"/>
              <w:rPr>
                <w:sz w:val="22"/>
                <w:szCs w:val="22"/>
                <w:color w:val="auto"/>
              </w:rPr>
            </w:pPr>
          </w:p>
        </w:tc>
        <w:tc>
          <w:tcPr>
            <w:tcW w:w="980" w:type="dxa"/>
            <w:vAlign w:val="bottom"/>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3,629</w:t>
            </w:r>
          </w:p>
        </w:tc>
        <w:tc>
          <w:tcPr>
            <w:tcW w:w="18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47,580</w:t>
            </w:r>
          </w:p>
        </w:tc>
        <w:tc>
          <w:tcPr>
            <w:tcW w:w="280" w:type="dxa"/>
            <w:vAlign w:val="bottom"/>
            <w:shd w:val="clear" w:color="auto" w:fill="DBDBDB"/>
          </w:tcPr>
          <w:p>
            <w:pPr>
              <w:spacing w:after="0"/>
              <w:rPr>
                <w:sz w:val="22"/>
                <w:szCs w:val="22"/>
                <w:color w:val="auto"/>
              </w:rPr>
            </w:pPr>
          </w:p>
        </w:tc>
        <w:tc>
          <w:tcPr>
            <w:tcW w:w="11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7,622</w:t>
            </w:r>
          </w:p>
        </w:tc>
        <w:tc>
          <w:tcPr>
            <w:tcW w:w="220" w:type="dxa"/>
            <w:vAlign w:val="bottom"/>
            <w:shd w:val="clear" w:color="auto" w:fill="DBDBDB"/>
          </w:tcPr>
          <w:p>
            <w:pPr>
              <w:spacing w:after="0"/>
              <w:rPr>
                <w:sz w:val="22"/>
                <w:szCs w:val="22"/>
                <w:color w:val="auto"/>
              </w:rPr>
            </w:pPr>
          </w:p>
        </w:tc>
        <w:tc>
          <w:tcPr>
            <w:tcW w:w="1240" w:type="dxa"/>
            <w:vAlign w:val="bottom"/>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80,097</w:t>
            </w:r>
          </w:p>
        </w:tc>
        <w:tc>
          <w:tcPr>
            <w:tcW w:w="1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56"/>
        </w:trPr>
        <w:tc>
          <w:tcPr>
            <w:tcW w:w="30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155,283</w:t>
            </w:r>
          </w:p>
        </w:tc>
        <w:tc>
          <w:tcPr>
            <w:tcW w:w="440" w:type="dxa"/>
            <w:vAlign w:val="bottom"/>
          </w:tcPr>
          <w:p>
            <w:pPr>
              <w:spacing w:after="0"/>
              <w:rPr>
                <w:sz w:val="22"/>
                <w:szCs w:val="22"/>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3,652</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155,283</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5"/>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 backed securities issued or</w:t>
            </w:r>
          </w:p>
        </w:tc>
        <w:tc>
          <w:tcPr>
            <w:tcW w:w="16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DBDBDB"/>
          </w:tcPr>
          <w:p>
            <w:pPr>
              <w:ind w:left="20"/>
              <w:spacing w:after="0" w:line="202" w:lineRule="exact"/>
              <w:rPr>
                <w:sz w:val="20"/>
                <w:szCs w:val="20"/>
                <w:color w:val="auto"/>
              </w:rPr>
            </w:pPr>
            <w:r>
              <w:rPr>
                <w:rFonts w:ascii="Arial" w:cs="Arial" w:eastAsia="Arial" w:hAnsi="Arial"/>
                <w:sz w:val="18"/>
                <w:szCs w:val="18"/>
                <w:color w:val="auto"/>
                <w:w w:val="89"/>
              </w:rPr>
              <w:t>guaranteed by U.S. Government agencies</w:t>
            </w: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or sponsored enterprises</w:t>
            </w:r>
          </w:p>
        </w:tc>
        <w:tc>
          <w:tcPr>
            <w:tcW w:w="1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DBDBDB"/>
          </w:tcPr>
          <w:p>
            <w:pPr>
              <w:spacing w:after="0"/>
              <w:rPr>
                <w:sz w:val="22"/>
                <w:szCs w:val="22"/>
                <w:color w:val="auto"/>
              </w:rPr>
            </w:pPr>
          </w:p>
        </w:tc>
        <w:tc>
          <w:tcPr>
            <w:tcW w:w="240" w:type="dxa"/>
            <w:vAlign w:val="bottom"/>
            <w:tcBorders>
              <w:bottom w:val="single" w:sz="8" w:color="auto"/>
            </w:tcBorders>
            <w:shd w:val="clear" w:color="auto" w:fill="DBDBDB"/>
          </w:tcPr>
          <w:p>
            <w:pPr>
              <w:spacing w:after="0"/>
              <w:rPr>
                <w:sz w:val="22"/>
                <w:szCs w:val="22"/>
                <w:color w:val="auto"/>
              </w:rPr>
            </w:pPr>
          </w:p>
        </w:tc>
        <w:tc>
          <w:tcPr>
            <w:tcW w:w="7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47,213</w:t>
            </w:r>
          </w:p>
        </w:tc>
        <w:tc>
          <w:tcPr>
            <w:tcW w:w="280" w:type="dxa"/>
            <w:vAlign w:val="bottom"/>
            <w:tcBorders>
              <w:bottom w:val="single" w:sz="8" w:color="auto"/>
            </w:tcBorders>
            <w:shd w:val="clear" w:color="auto" w:fill="DBDBDB"/>
          </w:tcPr>
          <w:p>
            <w:pPr>
              <w:spacing w:after="0"/>
              <w:rPr>
                <w:sz w:val="22"/>
                <w:szCs w:val="22"/>
                <w:color w:val="auto"/>
              </w:rPr>
            </w:pPr>
          </w:p>
        </w:tc>
        <w:tc>
          <w:tcPr>
            <w:tcW w:w="1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2,190</w:t>
            </w:r>
          </w:p>
        </w:tc>
        <w:tc>
          <w:tcPr>
            <w:tcW w:w="22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47,213</w:t>
            </w:r>
          </w:p>
        </w:tc>
        <w:tc>
          <w:tcPr>
            <w:tcW w:w="16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456,451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22,374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260,284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48,259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716,735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0" w:type="dxa"/>
            <w:vAlign w:val="bottom"/>
          </w:tcPr>
          <w:p>
            <w:pPr>
              <w:spacing w:after="0"/>
              <w:rPr>
                <w:sz w:val="1"/>
                <w:szCs w:val="1"/>
                <w:color w:val="auto"/>
              </w:rPr>
            </w:pPr>
          </w:p>
        </w:tc>
      </w:tr>
      <w:tr>
        <w:trPr>
          <w:trHeight w:val="898"/>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9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20" w:type="dxa"/>
            <w:vAlign w:val="bottom"/>
          </w:tcPr>
          <w:p>
            <w:pPr>
              <w:jc w:val="right"/>
              <w:ind w:right="190"/>
              <w:spacing w:after="0" w:line="184" w:lineRule="exact"/>
              <w:rPr>
                <w:sz w:val="20"/>
                <w:szCs w:val="20"/>
                <w:color w:val="auto"/>
              </w:rPr>
            </w:pPr>
            <w:r>
              <w:rPr>
                <w:rFonts w:ascii="Arial" w:cs="Arial" w:eastAsia="Arial" w:hAnsi="Arial"/>
                <w:sz w:val="18"/>
                <w:szCs w:val="18"/>
                <w:b w:val="1"/>
                <w:bCs w:val="1"/>
                <w:color w:val="auto"/>
                <w:w w:val="95"/>
              </w:rPr>
              <w:t>Estimated</w:t>
            </w:r>
          </w:p>
        </w:tc>
        <w:tc>
          <w:tcPr>
            <w:tcW w:w="240" w:type="dxa"/>
            <w:vAlign w:val="bottom"/>
          </w:tcPr>
          <w:p>
            <w:pPr>
              <w:spacing w:after="0"/>
              <w:rPr>
                <w:sz w:val="16"/>
                <w:szCs w:val="16"/>
                <w:color w:val="auto"/>
              </w:rPr>
            </w:pPr>
          </w:p>
        </w:tc>
        <w:tc>
          <w:tcPr>
            <w:tcW w:w="1120" w:type="dxa"/>
            <w:vAlign w:val="bottom"/>
          </w:tcPr>
          <w:p>
            <w:pPr>
              <w:jc w:val="right"/>
              <w:ind w:right="150"/>
              <w:spacing w:after="0" w:line="184" w:lineRule="exact"/>
              <w:rPr>
                <w:sz w:val="20"/>
                <w:szCs w:val="20"/>
                <w:color w:val="auto"/>
              </w:rPr>
            </w:pPr>
            <w:r>
              <w:rPr>
                <w:rFonts w:ascii="Arial" w:cs="Arial" w:eastAsia="Arial" w:hAnsi="Arial"/>
                <w:sz w:val="18"/>
                <w:szCs w:val="18"/>
                <w:b w:val="1"/>
                <w:bCs w:val="1"/>
                <w:color w:val="auto"/>
                <w:w w:val="94"/>
              </w:rPr>
              <w:t>Unrealized</w:t>
            </w:r>
          </w:p>
        </w:tc>
        <w:tc>
          <w:tcPr>
            <w:tcW w:w="240" w:type="dxa"/>
            <w:vAlign w:val="bottom"/>
          </w:tcPr>
          <w:p>
            <w:pPr>
              <w:spacing w:after="0"/>
              <w:rPr>
                <w:sz w:val="16"/>
                <w:szCs w:val="16"/>
                <w:color w:val="auto"/>
              </w:rPr>
            </w:pPr>
          </w:p>
        </w:tc>
        <w:tc>
          <w:tcPr>
            <w:tcW w:w="1340" w:type="dxa"/>
            <w:vAlign w:val="bottom"/>
          </w:tcPr>
          <w:p>
            <w:pPr>
              <w:ind w:left="80"/>
              <w:spacing w:after="0" w:line="184"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1140" w:type="dxa"/>
            <w:vAlign w:val="bottom"/>
          </w:tcPr>
          <w:p>
            <w:pPr>
              <w:ind w:left="60"/>
              <w:spacing w:after="0" w:line="184"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6"/>
                <w:szCs w:val="16"/>
                <w:color w:val="auto"/>
              </w:rPr>
            </w:pPr>
          </w:p>
        </w:tc>
        <w:tc>
          <w:tcPr>
            <w:tcW w:w="1120" w:type="dxa"/>
            <w:vAlign w:val="bottom"/>
          </w:tcPr>
          <w:p>
            <w:pPr>
              <w:jc w:val="right"/>
              <w:ind w:right="170"/>
              <w:spacing w:after="0" w:line="184" w:lineRule="exact"/>
              <w:rPr>
                <w:sz w:val="20"/>
                <w:szCs w:val="20"/>
                <w:color w:val="auto"/>
              </w:rPr>
            </w:pPr>
            <w:r>
              <w:rPr>
                <w:rFonts w:ascii="Arial" w:cs="Arial" w:eastAsia="Arial" w:hAnsi="Arial"/>
                <w:sz w:val="18"/>
                <w:szCs w:val="18"/>
                <w:b w:val="1"/>
                <w:bCs w:val="1"/>
                <w:color w:val="auto"/>
                <w:w w:val="97"/>
              </w:rPr>
              <w:t>Estimated</w:t>
            </w:r>
          </w:p>
        </w:tc>
        <w:tc>
          <w:tcPr>
            <w:tcW w:w="260" w:type="dxa"/>
            <w:vAlign w:val="bottom"/>
          </w:tcPr>
          <w:p>
            <w:pPr>
              <w:spacing w:after="0"/>
              <w:rPr>
                <w:sz w:val="16"/>
                <w:szCs w:val="16"/>
                <w:color w:val="auto"/>
              </w:rPr>
            </w:pPr>
          </w:p>
        </w:tc>
        <w:tc>
          <w:tcPr>
            <w:tcW w:w="1100" w:type="dxa"/>
            <w:vAlign w:val="bottom"/>
          </w:tcPr>
          <w:p>
            <w:pPr>
              <w:jc w:val="right"/>
              <w:ind w:right="130"/>
              <w:spacing w:after="0" w:line="184" w:lineRule="exact"/>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34"/>
        </w:trPr>
        <w:tc>
          <w:tcPr>
            <w:tcW w:w="29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2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60,083</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60,083</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line="189" w:lineRule="exact"/>
              <w:rPr>
                <w:sz w:val="20"/>
                <w:szCs w:val="20"/>
                <w:color w:val="auto"/>
              </w:rPr>
            </w:pPr>
            <w:r>
              <w:rPr>
                <w:rFonts w:ascii="Arial" w:cs="Arial" w:eastAsia="Arial" w:hAnsi="Arial"/>
                <w:sz w:val="18"/>
                <w:szCs w:val="18"/>
                <w:color w:val="auto"/>
                <w:w w:val="97"/>
              </w:rPr>
              <w:t>Mortgage-backed securities issued or</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guaranteed by U.S. government</w:t>
            </w:r>
          </w:p>
        </w:tc>
        <w:tc>
          <w:tcPr>
            <w:tcW w:w="18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163,652</w:t>
            </w:r>
          </w:p>
        </w:tc>
        <w:tc>
          <w:tcPr>
            <w:tcW w:w="24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15"/>
                <w:szCs w:val="15"/>
                <w:color w:val="auto"/>
              </w:rPr>
            </w:pPr>
          </w:p>
        </w:tc>
        <w:tc>
          <w:tcPr>
            <w:tcW w:w="1340" w:type="dxa"/>
            <w:vAlign w:val="bottom"/>
            <w:vMerge w:val="restart"/>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163,652</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agencies or sponsored enterprises</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DBDBDB"/>
          </w:tcPr>
          <w:p>
            <w:pPr>
              <w:spacing w:after="0"/>
              <w:rPr>
                <w:sz w:val="22"/>
                <w:szCs w:val="22"/>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55,120</w:t>
            </w:r>
          </w:p>
        </w:tc>
        <w:tc>
          <w:tcPr>
            <w:tcW w:w="240" w:type="dxa"/>
            <w:vAlign w:val="bottom"/>
            <w:shd w:val="clear" w:color="auto" w:fill="DBDBDB"/>
          </w:tcPr>
          <w:p>
            <w:pPr>
              <w:spacing w:after="0"/>
              <w:rPr>
                <w:sz w:val="22"/>
                <w:szCs w:val="22"/>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DBDBDB"/>
          </w:tcPr>
          <w:p>
            <w:pPr>
              <w:spacing w:after="0"/>
              <w:rPr>
                <w:sz w:val="22"/>
                <w:szCs w:val="22"/>
                <w:color w:val="auto"/>
              </w:rPr>
            </w:pPr>
          </w:p>
        </w:tc>
        <w:tc>
          <w:tcPr>
            <w:tcW w:w="13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DBDBDB"/>
          </w:tcPr>
          <w:p>
            <w:pPr>
              <w:spacing w:after="0"/>
              <w:rPr>
                <w:sz w:val="22"/>
                <w:szCs w:val="22"/>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55,120</w:t>
            </w:r>
          </w:p>
        </w:tc>
        <w:tc>
          <w:tcPr>
            <w:tcW w:w="26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Asset backed securities issued or</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guaranteed by U.S. Government</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agencies or sponsored enterprises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49,341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49,341</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328,196</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3,956</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328,196</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were 311 securities, or 91.7%, in an unrealized loss position as of December 31, 2022 compared to 101 securities, or 28.0%, in an unrealized loss position as of December 31, 2021. Of these securities, 101, or 29.8%, were in an unrealized loss position for greater than 12 months at December 31, 2022. The Company does not intend to sell, or believe it is likely to sell, its available for sale securities in an unrealized loss position before the anticipated recovery of current unrealized losses. As such, the Company did not recognize any credit losses on any available for sale debt securities in 2022 or 2021.</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fair value of debt and equity securities by contractual maturity are shown in the following table. Expected maturities may differ from contractual maturities because borrowers have the right to prepay obligations with or without prepayment penalties.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Amortized Cost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Due in 1 year or less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65,686</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65,221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Due after 1 year through 5 years</w:t>
            </w: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267,163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261,764</w:t>
            </w:r>
          </w:p>
        </w:tc>
      </w:tr>
      <w:tr>
        <w:trPr>
          <w:trHeight w:val="229"/>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Due after 5 years through 10 years</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232,235</w:t>
            </w:r>
          </w:p>
        </w:tc>
        <w:tc>
          <w:tcPr>
            <w:tcW w:w="3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205,277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Due after 10 years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259,963</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222,206</w:t>
            </w:r>
          </w:p>
        </w:tc>
      </w:tr>
      <w:tr>
        <w:trPr>
          <w:trHeight w:val="223"/>
        </w:trPr>
        <w:tc>
          <w:tcPr>
            <w:tcW w:w="818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825,047</w:t>
            </w:r>
          </w:p>
        </w:tc>
        <w:tc>
          <w:tcPr>
            <w:tcW w:w="3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754,468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premium related to the purchase of state and political subdivisions was $5.8 million and $6.4 million at December 31,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securities pledged to secure public deposits or for other purposes at December 31,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of investment securities classified as available-for-sale were $3.8 million in 2022, $63.8 million in 2021, and $21.9 million in 2020. Gross realized gains on the sales in 2022, 2021, and 2020 were $15,000, $55,000, and $1.1 million, respectively. Gross realized losses on the sales in 2022, 2021, and 2020 were $0, $4,000 and $0,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originates commercial, industrial and real estate loans to businesses and faith-based ministries throughout the metropolitan St. Louis, Missouri area,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 loans secured by mortgages that are extended to faith-based ministries in its market area and selected cities in the United States.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loan categories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6"/>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561,616</w:t>
            </w:r>
          </w:p>
        </w:tc>
        <w:tc>
          <w:tcPr>
            <w:tcW w:w="540" w:type="dxa"/>
            <w:vAlign w:val="bottom"/>
            <w:gridSpan w:val="2"/>
            <w:shd w:val="clear" w:color="auto" w:fill="DBDBDB"/>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450,336</w:t>
            </w:r>
          </w:p>
        </w:tc>
        <w:tc>
          <w:tcPr>
            <w:tcW w:w="0" w:type="dxa"/>
            <w:vAlign w:val="bottom"/>
          </w:tcPr>
          <w:p>
            <w:pPr>
              <w:spacing w:after="0"/>
              <w:rPr>
                <w:sz w:val="1"/>
                <w:szCs w:val="1"/>
                <w:color w:val="auto"/>
              </w:rPr>
            </w:pPr>
          </w:p>
        </w:tc>
      </w:tr>
      <w:tr>
        <w:trPr>
          <w:trHeight w:val="250"/>
        </w:trPr>
        <w:tc>
          <w:tcPr>
            <w:tcW w:w="26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80" w:type="dxa"/>
            <w:vAlign w:val="bottom"/>
          </w:tcPr>
          <w:p>
            <w:pPr>
              <w:ind w:left="84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108,166</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108,759</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84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17,874</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24,797</w:t>
            </w:r>
          </w:p>
        </w:tc>
        <w:tc>
          <w:tcPr>
            <w:tcW w:w="0" w:type="dxa"/>
            <w:vAlign w:val="bottom"/>
          </w:tcPr>
          <w:p>
            <w:pPr>
              <w:spacing w:after="0"/>
              <w:rPr>
                <w:sz w:val="1"/>
                <w:szCs w:val="1"/>
                <w:color w:val="auto"/>
              </w:rPr>
            </w:pPr>
          </w:p>
        </w:tc>
      </w:tr>
      <w:tr>
        <w:trPr>
          <w:trHeight w:val="250"/>
        </w:trPr>
        <w:tc>
          <w:tcPr>
            <w:tcW w:w="2680" w:type="dxa"/>
            <w:vAlign w:val="bottom"/>
          </w:tcPr>
          <w:p>
            <w:pPr>
              <w:ind w:left="300"/>
              <w:spacing w:after="0"/>
              <w:rPr>
                <w:sz w:val="20"/>
                <w:szCs w:val="20"/>
                <w:color w:val="auto"/>
              </w:rPr>
            </w:pPr>
            <w:r>
              <w:rPr>
                <w:rFonts w:ascii="Arial" w:cs="Arial" w:eastAsia="Arial" w:hAnsi="Arial"/>
                <w:sz w:val="18"/>
                <w:szCs w:val="18"/>
                <w:color w:val="auto"/>
              </w:rPr>
              <w:t>Faith-based:</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84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387,114</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355,582</w:t>
            </w:r>
          </w:p>
        </w:tc>
        <w:tc>
          <w:tcPr>
            <w:tcW w:w="0" w:type="dxa"/>
            <w:vAlign w:val="bottom"/>
          </w:tcPr>
          <w:p>
            <w:pPr>
              <w:spacing w:after="0"/>
              <w:rPr>
                <w:sz w:val="1"/>
                <w:szCs w:val="1"/>
                <w:color w:val="auto"/>
              </w:rPr>
            </w:pPr>
          </w:p>
        </w:tc>
      </w:tr>
      <w:tr>
        <w:trPr>
          <w:trHeight w:val="250"/>
        </w:trPr>
        <w:tc>
          <w:tcPr>
            <w:tcW w:w="2680" w:type="dxa"/>
            <w:vAlign w:val="bottom"/>
          </w:tcPr>
          <w:p>
            <w:pPr>
              <w:ind w:left="84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8,094</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14,664</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PPP</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8"/>
                <w:szCs w:val="18"/>
                <w:color w:val="auto"/>
              </w:rPr>
              <w:t>Total loans</w:t>
            </w:r>
          </w:p>
        </w:tc>
        <w:tc>
          <w:tcPr>
            <w:tcW w:w="2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spacing w:after="0"/>
              <w:rPr>
                <w:sz w:val="21"/>
                <w:szCs w:val="21"/>
                <w:color w:val="auto"/>
              </w:rPr>
            </w:pPr>
          </w:p>
        </w:tc>
        <w:tc>
          <w:tcPr>
            <w:tcW w:w="80" w:type="dxa"/>
            <w:vAlign w:val="bottom"/>
            <w:tcBorders>
              <w:bottom w:val="single" w:sz="8" w:color="auto"/>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1,082,906</w:t>
            </w:r>
          </w:p>
        </w:tc>
        <w:tc>
          <w:tcPr>
            <w:tcW w:w="540" w:type="dxa"/>
            <w:vAlign w:val="bottom"/>
            <w:tcBorders>
              <w:bottom w:val="single" w:sz="8" w:color="auto"/>
            </w:tcBorders>
            <w:gridSpan w:val="2"/>
            <w:shd w:val="clear" w:color="auto" w:fill="DBDBDB"/>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960,567</w:t>
            </w:r>
          </w:p>
        </w:tc>
        <w:tc>
          <w:tcPr>
            <w:tcW w:w="0" w:type="dxa"/>
            <w:vAlign w:val="bottom"/>
          </w:tcPr>
          <w:p>
            <w:pPr>
              <w:spacing w:after="0"/>
              <w:rPr>
                <w:sz w:val="1"/>
                <w:szCs w:val="1"/>
                <w:color w:val="auto"/>
              </w:rPr>
            </w:pPr>
          </w:p>
        </w:tc>
      </w:tr>
      <w:tr>
        <w:trPr>
          <w:trHeight w:val="527"/>
        </w:trPr>
        <w:tc>
          <w:tcPr>
            <w:tcW w:w="6980" w:type="dxa"/>
            <w:vAlign w:val="bottom"/>
            <w:gridSpan w:val="8"/>
          </w:tcPr>
          <w:p>
            <w:pPr>
              <w:spacing w:after="0"/>
              <w:rPr>
                <w:sz w:val="20"/>
                <w:szCs w:val="20"/>
                <w:color w:val="auto"/>
              </w:rPr>
            </w:pPr>
            <w:r>
              <w:rPr>
                <w:rFonts w:ascii="Arial" w:cs="Arial" w:eastAsia="Arial" w:hAnsi="Arial"/>
                <w:sz w:val="18"/>
                <w:szCs w:val="18"/>
                <w:color w:val="auto"/>
                <w:w w:val="97"/>
              </w:rPr>
              <w:t>The following table presents the aging of loans by loan categories at December 31, 2022:</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Performing</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Nonperforming</w:t>
            </w:r>
          </w:p>
        </w:tc>
        <w:tc>
          <w:tcPr>
            <w:tcW w:w="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30-59</w:t>
            </w:r>
          </w:p>
        </w:tc>
        <w:tc>
          <w:tcPr>
            <w:tcW w:w="400" w:type="dxa"/>
            <w:vAlign w:val="bottom"/>
          </w:tcPr>
          <w:p>
            <w:pPr>
              <w:spacing w:after="0"/>
              <w:rPr>
                <w:sz w:val="15"/>
                <w:szCs w:val="15"/>
                <w:color w:val="auto"/>
              </w:rPr>
            </w:pPr>
          </w:p>
        </w:tc>
        <w:tc>
          <w:tcPr>
            <w:tcW w:w="10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60-89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90 Days</w:t>
            </w:r>
          </w:p>
        </w:tc>
        <w:tc>
          <w:tcPr>
            <w:tcW w:w="28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Non-</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5"/>
                <w:szCs w:val="15"/>
                <w:color w:val="auto"/>
              </w:rPr>
            </w:pP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and</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Days</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Days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7"/>
              </w:rPr>
              <w:t>Over</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accrual</w:t>
            </w: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54"/>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560,466</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1,150</w:t>
            </w:r>
          </w:p>
        </w:tc>
        <w:tc>
          <w:tcPr>
            <w:tcW w:w="54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561,616</w:t>
            </w:r>
          </w:p>
        </w:tc>
        <w:tc>
          <w:tcPr>
            <w:tcW w:w="0" w:type="dxa"/>
            <w:vAlign w:val="bottom"/>
          </w:tcPr>
          <w:p>
            <w:pPr>
              <w:spacing w:after="0"/>
              <w:rPr>
                <w:sz w:val="1"/>
                <w:szCs w:val="1"/>
                <w:color w:val="auto"/>
              </w:rPr>
            </w:pPr>
          </w:p>
        </w:tc>
      </w:tr>
      <w:tr>
        <w:trPr>
          <w:trHeight w:val="250"/>
        </w:trPr>
        <w:tc>
          <w:tcPr>
            <w:tcW w:w="26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108,166</w:t>
            </w:r>
          </w:p>
        </w:tc>
        <w:tc>
          <w:tcPr>
            <w:tcW w:w="220" w:type="dxa"/>
            <w:vAlign w:val="bottom"/>
          </w:tcPr>
          <w:p>
            <w:pPr>
              <w:spacing w:after="0"/>
              <w:rPr>
                <w:sz w:val="21"/>
                <w:szCs w:val="21"/>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108,166</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17,874</w:t>
            </w: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2"/>
                <w:szCs w:val="22"/>
                <w:color w:val="auto"/>
              </w:rPr>
            </w:pPr>
          </w:p>
        </w:tc>
        <w:tc>
          <w:tcPr>
            <w:tcW w:w="112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50"/>
        </w:trPr>
        <w:tc>
          <w:tcPr>
            <w:tcW w:w="2680" w:type="dxa"/>
            <w:vAlign w:val="bottom"/>
          </w:tcPr>
          <w:p>
            <w:pPr>
              <w:ind w:left="300"/>
              <w:spacing w:after="0"/>
              <w:rPr>
                <w:sz w:val="20"/>
                <w:szCs w:val="20"/>
                <w:color w:val="auto"/>
              </w:rPr>
            </w:pPr>
            <w:r>
              <w:rPr>
                <w:rFonts w:ascii="Arial" w:cs="Arial" w:eastAsia="Arial" w:hAnsi="Arial"/>
                <w:sz w:val="18"/>
                <w:szCs w:val="18"/>
                <w:color w:val="auto"/>
              </w:rPr>
              <w:t>Faith-based:</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387,114</w:t>
            </w: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2"/>
                <w:szCs w:val="22"/>
                <w:color w:val="auto"/>
              </w:rPr>
            </w:pPr>
          </w:p>
        </w:tc>
        <w:tc>
          <w:tcPr>
            <w:tcW w:w="112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387,114</w:t>
            </w: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8,094</w:t>
            </w:r>
          </w:p>
        </w:tc>
        <w:tc>
          <w:tcPr>
            <w:tcW w:w="220" w:type="dxa"/>
            <w:vAlign w:val="bottom"/>
          </w:tcPr>
          <w:p>
            <w:pPr>
              <w:spacing w:after="0"/>
              <w:rPr>
                <w:sz w:val="21"/>
                <w:szCs w:val="21"/>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PPP</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2"/>
                <w:szCs w:val="22"/>
                <w:color w:val="auto"/>
              </w:rPr>
            </w:pPr>
          </w:p>
        </w:tc>
        <w:tc>
          <w:tcPr>
            <w:tcW w:w="112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1,081,756</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DBDBDB"/>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1,150</w:t>
            </w:r>
          </w:p>
        </w:tc>
        <w:tc>
          <w:tcPr>
            <w:tcW w:w="540" w:type="dxa"/>
            <w:vAlign w:val="bottom"/>
            <w:tcBorders>
              <w:bottom w:val="single" w:sz="8" w:color="auto"/>
            </w:tcBorders>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1,082,906</w:t>
            </w:r>
          </w:p>
        </w:tc>
        <w:tc>
          <w:tcPr>
            <w:tcW w:w="0" w:type="dxa"/>
            <w:vAlign w:val="bottom"/>
          </w:tcPr>
          <w:p>
            <w:pPr>
              <w:spacing w:after="0"/>
              <w:rPr>
                <w:sz w:val="1"/>
                <w:szCs w:val="1"/>
                <w:color w:val="auto"/>
              </w:rPr>
            </w:pPr>
          </w:p>
        </w:tc>
      </w:tr>
      <w:tr>
        <w:trPr>
          <w:trHeight w:val="905"/>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by loan categories at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Performing</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Nonperforming</w:t>
            </w:r>
          </w:p>
        </w:tc>
        <w:tc>
          <w:tcPr>
            <w:tcW w:w="3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1"/>
              </w:rPr>
              <w:t>30-59</w:t>
            </w:r>
          </w:p>
        </w:tc>
        <w:tc>
          <w:tcPr>
            <w:tcW w:w="360" w:type="dxa"/>
            <w:vAlign w:val="bottom"/>
          </w:tcPr>
          <w:p>
            <w:pPr>
              <w:spacing w:after="0"/>
              <w:rPr>
                <w:sz w:val="15"/>
                <w:szCs w:val="15"/>
                <w:color w:val="auto"/>
              </w:rPr>
            </w:pPr>
          </w:p>
        </w:tc>
        <w:tc>
          <w:tcPr>
            <w:tcW w:w="10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8"/>
              </w:rPr>
              <w:t>90 Days</w:t>
            </w: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and</w:t>
            </w: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Current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Days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Days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Over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accrual</w:t>
            </w: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50"/>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450,336</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BDBDB"/>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83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450,336</w:t>
            </w:r>
          </w:p>
        </w:tc>
        <w:tc>
          <w:tcPr>
            <w:tcW w:w="0" w:type="dxa"/>
            <w:vAlign w:val="bottom"/>
          </w:tcPr>
          <w:p>
            <w:pPr>
              <w:spacing w:after="0"/>
              <w:rPr>
                <w:sz w:val="1"/>
                <w:szCs w:val="1"/>
                <w:color w:val="auto"/>
              </w:rPr>
            </w:pPr>
          </w:p>
        </w:tc>
      </w:tr>
      <w:tr>
        <w:trPr>
          <w:trHeight w:val="250"/>
        </w:trPr>
        <w:tc>
          <w:tcPr>
            <w:tcW w:w="26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0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108,759</w:t>
            </w:r>
          </w:p>
        </w:tc>
        <w:tc>
          <w:tcPr>
            <w:tcW w:w="24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108,759</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24,797</w:t>
            </w:r>
          </w:p>
        </w:tc>
        <w:tc>
          <w:tcPr>
            <w:tcW w:w="240" w:type="dxa"/>
            <w:vAlign w:val="bottom"/>
            <w:shd w:val="clear" w:color="auto" w:fill="DBDBDB"/>
          </w:tcPr>
          <w:p>
            <w:pPr>
              <w:spacing w:after="0"/>
              <w:rPr>
                <w:sz w:val="22"/>
                <w:szCs w:val="22"/>
                <w:color w:val="auto"/>
              </w:rPr>
            </w:pPr>
          </w:p>
        </w:tc>
        <w:tc>
          <w:tcPr>
            <w:tcW w:w="11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2"/>
                <w:szCs w:val="22"/>
                <w:color w:val="auto"/>
              </w:rPr>
            </w:pPr>
          </w:p>
        </w:tc>
        <w:tc>
          <w:tcPr>
            <w:tcW w:w="1160" w:type="dxa"/>
            <w:vAlign w:val="bottom"/>
            <w:gridSpan w:val="2"/>
            <w:shd w:val="clear" w:color="auto" w:fill="DBDBDB"/>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spacing w:after="0"/>
              <w:rPr>
                <w:sz w:val="22"/>
                <w:szCs w:val="22"/>
                <w:color w:val="auto"/>
              </w:rPr>
            </w:pPr>
          </w:p>
        </w:tc>
        <w:tc>
          <w:tcPr>
            <w:tcW w:w="320" w:type="dxa"/>
            <w:vAlign w:val="bottom"/>
            <w:shd w:val="clear" w:color="auto" w:fill="DBDBDB"/>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24,797</w:t>
            </w:r>
          </w:p>
        </w:tc>
        <w:tc>
          <w:tcPr>
            <w:tcW w:w="0" w:type="dxa"/>
            <w:vAlign w:val="bottom"/>
          </w:tcPr>
          <w:p>
            <w:pPr>
              <w:spacing w:after="0"/>
              <w:rPr>
                <w:sz w:val="1"/>
                <w:szCs w:val="1"/>
                <w:color w:val="auto"/>
              </w:rPr>
            </w:pPr>
          </w:p>
        </w:tc>
      </w:tr>
      <w:tr>
        <w:trPr>
          <w:trHeight w:val="250"/>
        </w:trPr>
        <w:tc>
          <w:tcPr>
            <w:tcW w:w="2680" w:type="dxa"/>
            <w:vAlign w:val="bottom"/>
          </w:tcPr>
          <w:p>
            <w:pPr>
              <w:ind w:left="300"/>
              <w:spacing w:after="0"/>
              <w:rPr>
                <w:sz w:val="20"/>
                <w:szCs w:val="20"/>
                <w:color w:val="auto"/>
              </w:rPr>
            </w:pPr>
            <w:r>
              <w:rPr>
                <w:rFonts w:ascii="Arial" w:cs="Arial" w:eastAsia="Arial" w:hAnsi="Arial"/>
                <w:sz w:val="18"/>
                <w:szCs w:val="18"/>
                <w:color w:val="auto"/>
              </w:rPr>
              <w:t>Faith-based:</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355,582</w:t>
            </w:r>
          </w:p>
        </w:tc>
        <w:tc>
          <w:tcPr>
            <w:tcW w:w="240" w:type="dxa"/>
            <w:vAlign w:val="bottom"/>
            <w:shd w:val="clear" w:color="auto" w:fill="DBDBDB"/>
          </w:tcPr>
          <w:p>
            <w:pPr>
              <w:spacing w:after="0"/>
              <w:rPr>
                <w:sz w:val="22"/>
                <w:szCs w:val="22"/>
                <w:color w:val="auto"/>
              </w:rPr>
            </w:pPr>
          </w:p>
        </w:tc>
        <w:tc>
          <w:tcPr>
            <w:tcW w:w="11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2"/>
                <w:szCs w:val="22"/>
                <w:color w:val="auto"/>
              </w:rPr>
            </w:pPr>
          </w:p>
        </w:tc>
        <w:tc>
          <w:tcPr>
            <w:tcW w:w="1160" w:type="dxa"/>
            <w:vAlign w:val="bottom"/>
            <w:gridSpan w:val="2"/>
            <w:shd w:val="clear" w:color="auto" w:fill="DBDBDB"/>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spacing w:after="0"/>
              <w:rPr>
                <w:sz w:val="22"/>
                <w:szCs w:val="22"/>
                <w:color w:val="auto"/>
              </w:rPr>
            </w:pPr>
          </w:p>
        </w:tc>
        <w:tc>
          <w:tcPr>
            <w:tcW w:w="320" w:type="dxa"/>
            <w:vAlign w:val="bottom"/>
            <w:shd w:val="clear" w:color="auto" w:fill="DBDBDB"/>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355,582</w:t>
            </w:r>
          </w:p>
        </w:tc>
        <w:tc>
          <w:tcPr>
            <w:tcW w:w="0" w:type="dxa"/>
            <w:vAlign w:val="bottom"/>
          </w:tcPr>
          <w:p>
            <w:pPr>
              <w:spacing w:after="0"/>
              <w:rPr>
                <w:sz w:val="1"/>
                <w:szCs w:val="1"/>
                <w:color w:val="auto"/>
              </w:rPr>
            </w:pPr>
          </w:p>
        </w:tc>
      </w:tr>
      <w:tr>
        <w:trPr>
          <w:trHeight w:val="250"/>
        </w:trPr>
        <w:tc>
          <w:tcPr>
            <w:tcW w:w="2680" w:type="dxa"/>
            <w:vAlign w:val="bottom"/>
          </w:tcPr>
          <w:p>
            <w:pPr>
              <w:ind w:left="56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14,664</w:t>
            </w:r>
          </w:p>
        </w:tc>
        <w:tc>
          <w:tcPr>
            <w:tcW w:w="24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14,664</w:t>
            </w:r>
          </w:p>
        </w:tc>
        <w:tc>
          <w:tcPr>
            <w:tcW w:w="0" w:type="dxa"/>
            <w:vAlign w:val="bottom"/>
          </w:tcPr>
          <w:p>
            <w:pPr>
              <w:spacing w:after="0"/>
              <w:rPr>
                <w:sz w:val="1"/>
                <w:szCs w:val="1"/>
                <w:color w:val="auto"/>
              </w:rPr>
            </w:pPr>
          </w:p>
        </w:tc>
      </w:tr>
      <w:tr>
        <w:trPr>
          <w:trHeight w:val="263"/>
        </w:trPr>
        <w:tc>
          <w:tcPr>
            <w:tcW w:w="2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PPP</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6,299</w:t>
            </w:r>
          </w:p>
        </w:tc>
        <w:tc>
          <w:tcPr>
            <w:tcW w:w="240" w:type="dxa"/>
            <w:vAlign w:val="bottom"/>
            <w:shd w:val="clear" w:color="auto" w:fill="DBDBDB"/>
          </w:tcPr>
          <w:p>
            <w:pPr>
              <w:spacing w:after="0"/>
              <w:rPr>
                <w:sz w:val="22"/>
                <w:szCs w:val="22"/>
                <w:color w:val="auto"/>
              </w:rPr>
            </w:pPr>
          </w:p>
        </w:tc>
        <w:tc>
          <w:tcPr>
            <w:tcW w:w="11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2"/>
                <w:szCs w:val="22"/>
                <w:color w:val="auto"/>
              </w:rPr>
            </w:pPr>
          </w:p>
        </w:tc>
        <w:tc>
          <w:tcPr>
            <w:tcW w:w="1160" w:type="dxa"/>
            <w:vAlign w:val="bottom"/>
            <w:gridSpan w:val="2"/>
            <w:shd w:val="clear" w:color="auto" w:fill="DBDBDB"/>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2"/>
                <w:szCs w:val="22"/>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spacing w:after="0"/>
              <w:rPr>
                <w:sz w:val="22"/>
                <w:szCs w:val="22"/>
                <w:color w:val="auto"/>
              </w:rPr>
            </w:pPr>
          </w:p>
        </w:tc>
        <w:tc>
          <w:tcPr>
            <w:tcW w:w="320" w:type="dxa"/>
            <w:vAlign w:val="bottom"/>
            <w:shd w:val="clear" w:color="auto" w:fill="DBDBDB"/>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960,567</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DBDBDB"/>
          </w:tcPr>
          <w:p>
            <w:pPr>
              <w:ind w:left="8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8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960,567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credit exposure of the loan portfolio by internally assigned credit grade as of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Loans</w:t>
            </w:r>
          </w:p>
        </w:tc>
        <w:tc>
          <w:tcPr>
            <w:tcW w:w="260" w:type="dxa"/>
            <w:vAlign w:val="bottom"/>
          </w:tcPr>
          <w:p>
            <w:pPr>
              <w:spacing w:after="0"/>
              <w:rPr>
                <w:sz w:val="17"/>
                <w:szCs w:val="17"/>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Performing</w:t>
            </w:r>
          </w:p>
        </w:tc>
        <w:tc>
          <w:tcPr>
            <w:tcW w:w="280" w:type="dxa"/>
            <w:vAlign w:val="bottom"/>
          </w:tcPr>
          <w:p>
            <w:pPr>
              <w:spacing w:after="0"/>
              <w:rPr>
                <w:sz w:val="17"/>
                <w:szCs w:val="17"/>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7"/>
              </w:rPr>
              <w:t>Subject to</w:t>
            </w:r>
          </w:p>
        </w:tc>
        <w:tc>
          <w:tcPr>
            <w:tcW w:w="260" w:type="dxa"/>
            <w:vAlign w:val="bottom"/>
          </w:tcPr>
          <w:p>
            <w:pPr>
              <w:spacing w:after="0"/>
              <w:rPr>
                <w:sz w:val="17"/>
                <w:szCs w:val="17"/>
                <w:color w:val="auto"/>
              </w:rPr>
            </w:pPr>
          </w:p>
        </w:tc>
        <w:tc>
          <w:tcPr>
            <w:tcW w:w="16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8"/>
              </w:rPr>
              <w:t>Loans Subject to</w:t>
            </w:r>
          </w:p>
        </w:tc>
        <w:tc>
          <w:tcPr>
            <w:tcW w:w="280" w:type="dxa"/>
            <w:vAlign w:val="bottom"/>
          </w:tcPr>
          <w:p>
            <w:pPr>
              <w:spacing w:after="0"/>
              <w:rPr>
                <w:sz w:val="17"/>
                <w:szCs w:val="17"/>
                <w:color w:val="auto"/>
              </w:rPr>
            </w:pPr>
          </w:p>
        </w:tc>
        <w:tc>
          <w:tcPr>
            <w:tcW w:w="164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9"/>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3"/>
        </w:trPr>
        <w:tc>
          <w:tcPr>
            <w:tcW w:w="3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Normal</w:t>
            </w:r>
          </w:p>
        </w:tc>
        <w:tc>
          <w:tcPr>
            <w:tcW w:w="260" w:type="dxa"/>
            <w:vAlign w:val="bottom"/>
          </w:tcPr>
          <w:p>
            <w:pPr>
              <w:spacing w:after="0"/>
              <w:rPr>
                <w:sz w:val="18"/>
                <w:szCs w:val="18"/>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Special</w:t>
            </w:r>
          </w:p>
        </w:tc>
        <w:tc>
          <w:tcPr>
            <w:tcW w:w="280" w:type="dxa"/>
            <w:vAlign w:val="bottom"/>
          </w:tcPr>
          <w:p>
            <w:pPr>
              <w:spacing w:after="0"/>
              <w:rPr>
                <w:sz w:val="18"/>
                <w:szCs w:val="18"/>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10"/>
              <w:spacing w:after="0" w:line="251" w:lineRule="exact"/>
              <w:rPr>
                <w:sz w:val="20"/>
                <w:szCs w:val="20"/>
                <w:color w:val="auto"/>
              </w:rPr>
            </w:pPr>
            <w:r>
              <w:rPr>
                <w:rFonts w:ascii="Arial" w:cs="Arial" w:eastAsia="Arial" w:hAnsi="Arial"/>
                <w:sz w:val="18"/>
                <w:szCs w:val="18"/>
                <w:b w:val="1"/>
                <w:bCs w:val="1"/>
                <w:color w:val="auto"/>
                <w:w w:val="91"/>
              </w:rPr>
              <w:t>Monitoring</w:t>
            </w:r>
            <w:r>
              <w:rPr>
                <w:rFonts w:ascii="Arial" w:cs="Arial" w:eastAsia="Arial" w:hAnsi="Arial"/>
                <w:sz w:val="23"/>
                <w:szCs w:val="23"/>
                <w:b w:val="1"/>
                <w:bCs w:val="1"/>
                <w:color w:val="auto"/>
                <w:w w:val="91"/>
                <w:vertAlign w:val="superscript"/>
              </w:rPr>
              <w:t>(1)</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10"/>
              <w:spacing w:after="0" w:line="251"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3"/>
                <w:szCs w:val="23"/>
                <w:b w:val="1"/>
                <w:bCs w:val="1"/>
                <w:color w:val="auto"/>
                <w:w w:val="89"/>
                <w:vertAlign w:val="superscript"/>
              </w:rPr>
              <w:t>(2)</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30"/>
              <w:spacing w:after="0" w:line="251" w:lineRule="exact"/>
              <w:rPr>
                <w:sz w:val="20"/>
                <w:szCs w:val="20"/>
                <w:color w:val="auto"/>
              </w:rPr>
            </w:pPr>
            <w:r>
              <w:rPr>
                <w:rFonts w:ascii="Arial" w:cs="Arial" w:eastAsia="Arial" w:hAnsi="Arial"/>
                <w:sz w:val="18"/>
                <w:szCs w:val="18"/>
                <w:b w:val="1"/>
                <w:bCs w:val="1"/>
                <w:color w:val="auto"/>
                <w:w w:val="91"/>
              </w:rPr>
              <w:t>Monitoring</w:t>
            </w:r>
            <w:r>
              <w:rPr>
                <w:rFonts w:ascii="Arial" w:cs="Arial" w:eastAsia="Arial" w:hAnsi="Arial"/>
                <w:sz w:val="23"/>
                <w:szCs w:val="23"/>
                <w:b w:val="1"/>
                <w:bCs w:val="1"/>
                <w:color w:val="auto"/>
                <w:w w:val="91"/>
                <w:vertAlign w:val="superscript"/>
              </w:rPr>
              <w:t>(2)</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Total Loans</w:t>
            </w:r>
          </w:p>
        </w:tc>
      </w:tr>
      <w:tr>
        <w:trPr>
          <w:trHeight w:val="250"/>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549,241</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11,225</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561,616</w:t>
            </w: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Commercial:</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r>
      <w:tr>
        <w:trPr>
          <w:trHeight w:val="250"/>
        </w:trPr>
        <w:tc>
          <w:tcPr>
            <w:tcW w:w="3160" w:type="dxa"/>
            <w:vAlign w:val="bottom"/>
          </w:tcPr>
          <w:p>
            <w:pPr>
              <w:ind w:left="560"/>
              <w:spacing w:after="0"/>
              <w:rPr>
                <w:sz w:val="20"/>
                <w:szCs w:val="20"/>
                <w:color w:val="auto"/>
              </w:rPr>
            </w:pPr>
            <w:r>
              <w:rPr>
                <w:rFonts w:ascii="Arial" w:cs="Arial" w:eastAsia="Arial" w:hAnsi="Arial"/>
                <w:sz w:val="18"/>
                <w:szCs w:val="18"/>
                <w:color w:val="auto"/>
              </w:rPr>
              <w:t>Mortgage</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108,166</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108,166</w:t>
            </w:r>
          </w:p>
        </w:tc>
      </w:tr>
      <w:tr>
        <w:trPr>
          <w:trHeight w:val="263"/>
        </w:trPr>
        <w:tc>
          <w:tcPr>
            <w:tcW w:w="31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Construction</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17,874</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17,874</w:t>
            </w:r>
          </w:p>
        </w:tc>
      </w:tr>
      <w:tr>
        <w:trPr>
          <w:trHeight w:val="250"/>
        </w:trPr>
        <w:tc>
          <w:tcPr>
            <w:tcW w:w="3160" w:type="dxa"/>
            <w:vAlign w:val="bottom"/>
          </w:tcPr>
          <w:p>
            <w:pPr>
              <w:ind w:left="300"/>
              <w:spacing w:after="0"/>
              <w:rPr>
                <w:sz w:val="20"/>
                <w:szCs w:val="20"/>
                <w:color w:val="auto"/>
              </w:rPr>
            </w:pPr>
            <w:r>
              <w:rPr>
                <w:rFonts w:ascii="Arial" w:cs="Arial" w:eastAsia="Arial" w:hAnsi="Arial"/>
                <w:sz w:val="18"/>
                <w:szCs w:val="18"/>
                <w:color w:val="auto"/>
              </w:rPr>
              <w:t>Faith-based:</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Mortgage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386,169</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945</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387,114</w:t>
            </w:r>
          </w:p>
        </w:tc>
      </w:tr>
      <w:tr>
        <w:trPr>
          <w:trHeight w:val="250"/>
        </w:trPr>
        <w:tc>
          <w:tcPr>
            <w:tcW w:w="3160" w:type="dxa"/>
            <w:vAlign w:val="bottom"/>
          </w:tcPr>
          <w:p>
            <w:pPr>
              <w:ind w:left="560"/>
              <w:spacing w:after="0"/>
              <w:rPr>
                <w:sz w:val="20"/>
                <w:szCs w:val="20"/>
                <w:color w:val="auto"/>
              </w:rPr>
            </w:pPr>
            <w:r>
              <w:rPr>
                <w:rFonts w:ascii="Arial" w:cs="Arial" w:eastAsia="Arial" w:hAnsi="Arial"/>
                <w:sz w:val="18"/>
                <w:szCs w:val="18"/>
                <w:color w:val="auto"/>
              </w:rPr>
              <w:t>Construction</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8,094</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8,094</w:t>
            </w:r>
          </w:p>
        </w:tc>
      </w:tr>
      <w:tr>
        <w:trPr>
          <w:trHeight w:val="263"/>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PPP</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31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1,069,586</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12,170</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1,150</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1,082,906</w:t>
            </w:r>
          </w:p>
        </w:tc>
      </w:tr>
    </w:tbl>
    <w:p>
      <w:pPr>
        <w:spacing w:after="0" w:line="121" w:lineRule="exact"/>
        <w:rPr>
          <w:sz w:val="20"/>
          <w:szCs w:val="20"/>
          <w:color w:val="auto"/>
        </w:rPr>
      </w:pPr>
    </w:p>
    <w:p>
      <w:pPr>
        <w:ind w:left="980" w:right="40" w:hanging="941"/>
        <w:spacing w:after="0" w:line="263" w:lineRule="auto"/>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Loans subject to normal monitoring involve borrowers of acceptable-to-strong credit quality and risk and have the apparent ability to satisfy their loan obligation.</w:t>
      </w:r>
    </w:p>
    <w:p>
      <w:pPr>
        <w:spacing w:after="0" w:line="5" w:lineRule="exact"/>
        <w:rPr>
          <w:rFonts w:ascii="Arial" w:cs="Arial" w:eastAsia="Arial" w:hAnsi="Arial"/>
          <w:sz w:val="18"/>
          <w:szCs w:val="18"/>
          <w:b w:val="1"/>
          <w:bCs w:val="1"/>
          <w:color w:val="auto"/>
        </w:rPr>
      </w:pPr>
    </w:p>
    <w:p>
      <w:pPr>
        <w:ind w:left="980" w:right="40" w:hanging="941"/>
        <w:spacing w:after="0" w:line="277" w:lineRule="auto"/>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Loans subject to special monitoring possess some credit deficiency or potential weakness which requires a higher level of management attention.</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had one loan that was considered an individually evaluated credit at December 31, 2022, with no specific allowance. This loan was paid off in full in January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credit exposure of the loan portfolio by internally assigned credit grade as of December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Loans</w:t>
            </w:r>
          </w:p>
        </w:tc>
        <w:tc>
          <w:tcPr>
            <w:tcW w:w="260" w:type="dxa"/>
            <w:vAlign w:val="bottom"/>
          </w:tcPr>
          <w:p>
            <w:pPr>
              <w:spacing w:after="0"/>
              <w:rPr>
                <w:sz w:val="17"/>
                <w:szCs w:val="17"/>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Performing</w:t>
            </w:r>
          </w:p>
        </w:tc>
        <w:tc>
          <w:tcPr>
            <w:tcW w:w="280" w:type="dxa"/>
            <w:vAlign w:val="bottom"/>
          </w:tcPr>
          <w:p>
            <w:pPr>
              <w:spacing w:after="0"/>
              <w:rPr>
                <w:sz w:val="17"/>
                <w:szCs w:val="17"/>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Subject to</w:t>
            </w:r>
          </w:p>
        </w:tc>
        <w:tc>
          <w:tcPr>
            <w:tcW w:w="260" w:type="dxa"/>
            <w:vAlign w:val="bottom"/>
          </w:tcPr>
          <w:p>
            <w:pPr>
              <w:spacing w:after="0"/>
              <w:rPr>
                <w:sz w:val="18"/>
                <w:szCs w:val="18"/>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Loans Subject to</w:t>
            </w:r>
          </w:p>
        </w:tc>
        <w:tc>
          <w:tcPr>
            <w:tcW w:w="280" w:type="dxa"/>
            <w:vAlign w:val="bottom"/>
          </w:tcPr>
          <w:p>
            <w:pPr>
              <w:spacing w:after="0"/>
              <w:rPr>
                <w:sz w:val="18"/>
                <w:szCs w:val="18"/>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Loans Subject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9"/>
        </w:trPr>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center"/>
              <w:ind w:right="90"/>
              <w:spacing w:after="0" w:line="199" w:lineRule="exact"/>
              <w:rPr>
                <w:sz w:val="20"/>
                <w:szCs w:val="20"/>
                <w:color w:val="auto"/>
              </w:rPr>
            </w:pPr>
            <w:r>
              <w:rPr>
                <w:rFonts w:ascii="Arial" w:cs="Arial" w:eastAsia="Arial" w:hAnsi="Arial"/>
                <w:sz w:val="18"/>
                <w:szCs w:val="18"/>
                <w:b w:val="1"/>
                <w:bCs w:val="1"/>
                <w:color w:val="auto"/>
                <w:w w:val="96"/>
              </w:rPr>
              <w:t>Normal</w:t>
            </w:r>
          </w:p>
        </w:tc>
        <w:tc>
          <w:tcPr>
            <w:tcW w:w="260" w:type="dxa"/>
            <w:vAlign w:val="bottom"/>
          </w:tcPr>
          <w:p>
            <w:pPr>
              <w:spacing w:after="0"/>
              <w:rPr>
                <w:sz w:val="17"/>
                <w:szCs w:val="17"/>
                <w:color w:val="auto"/>
              </w:rPr>
            </w:pPr>
          </w:p>
        </w:tc>
        <w:tc>
          <w:tcPr>
            <w:tcW w:w="1640" w:type="dxa"/>
            <w:vAlign w:val="bottom"/>
          </w:tcPr>
          <w:p>
            <w:pPr>
              <w:jc w:val="center"/>
              <w:ind w:right="110"/>
              <w:spacing w:after="0" w:line="199" w:lineRule="exact"/>
              <w:rPr>
                <w:sz w:val="20"/>
                <w:szCs w:val="20"/>
                <w:color w:val="auto"/>
              </w:rPr>
            </w:pPr>
            <w:r>
              <w:rPr>
                <w:rFonts w:ascii="Arial" w:cs="Arial" w:eastAsia="Arial" w:hAnsi="Arial"/>
                <w:sz w:val="18"/>
                <w:szCs w:val="18"/>
                <w:b w:val="1"/>
                <w:bCs w:val="1"/>
                <w:color w:val="auto"/>
                <w:w w:val="88"/>
              </w:rPr>
              <w:t>Special</w:t>
            </w:r>
          </w:p>
        </w:tc>
        <w:tc>
          <w:tcPr>
            <w:tcW w:w="280" w:type="dxa"/>
            <w:vAlign w:val="bottom"/>
          </w:tcPr>
          <w:p>
            <w:pPr>
              <w:spacing w:after="0"/>
              <w:rPr>
                <w:sz w:val="17"/>
                <w:szCs w:val="17"/>
                <w:color w:val="auto"/>
              </w:rPr>
            </w:pPr>
          </w:p>
        </w:tc>
        <w:tc>
          <w:tcPr>
            <w:tcW w:w="1640" w:type="dxa"/>
            <w:vAlign w:val="bottom"/>
          </w:tcPr>
          <w:p>
            <w:pPr>
              <w:jc w:val="center"/>
              <w:ind w:right="130"/>
              <w:spacing w:after="0" w:line="199" w:lineRule="exact"/>
              <w:rPr>
                <w:sz w:val="20"/>
                <w:szCs w:val="20"/>
                <w:color w:val="auto"/>
              </w:rPr>
            </w:pPr>
            <w:r>
              <w:rPr>
                <w:rFonts w:ascii="Arial" w:cs="Arial" w:eastAsia="Arial" w:hAnsi="Arial"/>
                <w:sz w:val="18"/>
                <w:szCs w:val="18"/>
                <w:b w:val="1"/>
                <w:bCs w:val="1"/>
                <w:color w:val="auto"/>
                <w:w w:val="86"/>
              </w:rPr>
              <w:t>to Special</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10"/>
              <w:spacing w:after="0" w:line="251" w:lineRule="exact"/>
              <w:rPr>
                <w:sz w:val="20"/>
                <w:szCs w:val="20"/>
                <w:color w:val="auto"/>
              </w:rPr>
            </w:pPr>
            <w:r>
              <w:rPr>
                <w:rFonts w:ascii="Arial" w:cs="Arial" w:eastAsia="Arial" w:hAnsi="Arial"/>
                <w:sz w:val="18"/>
                <w:szCs w:val="18"/>
                <w:b w:val="1"/>
                <w:bCs w:val="1"/>
                <w:color w:val="auto"/>
                <w:w w:val="91"/>
              </w:rPr>
              <w:t>Monitoring</w:t>
            </w:r>
            <w:r>
              <w:rPr>
                <w:rFonts w:ascii="Arial" w:cs="Arial" w:eastAsia="Arial" w:hAnsi="Arial"/>
                <w:sz w:val="23"/>
                <w:szCs w:val="23"/>
                <w:b w:val="1"/>
                <w:bCs w:val="1"/>
                <w:color w:val="auto"/>
                <w:w w:val="91"/>
                <w:vertAlign w:val="superscript"/>
              </w:rPr>
              <w:t>(1)</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10"/>
              <w:spacing w:after="0" w:line="251"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3"/>
                <w:szCs w:val="23"/>
                <w:b w:val="1"/>
                <w:bCs w:val="1"/>
                <w:color w:val="auto"/>
                <w:w w:val="89"/>
                <w:vertAlign w:val="superscript"/>
              </w:rPr>
              <w:t>(2)</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30"/>
              <w:spacing w:after="0" w:line="251" w:lineRule="exact"/>
              <w:rPr>
                <w:sz w:val="20"/>
                <w:szCs w:val="20"/>
                <w:color w:val="auto"/>
              </w:rPr>
            </w:pPr>
            <w:r>
              <w:rPr>
                <w:rFonts w:ascii="Arial" w:cs="Arial" w:eastAsia="Arial" w:hAnsi="Arial"/>
                <w:sz w:val="18"/>
                <w:szCs w:val="18"/>
                <w:b w:val="1"/>
                <w:bCs w:val="1"/>
                <w:color w:val="auto"/>
                <w:w w:val="91"/>
              </w:rPr>
              <w:t>Monitoring</w:t>
            </w:r>
            <w:r>
              <w:rPr>
                <w:rFonts w:ascii="Arial" w:cs="Arial" w:eastAsia="Arial" w:hAnsi="Arial"/>
                <w:sz w:val="23"/>
                <w:szCs w:val="23"/>
                <w:b w:val="1"/>
                <w:bCs w:val="1"/>
                <w:color w:val="auto"/>
                <w:w w:val="91"/>
                <w:vertAlign w:val="superscript"/>
              </w:rPr>
              <w:t>(2)</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Total Loans</w:t>
            </w:r>
          </w:p>
        </w:tc>
      </w:tr>
      <w:tr>
        <w:trPr>
          <w:trHeight w:val="250"/>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and industrial</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440,607</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9,729</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ind w:left="1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450,336</w:t>
            </w: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Commercial:</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r>
      <w:tr>
        <w:trPr>
          <w:trHeight w:val="250"/>
        </w:trPr>
        <w:tc>
          <w:tcPr>
            <w:tcW w:w="3160" w:type="dxa"/>
            <w:vAlign w:val="bottom"/>
          </w:tcPr>
          <w:p>
            <w:pPr>
              <w:ind w:left="560"/>
              <w:spacing w:after="0"/>
              <w:rPr>
                <w:sz w:val="20"/>
                <w:szCs w:val="20"/>
                <w:color w:val="auto"/>
              </w:rPr>
            </w:pPr>
            <w:r>
              <w:rPr>
                <w:rFonts w:ascii="Arial" w:cs="Arial" w:eastAsia="Arial" w:hAnsi="Arial"/>
                <w:sz w:val="18"/>
                <w:szCs w:val="18"/>
                <w:color w:val="auto"/>
              </w:rPr>
              <w:t>Mortgage</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108,759</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108,759</w:t>
            </w:r>
          </w:p>
        </w:tc>
      </w:tr>
      <w:tr>
        <w:trPr>
          <w:trHeight w:val="263"/>
        </w:trPr>
        <w:tc>
          <w:tcPr>
            <w:tcW w:w="31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Construction</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24,797</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ind w:left="1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24,797</w:t>
            </w:r>
          </w:p>
        </w:tc>
      </w:tr>
      <w:tr>
        <w:trPr>
          <w:trHeight w:val="250"/>
        </w:trPr>
        <w:tc>
          <w:tcPr>
            <w:tcW w:w="3160" w:type="dxa"/>
            <w:vAlign w:val="bottom"/>
          </w:tcPr>
          <w:p>
            <w:pPr>
              <w:ind w:left="300"/>
              <w:spacing w:after="0"/>
              <w:rPr>
                <w:sz w:val="20"/>
                <w:szCs w:val="20"/>
                <w:color w:val="auto"/>
              </w:rPr>
            </w:pPr>
            <w:r>
              <w:rPr>
                <w:rFonts w:ascii="Arial" w:cs="Arial" w:eastAsia="Arial" w:hAnsi="Arial"/>
                <w:sz w:val="18"/>
                <w:szCs w:val="18"/>
                <w:color w:val="auto"/>
              </w:rPr>
              <w:t>Faith-based:</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1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Mortgage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352,717</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2,865</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ind w:left="1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355,582</w:t>
            </w:r>
          </w:p>
        </w:tc>
      </w:tr>
      <w:tr>
        <w:trPr>
          <w:trHeight w:val="250"/>
        </w:trPr>
        <w:tc>
          <w:tcPr>
            <w:tcW w:w="3160" w:type="dxa"/>
            <w:vAlign w:val="bottom"/>
          </w:tcPr>
          <w:p>
            <w:pPr>
              <w:ind w:left="560"/>
              <w:spacing w:after="0"/>
              <w:rPr>
                <w:sz w:val="20"/>
                <w:szCs w:val="20"/>
                <w:color w:val="auto"/>
              </w:rPr>
            </w:pPr>
            <w:r>
              <w:rPr>
                <w:rFonts w:ascii="Arial" w:cs="Arial" w:eastAsia="Arial" w:hAnsi="Arial"/>
                <w:sz w:val="18"/>
                <w:szCs w:val="18"/>
                <w:color w:val="auto"/>
              </w:rPr>
              <w:t>Construction</w:t>
            </w:r>
          </w:p>
        </w:tc>
        <w:tc>
          <w:tcPr>
            <w:tcW w:w="1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14,664</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14,664</w:t>
            </w:r>
          </w:p>
        </w:tc>
      </w:tr>
      <w:tr>
        <w:trPr>
          <w:trHeight w:val="263"/>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PPP</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6,299</w:t>
            </w:r>
          </w:p>
        </w:tc>
        <w:tc>
          <w:tcPr>
            <w:tcW w:w="26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640" w:type="dxa"/>
            <w:vAlign w:val="bottom"/>
            <w:shd w:val="clear" w:color="auto" w:fill="DBDBDB"/>
          </w:tcPr>
          <w:p>
            <w:pPr>
              <w:ind w:left="1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6,299</w:t>
            </w:r>
          </w:p>
        </w:tc>
      </w:tr>
      <w:tr>
        <w:trPr>
          <w:trHeight w:val="25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50"/>
        </w:trPr>
        <w:tc>
          <w:tcPr>
            <w:tcW w:w="31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947,973</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12,594</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DBDBDB"/>
          </w:tcPr>
          <w:p>
            <w:pPr>
              <w:ind w:left="1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960,567</w:t>
            </w:r>
          </w:p>
        </w:tc>
      </w:tr>
    </w:tbl>
    <w:p>
      <w:pPr>
        <w:spacing w:after="0" w:line="134" w:lineRule="exact"/>
        <w:rPr>
          <w:sz w:val="20"/>
          <w:szCs w:val="20"/>
          <w:color w:val="auto"/>
        </w:rPr>
      </w:pPr>
    </w:p>
    <w:p>
      <w:pPr>
        <w:ind w:left="980" w:right="20" w:hanging="954"/>
        <w:spacing w:after="0" w:line="261" w:lineRule="auto"/>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Loans subject to normal monitoring involve borrowers of acceptable-to-strong credit quality and risk and have the apparent ability to satisfy their loan obligation.</w:t>
      </w:r>
    </w:p>
    <w:p>
      <w:pPr>
        <w:spacing w:after="0" w:line="8" w:lineRule="exact"/>
        <w:rPr>
          <w:rFonts w:ascii="Arial" w:cs="Arial" w:eastAsia="Arial" w:hAnsi="Arial"/>
          <w:sz w:val="18"/>
          <w:szCs w:val="18"/>
          <w:b w:val="1"/>
          <w:bCs w:val="1"/>
          <w:color w:val="auto"/>
        </w:rPr>
      </w:pPr>
    </w:p>
    <w:p>
      <w:pPr>
        <w:ind w:left="980" w:right="20" w:hanging="954"/>
        <w:spacing w:after="0" w:line="261" w:lineRule="auto"/>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Loans subject to special monitoring possess some credit deficiency or potential weakness which requires a higher level of management attention.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loans that were considered individually evaluated credits at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 modifications considered as troubled debt restructurings during the year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ACL by category for the period ended December 31, 2022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C&amp;I</w:t>
            </w:r>
          </w:p>
        </w:tc>
        <w:tc>
          <w:tcPr>
            <w:tcW w:w="340" w:type="dxa"/>
            <w:vAlign w:val="bottom"/>
          </w:tcPr>
          <w:p>
            <w:pPr>
              <w:spacing w:after="0"/>
              <w:rPr>
                <w:sz w:val="18"/>
                <w:szCs w:val="18"/>
                <w:color w:val="auto"/>
              </w:rPr>
            </w:pPr>
          </w:p>
        </w:tc>
        <w:tc>
          <w:tcPr>
            <w:tcW w:w="9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CRE</w:t>
            </w:r>
          </w:p>
        </w:tc>
        <w:tc>
          <w:tcPr>
            <w:tcW w:w="22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Faith-based</w:t>
            </w:r>
          </w:p>
        </w:tc>
        <w:tc>
          <w:tcPr>
            <w:tcW w:w="240" w:type="dxa"/>
            <w:vAlign w:val="bottom"/>
          </w:tcPr>
          <w:p>
            <w:pPr>
              <w:spacing w:after="0"/>
              <w:rPr>
                <w:sz w:val="18"/>
                <w:szCs w:val="18"/>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4"/>
              </w:rPr>
              <w:t>Construction</w:t>
            </w:r>
          </w:p>
        </w:tc>
        <w:tc>
          <w:tcPr>
            <w:tcW w:w="340" w:type="dxa"/>
            <w:vAlign w:val="bottom"/>
          </w:tcPr>
          <w:p>
            <w:pPr>
              <w:spacing w:after="0"/>
              <w:rPr>
                <w:sz w:val="18"/>
                <w:szCs w:val="18"/>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CRE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Allowance for credit losses on loans:</w:t>
            </w:r>
          </w:p>
        </w:tc>
        <w:tc>
          <w:tcPr>
            <w:tcW w:w="8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5,034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63"/>
        </w:trPr>
        <w:tc>
          <w:tcPr>
            <w:tcW w:w="3820" w:type="dxa"/>
            <w:vAlign w:val="bottom"/>
            <w:shd w:val="clear" w:color="auto" w:fill="DBDBDB"/>
          </w:tcPr>
          <w:p>
            <w:pPr>
              <w:ind w:left="300"/>
              <w:spacing w:after="0" w:line="263" w:lineRule="exact"/>
              <w:rPr>
                <w:sz w:val="20"/>
                <w:szCs w:val="20"/>
                <w:color w:val="auto"/>
              </w:rPr>
            </w:pPr>
            <w:r>
              <w:rPr>
                <w:rFonts w:ascii="Arial" w:cs="Arial" w:eastAsia="Arial" w:hAnsi="Arial"/>
                <w:sz w:val="18"/>
                <w:szCs w:val="18"/>
                <w:color w:val="auto"/>
              </w:rPr>
              <w:t xml:space="preserve">Provision for (release of) credit losses </w:t>
            </w:r>
            <w:r>
              <w:rPr>
                <w:rFonts w:ascii="Arial" w:cs="Arial" w:eastAsia="Arial" w:hAnsi="Arial"/>
                <w:sz w:val="23"/>
                <w:szCs w:val="23"/>
                <w:color w:val="auto"/>
                <w:vertAlign w:val="superscript"/>
              </w:rPr>
              <w:t>(1)</w:t>
            </w:r>
          </w:p>
        </w:tc>
        <w:tc>
          <w:tcPr>
            <w:tcW w:w="820" w:type="dxa"/>
            <w:vAlign w:val="bottom"/>
            <w:shd w:val="clear" w:color="auto" w:fill="DBDBDB"/>
          </w:tcPr>
          <w:p>
            <w:pPr>
              <w:spacing w:after="0"/>
              <w:rPr>
                <w:sz w:val="22"/>
                <w:szCs w:val="2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931</w:t>
            </w:r>
          </w:p>
        </w:tc>
        <w:tc>
          <w:tcPr>
            <w:tcW w:w="340" w:type="dxa"/>
            <w:vAlign w:val="bottom"/>
            <w:shd w:val="clear" w:color="auto" w:fill="DBDBDB"/>
          </w:tcPr>
          <w:p>
            <w:pPr>
              <w:spacing w:after="0"/>
              <w:rPr>
                <w:sz w:val="22"/>
                <w:szCs w:val="2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Recoveries</w:t>
            </w:r>
          </w:p>
        </w:tc>
        <w:tc>
          <w:tcPr>
            <w:tcW w:w="8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at December 31, 2022</w:t>
            </w:r>
          </w:p>
        </w:tc>
        <w:tc>
          <w:tcPr>
            <w:tcW w:w="82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5,978</w:t>
            </w: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6,437</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80" w:hanging="954"/>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For the period ended December 31, 2022, there was a release of credit losses of $135,000 for unfunded commitments.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54"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ACL by category for the period ended December 31, 2021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Faith-based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C&amp;I</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CRE</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Construction</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6"/>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Allowance for credit losses on loans:</w:t>
            </w:r>
          </w:p>
        </w:tc>
        <w:tc>
          <w:tcPr>
            <w:tcW w:w="8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11,944</w:t>
            </w:r>
          </w:p>
        </w:tc>
      </w:tr>
      <w:tr>
        <w:trPr>
          <w:trHeight w:val="263"/>
        </w:trPr>
        <w:tc>
          <w:tcPr>
            <w:tcW w:w="3820" w:type="dxa"/>
            <w:vAlign w:val="bottom"/>
            <w:shd w:val="clear" w:color="auto" w:fill="DBDBDB"/>
          </w:tcPr>
          <w:p>
            <w:pPr>
              <w:ind w:left="300"/>
              <w:spacing w:after="0" w:line="263" w:lineRule="exact"/>
              <w:rPr>
                <w:sz w:val="20"/>
                <w:szCs w:val="20"/>
                <w:color w:val="auto"/>
              </w:rPr>
            </w:pPr>
            <w:r>
              <w:rPr>
                <w:rFonts w:ascii="Arial" w:cs="Arial" w:eastAsia="Arial" w:hAnsi="Arial"/>
                <w:sz w:val="18"/>
                <w:szCs w:val="18"/>
                <w:color w:val="auto"/>
              </w:rPr>
              <w:t xml:space="preserve">Provision for (release of) credit losses </w:t>
            </w:r>
            <w:r>
              <w:rPr>
                <w:rFonts w:ascii="Arial" w:cs="Arial" w:eastAsia="Arial" w:hAnsi="Arial"/>
                <w:sz w:val="23"/>
                <w:szCs w:val="23"/>
                <w:color w:val="auto"/>
                <w:vertAlign w:val="superscript"/>
              </w:rPr>
              <w:t>(1)</w:t>
            </w:r>
          </w:p>
        </w:tc>
        <w:tc>
          <w:tcPr>
            <w:tcW w:w="820" w:type="dxa"/>
            <w:vAlign w:val="bottom"/>
            <w:shd w:val="clear" w:color="auto" w:fill="DBDBDB"/>
          </w:tcPr>
          <w:p>
            <w:pPr>
              <w:spacing w:after="0"/>
              <w:rPr>
                <w:sz w:val="22"/>
                <w:szCs w:val="2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DBDBDB"/>
          </w:tcPr>
          <w:p>
            <w:pPr>
              <w:spacing w:after="0"/>
              <w:rPr>
                <w:sz w:val="22"/>
                <w:szCs w:val="2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3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Recoveries</w:t>
            </w:r>
          </w:p>
        </w:tc>
        <w:tc>
          <w:tcPr>
            <w:tcW w:w="8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38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at December 31, 2021</w:t>
            </w:r>
          </w:p>
        </w:tc>
        <w:tc>
          <w:tcPr>
            <w:tcW w:w="82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5,034</w:t>
            </w: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1,031</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5,684</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292</w:t>
            </w:r>
          </w:p>
        </w:tc>
        <w:tc>
          <w:tcPr>
            <w:tcW w:w="34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12,041</w:t>
            </w:r>
          </w:p>
        </w:tc>
      </w:tr>
    </w:tbl>
    <w:p>
      <w:pPr>
        <w:spacing w:after="0" w:line="134" w:lineRule="exact"/>
        <w:rPr>
          <w:sz w:val="20"/>
          <w:szCs w:val="20"/>
          <w:color w:val="auto"/>
        </w:rPr>
      </w:pPr>
    </w:p>
    <w:p>
      <w:pPr>
        <w:ind w:left="980" w:hanging="954"/>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For the period ended December 31, 2021, there was a release of credit losses of $200,000 for unfunded commitments.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w w:val="95"/>
              </w:rPr>
              <w:t>As of December 31, 2022 and 2021, there were no loans to executive officers or directors, or their affiliates.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4"/>
        </w:trPr>
        <w:tc>
          <w:tcPr>
            <w:tcW w:w="818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A summary of premises and equipment is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57"/>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873</w:t>
            </w:r>
          </w:p>
        </w:tc>
        <w:tc>
          <w:tcPr>
            <w:tcW w:w="60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14,903</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14,834</w:t>
            </w:r>
          </w:p>
        </w:tc>
      </w:tr>
      <w:tr>
        <w:trPr>
          <w:trHeight w:val="26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2,044</w:t>
            </w:r>
          </w:p>
        </w:tc>
        <w:tc>
          <w:tcPr>
            <w:tcW w:w="6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2,036</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14,668</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13,551</w:t>
            </w:r>
          </w:p>
        </w:tc>
      </w:tr>
      <w:tr>
        <w:trPr>
          <w:trHeight w:val="26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Purchased software</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4,648</w:t>
            </w:r>
          </w:p>
        </w:tc>
        <w:tc>
          <w:tcPr>
            <w:tcW w:w="6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4,640</w:t>
            </w: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Internally developed software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27,308</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22,665</w:t>
            </w:r>
          </w:p>
        </w:tc>
      </w:tr>
      <w:tr>
        <w:trPr>
          <w:trHeight w:val="257"/>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64,444</w:t>
            </w:r>
          </w:p>
        </w:tc>
        <w:tc>
          <w:tcPr>
            <w:tcW w:w="60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58,599</w:t>
            </w: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44,486</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40,486</w:t>
            </w:r>
          </w:p>
        </w:tc>
      </w:tr>
      <w:tr>
        <w:trPr>
          <w:trHeight w:val="250"/>
        </w:trPr>
        <w:tc>
          <w:tcPr>
            <w:tcW w:w="8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premises and equipment, net</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19,958</w:t>
            </w:r>
          </w:p>
        </w:tc>
        <w:tc>
          <w:tcPr>
            <w:tcW w:w="60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18,113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charged to expense in 2022, 2021 and 2020 amounted to $4.0 million, $4.3 million, and $4.5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Intangible Assets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intangible assets in accordance with FASB ASC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the Company acquired the assets of mobile church management software developer TouchPoint, a division of the Pursuant Group, Inc., and recorded intangible assets of $5.3 million. Those intangible assets were valued at $3.0 million for goodwill, $1.7 million for the customer list, $368,000 for software, and $183,000 for the trade name. The goodwill is deductible for tax purposes over 15 years, starting in 2022. The intangible assets and financial results of TouchPoint are included in the Information Services operating segment.</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purchase price of the acquisition consisted of cash considerations of $4.9 million and potential contingent consideration in the form of an earn out up to $2.5 million. The Company valued the contingent earn out component at $389,000. The fair value of the contingent consideration was estimated on the acquisition date as the present value of the expected future contingent payments which were determined using a Monte Carlo simulation. The contingent consideration is based upon 4 years of earnings before interest, taxes, depreciation and amortization (EBITDA) subsequent to the acquisition date. The Company and Pursuant Group, Inc. agreed to settle the contingent consideration at the determined fair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value of $389,000 during the fourth quarter of 2022. As such, there is no contingent consideration related to TouchPoint going forward.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66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24"/>
                <w:szCs w:val="24"/>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84"/>
        </w:trPr>
        <w:tc>
          <w:tcPr>
            <w:tcW w:w="5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4" w:lineRule="exact"/>
              <w:rPr>
                <w:sz w:val="20"/>
                <w:szCs w:val="20"/>
                <w:color w:val="auto"/>
              </w:rPr>
            </w:pPr>
            <w:r>
              <w:rPr>
                <w:rFonts w:ascii="Arial" w:cs="Arial" w:eastAsia="Arial" w:hAnsi="Arial"/>
                <w:sz w:val="18"/>
                <w:szCs w:val="18"/>
                <w:b w:val="1"/>
                <w:bCs w:val="1"/>
                <w:color w:val="auto"/>
                <w:w w:val="90"/>
              </w:rPr>
              <w:t>Gross Carrying</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0"/>
              <w:spacing w:after="0" w:line="184"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70"/>
              <w:spacing w:after="0" w:line="184" w:lineRule="exact"/>
              <w:rPr>
                <w:sz w:val="20"/>
                <w:szCs w:val="20"/>
                <w:color w:val="auto"/>
              </w:rPr>
            </w:pPr>
            <w:r>
              <w:rPr>
                <w:rFonts w:ascii="Arial" w:cs="Arial" w:eastAsia="Arial" w:hAnsi="Arial"/>
                <w:sz w:val="18"/>
                <w:szCs w:val="18"/>
                <w:b w:val="1"/>
                <w:bCs w:val="1"/>
                <w:color w:val="auto"/>
                <w:w w:val="91"/>
              </w:rPr>
              <w:t>Gross Carrying</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0"/>
              <w:spacing w:after="0" w:line="184" w:lineRule="exact"/>
              <w:rPr>
                <w:sz w:val="20"/>
                <w:szCs w:val="20"/>
                <w:color w:val="auto"/>
              </w:rPr>
            </w:pPr>
            <w:r>
              <w:rPr>
                <w:rFonts w:ascii="Arial" w:cs="Arial" w:eastAsia="Arial" w:hAnsi="Arial"/>
                <w:sz w:val="18"/>
                <w:szCs w:val="18"/>
                <w:b w:val="1"/>
                <w:bCs w:val="1"/>
                <w:color w:val="auto"/>
                <w:w w:val="93"/>
              </w:rPr>
              <w:t>Accumulated</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0" w:type="dxa"/>
            <w:vAlign w:val="bottom"/>
          </w:tcPr>
          <w:p>
            <w:pPr>
              <w:spacing w:after="0"/>
              <w:rPr>
                <w:sz w:val="1"/>
                <w:szCs w:val="1"/>
                <w:color w:val="auto"/>
              </w:rPr>
            </w:pPr>
          </w:p>
        </w:tc>
      </w:tr>
      <w:tr>
        <w:trPr>
          <w:trHeight w:val="250"/>
        </w:trPr>
        <w:tc>
          <w:tcPr>
            <w:tcW w:w="5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Assets eligible for amortization:</w:t>
            </w:r>
          </w:p>
        </w:tc>
        <w:tc>
          <w:tcPr>
            <w:tcW w:w="14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3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300"/>
              <w:spacing w:after="0"/>
              <w:rPr>
                <w:sz w:val="20"/>
                <w:szCs w:val="20"/>
                <w:color w:val="auto"/>
              </w:rPr>
            </w:pPr>
            <w:r>
              <w:rPr>
                <w:rFonts w:ascii="Arial" w:cs="Arial" w:eastAsia="Arial" w:hAnsi="Arial"/>
                <w:sz w:val="18"/>
                <w:szCs w:val="18"/>
                <w:color w:val="auto"/>
              </w:rPr>
              <w:t>Customer lists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63"/>
        </w:trPr>
        <w:tc>
          <w:tcPr>
            <w:tcW w:w="5020" w:type="dxa"/>
            <w:vAlign w:val="bottom"/>
            <w:shd w:val="clear" w:color="auto" w:fill="DBDBDB"/>
          </w:tcPr>
          <w:p>
            <w:pPr>
              <w:ind w:left="300"/>
              <w:spacing w:after="0"/>
              <w:rPr>
                <w:sz w:val="20"/>
                <w:szCs w:val="20"/>
                <w:color w:val="auto"/>
              </w:rPr>
            </w:pPr>
            <w:r>
              <w:rPr>
                <w:rFonts w:ascii="Arial" w:cs="Arial" w:eastAsia="Arial" w:hAnsi="Arial"/>
                <w:sz w:val="18"/>
                <w:szCs w:val="18"/>
                <w:color w:val="auto"/>
              </w:rPr>
              <w:t>Patent</w:t>
            </w:r>
          </w:p>
        </w:tc>
        <w:tc>
          <w:tcPr>
            <w:tcW w:w="14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5020" w:type="dxa"/>
            <w:vAlign w:val="bottom"/>
          </w:tcPr>
          <w:p>
            <w:pPr>
              <w:ind w:left="30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63"/>
        </w:trPr>
        <w:tc>
          <w:tcPr>
            <w:tcW w:w="5020" w:type="dxa"/>
            <w:vAlign w:val="bottom"/>
            <w:shd w:val="clear" w:color="auto" w:fill="DBDBDB"/>
          </w:tcPr>
          <w:p>
            <w:pPr>
              <w:ind w:left="30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5020" w:type="dxa"/>
            <w:vAlign w:val="bottom"/>
          </w:tcPr>
          <w:p>
            <w:pPr>
              <w:ind w:left="3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63"/>
        </w:trPr>
        <w:tc>
          <w:tcPr>
            <w:tcW w:w="5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Unamortized intangible assets:</w:t>
            </w:r>
          </w:p>
        </w:tc>
        <w:tc>
          <w:tcPr>
            <w:tcW w:w="14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14,262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27,936</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22,646</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lists are amortized over 7 to 10 years; patents over 18 years, software over 3 years to 7 years, trade name over 10 years to 20 years and other intangible assets over 15 years. Amortization of intangible assets amounted to $680,000 and $859,000 for the years ended December 31, 2022, and 2021, respectively. Estimated future amortization of intangibles is $780,000 in 2023, $738,000 in 2024, $730,000 in 2025, $582,000 in 2026, and $262,000 in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Deposits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deposits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r>
      <w:tr>
        <w:trPr>
          <w:trHeight w:val="25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56"/>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Interest-bearing demand deposits</w:t>
            </w: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567,426</w:t>
            </w:r>
          </w:p>
        </w:tc>
        <w:tc>
          <w:tcPr>
            <w:tcW w:w="60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573,567</w:t>
            </w: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Savings deposits</w:t>
            </w:r>
          </w:p>
        </w:tc>
        <w:tc>
          <w:tcPr>
            <w:tcW w:w="36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6,413</w:t>
            </w:r>
          </w:p>
        </w:tc>
        <w:tc>
          <w:tcPr>
            <w:tcW w:w="6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18,110</w:t>
            </w:r>
          </w:p>
        </w:tc>
      </w:tr>
      <w:tr>
        <w:trPr>
          <w:trHeight w:val="263"/>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Time deposits:</w:t>
            </w:r>
          </w:p>
        </w:tc>
        <w:tc>
          <w:tcPr>
            <w:tcW w:w="36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60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r>
      <w:tr>
        <w:trPr>
          <w:trHeight w:val="250"/>
        </w:trPr>
        <w:tc>
          <w:tcPr>
            <w:tcW w:w="7940" w:type="dxa"/>
            <w:vAlign w:val="bottom"/>
          </w:tcPr>
          <w:p>
            <w:pPr>
              <w:ind w:left="300"/>
              <w:spacing w:after="0"/>
              <w:rPr>
                <w:sz w:val="20"/>
                <w:szCs w:val="20"/>
                <w:color w:val="auto"/>
              </w:rPr>
            </w:pPr>
            <w:r>
              <w:rPr>
                <w:rFonts w:ascii="Arial" w:cs="Arial" w:eastAsia="Arial" w:hAnsi="Arial"/>
                <w:sz w:val="18"/>
                <w:szCs w:val="18"/>
                <w:color w:val="auto"/>
              </w:rPr>
              <w:t>Less than $100</w:t>
            </w:r>
          </w:p>
        </w:tc>
        <w:tc>
          <w:tcPr>
            <w:tcW w:w="36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2,526</w:t>
            </w:r>
          </w:p>
        </w:tc>
        <w:tc>
          <w:tcPr>
            <w:tcW w:w="6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3,536</w:t>
            </w:r>
          </w:p>
        </w:tc>
      </w:tr>
      <w:tr>
        <w:trPr>
          <w:trHeight w:val="263"/>
        </w:trPr>
        <w:tc>
          <w:tcPr>
            <w:tcW w:w="7940" w:type="dxa"/>
            <w:vAlign w:val="bottom"/>
            <w:shd w:val="clear" w:color="auto" w:fill="DBDBDB"/>
          </w:tcPr>
          <w:p>
            <w:pPr>
              <w:ind w:left="300"/>
              <w:spacing w:after="0"/>
              <w:rPr>
                <w:sz w:val="20"/>
                <w:szCs w:val="20"/>
                <w:color w:val="auto"/>
              </w:rPr>
            </w:pPr>
            <w:r>
              <w:rPr>
                <w:rFonts w:ascii="Arial" w:cs="Arial" w:eastAsia="Arial" w:hAnsi="Arial"/>
                <w:sz w:val="18"/>
                <w:szCs w:val="18"/>
                <w:color w:val="auto"/>
              </w:rPr>
              <w:t>$100 to less than $250</w:t>
            </w:r>
          </w:p>
        </w:tc>
        <w:tc>
          <w:tcPr>
            <w:tcW w:w="360" w:type="dxa"/>
            <w:vAlign w:val="bottom"/>
            <w:shd w:val="clear" w:color="auto" w:fill="DBDBDB"/>
          </w:tcPr>
          <w:p>
            <w:pPr>
              <w:spacing w:after="0"/>
              <w:rPr>
                <w:sz w:val="22"/>
                <w:szCs w:val="22"/>
                <w:color w:val="auto"/>
              </w:rPr>
            </w:pPr>
          </w:p>
        </w:tc>
        <w:tc>
          <w:tcPr>
            <w:tcW w:w="12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20,137</w:t>
            </w:r>
          </w:p>
        </w:tc>
        <w:tc>
          <w:tcPr>
            <w:tcW w:w="6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30,648</w:t>
            </w:r>
          </w:p>
        </w:tc>
      </w:tr>
      <w:tr>
        <w:trPr>
          <w:trHeight w:val="257"/>
        </w:trPr>
        <w:tc>
          <w:tcPr>
            <w:tcW w:w="7940" w:type="dxa"/>
            <w:vAlign w:val="bottom"/>
            <w:tcBorders>
              <w:bottom w:val="single" w:sz="8" w:color="auto"/>
            </w:tcBorders>
          </w:tcPr>
          <w:p>
            <w:pPr>
              <w:ind w:left="300"/>
              <w:spacing w:after="0" w:line="256" w:lineRule="exact"/>
              <w:rPr>
                <w:sz w:val="20"/>
                <w:szCs w:val="20"/>
                <w:color w:val="auto"/>
              </w:rPr>
            </w:pPr>
            <w:r>
              <w:rPr>
                <w:rFonts w:ascii="Arial" w:cs="Arial" w:eastAsia="Arial" w:hAnsi="Arial"/>
                <w:sz w:val="18"/>
                <w:szCs w:val="18"/>
                <w:color w:val="auto"/>
              </w:rPr>
              <w:t xml:space="preserve">$250 or more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17,958</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13,000</w:t>
            </w:r>
          </w:p>
        </w:tc>
      </w:tr>
      <w:tr>
        <w:trPr>
          <w:trHeight w:val="243"/>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614,460</w:t>
            </w:r>
          </w:p>
        </w:tc>
        <w:tc>
          <w:tcPr>
            <w:tcW w:w="60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638,861</w:t>
            </w:r>
          </w:p>
        </w:tc>
      </w:tr>
      <w:tr>
        <w:trPr>
          <w:trHeight w:val="25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interest rate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0.15 %</w:t>
            </w:r>
          </w:p>
        </w:tc>
      </w:tr>
    </w:tbl>
    <w:p>
      <w:pPr>
        <w:spacing w:after="0" w:line="188" w:lineRule="exact"/>
        <w:rPr>
          <w:sz w:val="20"/>
          <w:szCs w:val="20"/>
          <w:color w:val="auto"/>
        </w:rPr>
      </w:pPr>
    </w:p>
    <w:p>
      <w:pPr>
        <w:ind w:left="660" w:hanging="652"/>
        <w:spacing w:after="0" w:line="277" w:lineRule="auto"/>
        <w:tabs>
          <w:tab w:leader="none" w:pos="654"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scheduled maturities of time deposits not covered by deposit insurance consist of $17.7 million within one year and $264,000 within one to three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Interest expense consists of the following:</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6"/>
        </w:trPr>
        <w:tc>
          <w:tcPr>
            <w:tcW w:w="4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Interest-bearing demand deposits</w:t>
            </w:r>
          </w:p>
        </w:tc>
        <w:tc>
          <w:tcPr>
            <w:tcW w:w="280" w:type="dxa"/>
            <w:vAlign w:val="bottom"/>
            <w:shd w:val="clear" w:color="auto" w:fill="DBDBDB"/>
          </w:tcPr>
          <w:p>
            <w:pPr>
              <w:spacing w:after="0"/>
              <w:rPr>
                <w:sz w:val="22"/>
                <w:szCs w:val="22"/>
                <w:color w:val="auto"/>
              </w:rPr>
            </w:pPr>
          </w:p>
        </w:tc>
        <w:tc>
          <w:tcPr>
            <w:tcW w:w="16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3,118</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582</w:t>
            </w:r>
          </w:p>
        </w:tc>
        <w:tc>
          <w:tcPr>
            <w:tcW w:w="3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Savings deposits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4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Time deposits:</w:t>
            </w:r>
          </w:p>
        </w:tc>
        <w:tc>
          <w:tcPr>
            <w:tcW w:w="280" w:type="dxa"/>
            <w:vAlign w:val="bottom"/>
            <w:shd w:val="clear" w:color="auto" w:fill="DBDBDB"/>
          </w:tcPr>
          <w:p>
            <w:pPr>
              <w:spacing w:after="0"/>
              <w:rPr>
                <w:sz w:val="22"/>
                <w:szCs w:val="22"/>
                <w:color w:val="auto"/>
              </w:rPr>
            </w:pPr>
          </w:p>
        </w:tc>
        <w:tc>
          <w:tcPr>
            <w:tcW w:w="14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300"/>
              <w:spacing w:after="0"/>
              <w:rPr>
                <w:sz w:val="20"/>
                <w:szCs w:val="20"/>
                <w:color w:val="auto"/>
              </w:rPr>
            </w:pPr>
            <w:r>
              <w:rPr>
                <w:rFonts w:ascii="Arial" w:cs="Arial" w:eastAsia="Arial" w:hAnsi="Arial"/>
                <w:sz w:val="18"/>
                <w:szCs w:val="18"/>
                <w:color w:val="auto"/>
              </w:rPr>
              <w:t>Less than $100</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63"/>
        </w:trPr>
        <w:tc>
          <w:tcPr>
            <w:tcW w:w="48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$100 to less than $250</w:t>
            </w:r>
          </w:p>
        </w:tc>
        <w:tc>
          <w:tcPr>
            <w:tcW w:w="280" w:type="dxa"/>
            <w:vAlign w:val="bottom"/>
            <w:shd w:val="clear" w:color="auto" w:fill="DBDBDB"/>
          </w:tcPr>
          <w:p>
            <w:pPr>
              <w:spacing w:after="0"/>
              <w:rPr>
                <w:sz w:val="22"/>
                <w:szCs w:val="22"/>
                <w:color w:val="auto"/>
              </w:rPr>
            </w:pPr>
          </w:p>
        </w:tc>
        <w:tc>
          <w:tcPr>
            <w:tcW w:w="14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$250 or more</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spacing w:after="0"/>
              <w:rPr>
                <w:sz w:val="21"/>
                <w:szCs w:val="21"/>
                <w:color w:val="auto"/>
              </w:rPr>
            </w:pPr>
          </w:p>
        </w:tc>
        <w:tc>
          <w:tcPr>
            <w:tcW w:w="164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3,482</w:t>
            </w:r>
          </w:p>
        </w:tc>
        <w:tc>
          <w:tcPr>
            <w:tcW w:w="8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1,171</w:t>
            </w:r>
          </w:p>
        </w:tc>
        <w:tc>
          <w:tcPr>
            <w:tcW w:w="32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527"/>
        </w:trPr>
        <w:tc>
          <w:tcPr>
            <w:tcW w:w="5160" w:type="dxa"/>
            <w:vAlign w:val="bottom"/>
            <w:gridSpan w:val="2"/>
          </w:tcPr>
          <w:p>
            <w:pPr>
              <w:spacing w:after="0"/>
              <w:rPr>
                <w:sz w:val="20"/>
                <w:szCs w:val="20"/>
                <w:color w:val="auto"/>
              </w:rPr>
            </w:pPr>
            <w:r>
              <w:rPr>
                <w:rFonts w:ascii="Arial" w:cs="Arial" w:eastAsia="Arial" w:hAnsi="Arial"/>
                <w:sz w:val="18"/>
                <w:szCs w:val="18"/>
                <w:color w:val="auto"/>
                <w:w w:val="92"/>
              </w:rPr>
              <w:t>The scheduled maturities of time deposits are summarized as follows:</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5"/>
                <w:szCs w:val="15"/>
                <w:color w:val="auto"/>
              </w:rPr>
            </w:pPr>
          </w:p>
        </w:tc>
        <w:tc>
          <w:tcPr>
            <w:tcW w:w="1640" w:type="dxa"/>
            <w:vAlign w:val="bottom"/>
            <w:gridSpan w:val="2"/>
            <w:vMerge w:val="restart"/>
          </w:tcPr>
          <w:p>
            <w:pPr>
              <w:jc w:val="right"/>
              <w:ind w:right="880"/>
              <w:spacing w:after="0"/>
              <w:rPr>
                <w:sz w:val="20"/>
                <w:szCs w:val="20"/>
                <w:color w:val="auto"/>
              </w:rPr>
            </w:pPr>
            <w:r>
              <w:rPr>
                <w:rFonts w:ascii="Arial" w:cs="Arial" w:eastAsia="Arial" w:hAnsi="Arial"/>
                <w:sz w:val="18"/>
                <w:szCs w:val="18"/>
                <w:b w:val="1"/>
                <w:bCs w:val="1"/>
                <w:color w:val="auto"/>
              </w:rPr>
              <w:t>Amount</w:t>
            </w:r>
          </w:p>
        </w:tc>
        <w:tc>
          <w:tcPr>
            <w:tcW w:w="122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Percent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15"/>
                <w:szCs w:val="15"/>
                <w:color w:val="auto"/>
              </w:rPr>
            </w:pPr>
          </w:p>
        </w:tc>
        <w:tc>
          <w:tcPr>
            <w:tcW w:w="124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9"/>
        </w:trPr>
        <w:tc>
          <w:tcPr>
            <w:tcW w:w="4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vMerge w:val="continue"/>
          </w:tcPr>
          <w:p>
            <w:pPr>
              <w:spacing w:after="0"/>
              <w:rPr>
                <w:sz w:val="20"/>
                <w:szCs w:val="20"/>
                <w:color w:val="auto"/>
              </w:rPr>
            </w:pPr>
          </w:p>
        </w:tc>
        <w:tc>
          <w:tcPr>
            <w:tcW w:w="13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of Total</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of Total</w:t>
            </w:r>
          </w:p>
        </w:tc>
        <w:tc>
          <w:tcPr>
            <w:tcW w:w="0" w:type="dxa"/>
            <w:vAlign w:val="bottom"/>
          </w:tcPr>
          <w:p>
            <w:pPr>
              <w:spacing w:after="0"/>
              <w:rPr>
                <w:sz w:val="1"/>
                <w:szCs w:val="1"/>
                <w:color w:val="auto"/>
              </w:rPr>
            </w:pPr>
          </w:p>
        </w:tc>
      </w:tr>
      <w:tr>
        <w:trPr>
          <w:trHeight w:val="254"/>
        </w:trPr>
        <w:tc>
          <w:tcPr>
            <w:tcW w:w="4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Due within:</w:t>
            </w:r>
          </w:p>
        </w:tc>
        <w:tc>
          <w:tcPr>
            <w:tcW w:w="280" w:type="dxa"/>
            <w:vAlign w:val="bottom"/>
            <w:shd w:val="clear" w:color="auto" w:fill="DBDBDB"/>
          </w:tcPr>
          <w:p>
            <w:pPr>
              <w:spacing w:after="0"/>
              <w:rPr>
                <w:sz w:val="22"/>
                <w:szCs w:val="22"/>
                <w:color w:val="auto"/>
              </w:rPr>
            </w:pPr>
          </w:p>
        </w:tc>
        <w:tc>
          <w:tcPr>
            <w:tcW w:w="14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300"/>
              <w:spacing w:after="0"/>
              <w:rPr>
                <w:sz w:val="20"/>
                <w:szCs w:val="20"/>
                <w:color w:val="auto"/>
              </w:rPr>
            </w:pPr>
            <w:r>
              <w:rPr>
                <w:rFonts w:ascii="Arial" w:cs="Arial" w:eastAsia="Arial" w:hAnsi="Arial"/>
                <w:sz w:val="18"/>
                <w:szCs w:val="18"/>
                <w:color w:val="auto"/>
              </w:rPr>
              <w:t>One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37,925</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93.4 %</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30,855</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65.4 %</w:t>
            </w:r>
          </w:p>
        </w:tc>
        <w:tc>
          <w:tcPr>
            <w:tcW w:w="0" w:type="dxa"/>
            <w:vAlign w:val="bottom"/>
          </w:tcPr>
          <w:p>
            <w:pPr>
              <w:spacing w:after="0"/>
              <w:rPr>
                <w:sz w:val="1"/>
                <w:szCs w:val="1"/>
                <w:color w:val="auto"/>
              </w:rPr>
            </w:pPr>
          </w:p>
        </w:tc>
      </w:tr>
      <w:tr>
        <w:trPr>
          <w:trHeight w:val="263"/>
        </w:trPr>
        <w:tc>
          <w:tcPr>
            <w:tcW w:w="48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Two years</w:t>
            </w:r>
          </w:p>
        </w:tc>
        <w:tc>
          <w:tcPr>
            <w:tcW w:w="280" w:type="dxa"/>
            <w:vAlign w:val="bottom"/>
            <w:shd w:val="clear" w:color="auto" w:fill="DBDBDB"/>
          </w:tcPr>
          <w:p>
            <w:pPr>
              <w:spacing w:after="0"/>
              <w:rPr>
                <w:sz w:val="22"/>
                <w:szCs w:val="22"/>
                <w:color w:val="auto"/>
              </w:rPr>
            </w:pPr>
          </w:p>
        </w:tc>
        <w:tc>
          <w:tcPr>
            <w:tcW w:w="1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15,061</w:t>
            </w:r>
          </w:p>
        </w:tc>
        <w:tc>
          <w:tcPr>
            <w:tcW w:w="32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50"/>
        </w:trPr>
        <w:tc>
          <w:tcPr>
            <w:tcW w:w="4880" w:type="dxa"/>
            <w:vAlign w:val="bottom"/>
          </w:tcPr>
          <w:p>
            <w:pPr>
              <w:ind w:left="300"/>
              <w:spacing w:after="0"/>
              <w:rPr>
                <w:sz w:val="20"/>
                <w:szCs w:val="20"/>
                <w:color w:val="auto"/>
              </w:rPr>
            </w:pPr>
            <w:r>
              <w:rPr>
                <w:rFonts w:ascii="Arial" w:cs="Arial" w:eastAsia="Arial" w:hAnsi="Arial"/>
                <w:sz w:val="18"/>
                <w:szCs w:val="18"/>
                <w:color w:val="auto"/>
              </w:rPr>
              <w:t>Three years</w:t>
            </w:r>
          </w:p>
        </w:tc>
        <w:tc>
          <w:tcPr>
            <w:tcW w:w="28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1,205</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63"/>
        </w:trPr>
        <w:tc>
          <w:tcPr>
            <w:tcW w:w="48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Four years</w:t>
            </w:r>
          </w:p>
        </w:tc>
        <w:tc>
          <w:tcPr>
            <w:tcW w:w="280" w:type="dxa"/>
            <w:vAlign w:val="bottom"/>
            <w:shd w:val="clear" w:color="auto" w:fill="DBDBDB"/>
          </w:tcPr>
          <w:p>
            <w:pPr>
              <w:spacing w:after="0"/>
              <w:rPr>
                <w:sz w:val="22"/>
                <w:szCs w:val="22"/>
                <w:color w:val="auto"/>
              </w:rPr>
            </w:pPr>
          </w:p>
        </w:tc>
        <w:tc>
          <w:tcPr>
            <w:tcW w:w="1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Five years</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rPr>
              <w:t>40,621</w:t>
            </w:r>
          </w:p>
        </w:tc>
        <w:tc>
          <w:tcPr>
            <w:tcW w:w="2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auto"/>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47,184</w:t>
            </w:r>
          </w:p>
        </w:tc>
        <w:tc>
          <w:tcPr>
            <w:tcW w:w="3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Unused Available Lines of Credit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the Bank had unsecured lines of credit at six correspondent banks to purchase federal funds up to a maximum of $83.0 million in aggregate. As of December 31, 2022, the Bank had secured lines of credit with the Federal Home Loan Bank of $237.8 million collateralized by commercial mortgage loans. At December 31, 2022, the Company had lines of credit from three banks up to a maximum of $200.0 million in aggregate collateralized by state and political subdivision securities. There were no amounts outstanding at December 31, 2022, and 2021 under any of the lines of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Earnings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activity in the outstanding shares of the Company’s common stock during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0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7"/>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outstanding at January 1</w:t>
            </w:r>
          </w:p>
        </w:tc>
        <w:tc>
          <w:tcPr>
            <w:tcW w:w="4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13,734,295</w:t>
            </w: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4540" w:type="dxa"/>
            <w:vAlign w:val="bottom"/>
          </w:tcPr>
          <w:p>
            <w:pPr>
              <w:spacing w:after="0"/>
              <w:rPr>
                <w:sz w:val="21"/>
                <w:szCs w:val="21"/>
                <w:color w:val="auto"/>
              </w:rPr>
            </w:pPr>
          </w:p>
        </w:tc>
      </w:tr>
      <w:tr>
        <w:trPr>
          <w:trHeight w:val="263"/>
        </w:trPr>
        <w:tc>
          <w:tcPr>
            <w:tcW w:w="67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Employee restricted stock grants</w:t>
            </w:r>
          </w:p>
        </w:tc>
        <w:tc>
          <w:tcPr>
            <w:tcW w:w="4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18,160</w:t>
            </w:r>
          </w:p>
        </w:tc>
      </w:tr>
      <w:tr>
        <w:trPr>
          <w:trHeight w:val="250"/>
        </w:trPr>
        <w:tc>
          <w:tcPr>
            <w:tcW w:w="6700" w:type="dxa"/>
            <w:vAlign w:val="bottom"/>
          </w:tcPr>
          <w:p>
            <w:pPr>
              <w:ind w:left="300"/>
              <w:spacing w:after="0"/>
              <w:rPr>
                <w:sz w:val="20"/>
                <w:szCs w:val="20"/>
                <w:color w:val="auto"/>
              </w:rPr>
            </w:pPr>
            <w:r>
              <w:rPr>
                <w:rFonts w:ascii="Arial" w:cs="Arial" w:eastAsia="Arial" w:hAnsi="Arial"/>
                <w:sz w:val="18"/>
                <w:szCs w:val="18"/>
                <w:color w:val="auto"/>
              </w:rPr>
              <w:t>Employee restricted stock units vested</w:t>
            </w:r>
          </w:p>
        </w:tc>
        <w:tc>
          <w:tcPr>
            <w:tcW w:w="45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63"/>
        </w:trPr>
        <w:tc>
          <w:tcPr>
            <w:tcW w:w="67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Performance-based stock vested</w:t>
            </w:r>
          </w:p>
        </w:tc>
        <w:tc>
          <w:tcPr>
            <w:tcW w:w="4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11,029</w:t>
            </w:r>
          </w:p>
        </w:tc>
      </w:tr>
      <w:tr>
        <w:trPr>
          <w:trHeight w:val="250"/>
        </w:trPr>
        <w:tc>
          <w:tcPr>
            <w:tcW w:w="6700" w:type="dxa"/>
            <w:vAlign w:val="bottom"/>
          </w:tcPr>
          <w:p>
            <w:pPr>
              <w:ind w:left="300"/>
              <w:spacing w:after="0"/>
              <w:rPr>
                <w:sz w:val="20"/>
                <w:szCs w:val="20"/>
                <w:color w:val="auto"/>
              </w:rPr>
            </w:pPr>
            <w:r>
              <w:rPr>
                <w:rFonts w:ascii="Arial" w:cs="Arial" w:eastAsia="Arial" w:hAnsi="Arial"/>
                <w:sz w:val="18"/>
                <w:szCs w:val="18"/>
                <w:color w:val="auto"/>
              </w:rPr>
              <w:t>Employee SARs exercised</w:t>
            </w:r>
          </w:p>
        </w:tc>
        <w:tc>
          <w:tcPr>
            <w:tcW w:w="4540" w:type="dxa"/>
            <w:vAlign w:val="bottom"/>
          </w:tcPr>
          <w:p>
            <w:pPr>
              <w:jc w:val="right"/>
              <w:spacing w:after="0"/>
              <w:rPr>
                <w:sz w:val="20"/>
                <w:szCs w:val="20"/>
                <w:color w:val="auto"/>
              </w:rPr>
            </w:pPr>
            <w:r>
              <w:rPr>
                <w:rFonts w:ascii="Arial" w:cs="Arial" w:eastAsia="Arial" w:hAnsi="Arial"/>
                <w:sz w:val="18"/>
                <w:szCs w:val="18"/>
                <w:color w:val="auto"/>
              </w:rPr>
              <w:t>12,668</w:t>
            </w:r>
          </w:p>
        </w:tc>
      </w:tr>
      <w:tr>
        <w:trPr>
          <w:trHeight w:val="263"/>
        </w:trPr>
        <w:tc>
          <w:tcPr>
            <w:tcW w:w="67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Directors’ stock grants</w:t>
            </w:r>
          </w:p>
        </w:tc>
        <w:tc>
          <w:tcPr>
            <w:tcW w:w="4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22,699</w:t>
            </w: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4540" w:type="dxa"/>
            <w:vAlign w:val="bottom"/>
          </w:tcPr>
          <w:p>
            <w:pPr>
              <w:jc w:val="right"/>
              <w:spacing w:after="0"/>
              <w:rPr>
                <w:sz w:val="20"/>
                <w:szCs w:val="20"/>
                <w:color w:val="auto"/>
              </w:rPr>
            </w:pPr>
            <w:r>
              <w:rPr>
                <w:rFonts w:ascii="Arial" w:cs="Arial" w:eastAsia="Arial" w:hAnsi="Arial"/>
                <w:sz w:val="18"/>
                <w:szCs w:val="18"/>
                <w:color w:val="auto"/>
              </w:rPr>
              <w:t>(130,374)</w:t>
            </w:r>
          </w:p>
        </w:tc>
      </w:tr>
      <w:tr>
        <w:trPr>
          <w:trHeight w:val="257"/>
        </w:trPr>
        <w:tc>
          <w:tcPr>
            <w:tcW w:w="67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Shares forfeited</w:t>
            </w:r>
          </w:p>
        </w:tc>
        <w:tc>
          <w:tcPr>
            <w:tcW w:w="4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(823)</w:t>
            </w:r>
          </w:p>
        </w:tc>
      </w:tr>
      <w:tr>
        <w:trPr>
          <w:trHeight w:val="25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outstanding at December 31</w:t>
            </w: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13,669,656</w:t>
            </w: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earnings per share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360" w:type="dxa"/>
            <w:vAlign w:val="bottom"/>
            <w:shd w:val="clear" w:color="auto" w:fill="DBDBDB"/>
          </w:tcPr>
          <w:p>
            <w:pPr>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34,904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25,176</w:t>
            </w:r>
          </w:p>
        </w:tc>
        <w:tc>
          <w:tcPr>
            <w:tcW w:w="2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5360" w:type="dxa"/>
            <w:vAlign w:val="bottom"/>
            <w:shd w:val="clear" w:color="auto" w:fill="DBDBDB"/>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66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13,552,503</w:t>
            </w: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14,091,773</w:t>
            </w: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14,364,406</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3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Basic earnings per share</w:t>
            </w: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360" w:type="dxa"/>
            <w:vAlign w:val="bottom"/>
            <w:shd w:val="clear" w:color="auto" w:fill="DBDBDB"/>
          </w:tcPr>
          <w:p>
            <w:pPr>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34,904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25,176</w:t>
            </w:r>
          </w:p>
        </w:tc>
        <w:tc>
          <w:tcPr>
            <w:tcW w:w="2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5360" w:type="dxa"/>
            <w:vAlign w:val="bottom"/>
            <w:shd w:val="clear" w:color="auto" w:fill="DBDBDB"/>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66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13,552,503</w:t>
            </w: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14,091,773</w:t>
            </w: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14,364,406</w:t>
            </w:r>
          </w:p>
        </w:tc>
        <w:tc>
          <w:tcPr>
            <w:tcW w:w="20" w:type="dxa"/>
            <w:vAlign w:val="bottom"/>
          </w:tcPr>
          <w:p>
            <w:pPr>
              <w:spacing w:after="0"/>
              <w:rPr>
                <w:sz w:val="22"/>
                <w:szCs w:val="22"/>
                <w:color w:val="auto"/>
              </w:rPr>
            </w:pPr>
          </w:p>
        </w:tc>
      </w:tr>
      <w:tr>
        <w:trPr>
          <w:trHeight w:val="215"/>
        </w:trPr>
        <w:tc>
          <w:tcPr>
            <w:tcW w:w="4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w w:val="92"/>
              </w:rPr>
              <w:t>Effect of dilutive restricted stock, performance based restricted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(“PBRS”), and SARs</w:t>
            </w:r>
          </w:p>
        </w:tc>
        <w:tc>
          <w:tcPr>
            <w:tcW w:w="1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255,526</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202,541</w:t>
            </w:r>
          </w:p>
        </w:tc>
        <w:tc>
          <w:tcPr>
            <w:tcW w:w="2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5360" w:type="dxa"/>
            <w:vAlign w:val="bottom"/>
            <w:shd w:val="clear" w:color="auto" w:fill="DBDBDB"/>
          </w:tcPr>
          <w:p>
            <w:pPr>
              <w:ind w:left="280"/>
              <w:spacing w:after="0"/>
              <w:rPr>
                <w:sz w:val="20"/>
                <w:szCs w:val="20"/>
                <w:color w:val="auto"/>
              </w:rPr>
            </w:pPr>
            <w:r>
              <w:rPr>
                <w:rFonts w:ascii="Arial" w:cs="Arial" w:eastAsia="Arial" w:hAnsi="Arial"/>
                <w:sz w:val="18"/>
                <w:szCs w:val="18"/>
                <w:color w:val="auto"/>
                <w:w w:val="97"/>
              </w:rPr>
              <w:t>Weighted average common shares outstanding assuming dilution</w:t>
            </w:r>
          </w:p>
        </w:tc>
        <w:tc>
          <w:tcPr>
            <w:tcW w:w="1660" w:type="dxa"/>
            <w:vAlign w:val="bottom"/>
            <w:shd w:val="clear" w:color="auto" w:fill="DBDBDB"/>
          </w:tcPr>
          <w:p>
            <w:pPr>
              <w:spacing w:after="0"/>
              <w:rPr>
                <w:sz w:val="22"/>
                <w:szCs w:val="2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13,808,029</w:t>
            </w:r>
          </w:p>
        </w:tc>
        <w:tc>
          <w:tcPr>
            <w:tcW w:w="24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14,329,876</w:t>
            </w: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14,566,947</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3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Diluted earnings per share</w:t>
            </w: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1"/>
                <w:szCs w:val="21"/>
                <w:color w:val="auto"/>
              </w:rPr>
            </w:pPr>
          </w:p>
        </w:tc>
      </w:tr>
      <w:tr>
        <w:trPr>
          <w:trHeight w:val="904"/>
        </w:trPr>
        <w:tc>
          <w:tcPr>
            <w:tcW w:w="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60" w:type="dxa"/>
            <w:vAlign w:val="bottom"/>
          </w:tcPr>
          <w:p>
            <w:pPr>
              <w:jc w:val="right"/>
              <w:ind w:right="1250"/>
              <w:spacing w:after="0"/>
              <w:rPr>
                <w:sz w:val="20"/>
                <w:szCs w:val="20"/>
                <w:color w:val="auto"/>
              </w:rPr>
            </w:pPr>
            <w:r>
              <w:rPr>
                <w:rFonts w:ascii="Arial" w:cs="Arial" w:eastAsia="Arial" w:hAnsi="Arial"/>
                <w:sz w:val="18"/>
                <w:szCs w:val="18"/>
                <w:color w:val="auto"/>
              </w:rPr>
              <w:t>57</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53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noncontributory defined-benefit pension plan (the “Plan”), which covers eligible employees. Effective December 31, 2016, the Plan was closed to all new participants. Additionally, the Company froze the benefits of the Plan as of February 28, 2021. As such, subsequent to February 28, 2021, there is no service cost associated with the Plan.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activity in the Plan’s projected benefit obligation, assets, funded status and amounts recognized in the Company’s consolidated balance sheets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7"/>
        </w:trPr>
        <w:tc>
          <w:tcPr>
            <w:tcW w:w="5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Projected benefit obligation:</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5360" w:type="dxa"/>
            <w:vAlign w:val="bottom"/>
          </w:tcPr>
          <w:p>
            <w:pPr>
              <w:ind w:left="300"/>
              <w:spacing w:after="0"/>
              <w:rPr>
                <w:sz w:val="20"/>
                <w:szCs w:val="20"/>
                <w:color w:val="auto"/>
              </w:rPr>
            </w:pPr>
            <w:r>
              <w:rPr>
                <w:rFonts w:ascii="Arial" w:cs="Arial" w:eastAsia="Arial" w:hAnsi="Arial"/>
                <w:sz w:val="18"/>
                <w:szCs w:val="18"/>
                <w:color w:val="auto"/>
              </w:rPr>
              <w:t>Balance, January 1</w:t>
            </w:r>
          </w:p>
        </w:tc>
        <w:tc>
          <w:tcPr>
            <w:tcW w:w="3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117,323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122,035</w:t>
            </w:r>
          </w:p>
        </w:tc>
      </w:tr>
      <w:tr>
        <w:trPr>
          <w:trHeight w:val="263"/>
        </w:trPr>
        <w:tc>
          <w:tcPr>
            <w:tcW w:w="53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Service cost</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1,002</w:t>
            </w:r>
          </w:p>
        </w:tc>
      </w:tr>
      <w:tr>
        <w:trPr>
          <w:trHeight w:val="250"/>
        </w:trPr>
        <w:tc>
          <w:tcPr>
            <w:tcW w:w="5360" w:type="dxa"/>
            <w:vAlign w:val="bottom"/>
          </w:tcPr>
          <w:p>
            <w:pPr>
              <w:ind w:left="300"/>
              <w:spacing w:after="0"/>
              <w:rPr>
                <w:sz w:val="20"/>
                <w:szCs w:val="20"/>
                <w:color w:val="auto"/>
              </w:rPr>
            </w:pPr>
            <w:r>
              <w:rPr>
                <w:rFonts w:ascii="Arial" w:cs="Arial" w:eastAsia="Arial" w:hAnsi="Arial"/>
                <w:sz w:val="18"/>
                <w:szCs w:val="18"/>
                <w:color w:val="auto"/>
              </w:rPr>
              <w:t>Interest cost</w:t>
            </w:r>
          </w:p>
        </w:tc>
        <w:tc>
          <w:tcPr>
            <w:tcW w:w="3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3,293</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3,076</w:t>
            </w:r>
          </w:p>
        </w:tc>
      </w:tr>
      <w:tr>
        <w:trPr>
          <w:trHeight w:val="263"/>
        </w:trPr>
        <w:tc>
          <w:tcPr>
            <w:tcW w:w="53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Actuarial gain</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(31,982)</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(5,822)</w:t>
            </w:r>
          </w:p>
        </w:tc>
      </w:tr>
      <w:tr>
        <w:trPr>
          <w:trHeight w:val="250"/>
        </w:trPr>
        <w:tc>
          <w:tcPr>
            <w:tcW w:w="53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Benefits paid</w:t>
            </w:r>
          </w:p>
        </w:tc>
        <w:tc>
          <w:tcPr>
            <w:tcW w:w="3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50"/>
        </w:trPr>
        <w:tc>
          <w:tcPr>
            <w:tcW w:w="53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December 31</w:t>
            </w:r>
          </w:p>
        </w:tc>
        <w:tc>
          <w:tcPr>
            <w:tcW w:w="31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85,433</w:t>
            </w:r>
          </w:p>
        </w:tc>
        <w:tc>
          <w:tcPr>
            <w:tcW w:w="4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117,323</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Plan assets:</w:t>
            </w:r>
          </w:p>
        </w:tc>
        <w:tc>
          <w:tcPr>
            <w:tcW w:w="3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3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Fair value, January 1</w:t>
            </w:r>
          </w:p>
        </w:tc>
        <w:tc>
          <w:tcPr>
            <w:tcW w:w="3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114,136</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106,667</w:t>
            </w:r>
          </w:p>
        </w:tc>
      </w:tr>
      <w:tr>
        <w:trPr>
          <w:trHeight w:val="250"/>
        </w:trPr>
        <w:tc>
          <w:tcPr>
            <w:tcW w:w="5360" w:type="dxa"/>
            <w:vAlign w:val="bottom"/>
          </w:tcPr>
          <w:p>
            <w:pPr>
              <w:ind w:left="300"/>
              <w:spacing w:after="0"/>
              <w:rPr>
                <w:sz w:val="20"/>
                <w:szCs w:val="20"/>
                <w:color w:val="auto"/>
              </w:rPr>
            </w:pPr>
            <w:r>
              <w:rPr>
                <w:rFonts w:ascii="Arial" w:cs="Arial" w:eastAsia="Arial" w:hAnsi="Arial"/>
                <w:sz w:val="18"/>
                <w:szCs w:val="18"/>
                <w:color w:val="auto"/>
              </w:rPr>
              <w:t>Actual investment return</w:t>
            </w:r>
          </w:p>
        </w:tc>
        <w:tc>
          <w:tcPr>
            <w:tcW w:w="3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(26,820)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10,107</w:t>
            </w:r>
          </w:p>
        </w:tc>
      </w:tr>
      <w:tr>
        <w:trPr>
          <w:trHeight w:val="263"/>
        </w:trPr>
        <w:tc>
          <w:tcPr>
            <w:tcW w:w="53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Employer contribution</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w:t>
            </w:r>
          </w:p>
        </w:tc>
      </w:tr>
      <w:tr>
        <w:trPr>
          <w:trHeight w:val="250"/>
        </w:trPr>
        <w:tc>
          <w:tcPr>
            <w:tcW w:w="5360" w:type="dxa"/>
            <w:vAlign w:val="bottom"/>
          </w:tcPr>
          <w:p>
            <w:pPr>
              <w:ind w:left="300"/>
              <w:spacing w:after="0"/>
              <w:rPr>
                <w:sz w:val="20"/>
                <w:szCs w:val="20"/>
                <w:color w:val="auto"/>
              </w:rPr>
            </w:pPr>
            <w:r>
              <w:rPr>
                <w:rFonts w:ascii="Arial" w:cs="Arial" w:eastAsia="Arial" w:hAnsi="Arial"/>
                <w:sz w:val="18"/>
                <w:szCs w:val="18"/>
                <w:color w:val="auto"/>
              </w:rPr>
              <w:t>Expenses paid from plan assets</w:t>
            </w:r>
          </w:p>
        </w:tc>
        <w:tc>
          <w:tcPr>
            <w:tcW w:w="3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8"/>
                <w:szCs w:val="18"/>
                <w:color w:val="auto"/>
              </w:rPr>
              <w:t>Benefits paid</w:t>
            </w:r>
          </w:p>
        </w:tc>
        <w:tc>
          <w:tcPr>
            <w:tcW w:w="316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(3,201)</w:t>
            </w:r>
          </w:p>
        </w:tc>
        <w:tc>
          <w:tcPr>
            <w:tcW w:w="4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(2,968)</w:t>
            </w:r>
          </w:p>
        </w:tc>
      </w:tr>
      <w:tr>
        <w:trPr>
          <w:trHeight w:val="25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December 31</w:t>
            </w:r>
          </w:p>
        </w:tc>
        <w:tc>
          <w:tcPr>
            <w:tcW w:w="3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83,394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114,136</w:t>
            </w:r>
          </w:p>
        </w:tc>
      </w:tr>
      <w:tr>
        <w:trPr>
          <w:trHeight w:val="257"/>
        </w:trPr>
        <w:tc>
          <w:tcPr>
            <w:tcW w:w="5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Funded status:</w:t>
            </w:r>
          </w:p>
        </w:tc>
        <w:tc>
          <w:tcPr>
            <w:tcW w:w="316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pension liability</w:t>
            </w:r>
          </w:p>
        </w:tc>
        <w:tc>
          <w:tcPr>
            <w:tcW w:w="3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represent the major assumptions used to determine the projected benefit obligation of the Plan. For 2022, 2021 and 2020, the Plan’s expected benefit cash flows were discounted using the FTSE Above Median Double-A Curve. For 2022, the Pri-2012 Mortality Table and MP-2022 Mortality Improvement Scale were used. For 2021, the Pri-2012 Mortality Table and MP-2021 Mortality Improvement Scale were used. For 2020, the Pri-2012 Mortality Table and MP-2020 Mortality Improvement Scale were used.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6"/>
        </w:trPr>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discount rate</w:t>
            </w:r>
          </w:p>
        </w:tc>
        <w:tc>
          <w:tcPr>
            <w:tcW w:w="168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6"/>
              </w:rPr>
              <w:t>5.25 %</w:t>
            </w:r>
          </w:p>
        </w:tc>
        <w:tc>
          <w:tcPr>
            <w:tcW w:w="9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2"/>
              </w:rPr>
              <w:t>2.85 %</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2.55 %</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680" w:type="dxa"/>
            <w:vAlign w:val="bottom"/>
          </w:tcPr>
          <w:p>
            <w:pPr>
              <w:jc w:val="right"/>
              <w:ind w:right="103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(a)</w:t>
            </w:r>
          </w:p>
        </w:tc>
        <w:tc>
          <w:tcPr>
            <w:tcW w:w="1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310"/>
        </w:trPr>
        <w:tc>
          <w:tcPr>
            <w:tcW w:w="7320" w:type="dxa"/>
            <w:vAlign w:val="bottom"/>
          </w:tcPr>
          <w:p>
            <w:pPr>
              <w:spacing w:after="0"/>
              <w:rPr>
                <w:sz w:val="20"/>
                <w:szCs w:val="20"/>
                <w:color w:val="auto"/>
              </w:rPr>
            </w:pPr>
            <w:r>
              <w:rPr>
                <w:rFonts w:ascii="Arial" w:cs="Arial" w:eastAsia="Arial" w:hAnsi="Arial"/>
                <w:sz w:val="18"/>
                <w:szCs w:val="18"/>
                <w:color w:val="auto"/>
              </w:rPr>
              <w:t>(a)  6.0% graded down to 3.25% over the first seven years of service.</w:t>
            </w: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benefit obligation was $85.4 million and $117.3 million as of December 31, 2022 and 2021, respectively. The Company made no contribution of during 2022, while in 2021 there was a contribution of $330,000 made to the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determined if it will make a contribution to the Plan in 2023. The following pension benefit payments, as appropriate, are expected to be paid by the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57"/>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4,193,000</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4,436,000</w:t>
            </w: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4,636,000</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4,844,000</w:t>
            </w: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5,048,000</w:t>
            </w:r>
          </w:p>
        </w:tc>
      </w:tr>
      <w:tr>
        <w:trPr>
          <w:trHeight w:val="25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2026-2030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27,845,000</w:t>
            </w:r>
          </w:p>
        </w:tc>
      </w:tr>
      <w:tr>
        <w:trPr>
          <w:trHeight w:val="527"/>
        </w:trPr>
        <w:tc>
          <w:tcPr>
            <w:tcW w:w="6600" w:type="dxa"/>
            <w:vAlign w:val="bottom"/>
          </w:tcPr>
          <w:p>
            <w:pPr>
              <w:spacing w:after="0"/>
              <w:rPr>
                <w:sz w:val="20"/>
                <w:szCs w:val="20"/>
                <w:color w:val="auto"/>
              </w:rPr>
            </w:pPr>
            <w:r>
              <w:rPr>
                <w:rFonts w:ascii="Arial" w:cs="Arial" w:eastAsia="Arial" w:hAnsi="Arial"/>
                <w:sz w:val="18"/>
                <w:szCs w:val="18"/>
                <w:color w:val="auto"/>
              </w:rPr>
              <w:t>The Plan’s (benefit) pension cost included the following components: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Year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9"/>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48"/>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7"/>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 – benefits earned during the year</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1,002</w:t>
            </w:r>
          </w:p>
        </w:tc>
        <w:tc>
          <w:tcPr>
            <w:tcW w:w="3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4,329</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3,293</w:t>
            </w:r>
          </w:p>
        </w:tc>
        <w:tc>
          <w:tcPr>
            <w:tcW w:w="2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3,076</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3,908</w:t>
            </w: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(5,857)</w:t>
            </w:r>
          </w:p>
        </w:tc>
        <w:tc>
          <w:tcPr>
            <w:tcW w:w="240" w:type="dxa"/>
            <w:vAlign w:val="bottom"/>
            <w:shd w:val="clear" w:color="auto" w:fill="DBDBDB"/>
          </w:tcPr>
          <w:p>
            <w:pPr>
              <w:spacing w:after="0"/>
              <w:rPr>
                <w:sz w:val="22"/>
                <w:szCs w:val="22"/>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(6,310)</w:t>
            </w:r>
          </w:p>
        </w:tc>
        <w:tc>
          <w:tcPr>
            <w:tcW w:w="30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(6,049)</w:t>
            </w:r>
          </w:p>
        </w:tc>
      </w:tr>
      <w:tr>
        <w:trPr>
          <w:trHeight w:val="25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amortization and deferral</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r>
      <w:tr>
        <w:trPr>
          <w:trHeight w:val="250"/>
        </w:trPr>
        <w:tc>
          <w:tcPr>
            <w:tcW w:w="6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pension cost</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(2,564)</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(1,839)</w:t>
            </w:r>
          </w:p>
        </w:tc>
        <w:tc>
          <w:tcPr>
            <w:tcW w:w="30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4,134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 the major assumptions used to determine the net (benefit) pension cost of the Plan: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6"/>
        </w:trPr>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discount rate</w:t>
            </w:r>
          </w:p>
        </w:tc>
        <w:tc>
          <w:tcPr>
            <w:tcW w:w="168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6"/>
              </w:rPr>
              <w:t>2.85 %</w:t>
            </w:r>
          </w:p>
        </w:tc>
        <w:tc>
          <w:tcPr>
            <w:tcW w:w="9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2"/>
              </w:rPr>
              <w:t>2.55 %</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3.30 %</w:t>
            </w: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680" w:type="dxa"/>
            <w:vAlign w:val="bottom"/>
          </w:tcPr>
          <w:p>
            <w:pPr>
              <w:jc w:val="right"/>
              <w:ind w:right="103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(a )</w:t>
            </w:r>
          </w:p>
        </w:tc>
        <w:tc>
          <w:tcPr>
            <w:tcW w:w="1340" w:type="dxa"/>
            <w:vAlign w:val="bottom"/>
          </w:tcPr>
          <w:p>
            <w:pPr>
              <w:jc w:val="right"/>
              <w:spacing w:after="0"/>
              <w:rPr>
                <w:sz w:val="20"/>
                <w:szCs w:val="20"/>
                <w:color w:val="auto"/>
              </w:rPr>
            </w:pPr>
            <w:r>
              <w:rPr>
                <w:rFonts w:ascii="Arial" w:cs="Arial" w:eastAsia="Arial" w:hAnsi="Arial"/>
                <w:sz w:val="18"/>
                <w:szCs w:val="18"/>
                <w:color w:val="auto"/>
              </w:rPr>
              <w:t>(a )</w:t>
            </w:r>
          </w:p>
        </w:tc>
      </w:tr>
      <w:tr>
        <w:trPr>
          <w:trHeight w:val="257"/>
        </w:trPr>
        <w:tc>
          <w:tcPr>
            <w:tcW w:w="73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Expected long-term rate of return on assets</w:t>
            </w:r>
          </w:p>
        </w:tc>
        <w:tc>
          <w:tcPr>
            <w:tcW w:w="1680" w:type="dxa"/>
            <w:vAlign w:val="bottom"/>
            <w:tcBorders>
              <w:bottom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6"/>
              </w:rPr>
              <w:t>6.00 %</w:t>
            </w:r>
          </w:p>
        </w:tc>
        <w:tc>
          <w:tcPr>
            <w:tcW w:w="90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2"/>
              </w:rPr>
              <w:t>6.00 %</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6.50 %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6.0% graded down to 3.25% over the first seven years of service.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2022, the Pri-2012 Mortality Table and the MP-2021 Mortality Improvement Table were used. For 2021, the Pri-2012 Mortality Table and the MP-2020 Mortality Improvement Table were used. For 2020, the Pri-2012 Mortality Table and the MP-2019 Mortality Improvement Table were used.</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investment objective for the Plan is to maximize total return with a tolerance for average risk. Asset allocation is a balance between fixed income and equity investments, with a target allocation of approximately 68.5% fixed income, 14.0% U.S. equity, 14.0% non-U.S. equity, and real estate 3.5%. Due to volatility in the market, this target allocation is not always desirable and asset allocations can fluctuate between acceptable ranges. The fixed income component is invested in pooled investment grade securities. The equity components are invested in pooled large cap, small/mid cap and non-U.S. stocks. The expected one-year nominal returns and annual standard deviations are shown by asset class below:</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Asset Class</w:t>
            </w:r>
          </w:p>
        </w:tc>
        <w:tc>
          <w:tcPr>
            <w:tcW w:w="324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 of Total Portfolio</w:t>
            </w:r>
          </w:p>
        </w:tc>
        <w:tc>
          <w:tcPr>
            <w:tcW w:w="2680" w:type="dxa"/>
            <w:vAlign w:val="bottom"/>
          </w:tcPr>
          <w:p>
            <w:pPr>
              <w:jc w:val="right"/>
              <w:ind w:right="810"/>
              <w:spacing w:after="0"/>
              <w:rPr>
                <w:sz w:val="20"/>
                <w:szCs w:val="20"/>
                <w:color w:val="auto"/>
              </w:rPr>
            </w:pPr>
            <w:r>
              <w:rPr>
                <w:rFonts w:ascii="Arial" w:cs="Arial" w:eastAsia="Arial" w:hAnsi="Arial"/>
                <w:sz w:val="18"/>
                <w:szCs w:val="18"/>
                <w:b w:val="1"/>
                <w:bCs w:val="1"/>
                <w:color w:val="auto"/>
              </w:rPr>
              <w:t>One-Year Nominal</w:t>
            </w:r>
          </w:p>
        </w:tc>
        <w:tc>
          <w:tcPr>
            <w:tcW w:w="2320" w:type="dxa"/>
            <w:vAlign w:val="bottom"/>
          </w:tcPr>
          <w:p>
            <w:pPr>
              <w:jc w:val="right"/>
              <w:ind w:right="530"/>
              <w:spacing w:after="0"/>
              <w:rPr>
                <w:sz w:val="20"/>
                <w:szCs w:val="20"/>
                <w:color w:val="auto"/>
              </w:rPr>
            </w:pPr>
            <w:r>
              <w:rPr>
                <w:rFonts w:ascii="Arial" w:cs="Arial" w:eastAsia="Arial" w:hAnsi="Arial"/>
                <w:sz w:val="18"/>
                <w:szCs w:val="18"/>
                <w:b w:val="1"/>
                <w:bCs w:val="1"/>
                <w:color w:val="auto"/>
              </w:rPr>
              <w:t>Annual Standard</w:t>
            </w:r>
          </w:p>
        </w:tc>
        <w:tc>
          <w:tcPr>
            <w:tcW w:w="0" w:type="dxa"/>
            <w:vAlign w:val="bottom"/>
          </w:tcPr>
          <w:p>
            <w:pPr>
              <w:spacing w:after="0"/>
              <w:rPr>
                <w:sz w:val="1"/>
                <w:szCs w:val="1"/>
                <w:color w:val="auto"/>
              </w:rPr>
            </w:pPr>
          </w:p>
        </w:tc>
      </w:tr>
      <w:tr>
        <w:trPr>
          <w:trHeight w:val="239"/>
        </w:trPr>
        <w:tc>
          <w:tcPr>
            <w:tcW w:w="2880" w:type="dxa"/>
            <w:vAlign w:val="bottom"/>
            <w:tcBorders>
              <w:bottom w:val="single" w:sz="8" w:color="auto"/>
            </w:tcBorders>
            <w:vMerge w:val="continue"/>
          </w:tcPr>
          <w:p>
            <w:pPr>
              <w:spacing w:after="0"/>
              <w:rPr>
                <w:sz w:val="20"/>
                <w:szCs w:val="20"/>
                <w:color w:val="auto"/>
              </w:rPr>
            </w:pPr>
          </w:p>
        </w:tc>
        <w:tc>
          <w:tcPr>
            <w:tcW w:w="3240" w:type="dxa"/>
            <w:vAlign w:val="bottom"/>
            <w:tcBorders>
              <w:bottom w:val="single" w:sz="8" w:color="auto"/>
            </w:tcBorders>
            <w:vMerge w:val="continue"/>
          </w:tcPr>
          <w:p>
            <w:pPr>
              <w:spacing w:after="0"/>
              <w:rPr>
                <w:sz w:val="20"/>
                <w:szCs w:val="20"/>
                <w:color w:val="auto"/>
              </w:rPr>
            </w:pPr>
          </w:p>
        </w:tc>
        <w:tc>
          <w:tcPr>
            <w:tcW w:w="268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Return</w:t>
            </w:r>
          </w:p>
        </w:tc>
        <w:tc>
          <w:tcPr>
            <w:tcW w:w="23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Deviation</w:t>
            </w:r>
          </w:p>
        </w:tc>
        <w:tc>
          <w:tcPr>
            <w:tcW w:w="0" w:type="dxa"/>
            <w:vAlign w:val="bottom"/>
          </w:tcPr>
          <w:p>
            <w:pPr>
              <w:spacing w:after="0"/>
              <w:rPr>
                <w:sz w:val="1"/>
                <w:szCs w:val="1"/>
                <w:color w:val="auto"/>
              </w:rPr>
            </w:pPr>
          </w:p>
        </w:tc>
      </w:tr>
      <w:tr>
        <w:trPr>
          <w:trHeight w:val="254"/>
        </w:trPr>
        <w:tc>
          <w:tcPr>
            <w:tcW w:w="2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Core Fixed Income</w:t>
            </w:r>
          </w:p>
        </w:tc>
        <w:tc>
          <w:tcPr>
            <w:tcW w:w="324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68.5 %</w:t>
            </w:r>
          </w:p>
        </w:tc>
        <w:tc>
          <w:tcPr>
            <w:tcW w:w="26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5.46 %</w:t>
            </w:r>
          </w:p>
        </w:tc>
        <w:tc>
          <w:tcPr>
            <w:tcW w:w="2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10.49 %</w:t>
            </w:r>
          </w:p>
        </w:tc>
        <w:tc>
          <w:tcPr>
            <w:tcW w:w="0" w:type="dxa"/>
            <w:vAlign w:val="bottom"/>
          </w:tcPr>
          <w:p>
            <w:pPr>
              <w:spacing w:after="0"/>
              <w:rPr>
                <w:sz w:val="1"/>
                <w:szCs w:val="1"/>
                <w:color w:val="auto"/>
              </w:rPr>
            </w:pP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Large Cap U.S. Equities</w:t>
            </w:r>
          </w:p>
        </w:tc>
        <w:tc>
          <w:tcPr>
            <w:tcW w:w="3240" w:type="dxa"/>
            <w:vAlign w:val="bottom"/>
          </w:tcPr>
          <w:p>
            <w:pPr>
              <w:jc w:val="right"/>
              <w:ind w:right="250"/>
              <w:spacing w:after="0"/>
              <w:rPr>
                <w:sz w:val="20"/>
                <w:szCs w:val="20"/>
                <w:color w:val="auto"/>
              </w:rPr>
            </w:pPr>
            <w:r>
              <w:rPr>
                <w:rFonts w:ascii="Arial" w:cs="Arial" w:eastAsia="Arial" w:hAnsi="Arial"/>
                <w:sz w:val="18"/>
                <w:szCs w:val="18"/>
                <w:color w:val="auto"/>
              </w:rPr>
              <w:t>14.0 %</w:t>
            </w:r>
          </w:p>
        </w:tc>
        <w:tc>
          <w:tcPr>
            <w:tcW w:w="2680" w:type="dxa"/>
            <w:vAlign w:val="bottom"/>
          </w:tcPr>
          <w:p>
            <w:pPr>
              <w:jc w:val="right"/>
              <w:ind w:right="270"/>
              <w:spacing w:after="0"/>
              <w:rPr>
                <w:sz w:val="20"/>
                <w:szCs w:val="20"/>
                <w:color w:val="auto"/>
              </w:rPr>
            </w:pPr>
            <w:r>
              <w:rPr>
                <w:rFonts w:ascii="Arial" w:cs="Arial" w:eastAsia="Arial" w:hAnsi="Arial"/>
                <w:sz w:val="18"/>
                <w:szCs w:val="18"/>
                <w:color w:val="auto"/>
              </w:rPr>
              <w:t>7.98 %</w:t>
            </w:r>
          </w:p>
        </w:tc>
        <w:tc>
          <w:tcPr>
            <w:tcW w:w="2320" w:type="dxa"/>
            <w:vAlign w:val="bottom"/>
          </w:tcPr>
          <w:p>
            <w:pPr>
              <w:jc w:val="right"/>
              <w:spacing w:after="0"/>
              <w:rPr>
                <w:sz w:val="20"/>
                <w:szCs w:val="20"/>
                <w:color w:val="auto"/>
              </w:rPr>
            </w:pPr>
            <w:r>
              <w:rPr>
                <w:rFonts w:ascii="Arial" w:cs="Arial" w:eastAsia="Arial" w:hAnsi="Arial"/>
                <w:sz w:val="18"/>
                <w:szCs w:val="18"/>
                <w:color w:val="auto"/>
              </w:rPr>
              <w:t>17.66 %</w:t>
            </w:r>
          </w:p>
        </w:tc>
        <w:tc>
          <w:tcPr>
            <w:tcW w:w="0" w:type="dxa"/>
            <w:vAlign w:val="bottom"/>
          </w:tcPr>
          <w:p>
            <w:pPr>
              <w:spacing w:after="0"/>
              <w:rPr>
                <w:sz w:val="1"/>
                <w:szCs w:val="1"/>
                <w:color w:val="auto"/>
              </w:rPr>
            </w:pPr>
          </w:p>
        </w:tc>
      </w:tr>
      <w:tr>
        <w:trPr>
          <w:trHeight w:val="263"/>
        </w:trPr>
        <w:tc>
          <w:tcPr>
            <w:tcW w:w="2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International (Developed)</w:t>
            </w:r>
          </w:p>
        </w:tc>
        <w:tc>
          <w:tcPr>
            <w:tcW w:w="324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10.0 %</w:t>
            </w:r>
          </w:p>
        </w:tc>
        <w:tc>
          <w:tcPr>
            <w:tcW w:w="26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9.07 %</w:t>
            </w:r>
          </w:p>
        </w:tc>
        <w:tc>
          <w:tcPr>
            <w:tcW w:w="2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18.52 %</w:t>
            </w:r>
          </w:p>
        </w:tc>
        <w:tc>
          <w:tcPr>
            <w:tcW w:w="0" w:type="dxa"/>
            <w:vAlign w:val="bottom"/>
          </w:tcPr>
          <w:p>
            <w:pPr>
              <w:spacing w:after="0"/>
              <w:rPr>
                <w:sz w:val="1"/>
                <w:szCs w:val="1"/>
                <w:color w:val="auto"/>
              </w:rPr>
            </w:pP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International (Emerging)</w:t>
            </w:r>
          </w:p>
        </w:tc>
        <w:tc>
          <w:tcPr>
            <w:tcW w:w="3240" w:type="dxa"/>
            <w:vAlign w:val="bottom"/>
          </w:tcPr>
          <w:p>
            <w:pPr>
              <w:jc w:val="right"/>
              <w:ind w:right="250"/>
              <w:spacing w:after="0"/>
              <w:rPr>
                <w:sz w:val="20"/>
                <w:szCs w:val="20"/>
                <w:color w:val="auto"/>
              </w:rPr>
            </w:pPr>
            <w:r>
              <w:rPr>
                <w:rFonts w:ascii="Arial" w:cs="Arial" w:eastAsia="Arial" w:hAnsi="Arial"/>
                <w:sz w:val="18"/>
                <w:szCs w:val="18"/>
                <w:color w:val="auto"/>
              </w:rPr>
              <w:t>4.0 %</w:t>
            </w:r>
          </w:p>
        </w:tc>
        <w:tc>
          <w:tcPr>
            <w:tcW w:w="2680" w:type="dxa"/>
            <w:vAlign w:val="bottom"/>
          </w:tcPr>
          <w:p>
            <w:pPr>
              <w:jc w:val="right"/>
              <w:ind w:right="270"/>
              <w:spacing w:after="0"/>
              <w:rPr>
                <w:sz w:val="20"/>
                <w:szCs w:val="20"/>
                <w:color w:val="auto"/>
              </w:rPr>
            </w:pPr>
            <w:r>
              <w:rPr>
                <w:rFonts w:ascii="Arial" w:cs="Arial" w:eastAsia="Arial" w:hAnsi="Arial"/>
                <w:sz w:val="18"/>
                <w:szCs w:val="18"/>
                <w:color w:val="auto"/>
              </w:rPr>
              <w:t>11.91 %</w:t>
            </w:r>
          </w:p>
        </w:tc>
        <w:tc>
          <w:tcPr>
            <w:tcW w:w="2320" w:type="dxa"/>
            <w:vAlign w:val="bottom"/>
          </w:tcPr>
          <w:p>
            <w:pPr>
              <w:jc w:val="right"/>
              <w:spacing w:after="0"/>
              <w:rPr>
                <w:sz w:val="20"/>
                <w:szCs w:val="20"/>
                <w:color w:val="auto"/>
              </w:rPr>
            </w:pPr>
            <w:r>
              <w:rPr>
                <w:rFonts w:ascii="Arial" w:cs="Arial" w:eastAsia="Arial" w:hAnsi="Arial"/>
                <w:sz w:val="18"/>
                <w:szCs w:val="18"/>
                <w:color w:val="auto"/>
              </w:rPr>
              <w:t>26.71 %</w:t>
            </w:r>
          </w:p>
        </w:tc>
        <w:tc>
          <w:tcPr>
            <w:tcW w:w="0" w:type="dxa"/>
            <w:vAlign w:val="bottom"/>
          </w:tcPr>
          <w:p>
            <w:pPr>
              <w:spacing w:after="0"/>
              <w:rPr>
                <w:sz w:val="1"/>
                <w:szCs w:val="1"/>
                <w:color w:val="auto"/>
              </w:rPr>
            </w:pPr>
          </w:p>
        </w:tc>
      </w:tr>
      <w:tr>
        <w:trPr>
          <w:trHeight w:val="257"/>
        </w:trPr>
        <w:tc>
          <w:tcPr>
            <w:tcW w:w="28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324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rPr>
              <w:t>3.5 %</w:t>
            </w:r>
          </w:p>
        </w:tc>
        <w:tc>
          <w:tcPr>
            <w:tcW w:w="26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rPr>
              <w:t>7.19 %</w:t>
            </w: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Applying appropriate correlation factors between each of the asset classes the long-term rate of return on assets is estimated to be 6.00%.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fair value measurements by type of asset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gridSpan w:val="8"/>
          </w:tcPr>
          <w:p>
            <w:pPr>
              <w:jc w:val="right"/>
              <w:ind w:right="990"/>
              <w:spacing w:after="0"/>
              <w:rPr>
                <w:sz w:val="20"/>
                <w:szCs w:val="20"/>
                <w:color w:val="auto"/>
              </w:rPr>
            </w:pPr>
            <w:r>
              <w:rPr>
                <w:rFonts w:ascii="Arial" w:cs="Arial" w:eastAsia="Arial" w:hAnsi="Arial"/>
                <w:sz w:val="18"/>
                <w:szCs w:val="18"/>
                <w:b w:val="1"/>
                <w:bCs w:val="1"/>
                <w:color w:val="auto"/>
              </w:rPr>
              <w:t>Fair Value Measurements as of December 31,</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Quoted Prices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Quoted Prices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93"/>
              </w:rPr>
              <w:t>in Active</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90"/>
              </w:rPr>
              <w:t>in Active</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6"/>
              </w:rPr>
              <w:t>Markets for</w:t>
            </w:r>
          </w:p>
        </w:tc>
        <w:tc>
          <w:tcPr>
            <w:tcW w:w="260" w:type="dxa"/>
            <w:vAlign w:val="bottom"/>
          </w:tcPr>
          <w:p>
            <w:pPr>
              <w:spacing w:after="0"/>
              <w:rPr>
                <w:sz w:val="15"/>
                <w:szCs w:val="15"/>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Observable</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5"/>
                <w:szCs w:val="15"/>
                <w:color w:val="auto"/>
              </w:rPr>
            </w:pPr>
          </w:p>
        </w:tc>
        <w:tc>
          <w:tcPr>
            <w:tcW w:w="11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6"/>
                <w:szCs w:val="16"/>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6"/>
                <w:szCs w:val="16"/>
                <w:color w:val="auto"/>
              </w:rPr>
            </w:pPr>
          </w:p>
        </w:tc>
        <w:tc>
          <w:tcPr>
            <w:tcW w:w="122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16"/>
                <w:szCs w:val="16"/>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6"/>
                <w:szCs w:val="16"/>
                <w:color w:val="auto"/>
              </w:rPr>
            </w:pPr>
          </w:p>
        </w:tc>
        <w:tc>
          <w:tcPr>
            <w:tcW w:w="12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27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(Level 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2)</w:t>
            </w:r>
          </w:p>
        </w:tc>
        <w:tc>
          <w:tcPr>
            <w:tcW w:w="0" w:type="dxa"/>
            <w:vAlign w:val="bottom"/>
          </w:tcPr>
          <w:p>
            <w:pPr>
              <w:spacing w:after="0"/>
              <w:rPr>
                <w:sz w:val="1"/>
                <w:szCs w:val="1"/>
                <w:color w:val="auto"/>
              </w:rPr>
            </w:pPr>
          </w:p>
        </w:tc>
      </w:tr>
      <w:tr>
        <w:trPr>
          <w:trHeight w:val="250"/>
        </w:trPr>
        <w:tc>
          <w:tcPr>
            <w:tcW w:w="2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780" w:type="dxa"/>
            <w:vAlign w:val="bottom"/>
          </w:tcPr>
          <w:p>
            <w:pPr>
              <w:ind w:left="20"/>
              <w:spacing w:after="0"/>
              <w:rPr>
                <w:sz w:val="20"/>
                <w:szCs w:val="20"/>
                <w:color w:val="auto"/>
              </w:rPr>
            </w:pPr>
            <w:r>
              <w:rPr>
                <w:rFonts w:ascii="Arial" w:cs="Arial" w:eastAsia="Arial" w:hAnsi="Arial"/>
                <w:sz w:val="18"/>
                <w:szCs w:val="18"/>
                <w:color w:val="auto"/>
              </w:rPr>
              <w:t>Real estate investment trusts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7,120</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tcPr>
          <w:p>
            <w:pPr>
              <w:ind w:left="360"/>
              <w:spacing w:after="0"/>
              <w:rPr>
                <w:sz w:val="20"/>
                <w:szCs w:val="20"/>
                <w:color w:val="auto"/>
              </w:rPr>
            </w:pPr>
            <w:r>
              <w:rPr>
                <w:rFonts w:ascii="Arial" w:cs="Arial" w:eastAsia="Arial" w:hAnsi="Arial"/>
                <w:sz w:val="18"/>
                <w:szCs w:val="18"/>
                <w:color w:val="auto"/>
              </w:rPr>
              <w:t>U.S. Small/Mid Cap Growth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4,734</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Non-U. S. Core</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7,822</w:t>
            </w: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7,822</w:t>
            </w: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19,164</w:t>
            </w: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50"/>
        </w:trPr>
        <w:tc>
          <w:tcPr>
            <w:tcW w:w="2780" w:type="dxa"/>
            <w:vAlign w:val="bottom"/>
          </w:tcPr>
          <w:p>
            <w:pPr>
              <w:ind w:left="300"/>
              <w:spacing w:after="0"/>
              <w:rPr>
                <w:sz w:val="20"/>
                <w:szCs w:val="20"/>
                <w:color w:val="auto"/>
              </w:rPr>
            </w:pPr>
            <w:r>
              <w:rPr>
                <w:rFonts w:ascii="Arial" w:cs="Arial" w:eastAsia="Arial" w:hAnsi="Arial"/>
                <w:sz w:val="18"/>
                <w:szCs w:val="18"/>
                <w:color w:val="auto"/>
              </w:rPr>
              <w:t>U.S. Large Cap Passive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8,319</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18,279</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18,279</w:t>
            </w: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Emerging Markets</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7,701</w:t>
            </w: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50"/>
        </w:trPr>
        <w:tc>
          <w:tcPr>
            <w:tcW w:w="278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U.S. Core</w:t>
            </w:r>
          </w:p>
        </w:tc>
        <w:tc>
          <w:tcPr>
            <w:tcW w:w="30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51,756</w:t>
            </w:r>
          </w:p>
        </w:tc>
        <w:tc>
          <w:tcPr>
            <w:tcW w:w="18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51,756</w:t>
            </w: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51,386</w:t>
            </w: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51,386</w:t>
            </w:r>
          </w:p>
        </w:tc>
        <w:tc>
          <w:tcPr>
            <w:tcW w:w="0" w:type="dxa"/>
            <w:vAlign w:val="bottom"/>
          </w:tcPr>
          <w:p>
            <w:pPr>
              <w:spacing w:after="0"/>
              <w:rPr>
                <w:sz w:val="1"/>
                <w:szCs w:val="1"/>
                <w:color w:val="auto"/>
              </w:rPr>
            </w:pPr>
          </w:p>
        </w:tc>
      </w:tr>
      <w:tr>
        <w:trPr>
          <w:trHeight w:val="250"/>
        </w:trPr>
        <w:tc>
          <w:tcPr>
            <w:tcW w:w="2780" w:type="dxa"/>
            <w:vAlign w:val="bottom"/>
          </w:tcPr>
          <w:p>
            <w:pPr>
              <w:ind w:left="300"/>
              <w:spacing w:after="0"/>
              <w:rPr>
                <w:sz w:val="20"/>
                <w:szCs w:val="20"/>
                <w:color w:val="auto"/>
              </w:rPr>
            </w:pPr>
            <w:r>
              <w:rPr>
                <w:rFonts w:ascii="Arial" w:cs="Arial" w:eastAsia="Arial" w:hAnsi="Arial"/>
                <w:sz w:val="18"/>
                <w:szCs w:val="18"/>
                <w:color w:val="auto"/>
              </w:rPr>
              <w:t>U.S. Passive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8"/>
                <w:szCs w:val="18"/>
                <w:color w:val="auto"/>
              </w:rPr>
              <w:t>Opportunistic</w:t>
            </w:r>
          </w:p>
        </w:tc>
        <w:tc>
          <w:tcPr>
            <w:tcW w:w="30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2,756</w:t>
            </w:r>
          </w:p>
        </w:tc>
        <w:tc>
          <w:tcPr>
            <w:tcW w:w="18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auto"/>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spacing w:after="0"/>
              <w:rPr>
                <w:sz w:val="22"/>
                <w:szCs w:val="22"/>
                <w:color w:val="auto"/>
              </w:rPr>
            </w:pP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6,087</w:t>
            </w:r>
          </w:p>
        </w:tc>
        <w:tc>
          <w:tcPr>
            <w:tcW w:w="18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82,828</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114,136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113,601</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in the SERP’s projected benefit obligation and amounts recognized in the Company’s consolidated balance sheets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5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5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57"/>
        </w:trPr>
        <w:tc>
          <w:tcPr>
            <w:tcW w:w="3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Benefit obligation:</w:t>
            </w:r>
          </w:p>
        </w:tc>
        <w:tc>
          <w:tcPr>
            <w:tcW w:w="458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r>
      <w:tr>
        <w:trPr>
          <w:trHeight w:val="250"/>
        </w:trPr>
        <w:tc>
          <w:tcPr>
            <w:tcW w:w="3600" w:type="dxa"/>
            <w:vAlign w:val="bottom"/>
          </w:tcPr>
          <w:p>
            <w:pPr>
              <w:ind w:left="300"/>
              <w:spacing w:after="0"/>
              <w:rPr>
                <w:sz w:val="20"/>
                <w:szCs w:val="20"/>
                <w:color w:val="auto"/>
              </w:rPr>
            </w:pPr>
            <w:r>
              <w:rPr>
                <w:rFonts w:ascii="Arial" w:cs="Arial" w:eastAsia="Arial" w:hAnsi="Arial"/>
                <w:sz w:val="18"/>
                <w:szCs w:val="18"/>
                <w:color w:val="auto"/>
              </w:rPr>
              <w:t>Balance, January 1</w:t>
            </w:r>
          </w:p>
        </w:tc>
        <w:tc>
          <w:tcPr>
            <w:tcW w:w="4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12,420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13,412</w:t>
            </w:r>
          </w:p>
        </w:tc>
      </w:tr>
      <w:tr>
        <w:trPr>
          <w:trHeight w:val="263"/>
        </w:trPr>
        <w:tc>
          <w:tcPr>
            <w:tcW w:w="36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Service cost</w:t>
            </w:r>
          </w:p>
        </w:tc>
        <w:tc>
          <w:tcPr>
            <w:tcW w:w="458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147</w:t>
            </w:r>
          </w:p>
        </w:tc>
      </w:tr>
      <w:tr>
        <w:trPr>
          <w:trHeight w:val="250"/>
        </w:trPr>
        <w:tc>
          <w:tcPr>
            <w:tcW w:w="3600" w:type="dxa"/>
            <w:vAlign w:val="bottom"/>
          </w:tcPr>
          <w:p>
            <w:pPr>
              <w:ind w:left="300"/>
              <w:spacing w:after="0"/>
              <w:rPr>
                <w:sz w:val="20"/>
                <w:szCs w:val="20"/>
                <w:color w:val="auto"/>
              </w:rPr>
            </w:pPr>
            <w:r>
              <w:rPr>
                <w:rFonts w:ascii="Arial" w:cs="Arial" w:eastAsia="Arial" w:hAnsi="Arial"/>
                <w:sz w:val="18"/>
                <w:szCs w:val="18"/>
                <w:color w:val="auto"/>
              </w:rPr>
              <w:t>Interest cost</w:t>
            </w:r>
          </w:p>
        </w:tc>
        <w:tc>
          <w:tcPr>
            <w:tcW w:w="4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63"/>
        </w:trPr>
        <w:tc>
          <w:tcPr>
            <w:tcW w:w="36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Benefits paid</w:t>
            </w:r>
          </w:p>
        </w:tc>
        <w:tc>
          <w:tcPr>
            <w:tcW w:w="458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r>
      <w:tr>
        <w:trPr>
          <w:trHeight w:val="250"/>
        </w:trPr>
        <w:tc>
          <w:tcPr>
            <w:tcW w:w="3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Actuarial gain</w:t>
            </w:r>
          </w:p>
        </w:tc>
        <w:tc>
          <w:tcPr>
            <w:tcW w:w="45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r>
      <w:tr>
        <w:trPr>
          <w:trHeight w:val="250"/>
        </w:trPr>
        <w:tc>
          <w:tcPr>
            <w:tcW w:w="3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December 31</w:t>
            </w:r>
          </w:p>
        </w:tc>
        <w:tc>
          <w:tcPr>
            <w:tcW w:w="4920" w:type="dxa"/>
            <w:vAlign w:val="bottom"/>
            <w:tcBorders>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9,579</w:t>
            </w:r>
          </w:p>
        </w:tc>
        <w:tc>
          <w:tcPr>
            <w:tcW w:w="58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12,420</w:t>
            </w:r>
          </w:p>
        </w:tc>
      </w:tr>
      <w:tr>
        <w:trPr>
          <w:trHeight w:val="904"/>
        </w:trPr>
        <w:tc>
          <w:tcPr>
            <w:tcW w:w="3600" w:type="dxa"/>
            <w:vAlign w:val="bottom"/>
          </w:tcPr>
          <w:p>
            <w:pPr>
              <w:spacing w:after="0"/>
              <w:rPr>
                <w:sz w:val="24"/>
                <w:szCs w:val="24"/>
                <w:color w:val="auto"/>
              </w:rPr>
            </w:pPr>
          </w:p>
        </w:tc>
        <w:tc>
          <w:tcPr>
            <w:tcW w:w="4580" w:type="dxa"/>
            <w:vAlign w:val="bottom"/>
          </w:tcPr>
          <w:p>
            <w:pPr>
              <w:jc w:val="right"/>
              <w:ind w:right="237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 the major assumptions used to determine the projected benefit obligation of the SERP. For 2022, 2021 and 2020, the SERP’s expected benefit cash flows were discounted using the FTSE Above Median Double-A Curve.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7"/>
        </w:trPr>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discount rate</w:t>
            </w:r>
          </w:p>
        </w:tc>
        <w:tc>
          <w:tcPr>
            <w:tcW w:w="168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6"/>
              </w:rPr>
              <w:t>5.15 %</w:t>
            </w:r>
          </w:p>
        </w:tc>
        <w:tc>
          <w:tcPr>
            <w:tcW w:w="9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2"/>
              </w:rPr>
              <w:t>2.65 %</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2.20 %</w:t>
            </w:r>
          </w:p>
        </w:tc>
      </w:tr>
      <w:tr>
        <w:trPr>
          <w:trHeight w:val="25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6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6.00% graded down to 3.25% over the first seven years of service.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accumulated benefit obligation was $9.6 million and $12.4 million as of December 31, 2022 and 2021, respectively. Since this is an unfunded plan, there are no plan assets. Benefits paid were $348,000 in 2022, $282,000 in 2021, and $291,000 in 2020. Expected future benefits payable by the Company over the next ten years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57"/>
        </w:trPr>
        <w:tc>
          <w:tcPr>
            <w:tcW w:w="5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474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810,000</w:t>
            </w: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2024</w:t>
            </w:r>
          </w:p>
        </w:tc>
        <w:tc>
          <w:tcPr>
            <w:tcW w:w="4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791,000</w:t>
            </w:r>
          </w:p>
        </w:tc>
      </w:tr>
      <w:tr>
        <w:trPr>
          <w:trHeight w:val="263"/>
        </w:trPr>
        <w:tc>
          <w:tcPr>
            <w:tcW w:w="5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47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788,000</w:t>
            </w: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2026</w:t>
            </w:r>
          </w:p>
        </w:tc>
        <w:tc>
          <w:tcPr>
            <w:tcW w:w="4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785,000</w:t>
            </w:r>
          </w:p>
        </w:tc>
      </w:tr>
      <w:tr>
        <w:trPr>
          <w:trHeight w:val="263"/>
        </w:trPr>
        <w:tc>
          <w:tcPr>
            <w:tcW w:w="5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2027</w:t>
            </w:r>
          </w:p>
        </w:tc>
        <w:tc>
          <w:tcPr>
            <w:tcW w:w="4740" w:type="dxa"/>
            <w:vAlign w:val="bottom"/>
            <w:shd w:val="clear" w:color="auto" w:fill="DBDBDB"/>
          </w:tcPr>
          <w:p>
            <w:pPr>
              <w:spacing w:after="0"/>
              <w:rPr>
                <w:sz w:val="22"/>
                <w:szCs w:val="2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780,000</w:t>
            </w:r>
          </w:p>
        </w:tc>
      </w:tr>
      <w:tr>
        <w:trPr>
          <w:trHeight w:val="25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2026-2030</w:t>
            </w:r>
          </w:p>
        </w:tc>
        <w:tc>
          <w:tcPr>
            <w:tcW w:w="4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3,787,000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related to the SERP included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5"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26035</wp:posOffset>
            </wp:positionV>
            <wp:extent cx="29400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6"/>
        </w:trPr>
        <w:tc>
          <w:tcPr>
            <w:tcW w:w="4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 – benefits earned during the year</w:t>
            </w:r>
          </w:p>
        </w:tc>
        <w:tc>
          <w:tcPr>
            <w:tcW w:w="19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147</w:t>
            </w:r>
          </w:p>
        </w:tc>
        <w:tc>
          <w:tcPr>
            <w:tcW w:w="4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496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obligations</w:t>
            </w:r>
          </w:p>
        </w:tc>
        <w:tc>
          <w:tcPr>
            <w:tcW w:w="19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57"/>
        </w:trPr>
        <w:tc>
          <w:tcPr>
            <w:tcW w:w="49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Net amortization and deferral</w:t>
            </w:r>
          </w:p>
        </w:tc>
        <w:tc>
          <w:tcPr>
            <w:tcW w:w="198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108</w:t>
            </w:r>
          </w:p>
        </w:tc>
        <w:tc>
          <w:tcPr>
            <w:tcW w:w="42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203</w:t>
            </w:r>
          </w:p>
        </w:tc>
        <w:tc>
          <w:tcPr>
            <w:tcW w:w="42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w:t>
            </w:r>
          </w:p>
        </w:tc>
      </w:tr>
      <w:tr>
        <w:trPr>
          <w:trHeight w:val="25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pension cost</w:t>
            </w: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pretax amounts in accumulated other comprehensive loss as of December 31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80" w:type="dxa"/>
            <w:vAlign w:val="bottom"/>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The Plan</w:t>
            </w:r>
          </w:p>
        </w:tc>
        <w:tc>
          <w:tcPr>
            <w:tcW w:w="1040" w:type="dxa"/>
            <w:vAlign w:val="bottom"/>
            <w:tcBorders>
              <w:bottom w:val="single" w:sz="8" w:color="auto"/>
            </w:tcBorders>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6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SERP</w:t>
            </w:r>
          </w:p>
        </w:tc>
        <w:tc>
          <w:tcPr>
            <w:tcW w:w="1100" w:type="dxa"/>
            <w:vAlign w:val="bottom"/>
            <w:tcBorders>
              <w:bottom w:val="single" w:sz="8" w:color="auto"/>
            </w:tcBorders>
            <w:shd w:val="clear" w:color="auto" w:fill="DBDBDB"/>
          </w:tcPr>
          <w:p>
            <w:pPr>
              <w:spacing w:after="0"/>
              <w:rPr>
                <w:sz w:val="22"/>
                <w:szCs w:val="22"/>
                <w:color w:val="auto"/>
              </w:rPr>
            </w:pPr>
          </w:p>
        </w:tc>
      </w:tr>
      <w:tr>
        <w:trPr>
          <w:trHeight w:val="24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7"/>
        </w:trPr>
        <w:tc>
          <w:tcPr>
            <w:tcW w:w="5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Prior service cost</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actuarial loss (gain)</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r>
      <w:tr>
        <w:trPr>
          <w:trHeight w:val="250"/>
        </w:trPr>
        <w:tc>
          <w:tcPr>
            <w:tcW w:w="508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6,833</w:t>
            </w:r>
          </w:p>
        </w:tc>
        <w:tc>
          <w:tcPr>
            <w:tcW w:w="50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auto"/>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2,783</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pretax prior service cost and net actuarial loss (gain) in accumulated other comprehensive loss at December 31, 2022 expected to be recognized as components of net periodic benefit cost in 2023 for the Plan are each $0. The estimated pretax prior service cost and net actuarial loss in accumulated other comprehensive loss at December 31, 2022 expected to be recognized as components of net periodic benefit cost in 2023 for the SERP are each $0.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maintains a noncontributory profit sharing program, which covers most of its employees. Employer contributions are calculated based upon formulas which relate to current operating results and other factors. Profit sharing expense recognized in personnel expense in the consolidated statements of income in 2022, 2021, and 2020 was $7.9 million, $6.4 million, and $5.7 million,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sponsors a defined contribution 401(k) plan to provide additional retirement benefits to substantially all employees. Contributions under the 401(k) plan for 2022, 2021 and 2020 were $4.6 million, $3.5 million, and $1.5 million, respectively. In conjunction with the freezing of the Plan, contribution rates to employees increased on March 1, 2021.</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and Restated Omnibus Stock and Performance Compensation Plan (the “Omnibus Plan”) provides incentive opportunities for key employees and non-employee directors and to align the personal financial interests of such individuals with those of the Company’s shareholders. The Omnibus Plan permits the issuance of up to 1.5 million shares of the Company’s common stock in the form of stock options, SARs, restricted stock, restricted stock units and performance awards.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Changes in restricted shares outstanding for the year ended December 31, 2022 were as follows: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4"/>
        </w:trPr>
        <w:tc>
          <w:tcPr>
            <w:tcW w:w="7800" w:type="dxa"/>
            <w:vAlign w:val="bottom"/>
          </w:tcPr>
          <w:p>
            <w:pPr>
              <w:spacing w:after="0"/>
              <w:rPr>
                <w:sz w:val="16"/>
                <w:szCs w:val="16"/>
                <w:color w:val="auto"/>
              </w:rPr>
            </w:pPr>
          </w:p>
        </w:tc>
        <w:tc>
          <w:tcPr>
            <w:tcW w:w="19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6"/>
                <w:szCs w:val="16"/>
                <w:color w:val="auto"/>
              </w:rPr>
            </w:pPr>
          </w:p>
        </w:tc>
        <w:tc>
          <w:tcPr>
            <w:tcW w:w="128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50"/>
        </w:trPr>
        <w:tc>
          <w:tcPr>
            <w:tcW w:w="7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2021</w:t>
            </w:r>
          </w:p>
        </w:tc>
        <w:tc>
          <w:tcPr>
            <w:tcW w:w="19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165,553</w:t>
            </w:r>
          </w:p>
        </w:tc>
        <w:tc>
          <w:tcPr>
            <w:tcW w:w="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50"/>
        </w:trPr>
        <w:tc>
          <w:tcPr>
            <w:tcW w:w="7800" w:type="dxa"/>
            <w:vAlign w:val="bottom"/>
          </w:tcPr>
          <w:p>
            <w:pPr>
              <w:ind w:left="30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64,151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63"/>
        </w:trPr>
        <w:tc>
          <w:tcPr>
            <w:tcW w:w="78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(23,316)</w:t>
            </w:r>
          </w:p>
        </w:tc>
        <w:tc>
          <w:tcPr>
            <w:tcW w:w="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at December 31, 2022</w:t>
            </w:r>
          </w:p>
        </w:tc>
        <w:tc>
          <w:tcPr>
            <w:tcW w:w="19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205,565</w:t>
            </w:r>
          </w:p>
        </w:tc>
        <w:tc>
          <w:tcPr>
            <w:tcW w:w="2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2021 and 2020, 53,906 and 38,226 shares, respectively, were granted with weighted average per share market values at date of grant of $41.55 in 2021 and $47.07 in 2020. The fair value of such shares are based on the market price on the date of grant. Amortization of restricted stock bonus awards totaled $2.4 million for 2022, $1.8 million for 2021 and $1.5 million for 2020. As of December 31, 2022, the total unrecognized compensation expense related to non-vested restricted stock awards was $1.4 million, and the related weighted average period over which it is expected to be recognized is approximately 0.60 years. The total fair value of shares vested during the years ended December 2022, 2021, and 2020 was $1.1 million, $1.2 million, and $1.0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activity of the PBRS, based on 100% of target value, for the year ended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03"/>
        </w:trPr>
        <w:tc>
          <w:tcPr>
            <w:tcW w:w="388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5"/>
              </w:rPr>
              <w:t>Grant Date</w:t>
            </w:r>
          </w:p>
        </w:tc>
      </w:tr>
      <w:tr>
        <w:trPr>
          <w:trHeight w:val="255"/>
        </w:trPr>
        <w:tc>
          <w:tcPr>
            <w:tcW w:w="3880" w:type="dxa"/>
            <w:vAlign w:val="bottom"/>
            <w:tcBorders>
              <w:bottom w:val="single" w:sz="8" w:color="auto"/>
            </w:tcBorders>
          </w:tcPr>
          <w:p>
            <w:pPr>
              <w:spacing w:after="0"/>
              <w:rPr>
                <w:sz w:val="22"/>
                <w:szCs w:val="22"/>
                <w:color w:val="auto"/>
              </w:rPr>
            </w:pPr>
          </w:p>
        </w:tc>
        <w:tc>
          <w:tcPr>
            <w:tcW w:w="5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r>
      <w:tr>
        <w:trPr>
          <w:trHeight w:val="257"/>
        </w:trPr>
        <w:tc>
          <w:tcPr>
            <w:tcW w:w="3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2021</w:t>
            </w:r>
          </w:p>
        </w:tc>
        <w:tc>
          <w:tcPr>
            <w:tcW w:w="58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116,543</w:t>
            </w:r>
          </w:p>
        </w:tc>
        <w:tc>
          <w:tcPr>
            <w:tcW w:w="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46.79</w:t>
            </w: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Granted</w:t>
            </w:r>
          </w:p>
        </w:tc>
        <w:tc>
          <w:tcPr>
            <w:tcW w:w="5820" w:type="dxa"/>
            <w:vAlign w:val="bottom"/>
          </w:tcPr>
          <w:p>
            <w:pPr>
              <w:jc w:val="right"/>
              <w:ind w:right="30"/>
              <w:spacing w:after="0"/>
              <w:rPr>
                <w:sz w:val="20"/>
                <w:szCs w:val="20"/>
                <w:color w:val="auto"/>
              </w:rPr>
            </w:pPr>
            <w:r>
              <w:rPr>
                <w:rFonts w:ascii="Arial" w:cs="Arial" w:eastAsia="Arial" w:hAnsi="Arial"/>
                <w:sz w:val="18"/>
                <w:szCs w:val="18"/>
                <w:color w:val="auto"/>
              </w:rPr>
              <w:t>57,542</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39.58</w:t>
            </w:r>
          </w:p>
        </w:tc>
      </w:tr>
      <w:tr>
        <w:trPr>
          <w:trHeight w:val="263"/>
        </w:trPr>
        <w:tc>
          <w:tcPr>
            <w:tcW w:w="3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Vested</w:t>
            </w:r>
          </w:p>
        </w:tc>
        <w:tc>
          <w:tcPr>
            <w:tcW w:w="5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(34,066)</w:t>
            </w:r>
          </w:p>
        </w:tc>
        <w:tc>
          <w:tcPr>
            <w:tcW w:w="260" w:type="dxa"/>
            <w:vAlign w:val="bottom"/>
            <w:shd w:val="clear" w:color="auto" w:fill="DBDBDB"/>
          </w:tcPr>
          <w:p>
            <w:pPr>
              <w:spacing w:after="0"/>
              <w:rPr>
                <w:sz w:val="22"/>
                <w:szCs w:val="22"/>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49.05</w:t>
            </w:r>
          </w:p>
        </w:tc>
      </w:tr>
      <w:tr>
        <w:trPr>
          <w:trHeight w:val="250"/>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5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r>
      <w:tr>
        <w:trPr>
          <w:trHeight w:val="250"/>
        </w:trPr>
        <w:tc>
          <w:tcPr>
            <w:tcW w:w="38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at December 31, 2022</w:t>
            </w:r>
          </w:p>
        </w:tc>
        <w:tc>
          <w:tcPr>
            <w:tcW w:w="58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138,785</w:t>
            </w:r>
          </w:p>
        </w:tc>
        <w:tc>
          <w:tcPr>
            <w:tcW w:w="2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43.19</w:t>
            </w:r>
          </w:p>
        </w:tc>
      </w:tr>
      <w:tr>
        <w:trPr>
          <w:trHeight w:val="904"/>
        </w:trPr>
        <w:tc>
          <w:tcPr>
            <w:tcW w:w="3880" w:type="dxa"/>
            <w:vAlign w:val="bottom"/>
          </w:tcPr>
          <w:p>
            <w:pPr>
              <w:spacing w:after="0"/>
              <w:rPr>
                <w:sz w:val="24"/>
                <w:szCs w:val="24"/>
                <w:color w:val="auto"/>
              </w:rPr>
            </w:pPr>
          </w:p>
        </w:tc>
        <w:tc>
          <w:tcPr>
            <w:tcW w:w="5820" w:type="dxa"/>
            <w:vAlign w:val="bottom"/>
          </w:tcPr>
          <w:p>
            <w:pPr>
              <w:jc w:val="right"/>
              <w:ind w:right="389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1"/>
        </w:trPr>
        <w:tc>
          <w:tcPr>
            <w:tcW w:w="3880" w:type="dxa"/>
            <w:vAlign w:val="bottom"/>
            <w:tcBorders>
              <w:bottom w:val="single" w:sz="8" w:color="9A9A9A"/>
            </w:tcBorders>
          </w:tcPr>
          <w:p>
            <w:pPr>
              <w:spacing w:after="0"/>
              <w:rPr>
                <w:sz w:val="8"/>
                <w:szCs w:val="8"/>
                <w:color w:val="auto"/>
              </w:rPr>
            </w:pPr>
          </w:p>
        </w:tc>
        <w:tc>
          <w:tcPr>
            <w:tcW w:w="5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PBRS that vested during the year ended December 31, 2022 achieved weighted average financial goals of 52.9% of target, resulting in the issuance of 18,021 shares of common stock. The PBRS that vested during the year ended December 31, 2021 achieved weighted average financial goals of 94.4% of target, resulting in the issuance of 31,150 shares of common stock. The outstanding PBRS at December 31, 2022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there were no SARs granted and no expense recognized. As of December 31, 2022, there was no unrecognized compensation expense related to SARs.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Changes in SARs outstanding for the year ended December 31, 2022 were as follows:</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4"/>
        </w:trPr>
        <w:tc>
          <w:tcPr>
            <w:tcW w:w="7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Weighted Average</w:t>
            </w:r>
          </w:p>
        </w:tc>
      </w:tr>
      <w:tr>
        <w:trPr>
          <w:trHeight w:val="241"/>
        </w:trPr>
        <w:tc>
          <w:tcPr>
            <w:tcW w:w="7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SARs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Exercise Price</w:t>
            </w:r>
          </w:p>
        </w:tc>
      </w:tr>
      <w:tr>
        <w:trPr>
          <w:trHeight w:val="250"/>
        </w:trPr>
        <w:tc>
          <w:tcPr>
            <w:tcW w:w="7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at December 31, 2021</w:t>
            </w:r>
          </w:p>
        </w:tc>
        <w:tc>
          <w:tcPr>
            <w:tcW w:w="22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117,089</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34.91</w:t>
            </w:r>
          </w:p>
        </w:tc>
      </w:tr>
      <w:tr>
        <w:trPr>
          <w:trHeight w:val="250"/>
        </w:trPr>
        <w:tc>
          <w:tcPr>
            <w:tcW w:w="7420" w:type="dxa"/>
            <w:vAlign w:val="bottom"/>
          </w:tcPr>
          <w:p>
            <w:pPr>
              <w:ind w:left="300"/>
              <w:spacing w:after="0"/>
              <w:rPr>
                <w:sz w:val="20"/>
                <w:szCs w:val="20"/>
                <w:color w:val="auto"/>
              </w:rPr>
            </w:pPr>
            <w:r>
              <w:rPr>
                <w:rFonts w:ascii="Arial" w:cs="Arial" w:eastAsia="Arial" w:hAnsi="Arial"/>
                <w:sz w:val="18"/>
                <w:szCs w:val="18"/>
                <w:color w:val="auto"/>
              </w:rPr>
              <w:t>Exercised</w:t>
            </w:r>
          </w:p>
        </w:tc>
        <w:tc>
          <w:tcPr>
            <w:tcW w:w="2280" w:type="dxa"/>
            <w:vAlign w:val="bottom"/>
          </w:tcPr>
          <w:p>
            <w:pPr>
              <w:jc w:val="right"/>
              <w:spacing w:after="0"/>
              <w:rPr>
                <w:sz w:val="20"/>
                <w:szCs w:val="20"/>
                <w:color w:val="auto"/>
              </w:rPr>
            </w:pPr>
            <w:r>
              <w:rPr>
                <w:rFonts w:ascii="Arial" w:cs="Arial" w:eastAsia="Arial" w:hAnsi="Arial"/>
                <w:sz w:val="18"/>
                <w:szCs w:val="18"/>
                <w:color w:val="auto"/>
              </w:rPr>
              <w:t>(70,764)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30.52</w:t>
            </w:r>
          </w:p>
        </w:tc>
      </w:tr>
      <w:tr>
        <w:trPr>
          <w:trHeight w:val="257"/>
        </w:trPr>
        <w:tc>
          <w:tcPr>
            <w:tcW w:w="7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Balance at December 31, 2022</w:t>
            </w:r>
          </w:p>
        </w:tc>
        <w:tc>
          <w:tcPr>
            <w:tcW w:w="22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46,325</w:t>
            </w:r>
          </w:p>
        </w:tc>
        <w:tc>
          <w:tcPr>
            <w:tcW w:w="200" w:type="dxa"/>
            <w:vAlign w:val="bottom"/>
            <w:tcBorders>
              <w:bottom w:val="single" w:sz="8" w:color="auto"/>
            </w:tcBorders>
            <w:shd w:val="clear" w:color="auto" w:fill="DBDBDB"/>
          </w:tcPr>
          <w:p>
            <w:pPr>
              <w:spacing w:after="0"/>
              <w:rPr>
                <w:sz w:val="22"/>
                <w:szCs w:val="22"/>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41.62</w:t>
            </w:r>
          </w:p>
        </w:tc>
      </w:tr>
      <w:tr>
        <w:trPr>
          <w:trHeight w:val="25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at December 31, 2022</w:t>
            </w:r>
          </w:p>
        </w:tc>
        <w:tc>
          <w:tcPr>
            <w:tcW w:w="2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intrinsic value of SARs exercised during 2022 and 2021 was $2.2 million and $630,000, respectively. The average remaining contractual term for SARs outstanding as of December 31, 2022 was 0.73 years, and the aggregate intrinsic value was $192,000. The average remaining contractual term for SARs outstanding as of December 31, 2021 was 1.21 years, and the aggregate intrinsic value was $741,000.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total compensation cost for share-based payment arrangements was $6.7 million, $2.9 million, and $2.3 million in 2022, 2021, and 2020,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Details of other operating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7"/>
        </w:trPr>
        <w:tc>
          <w:tcPr>
            <w:tcW w:w="4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Promotional expense</w:t>
            </w:r>
          </w:p>
        </w:tc>
        <w:tc>
          <w:tcPr>
            <w:tcW w:w="25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2,889</w:t>
            </w:r>
          </w:p>
        </w:tc>
        <w:tc>
          <w:tcPr>
            <w:tcW w:w="4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2,627</w:t>
            </w:r>
          </w:p>
        </w:tc>
        <w:tc>
          <w:tcPr>
            <w:tcW w:w="4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2,184</w:t>
            </w:r>
          </w:p>
        </w:tc>
      </w:tr>
      <w:tr>
        <w:trPr>
          <w:trHeight w:val="250"/>
        </w:trPr>
        <w:tc>
          <w:tcPr>
            <w:tcW w:w="4380" w:type="dxa"/>
            <w:vAlign w:val="bottom"/>
          </w:tcPr>
          <w:p>
            <w:pPr>
              <w:ind w:left="20"/>
              <w:spacing w:after="0"/>
              <w:rPr>
                <w:sz w:val="20"/>
                <w:szCs w:val="20"/>
                <w:color w:val="auto"/>
              </w:rPr>
            </w:pPr>
            <w:r>
              <w:rPr>
                <w:rFonts w:ascii="Arial" w:cs="Arial" w:eastAsia="Arial" w:hAnsi="Arial"/>
                <w:sz w:val="18"/>
                <w:szCs w:val="18"/>
                <w:color w:val="auto"/>
              </w:rPr>
              <w:t>Outside service fees</w:t>
            </w:r>
          </w:p>
        </w:tc>
        <w:tc>
          <w:tcPr>
            <w:tcW w:w="25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7,874</w:t>
            </w: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7,413</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5,845</w:t>
            </w:r>
          </w:p>
        </w:tc>
      </w:tr>
      <w:tr>
        <w:trPr>
          <w:trHeight w:val="263"/>
        </w:trPr>
        <w:tc>
          <w:tcPr>
            <w:tcW w:w="4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Data processing services</w:t>
            </w:r>
          </w:p>
        </w:tc>
        <w:tc>
          <w:tcPr>
            <w:tcW w:w="256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3,365</w:t>
            </w:r>
          </w:p>
        </w:tc>
        <w:tc>
          <w:tcPr>
            <w:tcW w:w="420" w:type="dxa"/>
            <w:vAlign w:val="bottom"/>
            <w:shd w:val="clear" w:color="auto" w:fill="DBDBDB"/>
          </w:tcPr>
          <w:p>
            <w:pPr>
              <w:spacing w:after="0"/>
              <w:rPr>
                <w:sz w:val="22"/>
                <w:szCs w:val="22"/>
                <w:color w:val="auto"/>
              </w:rPr>
            </w:pP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2,650</w:t>
            </w:r>
          </w:p>
        </w:tc>
        <w:tc>
          <w:tcPr>
            <w:tcW w:w="42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1,900</w:t>
            </w:r>
          </w:p>
        </w:tc>
      </w:tr>
      <w:tr>
        <w:trPr>
          <w:trHeight w:val="250"/>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7,950</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4,053</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r>
      <w:tr>
        <w:trPr>
          <w:trHeight w:val="250"/>
        </w:trPr>
        <w:tc>
          <w:tcPr>
            <w:tcW w:w="4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other operating expense</w:t>
            </w:r>
          </w:p>
        </w:tc>
        <w:tc>
          <w:tcPr>
            <w:tcW w:w="25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22,078</w:t>
            </w:r>
          </w:p>
        </w:tc>
        <w:tc>
          <w:tcPr>
            <w:tcW w:w="4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16,743</w:t>
            </w:r>
          </w:p>
        </w:tc>
        <w:tc>
          <w:tcPr>
            <w:tcW w:w="4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5"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6"/>
        </w:trPr>
        <w:tc>
          <w:tcPr>
            <w:tcW w:w="4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w:t>
            </w:r>
          </w:p>
        </w:tc>
        <w:tc>
          <w:tcPr>
            <w:tcW w:w="27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50"/>
        </w:trPr>
        <w:tc>
          <w:tcPr>
            <w:tcW w:w="4240" w:type="dxa"/>
            <w:vAlign w:val="bottom"/>
          </w:tcPr>
          <w:p>
            <w:pPr>
              <w:ind w:left="300"/>
              <w:spacing w:after="0"/>
              <w:rPr>
                <w:sz w:val="20"/>
                <w:szCs w:val="20"/>
                <w:color w:val="auto"/>
              </w:rPr>
            </w:pPr>
            <w:r>
              <w:rPr>
                <w:rFonts w:ascii="Arial" w:cs="Arial" w:eastAsia="Arial" w:hAnsi="Arial"/>
                <w:sz w:val="18"/>
                <w:szCs w:val="18"/>
                <w:color w:val="auto"/>
              </w:rPr>
              <w:t>Federal</w:t>
            </w:r>
          </w:p>
        </w:tc>
        <w:tc>
          <w:tcPr>
            <w:tcW w:w="2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7,794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5,018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63"/>
        </w:trPr>
        <w:tc>
          <w:tcPr>
            <w:tcW w:w="424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State</w:t>
            </w:r>
          </w:p>
        </w:tc>
        <w:tc>
          <w:tcPr>
            <w:tcW w:w="27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1,365</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897</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671</w:t>
            </w: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240" w:type="dxa"/>
            <w:vAlign w:val="bottom"/>
            <w:shd w:val="clear" w:color="auto" w:fill="DBDBDB"/>
          </w:tcPr>
          <w:p>
            <w:pPr>
              <w:ind w:left="300"/>
              <w:spacing w:after="0"/>
              <w:rPr>
                <w:sz w:val="20"/>
                <w:szCs w:val="20"/>
                <w:color w:val="auto"/>
              </w:rPr>
            </w:pPr>
            <w:r>
              <w:rPr>
                <w:rFonts w:ascii="Arial" w:cs="Arial" w:eastAsia="Arial" w:hAnsi="Arial"/>
                <w:sz w:val="18"/>
                <w:szCs w:val="18"/>
                <w:color w:val="auto"/>
              </w:rPr>
              <w:t>Federal</w:t>
            </w:r>
          </w:p>
        </w:tc>
        <w:tc>
          <w:tcPr>
            <w:tcW w:w="27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(636)</w:t>
            </w:r>
          </w:p>
        </w:tc>
      </w:tr>
      <w:tr>
        <w:trPr>
          <w:trHeight w:val="250"/>
        </w:trPr>
        <w:tc>
          <w:tcPr>
            <w:tcW w:w="42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State</w:t>
            </w:r>
          </w:p>
        </w:tc>
        <w:tc>
          <w:tcPr>
            <w:tcW w:w="27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4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income tax expense</w:t>
            </w:r>
          </w:p>
        </w:tc>
        <w:tc>
          <w:tcPr>
            <w:tcW w:w="27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7,996</w:t>
            </w:r>
          </w:p>
        </w:tc>
        <w:tc>
          <w:tcPr>
            <w:tcW w:w="4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5,217</w:t>
            </w:r>
          </w:p>
        </w:tc>
        <w:tc>
          <w:tcPr>
            <w:tcW w:w="4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5,165</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expected income tax expense (benefit), computed by applying the effective federal statutory rate of 21% for each year to income before income tax expense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6"/>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income tax expense</w:t>
            </w:r>
          </w:p>
        </w:tc>
        <w:tc>
          <w:tcPr>
            <w:tcW w:w="21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9,035</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7,103</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6,385</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(Reductions) increases resulting from:</w:t>
            </w:r>
          </w:p>
        </w:tc>
        <w:tc>
          <w:tcPr>
            <w:tcW w:w="2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840" w:type="dxa"/>
            <w:vAlign w:val="bottom"/>
            <w:shd w:val="clear" w:color="auto" w:fill="DBDBDB"/>
          </w:tcPr>
          <w:p>
            <w:pPr>
              <w:ind w:left="300"/>
              <w:spacing w:after="0"/>
              <w:rPr>
                <w:sz w:val="20"/>
                <w:szCs w:val="20"/>
                <w:color w:val="auto"/>
              </w:rPr>
            </w:pPr>
            <w:r>
              <w:rPr>
                <w:rFonts w:ascii="Arial" w:cs="Arial" w:eastAsia="Arial" w:hAnsi="Arial"/>
                <w:sz w:val="18"/>
                <w:szCs w:val="18"/>
                <w:color w:val="auto"/>
              </w:rPr>
              <w:t>Tax-exempt income</w:t>
            </w:r>
          </w:p>
        </w:tc>
        <w:tc>
          <w:tcPr>
            <w:tcW w:w="21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(1,571)</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(1,673)</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(1,588)</w:t>
            </w:r>
          </w:p>
        </w:tc>
      </w:tr>
      <w:tr>
        <w:trPr>
          <w:trHeight w:val="250"/>
        </w:trPr>
        <w:tc>
          <w:tcPr>
            <w:tcW w:w="4840" w:type="dxa"/>
            <w:vAlign w:val="bottom"/>
          </w:tcPr>
          <w:p>
            <w:pPr>
              <w:ind w:left="300"/>
              <w:spacing w:after="0"/>
              <w:rPr>
                <w:sz w:val="20"/>
                <w:szCs w:val="20"/>
                <w:color w:val="auto"/>
              </w:rPr>
            </w:pPr>
            <w:r>
              <w:rPr>
                <w:rFonts w:ascii="Arial" w:cs="Arial" w:eastAsia="Arial" w:hAnsi="Arial"/>
                <w:sz w:val="18"/>
                <w:szCs w:val="18"/>
                <w:color w:val="auto"/>
              </w:rPr>
              <w:t>State taxes, net of federal benefit</w:t>
            </w:r>
          </w:p>
        </w:tc>
        <w:tc>
          <w:tcPr>
            <w:tcW w:w="2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638</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63"/>
        </w:trPr>
        <w:tc>
          <w:tcPr>
            <w:tcW w:w="484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Share-based compensation adjustment</w:t>
            </w:r>
          </w:p>
        </w:tc>
        <w:tc>
          <w:tcPr>
            <w:tcW w:w="21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258</w:t>
            </w:r>
          </w:p>
        </w:tc>
        <w:tc>
          <w:tcPr>
            <w:tcW w:w="40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92</w:t>
            </w:r>
          </w:p>
        </w:tc>
        <w:tc>
          <w:tcPr>
            <w:tcW w:w="40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4840" w:type="dxa"/>
            <w:vAlign w:val="bottom"/>
          </w:tcPr>
          <w:p>
            <w:pPr>
              <w:ind w:left="300"/>
              <w:spacing w:after="0"/>
              <w:rPr>
                <w:sz w:val="20"/>
                <w:szCs w:val="20"/>
                <w:color w:val="auto"/>
              </w:rPr>
            </w:pPr>
            <w:r>
              <w:rPr>
                <w:rFonts w:ascii="Arial" w:cs="Arial" w:eastAsia="Arial" w:hAnsi="Arial"/>
                <w:sz w:val="18"/>
                <w:szCs w:val="18"/>
                <w:color w:val="auto"/>
              </w:rPr>
              <w:t>Federal tax credits</w:t>
            </w:r>
          </w:p>
        </w:tc>
        <w:tc>
          <w:tcPr>
            <w:tcW w:w="2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57"/>
        </w:trPr>
        <w:tc>
          <w:tcPr>
            <w:tcW w:w="48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Other, net</w:t>
            </w:r>
          </w:p>
        </w:tc>
        <w:tc>
          <w:tcPr>
            <w:tcW w:w="21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w:t>
            </w:r>
          </w:p>
        </w:tc>
        <w:tc>
          <w:tcPr>
            <w:tcW w:w="4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(586)</w:t>
            </w:r>
          </w:p>
        </w:tc>
        <w:tc>
          <w:tcPr>
            <w:tcW w:w="4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w:t>
            </w:r>
          </w:p>
        </w:tc>
      </w:tr>
      <w:tr>
        <w:trPr>
          <w:trHeight w:val="25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expense</w:t>
            </w:r>
          </w:p>
        </w:tc>
        <w:tc>
          <w:tcPr>
            <w:tcW w:w="2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7,996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5,217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 expense in 2022 totaled $8.0 million compared to $5.2 million in 2021 and 2020. When measured as a percent of pre-tax income, the Company’s effective tax rate was 18.6% in 2022, 15.4% in 2021, and 17.0% in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which give rise to significant portions of the deferred tax assets and deferred tax liabilities are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57"/>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r>
      <w:tr>
        <w:trPr>
          <w:trHeight w:val="250"/>
        </w:trPr>
        <w:tc>
          <w:tcPr>
            <w:tcW w:w="8180" w:type="dxa"/>
            <w:vAlign w:val="bottom"/>
          </w:tcPr>
          <w:p>
            <w:pPr>
              <w:ind w:left="300"/>
              <w:spacing w:after="0"/>
              <w:rPr>
                <w:sz w:val="20"/>
                <w:szCs w:val="20"/>
                <w:color w:val="auto"/>
              </w:rPr>
            </w:pPr>
            <w:r>
              <w:rPr>
                <w:rFonts w:ascii="Arial" w:cs="Arial" w:eastAsia="Arial" w:hAnsi="Arial"/>
                <w:sz w:val="18"/>
                <w:szCs w:val="18"/>
                <w:color w:val="auto"/>
              </w:rPr>
              <w:t>Allowance for credit losses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3,222</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63"/>
        </w:trPr>
        <w:tc>
          <w:tcPr>
            <w:tcW w:w="8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ASC 715 pension funding liability</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1,594</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1,952</w:t>
            </w:r>
          </w:p>
        </w:tc>
      </w:tr>
      <w:tr>
        <w:trPr>
          <w:trHeight w:val="250"/>
        </w:trPr>
        <w:tc>
          <w:tcPr>
            <w:tcW w:w="8180" w:type="dxa"/>
            <w:vAlign w:val="bottom"/>
          </w:tcPr>
          <w:p>
            <w:pPr>
              <w:ind w:left="300"/>
              <w:spacing w:after="0"/>
              <w:rPr>
                <w:sz w:val="20"/>
                <w:szCs w:val="20"/>
                <w:color w:val="auto"/>
              </w:rPr>
            </w:pPr>
            <w:r>
              <w:rPr>
                <w:rFonts w:ascii="Arial" w:cs="Arial" w:eastAsia="Arial" w:hAnsi="Arial"/>
                <w:sz w:val="18"/>
                <w:szCs w:val="18"/>
                <w:color w:val="auto"/>
              </w:rPr>
              <w:t>Supplemental executive retirement plan accrual</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2,311</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2,293</w:t>
            </w:r>
          </w:p>
        </w:tc>
      </w:tr>
      <w:tr>
        <w:trPr>
          <w:trHeight w:val="263"/>
        </w:trPr>
        <w:tc>
          <w:tcPr>
            <w:tcW w:w="8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2,745</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1,875</w:t>
            </w:r>
          </w:p>
        </w:tc>
      </w:tr>
      <w:tr>
        <w:trPr>
          <w:trHeight w:val="257"/>
        </w:trPr>
        <w:tc>
          <w:tcPr>
            <w:tcW w:w="8180" w:type="dxa"/>
            <w:vAlign w:val="bottom"/>
          </w:tcPr>
          <w:p>
            <w:pPr>
              <w:ind w:left="300"/>
              <w:spacing w:after="0" w:line="256" w:lineRule="exact"/>
              <w:rPr>
                <w:sz w:val="20"/>
                <w:szCs w:val="20"/>
                <w:color w:val="auto"/>
              </w:rPr>
            </w:pPr>
            <w:r>
              <w:rPr>
                <w:rFonts w:ascii="Arial" w:cs="Arial" w:eastAsia="Arial" w:hAnsi="Arial"/>
                <w:sz w:val="18"/>
                <w:szCs w:val="18"/>
                <w:color w:val="auto"/>
              </w:rPr>
              <w:t xml:space="preserve">Unrealized loss on investment securities available-for-sale </w:t>
            </w:r>
            <w:r>
              <w:rPr>
                <w:rFonts w:ascii="Arial" w:cs="Arial" w:eastAsia="Arial" w:hAnsi="Arial"/>
                <w:sz w:val="23"/>
                <w:szCs w:val="23"/>
                <w:color w:val="auto"/>
                <w:vertAlign w:val="superscript"/>
              </w:rPr>
              <w:t>(1)</w:t>
            </w:r>
          </w:p>
        </w:tc>
        <w:tc>
          <w:tcPr>
            <w:tcW w:w="34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16,798</w:t>
            </w: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772</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Pr>
          <w:p>
            <w:pPr>
              <w:ind w:left="30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2,261</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57"/>
        </w:trPr>
        <w:tc>
          <w:tcPr>
            <w:tcW w:w="818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640</w:t>
            </w:r>
          </w:p>
        </w:tc>
        <w:tc>
          <w:tcPr>
            <w:tcW w:w="58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633</w:t>
            </w:r>
          </w:p>
        </w:tc>
      </w:tr>
      <w:tr>
        <w:trPr>
          <w:trHeight w:val="250"/>
        </w:trPr>
        <w:tc>
          <w:tcPr>
            <w:tcW w:w="8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30,343</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w:t>
            </w:r>
          </w:p>
        </w:tc>
      </w:tr>
      <w:tr>
        <w:trPr>
          <w:trHeight w:val="257"/>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r>
      <w:tr>
        <w:trPr>
          <w:trHeight w:val="250"/>
        </w:trPr>
        <w:tc>
          <w:tcPr>
            <w:tcW w:w="8180" w:type="dxa"/>
            <w:vAlign w:val="bottom"/>
          </w:tcPr>
          <w:p>
            <w:pPr>
              <w:ind w:left="300"/>
              <w:spacing w:after="0"/>
              <w:rPr>
                <w:sz w:val="20"/>
                <w:szCs w:val="20"/>
                <w:color w:val="auto"/>
              </w:rPr>
            </w:pPr>
            <w:r>
              <w:rPr>
                <w:rFonts w:ascii="Arial" w:cs="Arial" w:eastAsia="Arial" w:hAnsi="Arial"/>
                <w:sz w:val="18"/>
                <w:szCs w:val="18"/>
                <w:color w:val="auto"/>
              </w:rPr>
              <w:t>Premises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(2,235)</w:t>
            </w:r>
          </w:p>
        </w:tc>
      </w:tr>
      <w:tr>
        <w:trPr>
          <w:trHeight w:val="263"/>
        </w:trPr>
        <w:tc>
          <w:tcPr>
            <w:tcW w:w="8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Pension</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(1,141)</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(531)</w:t>
            </w:r>
          </w:p>
        </w:tc>
      </w:tr>
      <w:tr>
        <w:trPr>
          <w:trHeight w:val="250"/>
        </w:trPr>
        <w:tc>
          <w:tcPr>
            <w:tcW w:w="8180" w:type="dxa"/>
            <w:vAlign w:val="bottom"/>
          </w:tcPr>
          <w:p>
            <w:pPr>
              <w:ind w:left="30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(1,744)</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63"/>
        </w:trPr>
        <w:tc>
          <w:tcPr>
            <w:tcW w:w="81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Unrealized gain on investment securities available-for-sale</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(2,185)</w:t>
            </w:r>
          </w:p>
        </w:tc>
      </w:tr>
      <w:tr>
        <w:trPr>
          <w:trHeight w:val="250"/>
        </w:trPr>
        <w:tc>
          <w:tcPr>
            <w:tcW w:w="8180" w:type="dxa"/>
            <w:vAlign w:val="bottom"/>
          </w:tcPr>
          <w:p>
            <w:pPr>
              <w:ind w:left="300"/>
              <w:spacing w:after="0"/>
              <w:rPr>
                <w:sz w:val="20"/>
                <w:szCs w:val="20"/>
                <w:color w:val="auto"/>
              </w:rPr>
            </w:pPr>
            <w:r>
              <w:rPr>
                <w:rFonts w:ascii="Arial" w:cs="Arial" w:eastAsia="Arial" w:hAnsi="Arial"/>
                <w:sz w:val="18"/>
                <w:szCs w:val="18"/>
                <w:color w:val="auto"/>
              </w:rPr>
              <w:t>Right of use asset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(2,178)</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63"/>
        </w:trPr>
        <w:tc>
          <w:tcPr>
            <w:tcW w:w="8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w:t>
            </w:r>
          </w:p>
        </w:tc>
        <w:tc>
          <w:tcPr>
            <w:tcW w:w="58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(479)</w:t>
            </w:r>
          </w:p>
        </w:tc>
      </w:tr>
      <w:tr>
        <w:trPr>
          <w:trHeight w:val="250"/>
        </w:trPr>
        <w:tc>
          <w:tcPr>
            <w:tcW w:w="81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818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(7,764)</w:t>
            </w:r>
          </w:p>
        </w:tc>
        <w:tc>
          <w:tcPr>
            <w:tcW w:w="58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(7,973)</w:t>
            </w: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22,579</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r>
    </w:tbl>
    <w:p>
      <w:pPr>
        <w:spacing w:after="0" w:line="193" w:lineRule="exact"/>
        <w:rPr>
          <w:sz w:val="20"/>
          <w:szCs w:val="20"/>
          <w:color w:val="auto"/>
        </w:rPr>
      </w:pPr>
    </w:p>
    <w:p>
      <w:pPr>
        <w:jc w:val="both"/>
        <w:ind w:left="660" w:hanging="652"/>
        <w:spacing w:after="0" w:line="262" w:lineRule="auto"/>
        <w:tabs>
          <w:tab w:leader="none" w:pos="66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The deferred tax asset associated with the unrealized losses on securities is mainly a result of changes in interest rates, and the unrealized losses are considered to be temporary as the fair value is expected to recover as the securities approach their respective maturity dates. The issuers of the securities are of high credit quality and all principal amounts are expected to be paid when the securities mature. The Company does not intend to sell and it is likely that the Company will not be required to sell the securities prior to their anticipated recovery.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valuation allowance would be provided on deferred tax assets when it is more likely than not that some portion of the assets will not be realized. The Company has not established a valuation allowance at December 31, 2022 or 2021, due to management’s belief that it is more likely than not that the deferred tax asset is realizable.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beginning unrecognized tax benefits balance to the ending balance is presented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7"/>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January 1</w:t>
            </w:r>
          </w:p>
        </w:tc>
        <w:tc>
          <w:tcPr>
            <w:tcW w:w="3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1,405</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1,231</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1,299</w:t>
            </w:r>
          </w:p>
        </w:tc>
      </w:tr>
      <w:tr>
        <w:trPr>
          <w:trHeight w:val="215"/>
        </w:trPr>
        <w:tc>
          <w:tcPr>
            <w:tcW w:w="6560" w:type="dxa"/>
            <w:vAlign w:val="bottom"/>
          </w:tcPr>
          <w:p>
            <w:pPr>
              <w:ind w:left="360"/>
              <w:spacing w:after="0"/>
              <w:rPr>
                <w:sz w:val="20"/>
                <w:szCs w:val="20"/>
                <w:color w:val="auto"/>
              </w:rPr>
            </w:pPr>
            <w:r>
              <w:rPr>
                <w:rFonts w:ascii="Arial" w:cs="Arial" w:eastAsia="Arial" w:hAnsi="Arial"/>
                <w:sz w:val="18"/>
                <w:szCs w:val="18"/>
                <w:color w:val="auto"/>
                <w:w w:val="91"/>
              </w:rPr>
              <w:t>Changes in unrecognized tax benefits as a result of tax positions taken during a prior</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6560" w:type="dxa"/>
            <w:vAlign w:val="bottom"/>
          </w:tcPr>
          <w:p>
            <w:pPr>
              <w:ind w:left="360"/>
              <w:spacing w:after="0"/>
              <w:rPr>
                <w:sz w:val="20"/>
                <w:szCs w:val="20"/>
                <w:color w:val="auto"/>
              </w:rPr>
            </w:pPr>
            <w:r>
              <w:rPr>
                <w:rFonts w:ascii="Arial" w:cs="Arial" w:eastAsia="Arial" w:hAnsi="Arial"/>
                <w:sz w:val="18"/>
                <w:szCs w:val="18"/>
                <w:color w:val="auto"/>
              </w:rPr>
              <w:t>year</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w w:val="96"/>
              </w:rPr>
              <w:t>Changes in unrecognized tax benefits as a result of tax position taken during the</w:t>
            </w: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r>
      <w:tr>
        <w:trPr>
          <w:trHeight w:val="244"/>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current year</w:t>
            </w:r>
          </w:p>
        </w:tc>
        <w:tc>
          <w:tcPr>
            <w:tcW w:w="38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w:t>
            </w:r>
          </w:p>
        </w:tc>
      </w:tr>
      <w:tr>
        <w:trPr>
          <w:trHeight w:val="215"/>
        </w:trPr>
        <w:tc>
          <w:tcPr>
            <w:tcW w:w="6560" w:type="dxa"/>
            <w:vAlign w:val="bottom"/>
          </w:tcPr>
          <w:p>
            <w:pPr>
              <w:ind w:left="360"/>
              <w:spacing w:after="0"/>
              <w:rPr>
                <w:sz w:val="20"/>
                <w:szCs w:val="20"/>
                <w:color w:val="auto"/>
              </w:rPr>
            </w:pPr>
            <w:r>
              <w:rPr>
                <w:rFonts w:ascii="Arial" w:cs="Arial" w:eastAsia="Arial" w:hAnsi="Arial"/>
                <w:sz w:val="18"/>
                <w:szCs w:val="18"/>
                <w:color w:val="auto"/>
                <w:w w:val="90"/>
              </w:rPr>
              <w:t>Reductions to unrecognized tax benefits as a result of a lapse of the applicable statute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6560" w:type="dxa"/>
            <w:vAlign w:val="bottom"/>
          </w:tcPr>
          <w:p>
            <w:pPr>
              <w:ind w:left="360"/>
              <w:spacing w:after="0"/>
              <w:rPr>
                <w:sz w:val="20"/>
                <w:szCs w:val="20"/>
                <w:color w:val="auto"/>
              </w:rPr>
            </w:pPr>
            <w:r>
              <w:rPr>
                <w:rFonts w:ascii="Arial" w:cs="Arial" w:eastAsia="Arial" w:hAnsi="Arial"/>
                <w:sz w:val="18"/>
                <w:szCs w:val="18"/>
                <w:color w:val="auto"/>
              </w:rPr>
              <w:t>of limitations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2"/>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Decreases in unrecognized tax benefits as a result of settlements with taxing</w:t>
            </w: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r>
      <w:tr>
        <w:trPr>
          <w:trHeight w:val="237"/>
        </w:trPr>
        <w:tc>
          <w:tcPr>
            <w:tcW w:w="65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authorities</w:t>
            </w:r>
          </w:p>
        </w:tc>
        <w:tc>
          <w:tcPr>
            <w:tcW w:w="38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1,252</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1,405</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2021 and 2020, the balances of the Company’s unrecognized tax benefits which would, if recognized, affect the Company’s effective tax rate were $1,129,000, $1,134,000 and $1,096,000, respectively. These amounts are net of the offsetting benefits from other taxing jurisdictions.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2021 and 2020, the Company had $84,000, $85,000 and $114,000, respectively, in accrued interest related to unrecognized tax benefits.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it is reasonably possible that the total amount of unrecognized tax benefits will decrease by approximately $254,000 over the next 12 months. The reduction primarily relates to the anticipated lapse in the statute of limitations. The unrecognized tax benefits relate primarily to apportionment of taxable income among various state tax jurisdictions.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income tax in the U.S. federal jurisdiction, numerous state jurisdictions, and a foreign jurisdiction. The Company’s federal income tax returns for tax years 2019, 2020 and 2021 remain subject to examination by the Internal Revenue Service. In addition, the Company is subject to state tax examinations for the tax years 2018 through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Following</w:t>
            </w:r>
          </w:p>
        </w:tc>
        <w:tc>
          <w:tcPr>
            <w:tcW w:w="300" w:type="dxa"/>
            <w:vAlign w:val="bottom"/>
          </w:tcPr>
          <w:p>
            <w:pPr>
              <w:ind w:left="40"/>
              <w:spacing w:after="0"/>
              <w:rPr>
                <w:sz w:val="20"/>
                <w:szCs w:val="20"/>
                <w:color w:val="auto"/>
              </w:rPr>
            </w:pPr>
            <w:r>
              <w:rPr>
                <w:rFonts w:ascii="Arial" w:cs="Arial" w:eastAsia="Arial" w:hAnsi="Arial"/>
                <w:sz w:val="18"/>
                <w:szCs w:val="18"/>
                <w:color w:val="auto"/>
              </w:rPr>
              <w:t>is</w:t>
            </w:r>
          </w:p>
        </w:tc>
        <w:tc>
          <w:tcPr>
            <w:tcW w:w="500" w:type="dxa"/>
            <w:vAlign w:val="bottom"/>
          </w:tcPr>
          <w:p>
            <w:pPr>
              <w:ind w:left="140"/>
              <w:spacing w:after="0"/>
              <w:rPr>
                <w:sz w:val="20"/>
                <w:szCs w:val="20"/>
                <w:color w:val="auto"/>
              </w:rPr>
            </w:pPr>
            <w:r>
              <w:rPr>
                <w:rFonts w:ascii="Arial" w:cs="Arial" w:eastAsia="Arial" w:hAnsi="Arial"/>
                <w:sz w:val="18"/>
                <w:szCs w:val="18"/>
                <w:color w:val="auto"/>
              </w:rPr>
              <w:t>a</w:t>
            </w:r>
          </w:p>
        </w:tc>
        <w:tc>
          <w:tcPr>
            <w:tcW w:w="840" w:type="dxa"/>
            <w:vAlign w:val="bottom"/>
          </w:tcPr>
          <w:p>
            <w:pPr>
              <w:ind w:left="20"/>
              <w:spacing w:after="0"/>
              <w:rPr>
                <w:sz w:val="20"/>
                <w:szCs w:val="20"/>
                <w:color w:val="auto"/>
              </w:rPr>
            </w:pPr>
            <w:r>
              <w:rPr>
                <w:rFonts w:ascii="Arial" w:cs="Arial" w:eastAsia="Arial" w:hAnsi="Arial"/>
                <w:sz w:val="18"/>
                <w:szCs w:val="18"/>
                <w:color w:val="auto"/>
              </w:rPr>
              <w:t>summary</w:t>
            </w:r>
          </w:p>
        </w:tc>
        <w:tc>
          <w:tcPr>
            <w:tcW w:w="440" w:type="dxa"/>
            <w:vAlign w:val="bottom"/>
          </w:tcPr>
          <w:p>
            <w:pPr>
              <w:ind w:left="140"/>
              <w:spacing w:after="0"/>
              <w:rPr>
                <w:sz w:val="20"/>
                <w:szCs w:val="20"/>
                <w:color w:val="auto"/>
              </w:rPr>
            </w:pPr>
            <w:r>
              <w:rPr>
                <w:rFonts w:ascii="Arial" w:cs="Arial" w:eastAsia="Arial" w:hAnsi="Arial"/>
                <w:sz w:val="18"/>
                <w:szCs w:val="18"/>
                <w:color w:val="auto"/>
              </w:rPr>
              <w:t>of</w:t>
            </w:r>
          </w:p>
        </w:tc>
        <w:tc>
          <w:tcPr>
            <w:tcW w:w="500" w:type="dxa"/>
            <w:vAlign w:val="bottom"/>
          </w:tcPr>
          <w:p>
            <w:pPr>
              <w:ind w:left="140"/>
              <w:spacing w:after="0"/>
              <w:rPr>
                <w:sz w:val="20"/>
                <w:szCs w:val="20"/>
                <w:color w:val="auto"/>
              </w:rPr>
            </w:pPr>
            <w:r>
              <w:rPr>
                <w:rFonts w:ascii="Arial" w:cs="Arial" w:eastAsia="Arial" w:hAnsi="Arial"/>
                <w:sz w:val="18"/>
                <w:szCs w:val="18"/>
                <w:color w:val="auto"/>
              </w:rPr>
              <w:t>the</w:t>
            </w:r>
          </w:p>
        </w:tc>
        <w:tc>
          <w:tcPr>
            <w:tcW w:w="900" w:type="dxa"/>
            <w:vAlign w:val="bottom"/>
          </w:tcPr>
          <w:p>
            <w:pPr>
              <w:ind w:left="160"/>
              <w:spacing w:after="0"/>
              <w:rPr>
                <w:sz w:val="20"/>
                <w:szCs w:val="20"/>
                <w:color w:val="auto"/>
              </w:rPr>
            </w:pPr>
            <w:r>
              <w:rPr>
                <w:rFonts w:ascii="Arial" w:cs="Arial" w:eastAsia="Arial" w:hAnsi="Arial"/>
                <w:sz w:val="18"/>
                <w:szCs w:val="18"/>
                <w:color w:val="auto"/>
              </w:rPr>
              <w:t>carrying</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amounts</w:t>
            </w:r>
          </w:p>
        </w:tc>
        <w:tc>
          <w:tcPr>
            <w:tcW w:w="780" w:type="dxa"/>
            <w:vAlign w:val="bottom"/>
          </w:tcPr>
          <w:p>
            <w:pPr>
              <w:ind w:left="240"/>
              <w:spacing w:after="0"/>
              <w:rPr>
                <w:sz w:val="20"/>
                <w:szCs w:val="20"/>
                <w:color w:val="auto"/>
              </w:rPr>
            </w:pPr>
            <w:r>
              <w:rPr>
                <w:rFonts w:ascii="Arial" w:cs="Arial" w:eastAsia="Arial" w:hAnsi="Arial"/>
                <w:sz w:val="18"/>
                <w:szCs w:val="18"/>
                <w:color w:val="auto"/>
              </w:rPr>
              <w:t>and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fair</w:t>
            </w:r>
          </w:p>
        </w:tc>
        <w:tc>
          <w:tcPr>
            <w:tcW w:w="700" w:type="dxa"/>
            <w:vAlign w:val="bottom"/>
          </w:tcPr>
          <w:p>
            <w:pPr>
              <w:jc w:val="right"/>
              <w:spacing w:after="0"/>
              <w:rPr>
                <w:sz w:val="20"/>
                <w:szCs w:val="20"/>
                <w:color w:val="auto"/>
              </w:rPr>
            </w:pPr>
            <w:r>
              <w:rPr>
                <w:rFonts w:ascii="Arial" w:cs="Arial" w:eastAsia="Arial" w:hAnsi="Arial"/>
                <w:sz w:val="18"/>
                <w:szCs w:val="18"/>
                <w:color w:val="auto"/>
              </w:rPr>
              <w:t>values</w:t>
            </w:r>
          </w:p>
        </w:tc>
        <w:tc>
          <w:tcPr>
            <w:tcW w:w="380" w:type="dxa"/>
            <w:vAlign w:val="bottom"/>
          </w:tcPr>
          <w:p>
            <w:pPr>
              <w:ind w:left="220"/>
              <w:spacing w:after="0"/>
              <w:rPr>
                <w:sz w:val="20"/>
                <w:szCs w:val="20"/>
                <w:color w:val="auto"/>
              </w:rPr>
            </w:pPr>
            <w:r>
              <w:rPr>
                <w:rFonts w:ascii="Arial" w:cs="Arial" w:eastAsia="Arial" w:hAnsi="Arial"/>
                <w:sz w:val="18"/>
                <w:szCs w:val="18"/>
                <w:color w:val="auto"/>
                <w:w w:val="92"/>
              </w:rPr>
              <w:t>of</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the</w:t>
            </w:r>
          </w:p>
        </w:tc>
        <w:tc>
          <w:tcPr>
            <w:tcW w:w="16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color w:val="auto"/>
              </w:rPr>
              <w:t>Company’s</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6"/>
              </w:rPr>
              <w:t>financial</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w w:val="89"/>
              </w:rPr>
              <w:t>instruments:</w:t>
            </w:r>
          </w:p>
        </w:tc>
      </w:tr>
      <w:tr>
        <w:trPr>
          <w:trHeight w:val="257"/>
        </w:trPr>
        <w:tc>
          <w:tcPr>
            <w:tcW w:w="1000" w:type="dxa"/>
            <w:vAlign w:val="bottom"/>
            <w:tcBorders>
              <w:bottom w:val="single" w:sz="8" w:color="DBDBDB"/>
            </w:tcBorders>
          </w:tcPr>
          <w:p>
            <w:pPr>
              <w:spacing w:after="0"/>
              <w:rPr>
                <w:sz w:val="22"/>
                <w:szCs w:val="22"/>
                <w:color w:val="auto"/>
              </w:rPr>
            </w:pPr>
          </w:p>
        </w:tc>
        <w:tc>
          <w:tcPr>
            <w:tcW w:w="300" w:type="dxa"/>
            <w:vAlign w:val="bottom"/>
            <w:tcBorders>
              <w:bottom w:val="single" w:sz="8" w:color="DBDBDB"/>
            </w:tcBorders>
          </w:tcPr>
          <w:p>
            <w:pPr>
              <w:spacing w:after="0"/>
              <w:rPr>
                <w:sz w:val="22"/>
                <w:szCs w:val="22"/>
                <w:color w:val="auto"/>
              </w:rPr>
            </w:pPr>
          </w:p>
        </w:tc>
        <w:tc>
          <w:tcPr>
            <w:tcW w:w="500" w:type="dxa"/>
            <w:vAlign w:val="bottom"/>
            <w:tcBorders>
              <w:bottom w:val="single" w:sz="8" w:color="DBDBDB"/>
            </w:tcBorders>
          </w:tcPr>
          <w:p>
            <w:pPr>
              <w:spacing w:after="0"/>
              <w:rPr>
                <w:sz w:val="22"/>
                <w:szCs w:val="22"/>
                <w:color w:val="auto"/>
              </w:rPr>
            </w:pPr>
          </w:p>
        </w:tc>
        <w:tc>
          <w:tcPr>
            <w:tcW w:w="840" w:type="dxa"/>
            <w:vAlign w:val="bottom"/>
            <w:tcBorders>
              <w:bottom w:val="single" w:sz="8" w:color="DBDBDB"/>
            </w:tcBorders>
          </w:tcPr>
          <w:p>
            <w:pPr>
              <w:spacing w:after="0"/>
              <w:rPr>
                <w:sz w:val="22"/>
                <w:szCs w:val="22"/>
                <w:color w:val="auto"/>
              </w:rPr>
            </w:pPr>
          </w:p>
        </w:tc>
        <w:tc>
          <w:tcPr>
            <w:tcW w:w="440" w:type="dxa"/>
            <w:vAlign w:val="bottom"/>
            <w:tcBorders>
              <w:bottom w:val="single" w:sz="8" w:color="DBDBDB"/>
            </w:tcBorders>
          </w:tcPr>
          <w:p>
            <w:pPr>
              <w:spacing w:after="0"/>
              <w:rPr>
                <w:sz w:val="22"/>
                <w:szCs w:val="22"/>
                <w:color w:val="auto"/>
              </w:rPr>
            </w:pPr>
          </w:p>
        </w:tc>
        <w:tc>
          <w:tcPr>
            <w:tcW w:w="500" w:type="dxa"/>
            <w:vAlign w:val="bottom"/>
            <w:tcBorders>
              <w:bottom w:val="single" w:sz="8" w:color="DBDBDB"/>
            </w:tcBorders>
          </w:tcPr>
          <w:p>
            <w:pPr>
              <w:spacing w:after="0"/>
              <w:rPr>
                <w:sz w:val="22"/>
                <w:szCs w:val="22"/>
                <w:color w:val="auto"/>
              </w:rPr>
            </w:pPr>
          </w:p>
        </w:tc>
        <w:tc>
          <w:tcPr>
            <w:tcW w:w="900" w:type="dxa"/>
            <w:vAlign w:val="bottom"/>
            <w:tcBorders>
              <w:bottom w:val="single" w:sz="8" w:color="DBDBDB"/>
            </w:tcBorders>
          </w:tcPr>
          <w:p>
            <w:pPr>
              <w:spacing w:after="0"/>
              <w:rPr>
                <w:sz w:val="22"/>
                <w:szCs w:val="22"/>
                <w:color w:val="auto"/>
              </w:rPr>
            </w:pPr>
          </w:p>
        </w:tc>
        <w:tc>
          <w:tcPr>
            <w:tcW w:w="460" w:type="dxa"/>
            <w:vAlign w:val="bottom"/>
            <w:tcBorders>
              <w:bottom w:val="single" w:sz="8" w:color="DBDBDB"/>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23"/>
        </w:trPr>
        <w:tc>
          <w:tcPr>
            <w:tcW w:w="10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gridSpan w:val="2"/>
            <w:shd w:val="clear" w:color="auto" w:fill="DBDBDB"/>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gridSpan w:val="2"/>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spacing w:after="0"/>
              <w:rPr>
                <w:sz w:val="19"/>
                <w:szCs w:val="19"/>
                <w:color w:val="auto"/>
              </w:rPr>
            </w:pPr>
          </w:p>
        </w:tc>
        <w:tc>
          <w:tcPr>
            <w:tcW w:w="80" w:type="dxa"/>
            <w:vAlign w:val="bottom"/>
          </w:tcPr>
          <w:p>
            <w:pPr>
              <w:spacing w:after="0"/>
              <w:rPr>
                <w:sz w:val="19"/>
                <w:szCs w:val="19"/>
                <w:color w:val="auto"/>
              </w:rPr>
            </w:pPr>
          </w:p>
        </w:tc>
      </w:tr>
      <w:tr>
        <w:trPr>
          <w:trHeight w:val="169"/>
        </w:trPr>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4"/>
              </w:rPr>
              <w:t>Carrying</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left="70"/>
              <w:spacing w:after="0" w:line="169" w:lineRule="exact"/>
              <w:rPr>
                <w:sz w:val="20"/>
                <w:szCs w:val="20"/>
                <w:color w:val="auto"/>
              </w:rPr>
            </w:pPr>
            <w:r>
              <w:rPr>
                <w:rFonts w:ascii="Arial" w:cs="Arial" w:eastAsia="Arial" w:hAnsi="Arial"/>
                <w:sz w:val="18"/>
                <w:szCs w:val="18"/>
                <w:b w:val="1"/>
                <w:bCs w:val="1"/>
                <w:color w:val="auto"/>
                <w:w w:val="97"/>
              </w:rPr>
              <w:t>Carrying</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13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380" w:type="dxa"/>
            <w:vAlign w:val="bottom"/>
          </w:tcPr>
          <w:p>
            <w:pPr>
              <w:spacing w:after="0"/>
              <w:rPr>
                <w:sz w:val="21"/>
                <w:szCs w:val="21"/>
                <w:color w:val="auto"/>
              </w:rPr>
            </w:pPr>
          </w:p>
        </w:tc>
        <w:tc>
          <w:tcPr>
            <w:tcW w:w="1660" w:type="dxa"/>
            <w:vAlign w:val="bottom"/>
            <w:gridSpan w:val="4"/>
          </w:tcPr>
          <w:p>
            <w:pPr>
              <w:ind w:left="42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1"/>
                <w:szCs w:val="21"/>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1800" w:type="dxa"/>
            <w:vAlign w:val="bottom"/>
            <w:tcBorders>
              <w:top w:val="single" w:sz="8" w:color="auto"/>
            </w:tcBorders>
            <w:gridSpan w:val="3"/>
            <w:shd w:val="clear" w:color="auto" w:fill="DBDBDB"/>
          </w:tcPr>
          <w:p>
            <w:pPr>
              <w:ind w:left="20"/>
              <w:spacing w:after="0"/>
              <w:rPr>
                <w:sz w:val="20"/>
                <w:szCs w:val="20"/>
                <w:color w:val="auto"/>
              </w:rPr>
            </w:pPr>
            <w:r>
              <w:rPr>
                <w:rFonts w:ascii="Arial" w:cs="Arial" w:eastAsia="Arial" w:hAnsi="Arial"/>
                <w:sz w:val="18"/>
                <w:szCs w:val="18"/>
                <w:color w:val="auto"/>
                <w:w w:val="99"/>
              </w:rPr>
              <w:t>Balance sheet assets:</w:t>
            </w:r>
          </w:p>
        </w:tc>
        <w:tc>
          <w:tcPr>
            <w:tcW w:w="840" w:type="dxa"/>
            <w:vAlign w:val="bottom"/>
            <w:tcBorders>
              <w:top w:val="single" w:sz="8" w:color="auto"/>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640" w:type="dxa"/>
            <w:vAlign w:val="bottom"/>
            <w:gridSpan w:val="4"/>
          </w:tcPr>
          <w:p>
            <w:pPr>
              <w:ind w:left="36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200,942</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200,942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514,928</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514,928</w:t>
            </w:r>
          </w:p>
        </w:tc>
        <w:tc>
          <w:tcPr>
            <w:tcW w:w="80" w:type="dxa"/>
            <w:vAlign w:val="bottom"/>
          </w:tcPr>
          <w:p>
            <w:pPr>
              <w:spacing w:after="0"/>
              <w:rPr>
                <w:sz w:val="19"/>
                <w:szCs w:val="19"/>
                <w:color w:val="auto"/>
              </w:rPr>
            </w:pPr>
          </w:p>
        </w:tc>
      </w:tr>
      <w:tr>
        <w:trPr>
          <w:trHeight w:val="230"/>
        </w:trPr>
        <w:tc>
          <w:tcPr>
            <w:tcW w:w="2640" w:type="dxa"/>
            <w:vAlign w:val="bottom"/>
            <w:gridSpan w:val="4"/>
            <w:shd w:val="clear" w:color="auto" w:fill="DBDBDB"/>
          </w:tcPr>
          <w:p>
            <w:pPr>
              <w:ind w:left="360"/>
              <w:spacing w:after="0"/>
              <w:rPr>
                <w:sz w:val="20"/>
                <w:szCs w:val="20"/>
                <w:color w:val="auto"/>
              </w:rPr>
            </w:pPr>
            <w:r>
              <w:rPr>
                <w:rFonts w:ascii="Arial" w:cs="Arial" w:eastAsia="Arial" w:hAnsi="Arial"/>
                <w:sz w:val="18"/>
                <w:szCs w:val="18"/>
                <w:color w:val="auto"/>
              </w:rPr>
              <w:t>Investment securities</w:t>
            </w:r>
          </w:p>
        </w:tc>
        <w:tc>
          <w:tcPr>
            <w:tcW w:w="4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754,468</w:t>
            </w:r>
          </w:p>
        </w:tc>
        <w:tc>
          <w:tcPr>
            <w:tcW w:w="7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754,468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673,453</w:t>
            </w:r>
          </w:p>
        </w:tc>
        <w:tc>
          <w:tcPr>
            <w:tcW w:w="3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673,453</w:t>
            </w:r>
          </w:p>
        </w:tc>
        <w:tc>
          <w:tcPr>
            <w:tcW w:w="80" w:type="dxa"/>
            <w:vAlign w:val="bottom"/>
          </w:tcPr>
          <w:p>
            <w:pPr>
              <w:spacing w:after="0"/>
              <w:rPr>
                <w:sz w:val="19"/>
                <w:szCs w:val="19"/>
                <w:color w:val="auto"/>
              </w:rPr>
            </w:pPr>
          </w:p>
        </w:tc>
      </w:tr>
      <w:tr>
        <w:trPr>
          <w:trHeight w:val="230"/>
        </w:trPr>
        <w:tc>
          <w:tcPr>
            <w:tcW w:w="1300" w:type="dxa"/>
            <w:vAlign w:val="bottom"/>
            <w:gridSpan w:val="2"/>
          </w:tcPr>
          <w:p>
            <w:pPr>
              <w:ind w:left="360"/>
              <w:spacing w:after="0"/>
              <w:rPr>
                <w:sz w:val="20"/>
                <w:szCs w:val="20"/>
                <w:color w:val="auto"/>
              </w:rPr>
            </w:pPr>
            <w:r>
              <w:rPr>
                <w:rFonts w:ascii="Arial" w:cs="Arial" w:eastAsia="Arial" w:hAnsi="Arial"/>
                <w:sz w:val="18"/>
                <w:szCs w:val="18"/>
                <w:color w:val="auto"/>
              </w:rPr>
              <w:t>Loans, net</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1,069,367</w:t>
            </w:r>
          </w:p>
        </w:tc>
        <w:tc>
          <w:tcPr>
            <w:tcW w:w="7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1,004,682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948,526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948,701</w:t>
            </w:r>
          </w:p>
        </w:tc>
        <w:tc>
          <w:tcPr>
            <w:tcW w:w="80" w:type="dxa"/>
            <w:vAlign w:val="bottom"/>
          </w:tcPr>
          <w:p>
            <w:pPr>
              <w:spacing w:after="0"/>
              <w:rPr>
                <w:sz w:val="19"/>
                <w:szCs w:val="19"/>
                <w:color w:val="auto"/>
              </w:rPr>
            </w:pPr>
          </w:p>
        </w:tc>
      </w:tr>
      <w:tr>
        <w:trPr>
          <w:trHeight w:val="229"/>
        </w:trPr>
        <w:tc>
          <w:tcPr>
            <w:tcW w:w="2640" w:type="dxa"/>
            <w:vAlign w:val="bottom"/>
            <w:tcBorders>
              <w:bottom w:val="single" w:sz="8" w:color="auto"/>
            </w:tcBorders>
            <w:gridSpan w:val="4"/>
            <w:shd w:val="clear" w:color="auto" w:fill="DBDBDB"/>
          </w:tcPr>
          <w:p>
            <w:pPr>
              <w:ind w:left="360"/>
              <w:spacing w:after="0"/>
              <w:rPr>
                <w:sz w:val="20"/>
                <w:szCs w:val="20"/>
                <w:color w:val="auto"/>
              </w:rPr>
            </w:pPr>
            <w:r>
              <w:rPr>
                <w:rFonts w:ascii="Arial" w:cs="Arial" w:eastAsia="Arial" w:hAnsi="Arial"/>
                <w:sz w:val="18"/>
                <w:szCs w:val="18"/>
                <w:color w:val="auto"/>
              </w:rPr>
              <w:t>Accrued interest receivable</w:t>
            </w:r>
          </w:p>
        </w:tc>
        <w:tc>
          <w:tcPr>
            <w:tcW w:w="4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8,297</w:t>
            </w:r>
          </w:p>
        </w:tc>
        <w:tc>
          <w:tcPr>
            <w:tcW w:w="7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84"/>
              </w:rPr>
              <w:t>8,297</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6,799</w:t>
            </w:r>
          </w:p>
        </w:tc>
        <w:tc>
          <w:tcPr>
            <w:tcW w:w="3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6,799</w:t>
            </w:r>
          </w:p>
        </w:tc>
        <w:tc>
          <w:tcPr>
            <w:tcW w:w="80" w:type="dxa"/>
            <w:vAlign w:val="bottom"/>
          </w:tcPr>
          <w:p>
            <w:pPr>
              <w:spacing w:after="0"/>
              <w:rPr>
                <w:sz w:val="19"/>
                <w:szCs w:val="19"/>
                <w:color w:val="auto"/>
              </w:rPr>
            </w:pPr>
          </w:p>
        </w:tc>
      </w:tr>
      <w:tr>
        <w:trPr>
          <w:trHeight w:val="223"/>
        </w:trPr>
        <w:tc>
          <w:tcPr>
            <w:tcW w:w="130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2,033,074</w:t>
            </w: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1,968,389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2,143,706</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2,143,881</w:t>
            </w:r>
          </w:p>
        </w:tc>
        <w:tc>
          <w:tcPr>
            <w:tcW w:w="80" w:type="dxa"/>
            <w:vAlign w:val="bottom"/>
          </w:tcPr>
          <w:p>
            <w:pPr>
              <w:spacing w:after="0"/>
              <w:rPr>
                <w:sz w:val="19"/>
                <w:szCs w:val="19"/>
                <w:color w:val="auto"/>
              </w:rPr>
            </w:pPr>
          </w:p>
        </w:tc>
      </w:tr>
      <w:tr>
        <w:trPr>
          <w:trHeight w:val="250"/>
        </w:trPr>
        <w:tc>
          <w:tcPr>
            <w:tcW w:w="10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800" w:type="dxa"/>
            <w:vAlign w:val="bottom"/>
            <w:gridSpan w:val="3"/>
          </w:tcPr>
          <w:p>
            <w:pPr>
              <w:ind w:left="20"/>
              <w:spacing w:after="0"/>
              <w:rPr>
                <w:sz w:val="20"/>
                <w:szCs w:val="20"/>
                <w:color w:val="auto"/>
              </w:rPr>
            </w:pPr>
            <w:r>
              <w:rPr>
                <w:rFonts w:ascii="Arial" w:cs="Arial" w:eastAsia="Arial" w:hAnsi="Arial"/>
                <w:sz w:val="18"/>
                <w:szCs w:val="18"/>
                <w:color w:val="auto"/>
                <w:w w:val="91"/>
              </w:rPr>
              <w:t>Balance sheet liabilities: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000" w:type="dxa"/>
            <w:vAlign w:val="bottom"/>
            <w:shd w:val="clear" w:color="auto" w:fill="DBDBDB"/>
          </w:tcPr>
          <w:p>
            <w:pPr>
              <w:ind w:left="360"/>
              <w:spacing w:after="0"/>
              <w:rPr>
                <w:sz w:val="20"/>
                <w:szCs w:val="20"/>
                <w:color w:val="auto"/>
              </w:rPr>
            </w:pPr>
            <w:r>
              <w:rPr>
                <w:rFonts w:ascii="Arial" w:cs="Arial" w:eastAsia="Arial" w:hAnsi="Arial"/>
                <w:sz w:val="18"/>
                <w:szCs w:val="18"/>
                <w:color w:val="auto"/>
                <w:w w:val="88"/>
              </w:rPr>
              <w:t>Deposits</w:t>
            </w:r>
          </w:p>
        </w:tc>
        <w:tc>
          <w:tcPr>
            <w:tcW w:w="3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80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1,257,217</w:t>
            </w:r>
          </w:p>
        </w:tc>
        <w:tc>
          <w:tcPr>
            <w:tcW w:w="7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4"/>
              </w:rPr>
              <w:t>1,257,217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1,221,503</w:t>
            </w:r>
          </w:p>
        </w:tc>
        <w:tc>
          <w:tcPr>
            <w:tcW w:w="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1,221,503</w:t>
            </w:r>
          </w:p>
        </w:tc>
        <w:tc>
          <w:tcPr>
            <w:tcW w:w="80" w:type="dxa"/>
            <w:vAlign w:val="bottom"/>
          </w:tcPr>
          <w:p>
            <w:pPr>
              <w:spacing w:after="0"/>
              <w:rPr>
                <w:sz w:val="19"/>
                <w:szCs w:val="19"/>
                <w:color w:val="auto"/>
              </w:rPr>
            </w:pPr>
          </w:p>
        </w:tc>
      </w:tr>
      <w:tr>
        <w:trPr>
          <w:trHeight w:val="230"/>
        </w:trPr>
        <w:tc>
          <w:tcPr>
            <w:tcW w:w="2640" w:type="dxa"/>
            <w:vAlign w:val="bottom"/>
            <w:gridSpan w:val="4"/>
          </w:tcPr>
          <w:p>
            <w:pPr>
              <w:ind w:left="360"/>
              <w:spacing w:after="0"/>
              <w:rPr>
                <w:sz w:val="20"/>
                <w:szCs w:val="20"/>
                <w:color w:val="auto"/>
              </w:rPr>
            </w:pPr>
            <w:r>
              <w:rPr>
                <w:rFonts w:ascii="Arial" w:cs="Arial" w:eastAsia="Arial" w:hAnsi="Arial"/>
                <w:sz w:val="18"/>
                <w:szCs w:val="18"/>
                <w:color w:val="auto"/>
                <w:w w:val="99"/>
              </w:rPr>
              <w:t>Accounts and drafts payable</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1,067,600</w:t>
            </w:r>
          </w:p>
        </w:tc>
        <w:tc>
          <w:tcPr>
            <w:tcW w:w="7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1,067,600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1,050,396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1,050,396</w:t>
            </w:r>
          </w:p>
        </w:tc>
        <w:tc>
          <w:tcPr>
            <w:tcW w:w="80" w:type="dxa"/>
            <w:vAlign w:val="bottom"/>
          </w:tcPr>
          <w:p>
            <w:pPr>
              <w:spacing w:after="0"/>
              <w:rPr>
                <w:sz w:val="19"/>
                <w:szCs w:val="19"/>
                <w:color w:val="auto"/>
              </w:rPr>
            </w:pPr>
          </w:p>
        </w:tc>
      </w:tr>
      <w:tr>
        <w:trPr>
          <w:trHeight w:val="229"/>
        </w:trPr>
        <w:tc>
          <w:tcPr>
            <w:tcW w:w="2640" w:type="dxa"/>
            <w:vAlign w:val="bottom"/>
            <w:tcBorders>
              <w:bottom w:val="single" w:sz="8" w:color="auto"/>
            </w:tcBorders>
            <w:gridSpan w:val="4"/>
            <w:shd w:val="clear" w:color="auto" w:fill="DBDBDB"/>
          </w:tcPr>
          <w:p>
            <w:pPr>
              <w:ind w:left="360"/>
              <w:spacing w:after="0"/>
              <w:rPr>
                <w:sz w:val="20"/>
                <w:szCs w:val="20"/>
                <w:color w:val="auto"/>
              </w:rPr>
            </w:pPr>
            <w:r>
              <w:rPr>
                <w:rFonts w:ascii="Arial" w:cs="Arial" w:eastAsia="Arial" w:hAnsi="Arial"/>
                <w:sz w:val="18"/>
                <w:szCs w:val="18"/>
                <w:color w:val="auto"/>
              </w:rPr>
              <w:t>Accrued interest payable</w:t>
            </w:r>
          </w:p>
        </w:tc>
        <w:tc>
          <w:tcPr>
            <w:tcW w:w="4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66</w:t>
            </w:r>
          </w:p>
        </w:tc>
        <w:tc>
          <w:tcPr>
            <w:tcW w:w="7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23"/>
        </w:trPr>
        <w:tc>
          <w:tcPr>
            <w:tcW w:w="130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2,324,883</w:t>
            </w: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2,324,883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2,271,915</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2,271,915</w:t>
            </w:r>
          </w:p>
        </w:tc>
        <w:tc>
          <w:tcPr>
            <w:tcW w:w="80" w:type="dxa"/>
            <w:vAlign w:val="bottom"/>
          </w:tcPr>
          <w:p>
            <w:pPr>
              <w:spacing w:after="0"/>
              <w:rPr>
                <w:sz w:val="19"/>
                <w:szCs w:val="19"/>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The fair value is measured on a recurring basis using Level 2 valuations. Refer to Note 3 - Investment Securities, for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and losses by investment type.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credit losses approximates a fair valuation.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Individually assessed loans are valued using the fair value of the collateral which is based upon an observable market price or current appraised value and therefore, the fair value is a nonrecurring Level 3 valuation.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The carrying amount approximates fair value.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Limitations </w:t>
      </w:r>
      <w:r>
        <w:rPr>
          <w:rFonts w:ascii="Arial" w:cs="Arial" w:eastAsia="Arial" w:hAnsi="Arial"/>
          <w:sz w:val="16"/>
          <w:szCs w:val="16"/>
          <w:color w:val="auto"/>
        </w:rPr>
        <w:t>Fair value estimates are based on existing on- and off-balance sheet financial instruments without attempting to estimate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anticipated 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2022, an allowance for unfunded commitments of $232,000 had been recorded, as compared to $367,000 at December 31, 2021. See Note 1 "Summary of Significant Accounting Policies" for information related to CECL.</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Commercial and standby letters of credit are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w w:val="97"/>
              </w:rPr>
              <w:t>The following table shows commitments to extend credit, standby letters of credit and commercial letters: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818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7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shd w:val="clear" w:color="auto" w:fill="DBDBDB"/>
          </w:tcPr>
          <w:p>
            <w:pPr>
              <w:spacing w:after="0"/>
              <w:rPr>
                <w:sz w:val="19"/>
                <w:szCs w:val="19"/>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Commitments to extend credit</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237,006</w:t>
            </w:r>
          </w:p>
        </w:tc>
        <w:tc>
          <w:tcPr>
            <w:tcW w:w="60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208,395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Standby letters of credit</w:t>
            </w: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14,494</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12,859</w:t>
            </w:r>
          </w:p>
        </w:tc>
      </w:tr>
      <w:tr>
        <w:trPr>
          <w:trHeight w:val="230"/>
        </w:trPr>
        <w:tc>
          <w:tcPr>
            <w:tcW w:w="8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Commercial letters of credit</w:t>
            </w: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354</w:t>
            </w:r>
          </w:p>
        </w:tc>
        <w:tc>
          <w:tcPr>
            <w:tcW w:w="6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771</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 however, no premium or discount is offered thereon.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 of the Company or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as the obligation to the customer is satisfied. The following is detail of the Company’s revenue from contracts with clients.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Processing fees </w:t>
      </w:r>
      <w:r>
        <w:rPr>
          <w:rFonts w:ascii="Arial" w:cs="Arial" w:eastAsia="Arial" w:hAnsi="Arial"/>
          <w:sz w:val="18"/>
          <w:szCs w:val="18"/>
          <w:color w:val="auto"/>
        </w:rPr>
        <w:t>– The Company earns fees on a per-item or monthly basis for the invoice processing services rendered on behalf of customers. Per-item</w:t>
      </w:r>
      <w:r>
        <w:rPr>
          <w:rFonts w:ascii="Arial" w:cs="Arial" w:eastAsia="Arial" w:hAnsi="Arial"/>
          <w:sz w:val="18"/>
          <w:szCs w:val="18"/>
          <w:i w:val="1"/>
          <w:iCs w:val="1"/>
          <w:color w:val="auto"/>
        </w:rPr>
        <w:t xml:space="preserve"> </w:t>
      </w:r>
      <w:r>
        <w:rPr>
          <w:rFonts w:ascii="Arial" w:cs="Arial" w:eastAsia="Arial" w:hAnsi="Arial"/>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Financial fees </w:t>
      </w:r>
      <w:r>
        <w:rPr>
          <w:rFonts w:ascii="Arial" w:cs="Arial" w:eastAsia="Arial" w:hAnsi="Arial"/>
          <w:sz w:val="18"/>
          <w:szCs w:val="18"/>
          <w:color w:val="auto"/>
        </w:rPr>
        <w:t>– The Company earns fees on a transaction level basis for invoice payment services when making customer payments. Fees are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Bank service fees </w:t>
      </w:r>
      <w:r>
        <w:rPr>
          <w:rFonts w:ascii="Arial" w:cs="Arial" w:eastAsia="Arial" w:hAnsi="Arial"/>
          <w:sz w:val="17"/>
          <w:szCs w:val="17"/>
          <w:color w:val="auto"/>
        </w:rPr>
        <w:t>– Revenue from service fees consists of service charges and fees on deposit accounts under depository agreements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non-interest income, segregated by revenue streams in-scope and out-of-scope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for the years ended December 31, 2022, 2021 and 2020.</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3340" w:type="dxa"/>
            <w:vAlign w:val="bottom"/>
            <w:tcBorders>
              <w:bottom w:val="single" w:sz="8" w:color="auto"/>
            </w:tcBorders>
            <w:gridSpan w:val="6"/>
            <w:shd w:val="clear" w:color="auto" w:fill="DBDBDB"/>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Borders>
              <w:bottom w:val="single" w:sz="8" w:color="auto"/>
            </w:tcBorders>
            <w:shd w:val="clear" w:color="auto" w:fill="DBDBDB"/>
          </w:tcPr>
          <w:p>
            <w:pPr>
              <w:spacing w:after="0"/>
              <w:rPr>
                <w:sz w:val="19"/>
                <w:szCs w:val="19"/>
                <w:color w:val="auto"/>
              </w:rPr>
            </w:pPr>
          </w:p>
        </w:tc>
      </w:tr>
      <w:tr>
        <w:trPr>
          <w:trHeight w:val="223"/>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6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Fee revenue and other income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i w:val="1"/>
                <w:iCs w:val="1"/>
                <w:color w:val="auto"/>
              </w:rPr>
              <w:t>In-scope of ASC 606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520" w:type="dxa"/>
            <w:vAlign w:val="bottom"/>
            <w:shd w:val="clear" w:color="auto" w:fill="DBDBDB"/>
          </w:tcPr>
          <w:p>
            <w:pPr>
              <w:ind w:left="680"/>
              <w:spacing w:after="0"/>
              <w:rPr>
                <w:sz w:val="20"/>
                <w:szCs w:val="20"/>
                <w:color w:val="auto"/>
              </w:rPr>
            </w:pPr>
            <w:r>
              <w:rPr>
                <w:rFonts w:ascii="Arial" w:cs="Arial" w:eastAsia="Arial" w:hAnsi="Arial"/>
                <w:sz w:val="18"/>
                <w:szCs w:val="18"/>
                <w:color w:val="auto"/>
              </w:rPr>
              <w:t>Processing fees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76,470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74,589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74,638</w:t>
            </w:r>
          </w:p>
        </w:tc>
      </w:tr>
      <w:tr>
        <w:trPr>
          <w:trHeight w:val="229"/>
        </w:trPr>
        <w:tc>
          <w:tcPr>
            <w:tcW w:w="6520" w:type="dxa"/>
            <w:vAlign w:val="bottom"/>
            <w:tcBorders>
              <w:bottom w:val="single" w:sz="8" w:color="DBDBDB"/>
            </w:tcBorders>
          </w:tcPr>
          <w:p>
            <w:pPr>
              <w:ind w:left="680"/>
              <w:spacing w:after="0"/>
              <w:rPr>
                <w:sz w:val="20"/>
                <w:szCs w:val="20"/>
                <w:color w:val="auto"/>
              </w:rPr>
            </w:pPr>
            <w:r>
              <w:rPr>
                <w:rFonts w:ascii="Arial" w:cs="Arial" w:eastAsia="Arial" w:hAnsi="Arial"/>
                <w:sz w:val="18"/>
                <w:szCs w:val="18"/>
                <w:color w:val="auto"/>
              </w:rPr>
              <w:t>Financial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23,107</w:t>
            </w:r>
          </w:p>
        </w:tc>
      </w:tr>
      <w:tr>
        <w:trPr>
          <w:trHeight w:val="223"/>
        </w:trPr>
        <w:tc>
          <w:tcPr>
            <w:tcW w:w="6520" w:type="dxa"/>
            <w:vAlign w:val="bottom"/>
            <w:shd w:val="clear" w:color="auto" w:fill="DBDBDB"/>
          </w:tcPr>
          <w:p>
            <w:pPr>
              <w:ind w:left="1160"/>
              <w:spacing w:after="0"/>
              <w:rPr>
                <w:sz w:val="20"/>
                <w:szCs w:val="20"/>
                <w:color w:val="auto"/>
              </w:rPr>
            </w:pPr>
            <w:r>
              <w:rPr>
                <w:rFonts w:ascii="Arial" w:cs="Arial" w:eastAsia="Arial" w:hAnsi="Arial"/>
                <w:sz w:val="18"/>
                <w:szCs w:val="18"/>
                <w:color w:val="auto"/>
              </w:rPr>
              <w:t>Information services payment and processing revenue</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120,227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107,322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97,745</w:t>
            </w:r>
          </w:p>
        </w:tc>
      </w:tr>
      <w:tr>
        <w:trPr>
          <w:trHeight w:val="229"/>
        </w:trPr>
        <w:tc>
          <w:tcPr>
            <w:tcW w:w="6520" w:type="dxa"/>
            <w:vAlign w:val="bottom"/>
            <w:tcBorders>
              <w:bottom w:val="single" w:sz="8" w:color="DBDBDB"/>
            </w:tcBorders>
          </w:tcPr>
          <w:p>
            <w:pPr>
              <w:ind w:left="680"/>
              <w:spacing w:after="0"/>
              <w:rPr>
                <w:sz w:val="20"/>
                <w:szCs w:val="20"/>
                <w:color w:val="auto"/>
              </w:rPr>
            </w:pPr>
            <w:r>
              <w:rPr>
                <w:rFonts w:ascii="Arial" w:cs="Arial" w:eastAsia="Arial" w:hAnsi="Arial"/>
                <w:sz w:val="18"/>
                <w:szCs w:val="18"/>
                <w:color w:val="auto"/>
              </w:rPr>
              <w:t>Bank service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23"/>
        </w:trPr>
        <w:tc>
          <w:tcPr>
            <w:tcW w:w="65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 xml:space="preserve">Fee revenue </w:t>
            </w:r>
            <w:r>
              <w:rPr>
                <w:rFonts w:ascii="Arial" w:cs="Arial" w:eastAsia="Arial" w:hAnsi="Arial"/>
                <w:sz w:val="18"/>
                <w:szCs w:val="18"/>
                <w:i w:val="1"/>
                <w:iCs w:val="1"/>
                <w:color w:val="auto"/>
              </w:rPr>
              <w:t>(in-scope of ASC 606)</w:t>
            </w: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121,657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108,691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98,903</w:t>
            </w: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18"/>
                <w:szCs w:val="18"/>
                <w:i w:val="1"/>
                <w:iCs w:val="1"/>
                <w:color w:val="auto"/>
              </w:rPr>
              <w:t>(out-of-scope of ASC 606)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6520" w:type="dxa"/>
            <w:vAlign w:val="bottom"/>
            <w:tcBorders>
              <w:bottom w:val="single" w:sz="8" w:color="auto"/>
            </w:tcBorders>
            <w:shd w:val="clear" w:color="auto" w:fill="DBDBDB"/>
          </w:tcPr>
          <w:p>
            <w:pPr>
              <w:ind w:left="1160"/>
              <w:spacing w:after="0"/>
              <w:rPr>
                <w:sz w:val="20"/>
                <w:szCs w:val="20"/>
                <w:color w:val="auto"/>
              </w:rPr>
            </w:pPr>
            <w:r>
              <w:rPr>
                <w:rFonts w:ascii="Arial" w:cs="Arial" w:eastAsia="Arial" w:hAnsi="Arial"/>
                <w:sz w:val="18"/>
                <w:szCs w:val="18"/>
                <w:color w:val="auto"/>
              </w:rPr>
              <w:t>Total fee revenue and other income</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124,982</w:t>
            </w:r>
          </w:p>
        </w:tc>
        <w:tc>
          <w:tcPr>
            <w:tcW w:w="10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109,691</w:t>
            </w:r>
          </w:p>
        </w:tc>
        <w:tc>
          <w:tcPr>
            <w:tcW w:w="10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100,441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accounting policies for segments are the same as those described in Note 1 of this report. Management evaluates segment performance based on tax-equivalized (as defined in the footnote to the chart on the following table) pre-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tax income after allocations for corporate expenses. Transactions between segments are accounted for at what management believes to be fair value.</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the Company’s operations in each industry segment for the years ended December 31, 2022, 2021 and 2020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Information</w:t>
            </w:r>
          </w:p>
        </w:tc>
        <w:tc>
          <w:tcPr>
            <w:tcW w:w="300" w:type="dxa"/>
            <w:vAlign w:val="bottom"/>
          </w:tcPr>
          <w:p>
            <w:pPr>
              <w:spacing w:after="0"/>
              <w:rPr>
                <w:sz w:val="17"/>
                <w:szCs w:val="17"/>
                <w:color w:val="auto"/>
              </w:rPr>
            </w:pP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Banking</w:t>
            </w:r>
          </w:p>
        </w:tc>
        <w:tc>
          <w:tcPr>
            <w:tcW w:w="260" w:type="dxa"/>
            <w:vAlign w:val="bottom"/>
          </w:tcPr>
          <w:p>
            <w:pPr>
              <w:spacing w:after="0"/>
              <w:rPr>
                <w:sz w:val="17"/>
                <w:szCs w:val="17"/>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1"/>
              </w:rPr>
              <w:t>Eliminations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Services</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Services</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and Other</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b w:val="1"/>
                <w:bCs w:val="1"/>
                <w:i w:val="1"/>
                <w:iCs w:val="1"/>
                <w:color w:val="auto"/>
              </w:rPr>
              <w:t>2022</w:t>
            </w:r>
          </w:p>
        </w:tc>
        <w:tc>
          <w:tcPr>
            <w:tcW w:w="136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Fee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120,234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1,142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124,982</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28,528</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40,913</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(5,426)</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64,015</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4,143</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Intersegment income (expense)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(3,350)</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3,350</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Tax-equivalized pre-tax income*</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26,478</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21,566</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(3,455)</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44,589</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17,173</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Other intangible assets, net</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4,126</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1,595,939</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1,182,439</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(205,355)</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2,573,023</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Average funding sources</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1,379,355</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953,346</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2,332,701</w:t>
            </w:r>
          </w:p>
        </w:tc>
        <w:tc>
          <w:tcPr>
            <w:tcW w:w="0" w:type="dxa"/>
            <w:vAlign w:val="bottom"/>
          </w:tcPr>
          <w:p>
            <w:pPr>
              <w:spacing w:after="0"/>
              <w:rPr>
                <w:sz w:val="1"/>
                <w:szCs w:val="1"/>
                <w:color w:val="auto"/>
              </w:rPr>
            </w:pPr>
          </w:p>
        </w:tc>
      </w:tr>
      <w:tr>
        <w:trPr>
          <w:trHeight w:val="257"/>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b w:val="1"/>
                <w:bCs w:val="1"/>
                <w:i w:val="1"/>
                <w:iCs w:val="1"/>
                <w:color w:val="auto"/>
              </w:rPr>
              <w:t>2021</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Fee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106,678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1,608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109,691</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24,332</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24,732</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(1,694)</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47,370</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Intersegment income (expense)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(3,222)</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3,222</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Tax-equivalized pre-tax income*</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25,446</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11,004</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35,694</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14,126</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Other intangible assets, net</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2,564</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1,450,594</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1,090,626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13,681</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2,554,901</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Average funding sources</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1,150,493</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876,018</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2,026,511</w:t>
            </w:r>
          </w:p>
        </w:tc>
        <w:tc>
          <w:tcPr>
            <w:tcW w:w="0" w:type="dxa"/>
            <w:vAlign w:val="bottom"/>
          </w:tcPr>
          <w:p>
            <w:pPr>
              <w:spacing w:after="0"/>
              <w:rPr>
                <w:sz w:val="1"/>
                <w:szCs w:val="1"/>
                <w:color w:val="auto"/>
              </w:rPr>
            </w:pPr>
          </w:p>
        </w:tc>
      </w:tr>
      <w:tr>
        <w:trPr>
          <w:trHeight w:val="257"/>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b w:val="1"/>
                <w:bCs w:val="1"/>
                <w:i w:val="1"/>
                <w:iCs w:val="1"/>
                <w:color w:val="auto"/>
              </w:rPr>
              <w:t>2020</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Fee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97,640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1,286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100,441</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20,343</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29,494</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49,576</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2,362</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Intersegment income (expense)</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(2,315)</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2,315</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Tax-equivalized pre-tax income*</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16,230</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14,973</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32,230</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14,126</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50"/>
        </w:trPr>
        <w:tc>
          <w:tcPr>
            <w:tcW w:w="3860" w:type="dxa"/>
            <w:vAlign w:val="bottom"/>
          </w:tcPr>
          <w:p>
            <w:pPr>
              <w:ind w:left="300"/>
              <w:spacing w:after="0"/>
              <w:rPr>
                <w:sz w:val="20"/>
                <w:szCs w:val="20"/>
                <w:color w:val="auto"/>
              </w:rPr>
            </w:pPr>
            <w:r>
              <w:rPr>
                <w:rFonts w:ascii="Arial" w:cs="Arial" w:eastAsia="Arial" w:hAnsi="Arial"/>
                <w:sz w:val="18"/>
                <w:szCs w:val="18"/>
                <w:color w:val="auto"/>
              </w:rPr>
              <w:t>Other intangible assets, net</w:t>
            </w:r>
          </w:p>
        </w:tc>
        <w:tc>
          <w:tcPr>
            <w:tcW w:w="1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3,423</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63"/>
        </w:trPr>
        <w:tc>
          <w:tcPr>
            <w:tcW w:w="3860" w:type="dxa"/>
            <w:vAlign w:val="bottom"/>
            <w:shd w:val="clear" w:color="auto" w:fill="DBDBDB"/>
          </w:tcPr>
          <w:p>
            <w:pPr>
              <w:ind w:left="300"/>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1,188,745</w:t>
            </w:r>
          </w:p>
        </w:tc>
        <w:tc>
          <w:tcPr>
            <w:tcW w:w="300" w:type="dxa"/>
            <w:vAlign w:val="bottom"/>
            <w:shd w:val="clear" w:color="auto" w:fill="DBDBDB"/>
          </w:tcPr>
          <w:p>
            <w:pPr>
              <w:spacing w:after="0"/>
              <w:rPr>
                <w:sz w:val="22"/>
                <w:szCs w:val="22"/>
                <w:color w:val="auto"/>
              </w:rPr>
            </w:pPr>
          </w:p>
        </w:tc>
        <w:tc>
          <w:tcPr>
            <w:tcW w:w="1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997,483</w:t>
            </w:r>
          </w:p>
        </w:tc>
        <w:tc>
          <w:tcPr>
            <w:tcW w:w="260" w:type="dxa"/>
            <w:vAlign w:val="bottom"/>
            <w:shd w:val="clear" w:color="auto" w:fill="DBDBDB"/>
          </w:tcPr>
          <w:p>
            <w:pPr>
              <w:spacing w:after="0"/>
              <w:rPr>
                <w:sz w:val="22"/>
                <w:szCs w:val="22"/>
                <w:color w:val="auto"/>
              </w:rPr>
            </w:pPr>
          </w:p>
        </w:tc>
        <w:tc>
          <w:tcPr>
            <w:tcW w:w="13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17,007</w:t>
            </w:r>
          </w:p>
        </w:tc>
        <w:tc>
          <w:tcPr>
            <w:tcW w:w="38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2,203,235</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Average funding sources</w:t>
            </w: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902,486</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737,962</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1,640,448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4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Presented on a tax-equivalent basis assuming a tax rate of 21%. The tax-equivalent adjustment was approximately $1.7 million for 2022, $1.9 million for 2021, and $1.9 million for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certain premises under operating leases. As of December 31, 2022, the Company had lease liabilities of $9.5 million and right-of-use assets of $9.2 million. Lease liabilities and right-of-use assets are reflected in other liabilities and other assets, respectively. Included in occupancy expense on the consolidated statements of income for 2022 was operating lease cost of $1.5 million, short-term lease cost of $203,000, and there was no variable lease cost. The Company paid cash of $1.6 million for operating lease amounts included in the measurement of lease liabilities for the year ended December 31, 2022. No right-of-use assets were obtained in exchange for lease liabilities during the year ended December 31,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2022, the weighted average remaining lease term for the operating leases was 8.2 years and the weighted average discount rate used in the measurement of operating lease liabilities was 3.6%. Certain of the Company’s leases contain options to renew the lease; however, these renewal options are not included in the calculation of the lease liabilities as they are not reasonably certain to be exercised. The increase in the Company’s expected future minimum lease payments since December 31, 2021 was a result of renewing the lease on the Company's corporate headquarters for 10 years, effective September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w w:val="97"/>
              </w:rPr>
              <w:t>A maturity analysis of operating lease liabilities and undiscounted cash flows as of December 31, 2022 was as follows:</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9"/>
        </w:trPr>
        <w:tc>
          <w:tcPr>
            <w:tcW w:w="91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4"/>
        </w:trPr>
        <w:tc>
          <w:tcPr>
            <w:tcW w:w="9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payments due</w:t>
            </w:r>
          </w:p>
        </w:tc>
        <w:tc>
          <w:tcPr>
            <w:tcW w:w="740" w:type="dxa"/>
            <w:vAlign w:val="bottom"/>
            <w:shd w:val="clear" w:color="auto" w:fill="DBDBDB"/>
          </w:tcPr>
          <w:p>
            <w:pPr>
              <w:spacing w:after="0"/>
              <w:rPr>
                <w:sz w:val="22"/>
                <w:szCs w:val="22"/>
                <w:color w:val="auto"/>
              </w:rPr>
            </w:pPr>
          </w:p>
        </w:tc>
        <w:tc>
          <w:tcPr>
            <w:tcW w:w="13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80" w:type="dxa"/>
            <w:vAlign w:val="bottom"/>
          </w:tcPr>
          <w:p>
            <w:pPr>
              <w:ind w:left="300"/>
              <w:spacing w:after="0"/>
              <w:rPr>
                <w:sz w:val="20"/>
                <w:szCs w:val="20"/>
                <w:color w:val="auto"/>
              </w:rPr>
            </w:pPr>
            <w:r>
              <w:rPr>
                <w:rFonts w:ascii="Arial" w:cs="Arial" w:eastAsia="Arial" w:hAnsi="Arial"/>
                <w:sz w:val="18"/>
                <w:szCs w:val="18"/>
                <w:color w:val="auto"/>
              </w:rPr>
              <w:t>Less than 1 year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63"/>
        </w:trPr>
        <w:tc>
          <w:tcPr>
            <w:tcW w:w="9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1-2 years</w:t>
            </w:r>
          </w:p>
        </w:tc>
        <w:tc>
          <w:tcPr>
            <w:tcW w:w="7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50"/>
        </w:trPr>
        <w:tc>
          <w:tcPr>
            <w:tcW w:w="9180" w:type="dxa"/>
            <w:vAlign w:val="bottom"/>
          </w:tcPr>
          <w:p>
            <w:pPr>
              <w:ind w:left="300"/>
              <w:spacing w:after="0"/>
              <w:rPr>
                <w:sz w:val="20"/>
                <w:szCs w:val="20"/>
                <w:color w:val="auto"/>
              </w:rPr>
            </w:pPr>
            <w:r>
              <w:rPr>
                <w:rFonts w:ascii="Arial" w:cs="Arial" w:eastAsia="Arial" w:hAnsi="Arial"/>
                <w:sz w:val="18"/>
                <w:szCs w:val="18"/>
                <w:color w:val="auto"/>
              </w:rPr>
              <w:t>2-3 years</w:t>
            </w:r>
          </w:p>
        </w:tc>
        <w:tc>
          <w:tcPr>
            <w:tcW w:w="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63"/>
        </w:trPr>
        <w:tc>
          <w:tcPr>
            <w:tcW w:w="9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3-4 years</w:t>
            </w:r>
          </w:p>
        </w:tc>
        <w:tc>
          <w:tcPr>
            <w:tcW w:w="74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50"/>
        </w:trPr>
        <w:tc>
          <w:tcPr>
            <w:tcW w:w="9180" w:type="dxa"/>
            <w:vAlign w:val="bottom"/>
          </w:tcPr>
          <w:p>
            <w:pPr>
              <w:ind w:left="300"/>
              <w:spacing w:after="0"/>
              <w:rPr>
                <w:sz w:val="20"/>
                <w:szCs w:val="20"/>
                <w:color w:val="auto"/>
              </w:rPr>
            </w:pPr>
            <w:r>
              <w:rPr>
                <w:rFonts w:ascii="Arial" w:cs="Arial" w:eastAsia="Arial" w:hAnsi="Arial"/>
                <w:sz w:val="18"/>
                <w:szCs w:val="18"/>
                <w:color w:val="auto"/>
              </w:rPr>
              <w:t>4-5 years</w:t>
            </w:r>
          </w:p>
        </w:tc>
        <w:tc>
          <w:tcPr>
            <w:tcW w:w="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57"/>
        </w:trPr>
        <w:tc>
          <w:tcPr>
            <w:tcW w:w="918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8"/>
                <w:szCs w:val="18"/>
                <w:color w:val="auto"/>
              </w:rPr>
              <w:t>Over 5 years</w:t>
            </w:r>
          </w:p>
        </w:tc>
        <w:tc>
          <w:tcPr>
            <w:tcW w:w="740" w:type="dxa"/>
            <w:vAlign w:val="bottom"/>
            <w:tcBorders>
              <w:bottom w:val="single" w:sz="8" w:color="auto"/>
            </w:tcBorders>
            <w:shd w:val="clear" w:color="auto" w:fill="DBDBDB"/>
          </w:tcPr>
          <w:p>
            <w:pPr>
              <w:spacing w:after="0"/>
              <w:rPr>
                <w:sz w:val="22"/>
                <w:szCs w:val="22"/>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50"/>
        </w:trPr>
        <w:tc>
          <w:tcPr>
            <w:tcW w:w="9180" w:type="dxa"/>
            <w:vAlign w:val="bottom"/>
          </w:tcPr>
          <w:p>
            <w:pPr>
              <w:ind w:left="560"/>
              <w:spacing w:after="0"/>
              <w:rPr>
                <w:sz w:val="20"/>
                <w:szCs w:val="20"/>
                <w:color w:val="auto"/>
              </w:rPr>
            </w:pPr>
            <w:r>
              <w:rPr>
                <w:rFonts w:ascii="Arial" w:cs="Arial" w:eastAsia="Arial" w:hAnsi="Arial"/>
                <w:sz w:val="18"/>
                <w:szCs w:val="18"/>
                <w:color w:val="auto"/>
              </w:rPr>
              <w:t>Total undiscounted cash flows</w:t>
            </w:r>
          </w:p>
        </w:tc>
        <w:tc>
          <w:tcPr>
            <w:tcW w:w="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57"/>
        </w:trPr>
        <w:tc>
          <w:tcPr>
            <w:tcW w:w="9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Discount on cash flows</w:t>
            </w:r>
          </w:p>
        </w:tc>
        <w:tc>
          <w:tcPr>
            <w:tcW w:w="740" w:type="dxa"/>
            <w:vAlign w:val="bottom"/>
            <w:tcBorders>
              <w:bottom w:val="single" w:sz="8" w:color="auto"/>
            </w:tcBorders>
            <w:shd w:val="clear" w:color="auto" w:fill="DBDBDB"/>
          </w:tcPr>
          <w:p>
            <w:pPr>
              <w:spacing w:after="0"/>
              <w:rPr>
                <w:sz w:val="22"/>
                <w:szCs w:val="22"/>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50"/>
        </w:trPr>
        <w:tc>
          <w:tcPr>
            <w:tcW w:w="9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lease liability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year ended December 31, 2022. At December 31, 2022, the Company did not have any leases that had not yet commenced.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December 31, 2022, and there were no events identified that would require additional disclosures to prevent the Company’s consolidated financial statements from being misleading.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Following are the condensed balance sheets of the Company (parent company only) and the related condensed statements of income and cash flows.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760" w:type="dxa"/>
            <w:vAlign w:val="bottom"/>
            <w:gridSpan w:val="4"/>
            <w:shd w:val="clear" w:color="auto" w:fill="DBDBDB"/>
          </w:tcPr>
          <w:p>
            <w:pPr>
              <w:jc w:val="right"/>
              <w:ind w:right="430"/>
              <w:spacing w:after="0"/>
              <w:rPr>
                <w:sz w:val="20"/>
                <w:szCs w:val="20"/>
                <w:color w:val="auto"/>
              </w:rPr>
            </w:pPr>
            <w:r>
              <w:rPr>
                <w:rFonts w:ascii="Arial" w:cs="Arial" w:eastAsia="Arial" w:hAnsi="Arial"/>
                <w:sz w:val="18"/>
                <w:szCs w:val="18"/>
                <w:b w:val="1"/>
                <w:bCs w:val="1"/>
                <w:color w:val="auto"/>
                <w:w w:val="94"/>
              </w:rPr>
              <w:t>Condensed Balance Sheets</w:t>
            </w:r>
          </w:p>
        </w:tc>
        <w:tc>
          <w:tcPr>
            <w:tcW w:w="0" w:type="dxa"/>
            <w:vAlign w:val="bottom"/>
          </w:tcPr>
          <w:p>
            <w:pPr>
              <w:spacing w:after="0"/>
              <w:rPr>
                <w:sz w:val="1"/>
                <w:szCs w:val="1"/>
                <w:color w:val="auto"/>
              </w:rPr>
            </w:pPr>
          </w:p>
        </w:tc>
      </w:tr>
      <w:tr>
        <w:trPr>
          <w:trHeight w:val="239"/>
        </w:trPr>
        <w:tc>
          <w:tcPr>
            <w:tcW w:w="8180" w:type="dxa"/>
            <w:vAlign w:val="bottom"/>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57"/>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Cash and due from banks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132,050</w:t>
            </w:r>
          </w:p>
        </w:tc>
        <w:tc>
          <w:tcPr>
            <w:tcW w:w="0" w:type="dxa"/>
            <w:vAlign w:val="bottom"/>
          </w:tcPr>
          <w:p>
            <w:pPr>
              <w:spacing w:after="0"/>
              <w:rPr>
                <w:sz w:val="1"/>
                <w:szCs w:val="1"/>
                <w:color w:val="auto"/>
              </w:rPr>
            </w:pPr>
          </w:p>
        </w:tc>
      </w:tr>
      <w:tr>
        <w:trPr>
          <w:trHeight w:val="26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26,834</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Securities available-for-sale, at fair value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490,829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566,835</w:t>
            </w:r>
          </w:p>
        </w:tc>
        <w:tc>
          <w:tcPr>
            <w:tcW w:w="0" w:type="dxa"/>
            <w:vAlign w:val="bottom"/>
          </w:tcPr>
          <w:p>
            <w:pPr>
              <w:spacing w:after="0"/>
              <w:rPr>
                <w:sz w:val="1"/>
                <w:szCs w:val="1"/>
                <w:color w:val="auto"/>
              </w:rPr>
            </w:pPr>
          </w:p>
        </w:tc>
      </w:tr>
      <w:tr>
        <w:trPr>
          <w:trHeight w:val="26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Loans, net</w:t>
            </w: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74,810</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40,515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Payments in advance of funding</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293,775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291,427</w:t>
            </w:r>
          </w:p>
        </w:tc>
        <w:tc>
          <w:tcPr>
            <w:tcW w:w="0" w:type="dxa"/>
            <w:vAlign w:val="bottom"/>
          </w:tcPr>
          <w:p>
            <w:pPr>
              <w:spacing w:after="0"/>
              <w:rPr>
                <w:sz w:val="1"/>
                <w:szCs w:val="1"/>
                <w:color w:val="auto"/>
              </w:rPr>
            </w:pPr>
          </w:p>
        </w:tc>
      </w:tr>
      <w:tr>
        <w:trPr>
          <w:trHeight w:val="26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Investments in subsidiaries</w:t>
            </w: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164,907</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164,650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6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Accounts and drafts receivable from customers</w:t>
            </w: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95,779</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119,627</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90,948</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1,291,167</w:t>
            </w:r>
          </w:p>
        </w:tc>
        <w:tc>
          <w:tcPr>
            <w:tcW w:w="100" w:type="dxa"/>
            <w:vAlign w:val="bottom"/>
            <w:tcBorders>
              <w:bottom w:val="single" w:sz="8" w:color="DBDBDB"/>
            </w:tcBorders>
            <w:shd w:val="clear" w:color="auto" w:fill="DBDBDB"/>
          </w:tcPr>
          <w:p>
            <w:pPr>
              <w:spacing w:after="0"/>
              <w:rPr>
                <w:sz w:val="24"/>
                <w:szCs w:val="24"/>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1,309,445</w:t>
            </w:r>
          </w:p>
        </w:tc>
        <w:tc>
          <w:tcPr>
            <w:tcW w:w="0" w:type="dxa"/>
            <w:vAlign w:val="bottom"/>
          </w:tcPr>
          <w:p>
            <w:pPr>
              <w:spacing w:after="0"/>
              <w:rPr>
                <w:sz w:val="1"/>
                <w:szCs w:val="1"/>
                <w:color w:val="auto"/>
              </w:rPr>
            </w:pPr>
          </w:p>
        </w:tc>
      </w:tr>
      <w:tr>
        <w:trPr>
          <w:trHeight w:val="20"/>
        </w:trPr>
        <w:tc>
          <w:tcPr>
            <w:tcW w:w="81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Accounts and drafts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1,057,463</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1,041,070</w:t>
            </w:r>
          </w:p>
        </w:tc>
        <w:tc>
          <w:tcPr>
            <w:tcW w:w="0" w:type="dxa"/>
            <w:vAlign w:val="bottom"/>
          </w:tcPr>
          <w:p>
            <w:pPr>
              <w:spacing w:after="0"/>
              <w:rPr>
                <w:sz w:val="1"/>
                <w:szCs w:val="1"/>
                <w:color w:val="auto"/>
              </w:rPr>
            </w:pPr>
          </w:p>
        </w:tc>
      </w:tr>
      <w:tr>
        <w:trPr>
          <w:trHeight w:val="257"/>
        </w:trPr>
        <w:tc>
          <w:tcPr>
            <w:tcW w:w="8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27,379</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22,577</w:t>
            </w:r>
          </w:p>
        </w:tc>
        <w:tc>
          <w:tcPr>
            <w:tcW w:w="0" w:type="dxa"/>
            <w:vAlign w:val="bottom"/>
          </w:tcPr>
          <w:p>
            <w:pPr>
              <w:spacing w:after="0"/>
              <w:rPr>
                <w:sz w:val="1"/>
                <w:szCs w:val="1"/>
                <w:color w:val="auto"/>
              </w:rPr>
            </w:pPr>
          </w:p>
        </w:tc>
      </w:tr>
      <w:tr>
        <w:trPr>
          <w:trHeight w:val="250"/>
        </w:trPr>
        <w:tc>
          <w:tcPr>
            <w:tcW w:w="818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1,084,842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1,063,647</w:t>
            </w:r>
          </w:p>
        </w:tc>
        <w:tc>
          <w:tcPr>
            <w:tcW w:w="0" w:type="dxa"/>
            <w:vAlign w:val="bottom"/>
          </w:tcPr>
          <w:p>
            <w:pPr>
              <w:spacing w:after="0"/>
              <w:rPr>
                <w:sz w:val="1"/>
                <w:szCs w:val="1"/>
                <w:color w:val="auto"/>
              </w:rPr>
            </w:pPr>
          </w:p>
        </w:tc>
      </w:tr>
      <w:tr>
        <w:trPr>
          <w:trHeight w:val="257"/>
        </w:trPr>
        <w:tc>
          <w:tcPr>
            <w:tcW w:w="8180" w:type="dxa"/>
            <w:vAlign w:val="bottom"/>
            <w:shd w:val="clear" w:color="auto" w:fill="DBDBDB"/>
          </w:tcPr>
          <w:p>
            <w:pPr>
              <w:ind w:left="3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206,325</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245,798</w:t>
            </w:r>
          </w:p>
        </w:tc>
        <w:tc>
          <w:tcPr>
            <w:tcW w:w="0" w:type="dxa"/>
            <w:vAlign w:val="bottom"/>
          </w:tcPr>
          <w:p>
            <w:pPr>
              <w:spacing w:after="0"/>
              <w:rPr>
                <w:sz w:val="1"/>
                <w:szCs w:val="1"/>
                <w:color w:val="auto"/>
              </w:rPr>
            </w:pPr>
          </w:p>
        </w:tc>
      </w:tr>
      <w:tr>
        <w:trPr>
          <w:trHeight w:val="256"/>
        </w:trPr>
        <w:tc>
          <w:tcPr>
            <w:tcW w:w="8180" w:type="dxa"/>
            <w:vAlign w:val="bottom"/>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1,291,167</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1,309,445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3340" w:type="dxa"/>
            <w:vAlign w:val="bottom"/>
            <w:gridSpan w:val="6"/>
            <w:shd w:val="clear" w:color="auto" w:fill="DBDBDB"/>
          </w:tcPr>
          <w:p>
            <w:pPr>
              <w:jc w:val="center"/>
              <w:ind w:left="530"/>
              <w:spacing w:after="0"/>
              <w:rPr>
                <w:sz w:val="20"/>
                <w:szCs w:val="20"/>
                <w:color w:val="auto"/>
              </w:rPr>
            </w:pPr>
            <w:r>
              <w:rPr>
                <w:rFonts w:ascii="Arial" w:cs="Arial" w:eastAsia="Arial" w:hAnsi="Arial"/>
                <w:sz w:val="18"/>
                <w:szCs w:val="18"/>
                <w:b w:val="1"/>
                <w:bCs w:val="1"/>
                <w:color w:val="auto"/>
                <w:w w:val="88"/>
              </w:rPr>
              <w:t>Condensed Statements of Income</w:t>
            </w:r>
          </w:p>
        </w:tc>
        <w:tc>
          <w:tcPr>
            <w:tcW w:w="960" w:type="dxa"/>
            <w:vAlign w:val="bottom"/>
            <w:shd w:val="clear" w:color="auto" w:fill="DBDBDB"/>
          </w:tcPr>
          <w:p>
            <w:pPr>
              <w:spacing w:after="0"/>
              <w:rPr>
                <w:sz w:val="18"/>
                <w:szCs w:val="18"/>
                <w:color w:val="auto"/>
              </w:rPr>
            </w:pPr>
          </w:p>
        </w:tc>
      </w:tr>
      <w:tr>
        <w:trPr>
          <w:trHeight w:val="239"/>
        </w:trPr>
        <w:tc>
          <w:tcPr>
            <w:tcW w:w="660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3340" w:type="dxa"/>
            <w:vAlign w:val="bottom"/>
            <w:tcBorders>
              <w:bottom w:val="single" w:sz="8" w:color="auto"/>
            </w:tcBorders>
            <w:gridSpan w:val="6"/>
            <w:shd w:val="clear" w:color="auto" w:fill="DBDBDB"/>
          </w:tcPr>
          <w:p>
            <w:pPr>
              <w:jc w:val="center"/>
              <w:ind w:left="530"/>
              <w:spacing w:after="0"/>
              <w:rPr>
                <w:sz w:val="20"/>
                <w:szCs w:val="20"/>
                <w:color w:val="auto"/>
              </w:rPr>
            </w:pPr>
            <w:r>
              <w:rPr>
                <w:rFonts w:ascii="Arial" w:cs="Arial" w:eastAsia="Arial" w:hAnsi="Arial"/>
                <w:sz w:val="18"/>
                <w:szCs w:val="18"/>
                <w:b w:val="1"/>
                <w:bCs w:val="1"/>
                <w:color w:val="auto"/>
                <w:w w:val="90"/>
              </w:rPr>
              <w:t>For the Years Ended December 31,</w:t>
            </w:r>
          </w:p>
        </w:tc>
        <w:tc>
          <w:tcPr>
            <w:tcW w:w="960" w:type="dxa"/>
            <w:vAlign w:val="bottom"/>
            <w:tcBorders>
              <w:bottom w:val="single" w:sz="8" w:color="auto"/>
            </w:tcBorders>
            <w:shd w:val="clear" w:color="auto" w:fill="DBDBDB"/>
          </w:tcPr>
          <w:p>
            <w:pPr>
              <w:spacing w:after="0"/>
              <w:rPr>
                <w:sz w:val="20"/>
                <w:szCs w:val="20"/>
                <w:color w:val="auto"/>
              </w:rPr>
            </w:pPr>
          </w:p>
        </w:tc>
      </w:tr>
      <w:tr>
        <w:trPr>
          <w:trHeight w:val="248"/>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r>
      <w:tr>
        <w:trPr>
          <w:trHeight w:val="256"/>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from subsidiaries – management fees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2,854</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Processing fees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72,513</w:t>
            </w: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Financial fees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42,243</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31,847</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22,565</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Other fees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57"/>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interest income after provision for (release of) credit losses</w:t>
            </w: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Borders>
              <w:bottom w:val="single" w:sz="8" w:color="auto"/>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11,316</w:t>
            </w:r>
          </w:p>
        </w:tc>
        <w:tc>
          <w:tcPr>
            <w:tcW w:w="100" w:type="dxa"/>
            <w:vAlign w:val="bottom"/>
            <w:tcBorders>
              <w:bottom w:val="single" w:sz="8" w:color="auto"/>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10,932</w:t>
            </w: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110,397</w:t>
            </w: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r>
      <w:tr>
        <w:trPr>
          <w:trHeight w:val="250"/>
        </w:trPr>
        <w:tc>
          <w:tcPr>
            <w:tcW w:w="6600" w:type="dxa"/>
            <w:vAlign w:val="bottom"/>
          </w:tcPr>
          <w:p>
            <w:pPr>
              <w:ind w:left="300"/>
              <w:spacing w:after="0"/>
              <w:rPr>
                <w:sz w:val="20"/>
                <w:szCs w:val="20"/>
                <w:color w:val="auto"/>
              </w:rPr>
            </w:pPr>
            <w:r>
              <w:rPr>
                <w:rFonts w:ascii="Arial" w:cs="Arial" w:eastAsia="Arial" w:hAnsi="Arial"/>
                <w:sz w:val="18"/>
                <w:szCs w:val="18"/>
                <w:color w:val="auto"/>
              </w:rPr>
              <w:t>Salaries and employee benefits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77,577</w:t>
            </w:r>
          </w:p>
        </w:tc>
      </w:tr>
      <w:tr>
        <w:trPr>
          <w:trHeight w:val="257"/>
        </w:trPr>
        <w:tc>
          <w:tcPr>
            <w:tcW w:w="66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Other expenses</w:t>
            </w: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32,406</w:t>
            </w: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27,406</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25,347</w:t>
            </w: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Total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126,453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102,924</w:t>
            </w: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before income tax and equity in undistributed income of subsidiaries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7,473</w:t>
            </w:r>
          </w:p>
        </w:tc>
      </w:tr>
      <w:tr>
        <w:trPr>
          <w:trHeight w:val="250"/>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56"/>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before undistributed income of subsidiaries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9,286</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7,133</w:t>
            </w:r>
          </w:p>
        </w:tc>
      </w:tr>
      <w:tr>
        <w:trPr>
          <w:trHeight w:val="250"/>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Equity in undistributed income of subsidiaries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25,618</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17,252</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18,043</w:t>
            </w:r>
          </w:p>
        </w:tc>
      </w:tr>
      <w:tr>
        <w:trPr>
          <w:trHeight w:val="281"/>
        </w:trPr>
        <w:tc>
          <w:tcPr>
            <w:tcW w:w="660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34,904</w:t>
            </w:r>
          </w:p>
        </w:tc>
        <w:tc>
          <w:tcPr>
            <w:tcW w:w="100" w:type="dxa"/>
            <w:vAlign w:val="bottom"/>
            <w:tcBorders>
              <w:bottom w:val="single" w:sz="8" w:color="DBDBDB"/>
            </w:tcBorders>
            <w:shd w:val="clear" w:color="auto" w:fill="DBDBDB"/>
          </w:tcPr>
          <w:p>
            <w:pPr>
              <w:spacing w:after="0"/>
              <w:rPr>
                <w:sz w:val="24"/>
                <w:szCs w:val="24"/>
                <w:color w:val="auto"/>
              </w:rPr>
            </w:pP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tcBorders>
              <w:bottom w:val="single" w:sz="8" w:color="DBDBDB"/>
            </w:tcBorders>
            <w:shd w:val="clear" w:color="auto" w:fill="DBDBDB"/>
          </w:tcPr>
          <w:p>
            <w:pPr>
              <w:spacing w:after="0"/>
              <w:rPr>
                <w:sz w:val="24"/>
                <w:szCs w:val="24"/>
                <w:color w:val="auto"/>
              </w:rPr>
            </w:pPr>
          </w:p>
        </w:tc>
        <w:tc>
          <w:tcPr>
            <w:tcW w:w="52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25,176</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300" w:type="dxa"/>
            <w:vAlign w:val="bottom"/>
            <w:gridSpan w:val="7"/>
            <w:shd w:val="clear" w:color="auto" w:fill="DBDBDB"/>
          </w:tcPr>
          <w:p>
            <w:pPr>
              <w:jc w:val="center"/>
              <w:ind w:right="250"/>
              <w:spacing w:after="0"/>
              <w:rPr>
                <w:sz w:val="20"/>
                <w:szCs w:val="20"/>
                <w:color w:val="auto"/>
              </w:rPr>
            </w:pPr>
            <w:r>
              <w:rPr>
                <w:rFonts w:ascii="Arial" w:cs="Arial" w:eastAsia="Arial" w:hAnsi="Arial"/>
                <w:sz w:val="18"/>
                <w:szCs w:val="18"/>
                <w:b w:val="1"/>
                <w:bCs w:val="1"/>
                <w:color w:val="auto"/>
                <w:w w:val="88"/>
              </w:rPr>
              <w:t>Condensed Statements of Cash Flows</w:t>
            </w:r>
          </w:p>
        </w:tc>
        <w:tc>
          <w:tcPr>
            <w:tcW w:w="0" w:type="dxa"/>
            <w:vAlign w:val="bottom"/>
          </w:tcPr>
          <w:p>
            <w:pPr>
              <w:spacing w:after="0"/>
              <w:rPr>
                <w:sz w:val="1"/>
                <w:szCs w:val="1"/>
                <w:color w:val="auto"/>
              </w:rPr>
            </w:pPr>
          </w:p>
        </w:tc>
      </w:tr>
      <w:tr>
        <w:trPr>
          <w:trHeight w:val="239"/>
        </w:trPr>
        <w:tc>
          <w:tcPr>
            <w:tcW w:w="660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3340" w:type="dxa"/>
            <w:vAlign w:val="bottom"/>
            <w:tcBorders>
              <w:bottom w:val="single" w:sz="8" w:color="auto"/>
            </w:tcBorders>
            <w:gridSpan w:val="6"/>
            <w:shd w:val="clear" w:color="auto" w:fill="DBDBDB"/>
          </w:tcPr>
          <w:p>
            <w:pPr>
              <w:jc w:val="center"/>
              <w:ind w:left="530"/>
              <w:spacing w:after="0"/>
              <w:rPr>
                <w:sz w:val="20"/>
                <w:szCs w:val="20"/>
                <w:color w:val="auto"/>
              </w:rPr>
            </w:pPr>
            <w:r>
              <w:rPr>
                <w:rFonts w:ascii="Arial" w:cs="Arial" w:eastAsia="Arial" w:hAnsi="Arial"/>
                <w:sz w:val="18"/>
                <w:szCs w:val="18"/>
                <w:b w:val="1"/>
                <w:bCs w:val="1"/>
                <w:color w:val="auto"/>
                <w:w w:val="90"/>
              </w:rPr>
              <w:t>For the Years Ended December 31,</w:t>
            </w:r>
          </w:p>
        </w:tc>
        <w:tc>
          <w:tcPr>
            <w:tcW w:w="960" w:type="dxa"/>
            <w:vAlign w:val="bottom"/>
            <w:tcBorders>
              <w:bottom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34,904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25,176</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w w:val="91"/>
              </w:rPr>
              <w:t>Adjustments to reconcile net income to net cash provided by (used in) operating activities: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Equity in undistributed income of subsidiaries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Net change in other assets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Net change in 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DBDBDB"/>
            </w:tcBorders>
          </w:tcPr>
          <w:p>
            <w:pPr>
              <w:ind w:left="5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25,412</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20,921</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18,236</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43,252</w:t>
            </w: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25,613</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27,165</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decrease (increase) in securities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(226,090)</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65,689</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Net (increase) decrease in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decrease in payments in advance of funding</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(96,864)</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rPr>
              <w:t>Purchase of bank-owned life insurance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Purchases of premises and equipment, net</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(5,851)</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Asset acquisition of TouchPoint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tcBorders>
              <w:top w:val="single" w:sz="8" w:color="DBDBDB"/>
            </w:tcBorders>
            <w:shd w:val="clear" w:color="auto" w:fill="DBDBDB"/>
          </w:tcPr>
          <w:p>
            <w:pPr>
              <w:ind w:left="56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bottom w:val="single" w:sz="8" w:color="auto"/>
            </w:tcBorders>
            <w:shd w:val="clear" w:color="auto" w:fill="DBDBDB"/>
          </w:tcPr>
          <w:p>
            <w:pPr>
              <w:spacing w:after="0"/>
              <w:rPr>
                <w:sz w:val="22"/>
                <w:szCs w:val="22"/>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(48,243)</w:t>
            </w:r>
          </w:p>
        </w:tc>
        <w:tc>
          <w:tcPr>
            <w:tcW w:w="100" w:type="dxa"/>
            <w:vAlign w:val="bottom"/>
            <w:tcBorders>
              <w:top w:val="single" w:sz="8" w:color="DBDBDB"/>
            </w:tcBorders>
            <w:shd w:val="clear" w:color="auto" w:fill="DBDBDB"/>
          </w:tcPr>
          <w:p>
            <w:pPr>
              <w:spacing w:after="0"/>
              <w:rPr>
                <w:sz w:val="22"/>
                <w:szCs w:val="22"/>
                <w:color w:val="auto"/>
              </w:rPr>
            </w:pPr>
          </w:p>
        </w:tc>
        <w:tc>
          <w:tcPr>
            <w:tcW w:w="340" w:type="dxa"/>
            <w:vAlign w:val="bottom"/>
            <w:tcBorders>
              <w:top w:val="single" w:sz="8" w:color="auto"/>
              <w:bottom w:val="single" w:sz="8" w:color="auto"/>
            </w:tcBorders>
            <w:shd w:val="clear" w:color="auto" w:fill="DBDBDB"/>
          </w:tcPr>
          <w:p>
            <w:pPr>
              <w:spacing w:after="0"/>
              <w:rPr>
                <w:sz w:val="22"/>
                <w:szCs w:val="22"/>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(341,507)</w:t>
            </w:r>
          </w:p>
        </w:tc>
        <w:tc>
          <w:tcPr>
            <w:tcW w:w="100" w:type="dxa"/>
            <w:vAlign w:val="bottom"/>
            <w:tcBorders>
              <w:top w:val="single" w:sz="8" w:color="DBDBDB"/>
            </w:tcBorders>
            <w:shd w:val="clear" w:color="auto" w:fill="DBDBDB"/>
          </w:tcPr>
          <w:p>
            <w:pPr>
              <w:spacing w:after="0"/>
              <w:rPr>
                <w:sz w:val="22"/>
                <w:szCs w:val="22"/>
                <w:color w:val="auto"/>
              </w:rPr>
            </w:pPr>
          </w:p>
        </w:tc>
        <w:tc>
          <w:tcPr>
            <w:tcW w:w="520" w:type="dxa"/>
            <w:vAlign w:val="bottom"/>
            <w:tcBorders>
              <w:top w:val="single" w:sz="8" w:color="auto"/>
              <w:bottom w:val="single" w:sz="8" w:color="auto"/>
            </w:tcBorders>
            <w:shd w:val="clear" w:color="auto" w:fill="DBDBDB"/>
          </w:tcPr>
          <w:p>
            <w:pPr>
              <w:spacing w:after="0"/>
              <w:rPr>
                <w:sz w:val="22"/>
                <w:szCs w:val="22"/>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72,929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decrease in accounts and drafts receivable from customers</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(90,787)</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59,404</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Net increase in accounts and drafts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208,650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148,935</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DBDBDB"/>
          </w:tcPr>
          <w:p>
            <w:pPr>
              <w:spacing w:after="0"/>
              <w:rPr>
                <w:sz w:val="22"/>
                <w:szCs w:val="22"/>
                <w:color w:val="auto"/>
              </w:rPr>
            </w:pPr>
          </w:p>
        </w:tc>
        <w:tc>
          <w:tcPr>
            <w:tcW w:w="12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22"/>
                <w:szCs w:val="22"/>
                <w:color w:val="auto"/>
              </w:rPr>
            </w:pPr>
          </w:p>
        </w:tc>
        <w:tc>
          <w:tcPr>
            <w:tcW w:w="12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Cash dividends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263"/>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Purchase of common shares for treasury</w:t>
            </w: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(30,997)</w:t>
            </w: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50"/>
        </w:trPr>
        <w:tc>
          <w:tcPr>
            <w:tcW w:w="66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(95,729)</w:t>
            </w:r>
          </w:p>
        </w:tc>
        <w:tc>
          <w:tcPr>
            <w:tcW w:w="100" w:type="dxa"/>
            <w:vAlign w:val="bottom"/>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161,363</w:t>
            </w:r>
          </w:p>
        </w:tc>
        <w:tc>
          <w:tcPr>
            <w:tcW w:w="10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166,817</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266,911</w:t>
            </w:r>
          </w:p>
        </w:tc>
        <w:tc>
          <w:tcPr>
            <w:tcW w:w="0" w:type="dxa"/>
            <w:vAlign w:val="bottom"/>
          </w:tcPr>
          <w:p>
            <w:pPr>
              <w:spacing w:after="0"/>
              <w:rPr>
                <w:sz w:val="1"/>
                <w:szCs w:val="1"/>
                <w:color w:val="auto"/>
              </w:rPr>
            </w:pPr>
          </w:p>
        </w:tc>
      </w:tr>
      <w:tr>
        <w:trPr>
          <w:trHeight w:val="257"/>
        </w:trPr>
        <w:tc>
          <w:tcPr>
            <w:tcW w:w="6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132,635</w:t>
            </w:r>
          </w:p>
        </w:tc>
        <w:tc>
          <w:tcPr>
            <w:tcW w:w="100" w:type="dxa"/>
            <w:vAlign w:val="bottom"/>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287,166</w:t>
            </w:r>
          </w:p>
        </w:tc>
        <w:tc>
          <w:tcPr>
            <w:tcW w:w="100" w:type="dxa"/>
            <w:vAlign w:val="bottom"/>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132,635</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287,166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audited the accompanying consolidated balance sheets of Cass Information Systems, Inc. and subsidiaries (the Company) as of December 31, 2022 and 2021, the related consolidated statements of income, comprehensive income, cash flows, and shareholders’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2022, in conformity with U.S. generally accepted accounting principles.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2023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qualitative risk factors related to the allowance for credit losses on loans evaluated on a collective basis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Notes 1 and 4 to the consolidated financial statements, the Company’s allowance for credit losses as of December 31, 2022 was $13.5 million, of which $13.5 million was related to the allowance for credit losses on loans evaluated on a collective basis (the “collective ACL”). The December 31, 2022 collective ACL includes the measure of expected credit losses on a collective (pooled) basis for those loans that share similar risk characteristics. The Company estimated the collective ACL using a weighted-average remaining maturity (“WARM”) model that utilizes expected annual remaining loan balance, historical loss rates, a reasonable and supportable forecast, and reversion adjustments. Additionally, the collective ACL includes subjective qualitative risk factors that are likely to cause estimated credit losses to differ from historical experience. Given the Company’s recent historical loss experience, the impact of the qualitative risk factors related to the collective ACL is a substantial percentage of the overall collective ACL. These qualitative risk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factors may increase or reduce reserve levels and include adjustments for assumptions related to loan concentrations, lending management experience and risk tolerance, loan review and audit results, asset quality and portfolio trends, value of underlying collateral, and loan portfolio growth.</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the assessment of the qualitative risk factors related to the collective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qualitative risk factors related to the collective ACL methodology, including the conceptual soundness and performance of the qualitative framework. The assessment also included the evaluation of qualitative risk factors and the related assumptions. These qualitative risk factors and related assumptions are sensitive to variation, such that minor changes in the assumption can cause significant changes in the estimates.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measurement of the qualitative risk factors related to the collective ACL estimate, including controls over the:</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 of the collective ACL methodology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and determination of the assumptions used in the qualitative framework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use and appropriateness of changes made to the qualitative framework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analysis of the collective ACL results, trends, and ratios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evaluated the Company’s process to develop the qualitative risk factors related to the collective ACL estimate by testing certain sources of data, factors, and assumptions that the Company used, and considered the relevance and reliability of such data, factors, and assumptions. In addition, we involved credit risk professionals with specialized skills and knowledge, who assisted in:</w:t>
      </w:r>
    </w:p>
    <w:p>
      <w:pPr>
        <w:spacing w:after="0" w:line="7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the Company’s collective ACL methodology for compliance with U.S. generally accepted accounting principles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judgments made by the Company relative to the assessment of the qualitative framework by comparing it to relevant Company-specific metrics and trends and the applicable industry and regulatory practices</w:t>
      </w:r>
    </w:p>
    <w:p>
      <w:pPr>
        <w:ind w:left="660" w:hanging="328"/>
        <w:spacing w:after="0" w:line="290"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evaluating the qualitative framework used to develop the qualitative risk factors and the effect of those factors on the collective ACL compared with relevant credit risk factors and consistency with credit trends and identified limitations of the underlying quantitative models.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2022. Based on this evaluation, our principal executive officer and our principal financial officer concluded that our disclosure controls and procedures were effective as of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our evaluation under this framework,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December 31, 2022.</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that occurred during our fourth fiscal quarter that have materially affected or are reasonably likely to materially affect our internal control over financial reporting.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KPMG LLP, our independent registered public accounting firm. KPMG LLP’s report, which expresses an unqualified opinion on the effectiveness of our internal control over financial reporting as of December 31, 2022, is included below.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Cass Information Systems, Inc.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cash flows, and shareholders’ equity, for each of the years in the three-year period ended December 31, 2022, and the related notes (collectively, the consolidated financial statements), and our report dated February 28, 2023 expressed an unqualified opinion on those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required by this Item 10 is incorporated herein by reference to the following sections of the Company’s definitive Proxy Statement for its 2023 Annual Meeting of Shareholders (the “2023 Proxy Statement”), a copy of which will be filed with the SEC no later than 120 days after the close of the fiscal year: “Election of Directors – Proposal 1,” “Executive Compensation and Related Information,” and “Beneficial Ownership of Securities.”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the procedures by which shareholders may recommend nominees to the Board during the fourth quarter of fiscal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required pursuant to this Item 11 is incorporated herein by reference to the sections entitled “Election of Directors – Proposal 1” and “Executive Compensation and Related Information” of the Company’s 2023 Proxy Statement, a copy of which will be filed with the SEC no later than 120 days after the close of the fiscal year.</w:t>
      </w:r>
    </w:p>
    <w:p>
      <w:pPr>
        <w:spacing w:after="0" w:line="180" w:lineRule="exact"/>
        <w:rPr>
          <w:sz w:val="20"/>
          <w:szCs w:val="20"/>
          <w:color w:val="auto"/>
        </w:rPr>
      </w:pPr>
    </w:p>
    <w:p>
      <w:pPr>
        <w:jc w:val="both"/>
        <w:ind w:left="820" w:hanging="809"/>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MATTERS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required pursuant to this Item 12 is incorporated herein by reference to the section entitled “Beneficial Ownership of Securities” of the Company’s 2023 Proxy Statement, a copy of which will be filed with the SEC no later than 120 days after the close of the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w w:val="95"/>
              </w:rPr>
              <w:t>The following information is as of December 31, 2022:</w:t>
            </w:r>
          </w:p>
        </w:tc>
        <w:tc>
          <w:tcPr>
            <w:tcW w:w="2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15"/>
                <w:szCs w:val="15"/>
                <w:color w:val="auto"/>
              </w:rPr>
            </w:pPr>
          </w:p>
        </w:tc>
        <w:tc>
          <w:tcPr>
            <w:tcW w:w="22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Number of securities to</w:t>
            </w:r>
          </w:p>
        </w:tc>
        <w:tc>
          <w:tcPr>
            <w:tcW w:w="360" w:type="dxa"/>
            <w:vAlign w:val="bottom"/>
          </w:tcPr>
          <w:p>
            <w:pPr>
              <w:spacing w:after="0"/>
              <w:rPr>
                <w:sz w:val="15"/>
                <w:szCs w:val="15"/>
                <w:color w:val="auto"/>
              </w:rPr>
            </w:pPr>
          </w:p>
        </w:tc>
        <w:tc>
          <w:tcPr>
            <w:tcW w:w="2180" w:type="dxa"/>
            <w:vAlign w:val="bottom"/>
          </w:tcPr>
          <w:p>
            <w:pPr>
              <w:jc w:val="center"/>
              <w:ind w:right="330"/>
              <w:spacing w:after="0" w:line="181" w:lineRule="exact"/>
              <w:rPr>
                <w:sz w:val="20"/>
                <w:szCs w:val="20"/>
                <w:color w:val="auto"/>
              </w:rPr>
            </w:pPr>
            <w:r>
              <w:rPr>
                <w:rFonts w:ascii="Arial" w:cs="Arial" w:eastAsia="Arial" w:hAnsi="Arial"/>
                <w:sz w:val="18"/>
                <w:szCs w:val="18"/>
                <w:b w:val="1"/>
                <w:bCs w:val="1"/>
                <w:color w:val="auto"/>
                <w:w w:val="90"/>
              </w:rPr>
              <w:t>Weighted-average</w:t>
            </w:r>
          </w:p>
        </w:tc>
        <w:tc>
          <w:tcPr>
            <w:tcW w:w="23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tcPr>
          <w:p>
            <w:pPr>
              <w:jc w:val="center"/>
              <w:ind w:right="33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equity compensation</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26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85"/>
              </w:rPr>
              <w:t>be issued upon exercise</w:t>
            </w:r>
          </w:p>
        </w:tc>
        <w:tc>
          <w:tcPr>
            <w:tcW w:w="360" w:type="dxa"/>
            <w:vAlign w:val="bottom"/>
          </w:tcPr>
          <w:p>
            <w:pPr>
              <w:spacing w:after="0"/>
              <w:rPr>
                <w:sz w:val="16"/>
                <w:szCs w:val="16"/>
                <w:color w:val="auto"/>
              </w:rPr>
            </w:pPr>
          </w:p>
        </w:tc>
        <w:tc>
          <w:tcPr>
            <w:tcW w:w="2180" w:type="dxa"/>
            <w:vAlign w:val="bottom"/>
          </w:tcPr>
          <w:p>
            <w:pPr>
              <w:jc w:val="center"/>
              <w:ind w:right="330"/>
              <w:spacing w:after="0" w:line="189" w:lineRule="exact"/>
              <w:rPr>
                <w:sz w:val="20"/>
                <w:szCs w:val="20"/>
                <w:color w:val="auto"/>
              </w:rPr>
            </w:pPr>
            <w:r>
              <w:rPr>
                <w:rFonts w:ascii="Arial" w:cs="Arial" w:eastAsia="Arial" w:hAnsi="Arial"/>
                <w:sz w:val="18"/>
                <w:szCs w:val="18"/>
                <w:b w:val="1"/>
                <w:bCs w:val="1"/>
                <w:color w:val="auto"/>
                <w:w w:val="89"/>
              </w:rPr>
              <w:t>outstanding</w:t>
            </w:r>
          </w:p>
        </w:tc>
        <w:tc>
          <w:tcPr>
            <w:tcW w:w="23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22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of outstanding options,</w:t>
            </w:r>
          </w:p>
        </w:tc>
        <w:tc>
          <w:tcPr>
            <w:tcW w:w="360" w:type="dxa"/>
            <w:vAlign w:val="bottom"/>
          </w:tcPr>
          <w:p>
            <w:pPr>
              <w:spacing w:after="0"/>
              <w:rPr>
                <w:sz w:val="15"/>
                <w:szCs w:val="15"/>
                <w:color w:val="auto"/>
              </w:rPr>
            </w:pPr>
          </w:p>
        </w:tc>
        <w:tc>
          <w:tcPr>
            <w:tcW w:w="2180" w:type="dxa"/>
            <w:vAlign w:val="bottom"/>
          </w:tcPr>
          <w:p>
            <w:pPr>
              <w:jc w:val="center"/>
              <w:ind w:right="330"/>
              <w:spacing w:after="0" w:line="176" w:lineRule="exact"/>
              <w:rPr>
                <w:sz w:val="20"/>
                <w:szCs w:val="20"/>
                <w:color w:val="auto"/>
              </w:rPr>
            </w:pPr>
            <w:r>
              <w:rPr>
                <w:rFonts w:ascii="Arial" w:cs="Arial" w:eastAsia="Arial" w:hAnsi="Arial"/>
                <w:sz w:val="18"/>
                <w:szCs w:val="18"/>
                <w:b w:val="1"/>
                <w:bCs w:val="1"/>
                <w:color w:val="auto"/>
                <w:w w:val="90"/>
              </w:rPr>
              <w:t>options, warrants</w:t>
            </w:r>
          </w:p>
        </w:tc>
        <w:tc>
          <w:tcPr>
            <w:tcW w:w="2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securities reflected in</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22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warrants and rights</w:t>
            </w:r>
          </w:p>
        </w:tc>
        <w:tc>
          <w:tcPr>
            <w:tcW w:w="360" w:type="dxa"/>
            <w:vAlign w:val="bottom"/>
          </w:tcPr>
          <w:p>
            <w:pPr>
              <w:spacing w:after="0"/>
              <w:rPr>
                <w:sz w:val="15"/>
                <w:szCs w:val="15"/>
                <w:color w:val="auto"/>
              </w:rPr>
            </w:pPr>
          </w:p>
        </w:tc>
        <w:tc>
          <w:tcPr>
            <w:tcW w:w="2180" w:type="dxa"/>
            <w:vAlign w:val="bottom"/>
          </w:tcPr>
          <w:p>
            <w:pPr>
              <w:jc w:val="center"/>
              <w:ind w:right="350"/>
              <w:spacing w:after="0" w:line="176" w:lineRule="exact"/>
              <w:rPr>
                <w:sz w:val="20"/>
                <w:szCs w:val="20"/>
                <w:color w:val="auto"/>
              </w:rPr>
            </w:pPr>
            <w:r>
              <w:rPr>
                <w:rFonts w:ascii="Arial" w:cs="Arial" w:eastAsia="Arial" w:hAnsi="Arial"/>
                <w:sz w:val="18"/>
                <w:szCs w:val="18"/>
                <w:b w:val="1"/>
                <w:bCs w:val="1"/>
                <w:color w:val="auto"/>
                <w:w w:val="89"/>
              </w:rPr>
              <w:t>and rights</w:t>
            </w:r>
          </w:p>
        </w:tc>
        <w:tc>
          <w:tcPr>
            <w:tcW w:w="2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Plan Category</w:t>
            </w:r>
          </w:p>
        </w:tc>
        <w:tc>
          <w:tcPr>
            <w:tcW w:w="2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(a)</w:t>
            </w:r>
          </w:p>
        </w:tc>
        <w:tc>
          <w:tcPr>
            <w:tcW w:w="3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5"/>
              </w:rPr>
              <w:t>(b)</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5"/>
        </w:trPr>
        <w:tc>
          <w:tcPr>
            <w:tcW w:w="4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390,675</w:t>
            </w:r>
          </w:p>
        </w:tc>
        <w:tc>
          <w:tcPr>
            <w:tcW w:w="3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42.77</w:t>
            </w:r>
          </w:p>
        </w:tc>
        <w:tc>
          <w:tcPr>
            <w:tcW w:w="2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130,712</w:t>
            </w:r>
          </w:p>
        </w:tc>
        <w:tc>
          <w:tcPr>
            <w:tcW w:w="0" w:type="dxa"/>
            <w:vAlign w:val="bottom"/>
          </w:tcPr>
          <w:p>
            <w:pPr>
              <w:spacing w:after="0"/>
              <w:rPr>
                <w:sz w:val="1"/>
                <w:szCs w:val="1"/>
                <w:color w:val="auto"/>
              </w:rPr>
            </w:pPr>
          </w:p>
        </w:tc>
      </w:tr>
      <w:tr>
        <w:trPr>
          <w:trHeight w:val="257"/>
        </w:trPr>
        <w:tc>
          <w:tcPr>
            <w:tcW w:w="4140" w:type="dxa"/>
            <w:vAlign w:val="bottom"/>
            <w:shd w:val="clear" w:color="auto" w:fill="DBDBDB"/>
          </w:tcPr>
          <w:p>
            <w:pPr>
              <w:ind w:left="20"/>
              <w:spacing w:after="0" w:line="257" w:lineRule="exact"/>
              <w:rPr>
                <w:sz w:val="20"/>
                <w:szCs w:val="20"/>
                <w:color w:val="auto"/>
              </w:rPr>
            </w:pPr>
            <w:r>
              <w:rPr>
                <w:rFonts w:ascii="Arial" w:cs="Arial" w:eastAsia="Arial" w:hAnsi="Arial"/>
                <w:sz w:val="18"/>
                <w:szCs w:val="18"/>
                <w:color w:val="auto"/>
              </w:rPr>
              <w:t xml:space="preserve">holders </w:t>
            </w:r>
            <w:r>
              <w:rPr>
                <w:rFonts w:ascii="Arial" w:cs="Arial" w:eastAsia="Arial" w:hAnsi="Arial"/>
                <w:sz w:val="23"/>
                <w:szCs w:val="23"/>
                <w:b w:val="1"/>
                <w:bCs w:val="1"/>
                <w:color w:val="auto"/>
                <w:vertAlign w:val="superscript"/>
              </w:rPr>
              <w:t>(1)(2)</w:t>
            </w:r>
          </w:p>
        </w:tc>
        <w:tc>
          <w:tcPr>
            <w:tcW w:w="22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2180" w:type="dxa"/>
            <w:vAlign w:val="bottom"/>
            <w:shd w:val="clear" w:color="auto" w:fill="DBDBDB"/>
          </w:tcPr>
          <w:p>
            <w:pPr>
              <w:spacing w:after="0"/>
              <w:rPr>
                <w:sz w:val="22"/>
                <w:szCs w:val="22"/>
                <w:color w:val="auto"/>
              </w:rPr>
            </w:pPr>
          </w:p>
        </w:tc>
        <w:tc>
          <w:tcPr>
            <w:tcW w:w="23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DBDBDB"/>
          </w:tcPr>
          <w:p>
            <w:pPr>
              <w:ind w:left="20"/>
              <w:spacing w:after="0"/>
              <w:rPr>
                <w:sz w:val="20"/>
                <w:szCs w:val="20"/>
                <w:color w:val="auto"/>
              </w:rPr>
            </w:pPr>
            <w:r>
              <w:rPr>
                <w:rFonts w:ascii="Arial" w:cs="Arial" w:eastAsia="Arial" w:hAnsi="Arial"/>
                <w:sz w:val="18"/>
                <w:szCs w:val="18"/>
                <w:color w:val="auto"/>
                <w:w w:val="98"/>
              </w:rPr>
              <w:t>Equity compensation plans not approved by security</w:t>
            </w:r>
          </w:p>
        </w:tc>
        <w:tc>
          <w:tcPr>
            <w:tcW w:w="22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8"/>
                <w:szCs w:val="18"/>
                <w:color w:val="auto"/>
              </w:rPr>
            </w:pPr>
          </w:p>
        </w:tc>
        <w:tc>
          <w:tcPr>
            <w:tcW w:w="21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holders</w:t>
            </w:r>
          </w:p>
        </w:tc>
        <w:tc>
          <w:tcPr>
            <w:tcW w:w="2260" w:type="dxa"/>
            <w:vAlign w:val="bottom"/>
            <w:tcBorders>
              <w:bottom w:val="single" w:sz="8" w:color="auto"/>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2180" w:type="dxa"/>
            <w:vAlign w:val="bottom"/>
            <w:tcBorders>
              <w:bottom w:val="single" w:sz="8" w:color="auto"/>
            </w:tcBorders>
            <w:shd w:val="clear" w:color="auto" w:fill="DBDBDB"/>
          </w:tcPr>
          <w:p>
            <w:pPr>
              <w:spacing w:after="0"/>
              <w:rPr>
                <w:sz w:val="20"/>
                <w:szCs w:val="20"/>
                <w:color w:val="auto"/>
              </w:rPr>
            </w:pPr>
          </w:p>
        </w:tc>
        <w:tc>
          <w:tcPr>
            <w:tcW w:w="2300" w:type="dxa"/>
            <w:vAlign w:val="bottom"/>
            <w:tcBorders>
              <w:bottom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390,675</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42.77</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line="258" w:lineRule="auto"/>
        <w:tabs>
          <w:tab w:leader="none" w:pos="334"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Amount disclosed relates to awards issued under the Amended and Restated Omnibus Stock and Performance Compensation Plan (the “Omnibus Plan”).</w:t>
      </w:r>
    </w:p>
    <w:p>
      <w:pPr>
        <w:spacing w:after="0" w:line="1" w:lineRule="exact"/>
        <w:rPr>
          <w:rFonts w:ascii="Arial" w:cs="Arial" w:eastAsia="Arial" w:hAnsi="Arial"/>
          <w:sz w:val="18"/>
          <w:szCs w:val="18"/>
          <w:b w:val="1"/>
          <w:bCs w:val="1"/>
          <w:color w:val="auto"/>
        </w:rPr>
      </w:pPr>
    </w:p>
    <w:p>
      <w:pPr>
        <w:jc w:val="both"/>
        <w:ind w:left="340" w:hanging="332"/>
        <w:spacing w:after="0" w:line="277" w:lineRule="auto"/>
        <w:tabs>
          <w:tab w:leader="none" w:pos="334"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Includes restricted stock units, restricted stock, SARs, and performance-based stock. Performance-based stock is included assuming 100% attainment of the targets. The actual number of shares of performance-based stock to be awarded at the end of applicable performance periods ranges from 0% to 150% of the target amount awarded depending on the Company’s achievement of pre-established financial goals.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to the consolidated financial statements for information concerning the Omnibus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this Item 13 is incorporated herein by reference to the section entitled “Election of Directors – Proposal 1” of the Company’s 2023 Proxy Statement, a copy of which will be filed with the SEC no later than 120 days after the close of the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concerning our principal accountant’s fees and services is incorporated herein by reference to the section entitled “Ratification of Appointment of Independent Registered Public Accounting Firm – Proposal 5” of the Company’s 2023 Proxy Statement, a copy of which will be filed with the SEC no later than 120 days after the close of the fiscal year.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81" w:lineRule="exact"/>
        <w:rPr>
          <w:sz w:val="20"/>
          <w:szCs w:val="20"/>
          <w:color w:val="auto"/>
        </w:rPr>
      </w:pPr>
    </w:p>
    <w:p>
      <w:pPr>
        <w:ind w:left="1640" w:hanging="818"/>
        <w:spacing w:after="0"/>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documents are incorporated by reference in or filed as an exhibit to this report:</w:t>
      </w:r>
    </w:p>
    <w:p>
      <w:pPr>
        <w:spacing w:after="0" w:line="306" w:lineRule="exact"/>
        <w:rPr>
          <w:sz w:val="20"/>
          <w:szCs w:val="20"/>
          <w:color w:val="auto"/>
        </w:rPr>
      </w:pPr>
    </w:p>
    <w:p>
      <w:pPr>
        <w:ind w:left="1640"/>
        <w:spacing w:after="0"/>
        <w:tabs>
          <w:tab w:leader="none" w:pos="2420" w:val="left"/>
          <w:tab w:leader="none" w:pos="3580" w:val="left"/>
        </w:tabs>
        <w:rPr>
          <w:sz w:val="20"/>
          <w:szCs w:val="20"/>
          <w:color w:val="auto"/>
        </w:rPr>
      </w:pPr>
      <w:r>
        <w:rPr>
          <w:rFonts w:ascii="Arial" w:cs="Arial" w:eastAsia="Arial" w:hAnsi="Arial"/>
          <w:sz w:val="18"/>
          <w:szCs w:val="18"/>
          <w:color w:val="auto"/>
        </w:rPr>
        <w:t>(1) and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u w:val="single" w:color="auto"/>
          <w:color w:val="auto"/>
        </w:rPr>
        <w:t>Financial Statements and Financial Statement Schedules</w:t>
      </w:r>
    </w:p>
    <w:p>
      <w:pPr>
        <w:spacing w:after="0" w:line="5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Included in Item 8 of this report.</w:t>
      </w:r>
    </w:p>
    <w:p>
      <w:pPr>
        <w:spacing w:after="0" w:line="306" w:lineRule="exact"/>
        <w:rPr>
          <w:sz w:val="20"/>
          <w:szCs w:val="20"/>
          <w:color w:val="auto"/>
        </w:rPr>
      </w:pPr>
    </w:p>
    <w:p>
      <w:pPr>
        <w:ind w:left="3600" w:hanging="1158"/>
        <w:spacing w:after="0"/>
        <w:tabs>
          <w:tab w:leader="none" w:pos="3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 listed under (b) of this Item 15.</w:t>
      </w:r>
    </w:p>
    <w:p>
      <w:pPr>
        <w:spacing w:after="0" w:line="306" w:lineRule="exact"/>
        <w:rPr>
          <w:sz w:val="20"/>
          <w:szCs w:val="20"/>
          <w:color w:val="auto"/>
        </w:rPr>
      </w:pPr>
    </w:p>
    <w:p>
      <w:pPr>
        <w:ind w:left="1640" w:hanging="818"/>
        <w:spacing w:after="0"/>
        <w:tabs>
          <w:tab w:leader="none" w:pos="1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89" w:lineRule="exact"/>
        <w:rPr>
          <w:sz w:val="20"/>
          <w:szCs w:val="20"/>
          <w:color w:val="auto"/>
        </w:rPr>
      </w:pPr>
    </w:p>
    <w:tbl>
      <w:tblPr>
        <w:tblLayout w:type="fixed"/>
        <w:tblInd w:w="24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7620" w:type="dxa"/>
            <w:vAlign w:val="bottom"/>
            <w:gridSpan w:val="23"/>
          </w:tcPr>
          <w:p>
            <w:pPr>
              <w:ind w:left="20"/>
              <w:spacing w:after="0"/>
              <w:rPr>
                <w:rFonts w:ascii="Arial" w:cs="Arial" w:eastAsia="Arial" w:hAnsi="Arial"/>
                <w:sz w:val="18"/>
                <w:szCs w:val="18"/>
                <w:color w:val="0000FF"/>
                <w:w w:val="95"/>
              </w:rPr>
            </w:pPr>
            <w:hyperlink r:id="rId115">
              <w:r>
                <w:rPr>
                  <w:rFonts w:ascii="Arial" w:cs="Arial" w:eastAsia="Arial" w:hAnsi="Arial"/>
                  <w:sz w:val="18"/>
                  <w:szCs w:val="18"/>
                  <w:color w:val="0000FF"/>
                  <w:w w:val="95"/>
                </w:rPr>
                <w:t>Restated Articles of Incorporation of Registrant, incorporated by reference to Exhibit 4.1 to Form S-8</w:t>
              </w:r>
            </w:hyperlink>
          </w:p>
        </w:tc>
      </w:tr>
      <w:tr>
        <w:trPr>
          <w:trHeight w:val="196"/>
        </w:trPr>
        <w:tc>
          <w:tcPr>
            <w:tcW w:w="1140" w:type="dxa"/>
            <w:vAlign w:val="bottom"/>
          </w:tcPr>
          <w:p>
            <w:pPr>
              <w:spacing w:after="0"/>
              <w:rPr>
                <w:sz w:val="17"/>
                <w:szCs w:val="17"/>
                <w:color w:val="auto"/>
              </w:rPr>
            </w:pPr>
          </w:p>
        </w:tc>
        <w:tc>
          <w:tcPr>
            <w:tcW w:w="7320" w:type="dxa"/>
            <w:vAlign w:val="bottom"/>
            <w:tcBorders>
              <w:top w:val="single" w:sz="8" w:color="0000FF"/>
            </w:tcBorders>
            <w:gridSpan w:val="16"/>
          </w:tcPr>
          <w:p>
            <w:pPr>
              <w:ind w:left="20"/>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Registration Statement No. 333-44499, filed with the SEC on January 20, 1998.</w:t>
              </w:r>
            </w:hyperlink>
          </w:p>
        </w:tc>
        <w:tc>
          <w:tcPr>
            <w:tcW w:w="30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7580" w:type="dxa"/>
            <w:vAlign w:val="bottom"/>
            <w:tcBorders>
              <w:bottom w:val="single" w:sz="8" w:color="0000FF"/>
            </w:tcBorders>
            <w:gridSpan w:val="21"/>
          </w:tcPr>
          <w:p>
            <w:pPr>
              <w:ind w:left="20"/>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Amendment to Restated Articles of Incorporation, incorporated by reference to Exhibit 3.1 to the current</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220" w:type="dxa"/>
            <w:vAlign w:val="bottom"/>
            <w:tcBorders>
              <w:bottom w:val="single" w:sz="8" w:color="0000FF"/>
            </w:tcBorders>
            <w:gridSpan w:val="3"/>
          </w:tcPr>
          <w:p>
            <w:pPr>
              <w:ind w:left="20"/>
              <w:spacing w:after="0" w:line="19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report on Form 8-K, filed with the SEC on April 19, 2013.</w:t>
              </w:r>
            </w:hyperlink>
          </w:p>
        </w:tc>
        <w:tc>
          <w:tcPr>
            <w:tcW w:w="3400" w:type="dxa"/>
            <w:vAlign w:val="bottom"/>
            <w:gridSpan w:val="20"/>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3.3</w:t>
            </w:r>
          </w:p>
        </w:tc>
        <w:tc>
          <w:tcPr>
            <w:tcW w:w="7220" w:type="dxa"/>
            <w:vAlign w:val="bottom"/>
            <w:tcBorders>
              <w:bottom w:val="single" w:sz="8" w:color="0000FF"/>
            </w:tcBorders>
            <w:gridSpan w:val="14"/>
          </w:tcPr>
          <w:p>
            <w:pPr>
              <w:ind w:left="20"/>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Articles of Merger of Cass Commercial Corporation, incorporated by reference to Exhibit 3.1 to the</w:t>
              </w:r>
            </w:hyperlink>
          </w:p>
        </w:tc>
        <w:tc>
          <w:tcPr>
            <w:tcW w:w="40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30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quarterly report on Form 10-Q for the quarter ended September 30, 2006.</w:t>
              </w:r>
            </w:hyperlink>
          </w:p>
        </w:tc>
        <w:tc>
          <w:tcPr>
            <w:tcW w:w="2320" w:type="dxa"/>
            <w:vAlign w:val="bottom"/>
            <w:gridSpan w:val="16"/>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3.4</w:t>
            </w:r>
          </w:p>
        </w:tc>
        <w:tc>
          <w:tcPr>
            <w:tcW w:w="7240" w:type="dxa"/>
            <w:vAlign w:val="bottom"/>
            <w:tcBorders>
              <w:bottom w:val="single" w:sz="8" w:color="0000FF"/>
            </w:tcBorders>
            <w:gridSpan w:val="15"/>
          </w:tcPr>
          <w:p>
            <w:pPr>
              <w:ind w:left="20"/>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Second Amended and Restated Bylaws of Registrant, incorporated by reference to Exhibit 3.1 to the</w:t>
              </w:r>
            </w:hyperlink>
          </w:p>
        </w:tc>
        <w:tc>
          <w:tcPr>
            <w:tcW w:w="38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700" w:type="dxa"/>
            <w:vAlign w:val="bottom"/>
            <w:tcBorders>
              <w:bottom w:val="single" w:sz="8" w:color="0000FF"/>
            </w:tcBorders>
            <w:gridSpan w:val="6"/>
          </w:tcPr>
          <w:p>
            <w:pPr>
              <w:ind w:left="20"/>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current report on Form 8-K, filed with the SEC on July 21, 2016.</w:t>
              </w:r>
            </w:hyperlink>
          </w:p>
        </w:tc>
        <w:tc>
          <w:tcPr>
            <w:tcW w:w="2920" w:type="dxa"/>
            <w:vAlign w:val="bottom"/>
            <w:gridSpan w:val="17"/>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7620" w:type="dxa"/>
            <w:vAlign w:val="bottom"/>
            <w:tcBorders>
              <w:bottom w:val="single" w:sz="8" w:color="0000FF"/>
            </w:tcBorders>
            <w:gridSpan w:val="23"/>
          </w:tcPr>
          <w:p>
            <w:pPr>
              <w:ind w:left="20"/>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Description of the Registrant’s securities, incorporated by reference to Exhibit 4.1 to the Annual report on</w:t>
              </w:r>
            </w:hyperlink>
          </w:p>
        </w:tc>
      </w:tr>
      <w:tr>
        <w:trPr>
          <w:trHeight w:val="196"/>
        </w:trPr>
        <w:tc>
          <w:tcPr>
            <w:tcW w:w="1140" w:type="dxa"/>
            <w:vAlign w:val="bottom"/>
          </w:tcPr>
          <w:p>
            <w:pPr>
              <w:spacing w:after="0"/>
              <w:rPr>
                <w:sz w:val="17"/>
                <w:szCs w:val="17"/>
                <w:color w:val="auto"/>
              </w:rPr>
            </w:pPr>
          </w:p>
        </w:tc>
        <w:tc>
          <w:tcPr>
            <w:tcW w:w="3840" w:type="dxa"/>
            <w:vAlign w:val="bottom"/>
            <w:tcBorders>
              <w:bottom w:val="single" w:sz="8" w:color="0000FF"/>
            </w:tcBorders>
          </w:tcPr>
          <w:p>
            <w:pPr>
              <w:ind w:left="20"/>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Form 10-K filed with the SEC on February 28, 2020.</w:t>
              </w:r>
            </w:hyperlink>
          </w:p>
        </w:tc>
        <w:tc>
          <w:tcPr>
            <w:tcW w:w="3780" w:type="dxa"/>
            <w:vAlign w:val="bottom"/>
            <w:gridSpan w:val="22"/>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7620" w:type="dxa"/>
            <w:vAlign w:val="bottom"/>
            <w:gridSpan w:val="23"/>
          </w:tcPr>
          <w:p>
            <w:pPr>
              <w:ind w:left="20"/>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Form of Directors’ Indemnification Agreement, incorporated by reference to Exhibit 10.1 to the quarterly</w:t>
              </w:r>
            </w:hyperlink>
          </w:p>
        </w:tc>
      </w:tr>
      <w:tr>
        <w:trPr>
          <w:trHeight w:val="196"/>
        </w:trPr>
        <w:tc>
          <w:tcPr>
            <w:tcW w:w="1140" w:type="dxa"/>
            <w:vAlign w:val="bottom"/>
          </w:tcPr>
          <w:p>
            <w:pPr>
              <w:spacing w:after="0"/>
              <w:rPr>
                <w:sz w:val="17"/>
                <w:szCs w:val="17"/>
                <w:color w:val="auto"/>
              </w:rPr>
            </w:pPr>
          </w:p>
        </w:tc>
        <w:tc>
          <w:tcPr>
            <w:tcW w:w="7600" w:type="dxa"/>
            <w:vAlign w:val="bottom"/>
            <w:tcBorders>
              <w:top w:val="single" w:sz="8" w:color="0000FF"/>
            </w:tcBorders>
            <w:gridSpan w:val="22"/>
          </w:tcPr>
          <w:p>
            <w:pPr>
              <w:ind w:left="20"/>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report on Form 10-Q for the quarter ended March 31, 2003.*</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7500" w:type="dxa"/>
            <w:vAlign w:val="bottom"/>
            <w:tcBorders>
              <w:bottom w:val="single" w:sz="8" w:color="0000FF"/>
            </w:tcBorders>
            <w:gridSpan w:val="18"/>
          </w:tcPr>
          <w:p>
            <w:pPr>
              <w:ind w:left="20"/>
              <w:spacing w:after="0"/>
              <w:rPr>
                <w:rFonts w:ascii="Arial" w:cs="Arial" w:eastAsia="Arial" w:hAnsi="Arial"/>
                <w:sz w:val="18"/>
                <w:szCs w:val="18"/>
                <w:color w:val="0000FF"/>
                <w:w w:val="89"/>
              </w:rPr>
            </w:pPr>
            <w:hyperlink r:id="rId121">
              <w:r>
                <w:rPr>
                  <w:rFonts w:ascii="Arial" w:cs="Arial" w:eastAsia="Arial" w:hAnsi="Arial"/>
                  <w:sz w:val="18"/>
                  <w:szCs w:val="18"/>
                  <w:color w:val="0000FF"/>
                  <w:w w:val="89"/>
                </w:rPr>
                <w:t>Amended and Restated Omnibus Stock and Performance Compensation Plan, incorporated by reference</w:t>
              </w:r>
            </w:hyperlink>
          </w:p>
        </w:tc>
        <w:tc>
          <w:tcPr>
            <w:tcW w:w="12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440" w:type="dxa"/>
            <w:vAlign w:val="bottom"/>
            <w:tcBorders>
              <w:bottom w:val="single" w:sz="8" w:color="0000FF"/>
            </w:tcBorders>
            <w:gridSpan w:val="11"/>
          </w:tcPr>
          <w:p>
            <w:pPr>
              <w:ind w:left="20"/>
              <w:spacing w:after="0" w:line="196"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to Exhibit 10.1 to the current report on Form 8-K, filed with the SEC on April 19, 2013.*</w:t>
              </w:r>
            </w:hyperlink>
          </w:p>
        </w:tc>
        <w:tc>
          <w:tcPr>
            <w:tcW w:w="1180" w:type="dxa"/>
            <w:vAlign w:val="bottom"/>
            <w:gridSpan w:val="12"/>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7560" w:type="dxa"/>
            <w:vAlign w:val="bottom"/>
            <w:tcBorders>
              <w:bottom w:val="single" w:sz="8" w:color="0000FF"/>
            </w:tcBorders>
            <w:gridSpan w:val="20"/>
          </w:tcPr>
          <w:p>
            <w:pPr>
              <w:ind w:left="20"/>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Amendment and Restatement of the Supplemental Executive Retirement Plan, incorporated by reference</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96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to Exhibit 10.2 to the quarterly report on Form 10-Q for the quarter ended September 30, 2007.*</w:t>
              </w:r>
            </w:hyperlink>
          </w:p>
        </w:tc>
        <w:tc>
          <w:tcPr>
            <w:tcW w:w="660" w:type="dxa"/>
            <w:vAlign w:val="bottom"/>
            <w:gridSpan w:val="11"/>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7420" w:type="dxa"/>
            <w:vAlign w:val="bottom"/>
            <w:tcBorders>
              <w:bottom w:val="single" w:sz="8" w:color="0000FF"/>
            </w:tcBorders>
            <w:gridSpan w:val="17"/>
          </w:tcPr>
          <w:p>
            <w:pPr>
              <w:ind w:left="20"/>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Form of Stock Appreciation Rights Award Agreement, incorporated by reference to Exhibit 10.4 to the</w:t>
              </w:r>
            </w:hyperlink>
          </w:p>
        </w:tc>
        <w:tc>
          <w:tcPr>
            <w:tcW w:w="20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3"/>
          </w:tcPr>
          <w:p>
            <w:pPr>
              <w:ind w:left="20"/>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quarterly report on Form 10-Q for the quarter ended September 30, 2007.*</w:t>
              </w:r>
            </w:hyperlink>
          </w:p>
        </w:tc>
      </w:tr>
      <w:tr>
        <w:trPr>
          <w:trHeight w:val="20"/>
        </w:trPr>
        <w:tc>
          <w:tcPr>
            <w:tcW w:w="114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7220" w:type="dxa"/>
            <w:vAlign w:val="bottom"/>
            <w:tcBorders>
              <w:bottom w:val="single" w:sz="8" w:color="0000FF"/>
            </w:tcBorders>
            <w:gridSpan w:val="14"/>
          </w:tcPr>
          <w:p>
            <w:pPr>
              <w:ind w:left="20"/>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Form of Restricted Stock Award Agreement, incorporated by reference to Exhibit 10.8 to the annual</w:t>
              </w:r>
            </w:hyperlink>
          </w:p>
        </w:tc>
        <w:tc>
          <w:tcPr>
            <w:tcW w:w="40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6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report on Form 10-K for the year ended December 31, 2016.*</w:t>
              </w:r>
            </w:hyperlink>
          </w:p>
        </w:tc>
        <w:tc>
          <w:tcPr>
            <w:tcW w:w="3160" w:type="dxa"/>
            <w:vAlign w:val="bottom"/>
            <w:gridSpan w:val="18"/>
          </w:tcPr>
          <w:p>
            <w:pPr>
              <w:spacing w:after="0"/>
              <w:rPr>
                <w:sz w:val="17"/>
                <w:szCs w:val="17"/>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7540" w:type="dxa"/>
            <w:vAlign w:val="bottom"/>
            <w:tcBorders>
              <w:bottom w:val="single" w:sz="8" w:color="0000FF"/>
            </w:tcBorders>
            <w:gridSpan w:val="19"/>
          </w:tcPr>
          <w:p>
            <w:pPr>
              <w:ind w:left="20"/>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Form of Restricted Stock Unit Agreement, incorporated by reference to Exhibit 10.9 to the annual report</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3"/>
          </w:tcPr>
          <w:p>
            <w:pPr>
              <w:ind w:left="20"/>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on Form 10-K for the year ended December 31, 2016.*</w:t>
              </w:r>
            </w:hyperlink>
          </w:p>
        </w:tc>
      </w:tr>
      <w:tr>
        <w:trPr>
          <w:trHeight w:val="20"/>
        </w:trPr>
        <w:tc>
          <w:tcPr>
            <w:tcW w:w="114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720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0"/>
              </w:rPr>
              <w:t>Description of Cass Information Systems, Inc. Profit Sharing Program, incorporated by reference to</w:t>
            </w:r>
          </w:p>
        </w:tc>
        <w:tc>
          <w:tcPr>
            <w:tcW w:w="42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20" w:type="dxa"/>
            <w:vAlign w:val="bottom"/>
            <w:gridSpan w:val="23"/>
          </w:tcPr>
          <w:p>
            <w:pPr>
              <w:ind w:left="20"/>
              <w:spacing w:after="0" w:line="196" w:lineRule="exact"/>
              <w:rPr>
                <w:sz w:val="20"/>
                <w:szCs w:val="20"/>
                <w:color w:val="auto"/>
              </w:rPr>
            </w:pPr>
            <w:r>
              <w:rPr>
                <w:rFonts w:ascii="Arial" w:cs="Arial" w:eastAsia="Arial" w:hAnsi="Arial"/>
                <w:sz w:val="18"/>
                <w:szCs w:val="18"/>
                <w:color w:val="0000FF"/>
              </w:rPr>
              <w:t>Exhibit 10.7 to the annual report on Form 10-K for the year ended December 31, 2022*</w:t>
            </w:r>
          </w:p>
        </w:tc>
      </w:tr>
      <w:tr>
        <w:trPr>
          <w:trHeight w:val="20"/>
        </w:trPr>
        <w:tc>
          <w:tcPr>
            <w:tcW w:w="114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ind w:left="3600" w:hanging="1158"/>
        <w:spacing w:after="0"/>
        <w:tabs>
          <w:tab w:leader="none" w:pos="3600" w:val="left"/>
        </w:tabs>
        <w:numPr>
          <w:ilvl w:val="0"/>
          <w:numId w:val="26"/>
        </w:numPr>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Subsidiaries of registrant.</w:t>
        </w:r>
      </w:hyperlink>
    </w:p>
    <w:p>
      <w:pPr>
        <w:spacing w:after="0" w:line="306" w:lineRule="exact"/>
        <w:rPr>
          <w:sz w:val="20"/>
          <w:szCs w:val="20"/>
          <w:color w:val="auto"/>
        </w:rPr>
      </w:pPr>
    </w:p>
    <w:p>
      <w:pPr>
        <w:ind w:left="3600" w:hanging="1158"/>
        <w:spacing w:after="0"/>
        <w:tabs>
          <w:tab w:leader="none" w:pos="36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FF"/>
        </w:rPr>
        <w:t>Consent of Independent Registered Public Accounting Firm.</w:t>
      </w:r>
    </w:p>
    <w:p>
      <w:pPr>
        <w:spacing w:after="0" w:line="289" w:lineRule="exact"/>
        <w:rPr>
          <w:sz w:val="20"/>
          <w:szCs w:val="20"/>
          <w:color w:val="auto"/>
        </w:rPr>
      </w:pPr>
    </w:p>
    <w:tbl>
      <w:tblPr>
        <w:tblLayout w:type="fixed"/>
        <w:tblInd w:w="244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31.1</w:t>
            </w:r>
          </w:p>
        </w:tc>
        <w:tc>
          <w:tcPr>
            <w:tcW w:w="7400" w:type="dxa"/>
            <w:vAlign w:val="bottom"/>
            <w:gridSpan w:val="3"/>
          </w:tcPr>
          <w:p>
            <w:pPr>
              <w:ind w:left="20"/>
              <w:spacing w:after="0"/>
              <w:rPr>
                <w:sz w:val="20"/>
                <w:szCs w:val="20"/>
                <w:color w:val="auto"/>
              </w:rPr>
            </w:pPr>
            <w:r>
              <w:rPr>
                <w:rFonts w:ascii="Arial" w:cs="Arial" w:eastAsia="Arial" w:hAnsi="Arial"/>
                <w:sz w:val="18"/>
                <w:szCs w:val="18"/>
                <w:color w:val="0000FF"/>
              </w:rPr>
              <w:t>Certification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93"/>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31.2</w:t>
            </w:r>
          </w:p>
        </w:tc>
        <w:tc>
          <w:tcPr>
            <w:tcW w:w="7400" w:type="dxa"/>
            <w:vAlign w:val="bottom"/>
            <w:gridSpan w:val="3"/>
          </w:tcPr>
          <w:p>
            <w:pPr>
              <w:ind w:left="20"/>
              <w:spacing w:after="0"/>
              <w:rPr>
                <w:sz w:val="20"/>
                <w:szCs w:val="20"/>
                <w:color w:val="auto"/>
              </w:rPr>
            </w:pPr>
            <w:r>
              <w:rPr>
                <w:rFonts w:ascii="Arial" w:cs="Arial" w:eastAsia="Arial" w:hAnsi="Arial"/>
                <w:sz w:val="18"/>
                <w:szCs w:val="18"/>
                <w:color w:val="0000FF"/>
              </w:rPr>
              <w:t>Certification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06"/>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32.1</w:t>
            </w:r>
          </w:p>
        </w:tc>
        <w:tc>
          <w:tcPr>
            <w:tcW w:w="740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89"/>
              </w:rPr>
              <w:t>Certification Pursuant to 18 U.S.C. Section 1350, as Adopted Pursuant to Section 906 of the Sarbanes-</w:t>
            </w:r>
          </w:p>
        </w:tc>
      </w:tr>
      <w:tr>
        <w:trPr>
          <w:trHeight w:val="196"/>
        </w:trPr>
        <w:tc>
          <w:tcPr>
            <w:tcW w:w="1140" w:type="dxa"/>
            <w:vAlign w:val="bottom"/>
          </w:tcPr>
          <w:p>
            <w:pPr>
              <w:spacing w:after="0"/>
              <w:rPr>
                <w:sz w:val="17"/>
                <w:szCs w:val="17"/>
                <w:color w:val="auto"/>
              </w:rPr>
            </w:pPr>
          </w:p>
        </w:tc>
        <w:tc>
          <w:tcPr>
            <w:tcW w:w="1400" w:type="dxa"/>
            <w:vAlign w:val="bottom"/>
            <w:tcBorders>
              <w:bottom w:val="single" w:sz="8" w:color="0000FF"/>
            </w:tcBorders>
          </w:tcPr>
          <w:p>
            <w:pPr>
              <w:ind w:left="20"/>
              <w:spacing w:after="0" w:line="196" w:lineRule="exact"/>
              <w:rPr>
                <w:sz w:val="20"/>
                <w:szCs w:val="20"/>
                <w:color w:val="auto"/>
              </w:rPr>
            </w:pPr>
            <w:r>
              <w:rPr>
                <w:rFonts w:ascii="Arial" w:cs="Arial" w:eastAsia="Arial" w:hAnsi="Arial"/>
                <w:sz w:val="18"/>
                <w:szCs w:val="18"/>
                <w:color w:val="0000FF"/>
                <w:w w:val="92"/>
              </w:rPr>
              <w:t>Oxley Act of 2002.</w:t>
            </w:r>
          </w:p>
        </w:tc>
        <w:tc>
          <w:tcPr>
            <w:tcW w:w="6000" w:type="dxa"/>
            <w:vAlign w:val="bottom"/>
            <w:gridSpan w:val="2"/>
          </w:tcPr>
          <w:p>
            <w:pPr>
              <w:spacing w:after="0"/>
              <w:rPr>
                <w:sz w:val="17"/>
                <w:szCs w:val="17"/>
                <w:color w:val="auto"/>
              </w:rPr>
            </w:pPr>
          </w:p>
        </w:tc>
      </w:tr>
      <w:tr>
        <w:trPr>
          <w:trHeight w:val="493"/>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32.2</w:t>
            </w:r>
          </w:p>
        </w:tc>
        <w:tc>
          <w:tcPr>
            <w:tcW w:w="740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89"/>
              </w:rPr>
              <w:t>Certification Pursuant to 18 U.S.C. Section 1350, as Adopted Pursuant to Section 906 of the Sarbanes-</w:t>
            </w:r>
          </w:p>
        </w:tc>
      </w:tr>
      <w:tr>
        <w:trPr>
          <w:trHeight w:val="196"/>
        </w:trPr>
        <w:tc>
          <w:tcPr>
            <w:tcW w:w="1140" w:type="dxa"/>
            <w:vAlign w:val="bottom"/>
          </w:tcPr>
          <w:p>
            <w:pPr>
              <w:spacing w:after="0"/>
              <w:rPr>
                <w:sz w:val="17"/>
                <w:szCs w:val="17"/>
                <w:color w:val="auto"/>
              </w:rPr>
            </w:pPr>
          </w:p>
        </w:tc>
        <w:tc>
          <w:tcPr>
            <w:tcW w:w="1400" w:type="dxa"/>
            <w:vAlign w:val="bottom"/>
            <w:tcBorders>
              <w:bottom w:val="single" w:sz="8" w:color="0000FF"/>
            </w:tcBorders>
          </w:tcPr>
          <w:p>
            <w:pPr>
              <w:ind w:left="20"/>
              <w:spacing w:after="0" w:line="196" w:lineRule="exact"/>
              <w:rPr>
                <w:sz w:val="20"/>
                <w:szCs w:val="20"/>
                <w:color w:val="auto"/>
              </w:rPr>
            </w:pPr>
            <w:r>
              <w:rPr>
                <w:rFonts w:ascii="Arial" w:cs="Arial" w:eastAsia="Arial" w:hAnsi="Arial"/>
                <w:sz w:val="18"/>
                <w:szCs w:val="18"/>
                <w:color w:val="0000FF"/>
                <w:w w:val="92"/>
              </w:rPr>
              <w:t>Oxley Act of 2002.</w:t>
            </w:r>
          </w:p>
        </w:tc>
        <w:tc>
          <w:tcPr>
            <w:tcW w:w="6000" w:type="dxa"/>
            <w:vAlign w:val="bottom"/>
            <w:gridSpan w:val="2"/>
          </w:tcPr>
          <w:p>
            <w:pPr>
              <w:spacing w:after="0"/>
              <w:rPr>
                <w:sz w:val="17"/>
                <w:szCs w:val="17"/>
                <w:color w:val="auto"/>
              </w:rPr>
            </w:pPr>
          </w:p>
        </w:tc>
      </w:tr>
    </w:tbl>
    <w:p>
      <w:pPr>
        <w:sectPr>
          <w:pgSz w:w="11900" w:h="16838" w:orient="portrait"/>
          <w:cols w:equalWidth="0" w:num="1">
            <w:col w:w="11200"/>
          </w:cols>
          <w:pgMar w:left="320" w:top="337" w:right="379" w:bottom="0" w:gutter="0" w:footer="0" w:header="0"/>
        </w:sectPr>
      </w:pPr>
    </w:p>
    <w:bookmarkStart w:id="85" w:name="page86"/>
    <w:bookmarkEnd w:id="85"/>
    <w:p>
      <w:pPr>
        <w:spacing w:after="0" w:line="1"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513"/>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513"/>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13"/>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513"/>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6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51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60" w:type="dxa"/>
            <w:vAlign w:val="bottom"/>
          </w:tcPr>
          <w:p>
            <w:pPr>
              <w:ind w:left="240"/>
              <w:spacing w:after="0"/>
              <w:rPr>
                <w:sz w:val="20"/>
                <w:szCs w:val="20"/>
                <w:color w:val="auto"/>
              </w:rPr>
            </w:pPr>
            <w:r>
              <w:rPr>
                <w:rFonts w:ascii="Arial" w:cs="Arial" w:eastAsia="Arial" w:hAnsi="Arial"/>
                <w:sz w:val="18"/>
                <w:szCs w:val="18"/>
                <w:color w:val="auto"/>
                <w:w w:val="95"/>
              </w:rPr>
              <w:t>XBRL Taxonomy Extension Definition Linkbase Document.</w:t>
            </w:r>
          </w:p>
        </w:tc>
      </w:tr>
    </w:tbl>
    <w:p>
      <w:pPr>
        <w:spacing w:after="0" w:line="283" w:lineRule="exact"/>
        <w:rPr>
          <w:sz w:val="20"/>
          <w:szCs w:val="20"/>
          <w:color w:val="auto"/>
        </w:rPr>
      </w:pPr>
    </w:p>
    <w:p>
      <w:pPr>
        <w:ind w:left="3600" w:hanging="1158"/>
        <w:spacing w:after="0"/>
        <w:tabs>
          <w:tab w:leader="none" w:pos="3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w:t>
      </w:r>
    </w:p>
    <w:p>
      <w:pPr>
        <w:spacing w:after="0" w:line="3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 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 w:right="1440"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w:t>
      </w:r>
    </w:p>
    <w:p>
      <w:pPr>
        <w:spacing w:after="0" w:line="202" w:lineRule="exact"/>
        <w:rPr>
          <w:sz w:val="20"/>
          <w:szCs w:val="20"/>
          <w:color w:val="auto"/>
        </w:rPr>
      </w:pPr>
    </w:p>
    <w:p>
      <w:pPr>
        <w:ind w:left="40"/>
        <w:spacing w:after="0"/>
        <w:tabs>
          <w:tab w:leader="none" w:pos="5400" w:val="left"/>
          <w:tab w:leader="none" w:pos="76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118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Eric H. Brunngraber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40"/>
        <w:spacing w:after="0"/>
        <w:tabs>
          <w:tab w:leader="none" w:pos="5400" w:val="left"/>
          <w:tab w:leader="none" w:pos="772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118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Michael J. Normile</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(Principal Financial and Accounting Officer)</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dates indicated by the following persons on behalf of the registrant and in their capacity as a member of the Board of Directors of the Company.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H. Brunngraber</w:t>
            </w:r>
          </w:p>
        </w:tc>
      </w:tr>
      <w:tr>
        <w:trPr>
          <w:trHeight w:val="237"/>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Eric H. Brunngraber</w:t>
            </w:r>
          </w:p>
        </w:tc>
      </w:tr>
      <w:tr>
        <w:trPr>
          <w:trHeight w:val="412"/>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Ralph W. Clermont</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Ralph W. Clermont</w:t>
            </w:r>
          </w:p>
        </w:tc>
      </w:tr>
      <w:tr>
        <w:trPr>
          <w:trHeight w:val="412"/>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Ebel</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Robert A. Ebel</w:t>
            </w:r>
          </w:p>
        </w:tc>
      </w:tr>
      <w:tr>
        <w:trPr>
          <w:trHeight w:val="520"/>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F. Edwards, IV</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Benjamin F. Edwards, IV</w:t>
            </w:r>
          </w:p>
        </w:tc>
      </w:tr>
      <w:tr>
        <w:trPr>
          <w:trHeight w:val="520"/>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Wendy J. Henry</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Wendy J. Henry</w:t>
            </w:r>
          </w:p>
        </w:tc>
      </w:tr>
      <w:tr>
        <w:trPr>
          <w:trHeight w:val="412"/>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J. Lindemann</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James J. Lindemann</w:t>
            </w:r>
          </w:p>
        </w:tc>
      </w:tr>
      <w:tr>
        <w:trPr>
          <w:trHeight w:val="520"/>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 W. Marr</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Ann W. Marr</w:t>
            </w:r>
          </w:p>
        </w:tc>
      </w:tr>
      <w:tr>
        <w:trPr>
          <w:trHeight w:val="412"/>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Sally H. Roth</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Sally H. Roth</w:t>
            </w:r>
          </w:p>
        </w:tc>
      </w:tr>
      <w:tr>
        <w:trPr>
          <w:trHeight w:val="520"/>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Rupp</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Joseph D. Rupp</w:t>
            </w:r>
          </w:p>
        </w:tc>
      </w:tr>
      <w:tr>
        <w:trPr>
          <w:trHeight w:val="520"/>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Randall L. Schilling</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Randall L. Schilling</w:t>
            </w:r>
          </w:p>
        </w:tc>
      </w:tr>
      <w:tr>
        <w:trPr>
          <w:trHeight w:val="520"/>
        </w:trPr>
        <w:tc>
          <w:tcPr>
            <w:tcW w:w="356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Franklin D. Wicks, Jr.</w:t>
            </w:r>
          </w:p>
        </w:tc>
      </w:tr>
      <w:tr>
        <w:trPr>
          <w:trHeight w:val="243"/>
        </w:trPr>
        <w:tc>
          <w:tcPr>
            <w:tcW w:w="3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Franklin D. Wicks, Jr.</w:t>
            </w: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337" w:right="3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Profit Sharing Program</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purpose of the profit sharing program is to facilitate the Company’s continued growth and success by providing rewards that are commensurate with achievement, thereby creating an incentive for superior performance and improved results for shareholders. All employees of Cass Information Systems are eligible to participate in the program, unless specifically excluded due to their employment category, such as temporary staff or if their performance is not meeting the minimum expectations.</w:t>
      </w: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amount of the profit sharing fund available for distribution is set by the Board of Directors and currently set at 22.5% of the company’s net income after taxes for the period of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Distributions are not guaranteed and the company may distribute profit sharing benefits on any schedule and in any manner that it deems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distributions are made on a semi-annual basis.</w:t>
      </w:r>
    </w:p>
    <w:p>
      <w:pPr>
        <w:spacing w:after="0" w:line="23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Allocations to employee groups eligible to participate are divided into exempt and non-exempt pools based on the salaries of each group over the corresponding period. The non-exempt pool is distributed to each eligible employee based on a factor of salary and performance score. The exempt pool is distributed to all exempt employees considering factors such as position, salary grade and individual performance. Specific allocations are made out of the exempt pool to the Chief Executive Officer (CEO) and other executive officers, including named executive officers (NEOs) as follows: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CEO</w:t>
      </w:r>
      <w:r>
        <w:rPr>
          <w:rFonts w:ascii="Arial" w:cs="Arial" w:eastAsia="Arial" w:hAnsi="Arial"/>
          <w:sz w:val="18"/>
          <w:szCs w:val="18"/>
          <w:color w:val="auto"/>
        </w:rPr>
        <w:t xml:space="preserve"> – The CEO receives a percentage of the total profit sharing pool based on the change in net income after taxes (NIAT) from the prior year and is set to provide a target percentage of base salary at target performance of 45%. The amount paid to the CEO can range from 0% up to a maximum of 70% of base pay.</w:t>
      </w:r>
    </w:p>
    <w:p>
      <w:pPr>
        <w:spacing w:after="0" w:line="21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u w:val="single" w:color="auto"/>
          <w:color w:val="auto"/>
        </w:rPr>
        <w:t>Executive Officers</w:t>
      </w:r>
      <w:r>
        <w:rPr>
          <w:rFonts w:ascii="Arial" w:cs="Arial" w:eastAsia="Arial" w:hAnsi="Arial"/>
          <w:sz w:val="17"/>
          <w:szCs w:val="17"/>
          <w:color w:val="auto"/>
        </w:rPr>
        <w:t xml:space="preserve"> – A percentage of the total profit sharing pool is provided for distribution to other executive officers based on the change in NIAT from the prior year and is set to provide a target percentage of base salaries at target performance of 40%. The total funds provided for distribution to the executive officers can range from 0% up to a maximum of 60% of base pay. The amount of funds in this pool is distributed to each individual executive officer by the CEO based on a subjective evaluation considering internal equity and other individual factors related to performance.</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Individual distributions to exempt employees, other than the CEO and executive officers, as a percent of salary are subject to set limits based on each individual’s pay grade and any payment in excess of these percentages shall require the review and approval of the President or Chief Operating Officer of each business unit and the CEO. Payments in excess of the set limits for the CEO and executive officers need approval from the Board of Director’s Compensation Committee.</w:t>
      </w:r>
    </w:p>
    <w:p>
      <w:pPr>
        <w:sectPr>
          <w:pgSz w:w="11900" w:h="16838" w:orient="portrait"/>
          <w:cols w:equalWidth="0" w:num="1">
            <w:col w:w="11240"/>
          </w:cols>
          <w:pgMar w:left="320" w:top="103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 333-44497, 333-44499, 033-91456, 033-91568, 333-143411, 333-181772, and 333-188504) on Form S-8 of our reports dated February 28, 2023, with respect to the consolidated financial statements of Cass Information Systems, Inc. and the effectiveness of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039"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Cass Information Systems, Inc.;</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2023</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H. Brunngraber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Normile, certify that:</w:t>
      </w:r>
    </w:p>
    <w:p>
      <w:pPr>
        <w:spacing w:after="0" w:line="225"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Cass Information Systems, Inc.;</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55" w:lineRule="auto"/>
        <w:tabs>
          <w:tab w:leader="none" w:pos="9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500" w:right="240" w:hanging="492"/>
        <w:spacing w:after="0" w:line="323"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2023</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039"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of Cass Information Systems, Inc. (“the Company”) on Form 10-K for the period ended December 31, 2022,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65" w:lineRule="exact"/>
        <w:rPr>
          <w:sz w:val="20"/>
          <w:szCs w:val="20"/>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486"/>
        <w:spacing w:after="0" w:line="273" w:lineRule="auto"/>
        <w:tabs>
          <w:tab w:leader="none" w:pos="9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H. Brunngraber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28, 2023</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ectPr>
          <w:pgSz w:w="11900" w:h="16838" w:orient="portrait"/>
          <w:cols w:equalWidth="0" w:num="1">
            <w:col w:w="11240"/>
          </w:cols>
          <w:pgMar w:left="320" w:top="103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Cass Information Systems, Inc. (“the Company”) on Form 10-K for the period ended December 31, 2022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65" w:lineRule="exact"/>
        <w:rPr>
          <w:sz w:val="20"/>
          <w:szCs w:val="20"/>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486"/>
        <w:spacing w:after="0" w:line="277" w:lineRule="auto"/>
        <w:tabs>
          <w:tab w:leader="none" w:pos="9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28, 2023</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lvl w:ilvl="1">
      <w:lvlJc w:val="left"/>
      <w:lvlText w:val="◦"/>
      <w:numFmt w:val="bullet"/>
      <w:start w:val="1"/>
    </w:lvl>
  </w:abstractNum>
  <w:abstractNum w:abstractNumId="11">
    <w:nsid w:val="721DA317"/>
    <w:multiLevelType w:val="hybridMultilevel"/>
    <w:lvl w:ilvl="0">
      <w:lvlJc w:val="left"/>
      <w:lvlText w:val="\endash "/>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decimal"/>
      <w:start w:val="3"/>
    </w:lvl>
  </w:abstractNum>
  <w:abstractNum w:abstractNumId="24">
    <w:nsid w:val="836C40E"/>
    <w:multiLevelType w:val="hybridMultilevel"/>
    <w:lvl w:ilvl="0">
      <w:lvlJc w:val="left"/>
      <w:lvlText w:val="(%1)"/>
      <w:numFmt w:val="lowerLetter"/>
      <w:start w:val="2"/>
    </w:lvl>
  </w:abstractNum>
  <w:abstractNum w:abstractNumId="25">
    <w:nsid w:val="2901D82"/>
    <w:multiLevelType w:val="hybridMultilevel"/>
    <w:lvl w:ilvl="0">
      <w:lvlJc w:val="left"/>
      <w:lvlText w:val="%1"/>
      <w:numFmt w:val="decimal"/>
      <w:start w:val="21"/>
    </w:lvl>
  </w:abstractNum>
  <w:abstractNum w:abstractNumId="26">
    <w:nsid w:val="3A95F874"/>
    <w:multiLevelType w:val="hybridMultilevel"/>
    <w:lvl w:ilvl="0">
      <w:lvlJc w:val="left"/>
      <w:lvlText w:val="%1"/>
      <w:numFmt w:val="decimal"/>
      <w:start w:val="23"/>
    </w:lvl>
  </w:abstractNum>
  <w:abstractNum w:abstractNumId="27">
    <w:nsid w:val="8138641"/>
    <w:multiLevelType w:val="hybridMultilevel"/>
    <w:lvl w:ilvl="0">
      <w:lvlJc w:val="left"/>
      <w:lvlText w:val="*"/>
      <w:numFmt w:val="bullet"/>
      <w:start w:val="1"/>
    </w:lvl>
    <w:lvl w:ilvl="1">
      <w:lvlJc w:val="left"/>
      <w:lvlText w:val="%2"/>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15" Type="http://schemas.openxmlformats.org/officeDocument/2006/relationships/hyperlink" Target="https://www.sec.gov/Archives/edgar/data/708781/0000950114-98-000012.txt" TargetMode="External"/><Relationship Id="rId116" Type="http://schemas.openxmlformats.org/officeDocument/2006/relationships/hyperlink" Target="https://www.sec.gov/Archives/edgar/data/708781/000119312513162285/d522876dex31.htm" TargetMode="External"/><Relationship Id="rId117" Type="http://schemas.openxmlformats.org/officeDocument/2006/relationships/hyperlink" Target="https://www.sec.gov/Archives/edgar/data/708781/000119380506002677/e601185_ex3-1.txt" TargetMode="External"/><Relationship Id="rId118" Type="http://schemas.openxmlformats.org/officeDocument/2006/relationships/hyperlink" Target="https://www.sec.gov/Archives/edgar/data/708781/000119312516653705/d202430dex31.htm" TargetMode="External"/><Relationship Id="rId119" Type="http://schemas.openxmlformats.org/officeDocument/2006/relationships/hyperlink" Target="https://www.sec.gov/Archives/edgar/data/708781/000120677420000650/cass3589044-ex41.htm" TargetMode="External"/><Relationship Id="rId120" Type="http://schemas.openxmlformats.org/officeDocument/2006/relationships/hyperlink" Target="https://www.sec.gov/Archives/edgar/data/708781/000119380503000382/e300379_ex10-1.txt" TargetMode="External"/><Relationship Id="rId121" Type="http://schemas.openxmlformats.org/officeDocument/2006/relationships/hyperlink" Target="https://www.sec.gov/Archives/edgar/data/708781/000119312513162285/d522876dex101.htm" TargetMode="External"/><Relationship Id="rId122" Type="http://schemas.openxmlformats.org/officeDocument/2006/relationships/hyperlink" Target="https://www.sec.gov/Archives/edgar/data/708781/000119380507002783/e602795_ex10-2.txt" TargetMode="External"/><Relationship Id="rId123" Type="http://schemas.openxmlformats.org/officeDocument/2006/relationships/hyperlink" Target="https://www.sec.gov/Archives/edgar/data/708781/000119380507002783/e602795_ex10-4.txt" TargetMode="External"/><Relationship Id="rId124" Type="http://schemas.openxmlformats.org/officeDocument/2006/relationships/hyperlink" Target="https://www.sec.gov/Archives/edgar/data/708781/000120677417000734/cass3073843-ex108.htm" TargetMode="External"/><Relationship Id="rId125" Type="http://schemas.openxmlformats.org/officeDocument/2006/relationships/hyperlink" Target="https://www.sec.gov/Archives/edgar/data/708781/000120677417000734/cass3073843-ex109.htm" TargetMode="External"/><Relationship Id="rId126" Type="http://schemas.openxmlformats.org/officeDocument/2006/relationships/hyperlink" Target="https://www.sec.gov/Archives/edgar/data/708781/000120677421000530/cass10k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2023-02-28T13:19:15Z</dcterms:created>
  <dcterms:modified xsi:type="dcterms:W3CDTF">2023-02-28T13:19:15Z</dcterms:modified>
</cp:coreProperties>
</file>