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UNITED STATES</w:t>
      </w:r>
    </w:p>
    <w:p>
      <w:pPr>
        <w:spacing w:after="0" w:line="25"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46" w:lineRule="exact"/>
        <w:rPr>
          <w:sz w:val="24"/>
          <w:szCs w:val="24"/>
          <w:color w:val="auto"/>
        </w:rPr>
      </w:pPr>
    </w:p>
    <w:p>
      <w:pPr>
        <w:ind w:left="580" w:right="2080" w:hanging="554"/>
        <w:spacing w:after="0" w:line="610" w:lineRule="auto"/>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320" w:lineRule="exact"/>
        <w:rPr>
          <w:sz w:val="24"/>
          <w:szCs w:val="24"/>
          <w:color w:val="auto"/>
        </w:rPr>
      </w:pPr>
    </w:p>
    <w:p>
      <w:pPr>
        <w:ind w:left="580" w:hanging="554"/>
        <w:spacing w:after="0"/>
        <w:tabs>
          <w:tab w:leader="none" w:pos="5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32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color w:val="auto"/>
        </w:rPr>
        <w:t>For the transition period from __________ to __________</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000-20827</w:t>
      </w:r>
    </w:p>
    <w:p>
      <w:pPr>
        <w:spacing w:after="0" w:line="126"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9720" w:type="dxa"/>
            <w:vAlign w:val="bottom"/>
            <w:gridSpan w:val="2"/>
          </w:tcPr>
          <w:p>
            <w:pPr>
              <w:jc w:val="center"/>
              <w:ind w:left="1408"/>
              <w:spacing w:after="0"/>
              <w:rPr>
                <w:sz w:val="20"/>
                <w:szCs w:val="20"/>
                <w:color w:val="auto"/>
              </w:rPr>
            </w:pPr>
            <w:r>
              <w:rPr>
                <w:rFonts w:ascii="Times New Roman" w:cs="Times New Roman" w:eastAsia="Times New Roman" w:hAnsi="Times New Roman"/>
                <w:sz w:val="22"/>
                <w:szCs w:val="22"/>
                <w:b w:val="1"/>
                <w:bCs w:val="1"/>
                <w:color w:val="auto"/>
                <w:w w:val="97"/>
              </w:rPr>
              <w:t>CASS INFORMATION SYSTEMS, INC.</w:t>
            </w:r>
          </w:p>
        </w:tc>
      </w:tr>
      <w:tr>
        <w:trPr>
          <w:trHeight w:val="234"/>
        </w:trPr>
        <w:tc>
          <w:tcPr>
            <w:tcW w:w="9720" w:type="dxa"/>
            <w:vAlign w:val="bottom"/>
            <w:gridSpan w:val="2"/>
          </w:tcPr>
          <w:p>
            <w:pPr>
              <w:jc w:val="center"/>
              <w:ind w:left="138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32"/>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43-1265338</w:t>
            </w: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(State or other jurisdiction of incorporation or</w:t>
            </w:r>
          </w:p>
        </w:tc>
        <w:tc>
          <w:tcPr>
            <w:tcW w:w="4060" w:type="dxa"/>
            <w:vAlign w:val="bottom"/>
          </w:tcPr>
          <w:p>
            <w:pPr>
              <w:jc w:val="center"/>
              <w:ind w:left="135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5660" w:type="dxa"/>
            <w:vAlign w:val="bottom"/>
          </w:tcPr>
          <w:p>
            <w:pPr>
              <w:spacing w:after="0"/>
              <w:rPr>
                <w:sz w:val="20"/>
                <w:szCs w:val="20"/>
                <w:color w:val="auto"/>
              </w:rPr>
            </w:pPr>
            <w:r>
              <w:rPr>
                <w:rFonts w:ascii="Arial" w:cs="Arial" w:eastAsia="Arial" w:hAnsi="Arial"/>
                <w:sz w:val="18"/>
                <w:szCs w:val="18"/>
                <w:color w:val="auto"/>
              </w:rPr>
              <w:t>organization)</w:t>
            </w:r>
          </w:p>
        </w:tc>
        <w:tc>
          <w:tcPr>
            <w:tcW w:w="4060" w:type="dxa"/>
            <w:vAlign w:val="bottom"/>
          </w:tcPr>
          <w:p>
            <w:pPr>
              <w:spacing w:after="0"/>
              <w:rPr>
                <w:sz w:val="20"/>
                <w:szCs w:val="20"/>
                <w:color w:val="auto"/>
              </w:rPr>
            </w:pPr>
          </w:p>
        </w:tc>
      </w:tr>
      <w:tr>
        <w:trPr>
          <w:trHeight w:val="21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12444 Powerscourt Drive, Suite 550</w:t>
            </w:r>
          </w:p>
        </w:tc>
        <w:tc>
          <w:tcPr>
            <w:tcW w:w="4060" w:type="dxa"/>
            <w:vAlign w:val="bottom"/>
          </w:tcPr>
          <w:p>
            <w:pPr>
              <w:spacing w:after="0"/>
              <w:rPr>
                <w:sz w:val="18"/>
                <w:szCs w:val="18"/>
                <w:color w:val="auto"/>
              </w:rPr>
            </w:pPr>
          </w:p>
        </w:tc>
      </w:tr>
      <w:tr>
        <w:trPr>
          <w:trHeight w:val="238"/>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63131</w:t>
            </w:r>
          </w:p>
        </w:tc>
      </w:tr>
      <w:tr>
        <w:trPr>
          <w:trHeight w:val="256"/>
        </w:trPr>
        <w:tc>
          <w:tcPr>
            <w:tcW w:w="5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506-5500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center"/>
              <w:ind w:right="404"/>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43"/>
        </w:trPr>
        <w:tc>
          <w:tcPr>
            <w:tcW w:w="40" w:type="dxa"/>
            <w:vAlign w:val="bottom"/>
          </w:tcPr>
          <w:p>
            <w:pPr>
              <w:spacing w:after="0"/>
              <w:rPr>
                <w:sz w:val="21"/>
                <w:szCs w:val="21"/>
                <w:color w:val="auto"/>
              </w:rPr>
            </w:pPr>
          </w:p>
        </w:tc>
        <w:tc>
          <w:tcPr>
            <w:tcW w:w="42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Common stock, par value $.50</w:t>
            </w:r>
          </w:p>
        </w:tc>
        <w:tc>
          <w:tcPr>
            <w:tcW w:w="280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7"/>
              </w:rPr>
              <w:t>CASS</w:t>
            </w:r>
          </w:p>
        </w:tc>
        <w:tc>
          <w:tcPr>
            <w:tcW w:w="41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486"/>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0" w:type="dxa"/>
            <w:vAlign w:val="bottom"/>
            <w:gridSpan w:val="3"/>
          </w:tcPr>
          <w:p>
            <w:pPr>
              <w:jc w:val="right"/>
              <w:ind w:right="100"/>
              <w:spacing w:after="0"/>
              <w:rPr>
                <w:sz w:val="20"/>
                <w:szCs w:val="20"/>
                <w:color w:val="auto"/>
              </w:rPr>
            </w:pPr>
            <w:r>
              <w:rPr>
                <w:rFonts w:ascii="Arial" w:cs="Arial" w:eastAsia="Arial" w:hAnsi="Arial"/>
                <w:sz w:val="22"/>
                <w:szCs w:val="22"/>
                <w:color w:val="auto"/>
              </w:rPr>
              <w:t>____________________</w:t>
            </w:r>
          </w:p>
        </w:tc>
        <w:tc>
          <w:tcPr>
            <w:tcW w:w="4140" w:type="dxa"/>
            <w:vAlign w:val="bottom"/>
          </w:tcPr>
          <w:p>
            <w:pPr>
              <w:spacing w:after="0"/>
              <w:rPr>
                <w:sz w:val="24"/>
                <w:szCs w:val="24"/>
                <w:color w:val="auto"/>
              </w:rPr>
            </w:pPr>
          </w:p>
        </w:tc>
      </w:tr>
    </w:tbl>
    <w:p>
      <w:pPr>
        <w:spacing w:after="0" w:line="157"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6" w:lineRule="exact"/>
        <w:rPr>
          <w:sz w:val="24"/>
          <w:szCs w:val="24"/>
          <w:color w:val="auto"/>
        </w:rPr>
      </w:pPr>
    </w:p>
    <w:p>
      <w:pPr>
        <w:ind w:left="3240"/>
        <w:spacing w:after="0"/>
        <w:tabs>
          <w:tab w:leader="none" w:pos="3720" w:val="left"/>
          <w:tab w:leader="none" w:pos="4680" w:val="left"/>
          <w:tab w:leader="none" w:pos="506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25" w:lineRule="exact"/>
        <w:rPr>
          <w:sz w:val="24"/>
          <w:szCs w:val="24"/>
          <w:color w:val="auto"/>
        </w:rPr>
      </w:pPr>
    </w:p>
    <w:p>
      <w:pPr>
        <w:ind w:left="3240"/>
        <w:spacing w:after="0"/>
        <w:tabs>
          <w:tab w:leader="none" w:pos="3720" w:val="left"/>
          <w:tab w:leader="none" w:pos="4680" w:val="left"/>
          <w:tab w:leader="none" w:pos="5120" w:val="left"/>
        </w:tabs>
        <w:rPr>
          <w:sz w:val="20"/>
          <w:szCs w:val="20"/>
          <w:color w:val="auto"/>
        </w:rPr>
      </w:pP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7"/>
          <w:szCs w:val="17"/>
          <w:b w:val="1"/>
          <w:bCs w:val="1"/>
          <w:color w:val="auto"/>
        </w:rPr>
        <w:t>o</w:t>
      </w:r>
    </w:p>
    <w:p>
      <w:pPr>
        <w:spacing w:after="0" w:line="185"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5" w:right="339" w:bottom="0" w:gutter="0" w:footer="0" w:header="0"/>
        </w:sectPr>
      </w:pPr>
    </w:p>
    <w:p>
      <w:pPr>
        <w:spacing w:after="0" w:line="189"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x</w:t>
      </w:r>
    </w:p>
    <w:p>
      <w:pPr>
        <w:spacing w:after="0" w:line="200" w:lineRule="exact"/>
        <w:rPr>
          <w:sz w:val="24"/>
          <w:szCs w:val="24"/>
          <w:color w:val="auto"/>
        </w:rPr>
      </w:pPr>
    </w:p>
    <w:p>
      <w:pPr>
        <w:sectPr>
          <w:pgSz w:w="11900" w:h="16838" w:orient="portrait"/>
          <w:cols w:equalWidth="0" w:num="4">
            <w:col w:w="2840" w:space="640"/>
            <w:col w:w="160" w:space="280"/>
            <w:col w:w="2040" w:space="720"/>
            <w:col w:w="4560"/>
          </w:cols>
          <w:pgMar w:left="320" w:top="225" w:right="339" w:bottom="0" w:gutter="0" w:footer="0" w:header="0"/>
          <w:type w:val="continuous"/>
        </w:sectPr>
      </w:pPr>
    </w:p>
    <w:p>
      <w:pPr>
        <w:spacing w:after="0" w:line="97"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980"/>
        <w:spacing w:after="0"/>
        <w:rPr>
          <w:sz w:val="20"/>
          <w:szCs w:val="20"/>
          <w:color w:val="auto"/>
        </w:rPr>
      </w:pPr>
      <w:r>
        <w:rPr>
          <w:rFonts w:ascii="Wingdings" w:cs="Wingdings" w:eastAsia="Wingdings" w:hAnsi="Wingdings"/>
          <w:sz w:val="17"/>
          <w:szCs w:val="17"/>
          <w:b w:val="1"/>
          <w:bCs w:val="1"/>
          <w:color w:val="auto"/>
        </w:rPr>
        <w:t>o</w:t>
      </w:r>
    </w:p>
    <w:p>
      <w:pPr>
        <w:spacing w:after="0" w:line="200" w:lineRule="exact"/>
        <w:rPr>
          <w:sz w:val="24"/>
          <w:szCs w:val="24"/>
          <w:color w:val="auto"/>
        </w:rPr>
      </w:pPr>
    </w:p>
    <w:p>
      <w:pPr>
        <w:sectPr>
          <w:pgSz w:w="11900" w:h="16838" w:orient="portrait"/>
          <w:cols w:equalWidth="0" w:num="6">
            <w:col w:w="2760" w:space="720"/>
            <w:col w:w="160" w:space="280"/>
            <w:col w:w="2060" w:space="700"/>
            <w:col w:w="160" w:space="320"/>
            <w:col w:w="2220" w:space="720"/>
            <w:col w:w="1140"/>
          </w:cols>
          <w:pgMar w:left="320" w:top="225" w:right="339" w:bottom="0" w:gutter="0" w:footer="0" w:header="0"/>
          <w:type w:val="continuous"/>
        </w:sectPr>
      </w:pPr>
    </w:p>
    <w:p>
      <w:pPr>
        <w:spacing w:after="0" w:line="92"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2" w:lineRule="exact"/>
        <w:rPr>
          <w:sz w:val="24"/>
          <w:szCs w:val="24"/>
          <w:color w:val="auto"/>
        </w:rPr>
      </w:pPr>
    </w:p>
    <w:p>
      <w:pPr>
        <w:ind w:left="3240"/>
        <w:spacing w:after="0" w:line="209" w:lineRule="exact"/>
        <w:tabs>
          <w:tab w:leader="none" w:pos="3720" w:val="left"/>
          <w:tab w:leader="none" w:pos="4640" w:val="left"/>
          <w:tab w:leader="none" w:pos="5040" w:val="left"/>
        </w:tabs>
        <w:rPr>
          <w:sz w:val="20"/>
          <w:szCs w:val="20"/>
          <w:color w:val="auto"/>
        </w:rPr>
      </w:pPr>
      <w:r>
        <w:rPr>
          <w:rFonts w:ascii="Times New Roman" w:cs="Times New Roman" w:eastAsia="Times New Roman" w:hAnsi="Times New Roman"/>
          <w:sz w:val="18"/>
          <w:szCs w:val="18"/>
          <w:color w:val="auto"/>
        </w:rPr>
        <w:t>Yes</w:t>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No</w:t>
      </w:r>
      <w:r>
        <w:rPr>
          <w:sz w:val="20"/>
          <w:szCs w:val="20"/>
          <w:color w:val="auto"/>
        </w:rPr>
        <w:tab/>
      </w:r>
      <w:r>
        <w:rPr>
          <w:rFonts w:ascii="Wingdings" w:cs="Wingdings" w:eastAsia="Wingdings" w:hAnsi="Wingdings"/>
          <w:sz w:val="18"/>
          <w:szCs w:val="18"/>
          <w:b w:val="1"/>
          <w:bCs w:val="1"/>
          <w:color w:val="auto"/>
        </w:rPr>
        <w:t>x</w:t>
      </w:r>
    </w:p>
    <w:p>
      <w:pPr>
        <w:spacing w:after="0" w:line="225"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the registrant's only class of common stock as of October 31, 2025: Common stock, par value $.50 per share – 13,084,279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5" w:right="339" w:bottom="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54"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FF"/>
        </w:rPr>
        <w:t>Item 1.</w:t>
      </w:r>
      <w:r>
        <w:rPr>
          <w:sz w:val="20"/>
          <w:szCs w:val="20"/>
          <w:color w:val="auto"/>
        </w:rPr>
        <w:tab/>
      </w:r>
      <w:r>
        <w:rPr>
          <w:rFonts w:ascii="Times New Roman" w:cs="Times New Roman" w:eastAsia="Times New Roman" w:hAnsi="Times New Roman"/>
          <w:sz w:val="17"/>
          <w:szCs w:val="17"/>
          <w:u w:val="single" w:color="auto"/>
          <w:color w:val="0000FF"/>
        </w:rPr>
        <w:t>FINANCIAL STATEMENTS</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Balance Sheets September 30, 2025 (unaudited) and December 31, 2024</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Income Three and Nine Months Ended September 30, 2025 and 2024 (unaudited)</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Consolidated Statements of Comprehensive Income Three and Nine Months Ended September 30, 2025 and 2024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Cash Flows Nine Months Ended September 30, 2025 and 2024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Consolidated Statements of Shareholders’ Equity Three and Nine Months Ended September 30, 2025 and 2024 (unaudited)</w:t>
      </w:r>
    </w:p>
    <w:p>
      <w:pPr>
        <w:spacing w:after="0" w:line="2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Notes to Consolidated Financial Statements (unaudited)</w:t>
      </w:r>
    </w:p>
    <w:p>
      <w:pPr>
        <w:spacing w:after="0" w:line="50" w:lineRule="exact"/>
        <w:rPr>
          <w:sz w:val="20"/>
          <w:szCs w:val="20"/>
          <w:color w:val="auto"/>
        </w:rPr>
      </w:pPr>
    </w:p>
    <w:p>
      <w:pPr>
        <w:ind w:left="300" w:right="160"/>
        <w:spacing w:after="0" w:line="295" w:lineRule="auto"/>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 Item 3. QUANTITATIVE AND QUALITATIVE DISCLOSURES ABOUT MARKET RISK Item 4. CONTROLS AND PROCEDURES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II – Other Information – Items 1. – 6.</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 Factors That May Affect Future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4</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5</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6</w:t>
      </w: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7</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FF"/>
        </w:rPr>
        <w:t>9</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45</w:t>
      </w:r>
    </w:p>
    <w:p>
      <w:pPr>
        <w:spacing w:after="0" w:line="670" w:lineRule="exact"/>
        <w:rPr>
          <w:sz w:val="20"/>
          <w:szCs w:val="20"/>
          <w:color w:val="auto"/>
        </w:rPr>
      </w:pPr>
    </w:p>
    <w:p>
      <w:pPr>
        <w:sectPr>
          <w:pgSz w:w="11900" w:h="16838" w:orient="portrait"/>
          <w:cols w:equalWidth="0" w:num="2">
            <w:col w:w="10240" w:space="500"/>
            <w:col w:w="500"/>
          </w:cols>
          <w:pgMar w:left="320" w:top="117" w:right="339" w:bottom="1440" w:gutter="0" w:footer="0" w:header="0"/>
        </w:sect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report may contain or incorporate by reference forward-looking statements made pursuant to the safe harbor provisions of Section 27A of the Securities Act of 1933, as amended, and Section 21E of the Securities Exchange Act of 1934, as amended. Although we believe that, in making any such statements, our expectations are based on reasonable assumptions, forward-looking statements are not guarantees of future performance and involve risks, uncertainties, and other factors beyond our control, which may cause future performance to be materially different from expected performance summarized in the forward-looking statements. These risks, uncertainties and other factors are discussed in Part I, Item 1A, “Risk Factors” of the Company’s 2024 Annual Report on Form 10-K, filed with the Securities and Exchange Commission (“SEC”), which may be updated from time to time in our future filings with the SEC. We undertake no obligation to publicly update or revise any forward-looking statements to reflect changed assumptions, the occurrence of anticipated or unanticipated events, or changes to future results over time.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5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CASS INFORMATION SYSTEMS, INC. AND SUBSIDIARIES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5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2025 (Unaudited)</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227,971</w:t>
            </w:r>
          </w:p>
        </w:tc>
        <w:tc>
          <w:tcPr>
            <w:tcW w:w="100" w:type="dxa"/>
            <w:vAlign w:val="bottom"/>
            <w:shd w:val="clear" w:color="auto" w:fill="B6B6B6"/>
          </w:tcPr>
          <w:p>
            <w:pPr>
              <w:spacing w:after="0"/>
              <w:rPr>
                <w:sz w:val="22"/>
                <w:szCs w:val="22"/>
                <w:color w:val="auto"/>
              </w:rPr>
            </w:pPr>
          </w:p>
        </w:tc>
        <w:tc>
          <w:tcPr>
            <w:tcW w:w="1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330,400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258,634</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349,728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Investment securities available-for-sale, at fair value</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717,369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528,021</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Loans</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1,088,347</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1,081,989</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shd w:val="clear" w:color="auto" w:fill="B6B6B6"/>
          </w:tcPr>
          <w:p>
            <w:pPr>
              <w:ind w:left="720"/>
              <w:spacing w:after="0"/>
              <w:rPr>
                <w:sz w:val="20"/>
                <w:szCs w:val="20"/>
                <w:color w:val="auto"/>
              </w:rPr>
            </w:pPr>
            <w:r>
              <w:rPr>
                <w:rFonts w:ascii="Times New Roman" w:cs="Times New Roman" w:eastAsia="Times New Roman" w:hAnsi="Times New Roman"/>
                <w:sz w:val="18"/>
                <w:szCs w:val="18"/>
                <w:color w:val="auto"/>
              </w:rPr>
              <w:t>Loans, net</w:t>
            </w:r>
          </w:p>
        </w:tc>
        <w:tc>
          <w:tcPr>
            <w:tcW w:w="160" w:type="dxa"/>
            <w:vAlign w:val="bottom"/>
            <w:tcBorders>
              <w:bottom w:val="single" w:sz="8" w:color="auto"/>
            </w:tcBorders>
            <w:shd w:val="clear" w:color="auto" w:fill="B6B6B6"/>
          </w:tcPr>
          <w:p>
            <w:pPr>
              <w:spacing w:after="0"/>
              <w:rPr>
                <w:sz w:val="21"/>
                <w:szCs w:val="21"/>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1,074,281</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1,068,594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in advance of funding</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208,530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30,287</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bank-owned life insurance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50,325</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Accounts and drafts receivable from customers</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49,798</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55,906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67,741</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160" w:type="dxa"/>
            <w:vAlign w:val="bottom"/>
            <w:shd w:val="clear" w:color="auto" w:fill="B6B6B6"/>
          </w:tcPr>
          <w:p>
            <w:pPr>
              <w:spacing w:after="0"/>
              <w:rPr>
                <w:sz w:val="22"/>
                <w:szCs w:val="22"/>
                <w:color w:val="auto"/>
              </w:rPr>
            </w:pPr>
          </w:p>
        </w:tc>
        <w:tc>
          <w:tcPr>
            <w:tcW w:w="146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2,453,622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2,395,081</w:t>
            </w:r>
          </w:p>
        </w:tc>
        <w:tc>
          <w:tcPr>
            <w:tcW w:w="0" w:type="dxa"/>
            <w:vAlign w:val="bottom"/>
          </w:tcPr>
          <w:p>
            <w:pPr>
              <w:spacing w:after="0"/>
              <w:rPr>
                <w:sz w:val="1"/>
                <w:szCs w:val="1"/>
                <w:color w:val="auto"/>
              </w:rPr>
            </w:pPr>
          </w:p>
        </w:tc>
      </w:tr>
      <w:tr>
        <w:trPr>
          <w:trHeight w:val="46"/>
        </w:trPr>
        <w:tc>
          <w:tcPr>
            <w:tcW w:w="40" w:type="dxa"/>
            <w:vAlign w:val="bottom"/>
          </w:tcPr>
          <w:p>
            <w:pPr>
              <w:spacing w:after="0"/>
              <w:rPr>
                <w:sz w:val="3"/>
                <w:szCs w:val="3"/>
                <w:color w:val="auto"/>
              </w:rPr>
            </w:pPr>
          </w:p>
        </w:tc>
        <w:tc>
          <w:tcPr>
            <w:tcW w:w="780" w:type="dxa"/>
            <w:vAlign w:val="bottom"/>
            <w:tcBorders>
              <w:bottom w:val="single" w:sz="8" w:color="B6B6B6"/>
            </w:tcBorders>
          </w:tcPr>
          <w:p>
            <w:pPr>
              <w:spacing w:after="0"/>
              <w:rPr>
                <w:sz w:val="3"/>
                <w:szCs w:val="3"/>
                <w:color w:val="auto"/>
              </w:rPr>
            </w:pPr>
          </w:p>
        </w:tc>
        <w:tc>
          <w:tcPr>
            <w:tcW w:w="800" w:type="dxa"/>
            <w:vAlign w:val="bottom"/>
            <w:tcBorders>
              <w:bottom w:val="single" w:sz="8" w:color="B6B6B6"/>
            </w:tcBorders>
          </w:tcPr>
          <w:p>
            <w:pPr>
              <w:spacing w:after="0"/>
              <w:rPr>
                <w:sz w:val="3"/>
                <w:szCs w:val="3"/>
                <w:color w:val="auto"/>
              </w:rPr>
            </w:pPr>
          </w:p>
        </w:tc>
        <w:tc>
          <w:tcPr>
            <w:tcW w:w="6500" w:type="dxa"/>
            <w:vAlign w:val="bottom"/>
            <w:tcBorders>
              <w:bottom w:val="single" w:sz="8" w:color="B6B6B6"/>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B6B6B6"/>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top w:val="single" w:sz="8" w:color="B6B6B6"/>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Borders>
              <w:top w:val="single" w:sz="8" w:color="B6B6B6"/>
            </w:tcBorders>
          </w:tcPr>
          <w:p>
            <w:pPr>
              <w:spacing w:after="0"/>
              <w:rPr>
                <w:sz w:val="21"/>
                <w:szCs w:val="21"/>
                <w:color w:val="auto"/>
              </w:rPr>
            </w:pPr>
          </w:p>
        </w:tc>
        <w:tc>
          <w:tcPr>
            <w:tcW w:w="136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160" w:type="dxa"/>
            <w:vAlign w:val="bottom"/>
            <w:tcBorders>
              <w:top w:val="single" w:sz="8" w:color="B6B6B6"/>
            </w:tcBorders>
          </w:tcPr>
          <w:p>
            <w:pPr>
              <w:spacing w:after="0"/>
              <w:rPr>
                <w:sz w:val="21"/>
                <w:szCs w:val="21"/>
                <w:color w:val="auto"/>
              </w:rPr>
            </w:pPr>
          </w:p>
        </w:tc>
        <w:tc>
          <w:tcPr>
            <w:tcW w:w="1320" w:type="dxa"/>
            <w:vAlign w:val="bottom"/>
            <w:tcBorders>
              <w:top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Deposits:</w:t>
            </w:r>
          </w:p>
        </w:tc>
        <w:tc>
          <w:tcPr>
            <w:tcW w:w="7300" w:type="dxa"/>
            <w:vAlign w:val="bottom"/>
            <w:tcBorders>
              <w:top w:val="single" w:sz="8" w:color="B6B6B6"/>
            </w:tcBorders>
            <w:gridSpan w:val="2"/>
          </w:tcPr>
          <w:p>
            <w:pPr>
              <w:spacing w:after="0"/>
              <w:rPr>
                <w:sz w:val="21"/>
                <w:szCs w:val="21"/>
                <w:color w:val="auto"/>
              </w:rPr>
            </w:pPr>
          </w:p>
        </w:tc>
        <w:tc>
          <w:tcPr>
            <w:tcW w:w="160" w:type="dxa"/>
            <w:vAlign w:val="bottom"/>
            <w:tcBorders>
              <w:top w:val="single" w:sz="8" w:color="B6B6B6"/>
            </w:tcBorders>
          </w:tcPr>
          <w:p>
            <w:pPr>
              <w:spacing w:after="0"/>
              <w:rPr>
                <w:sz w:val="21"/>
                <w:szCs w:val="21"/>
                <w:color w:val="auto"/>
              </w:rPr>
            </w:pPr>
          </w:p>
        </w:tc>
        <w:tc>
          <w:tcPr>
            <w:tcW w:w="1360" w:type="dxa"/>
            <w:vAlign w:val="bottom"/>
            <w:tcBorders>
              <w:top w:val="single" w:sz="8" w:color="B6B6B6"/>
            </w:tcBorders>
          </w:tcPr>
          <w:p>
            <w:pPr>
              <w:spacing w:after="0"/>
              <w:rPr>
                <w:sz w:val="21"/>
                <w:szCs w:val="21"/>
                <w:color w:val="auto"/>
              </w:rPr>
            </w:pPr>
          </w:p>
        </w:tc>
        <w:tc>
          <w:tcPr>
            <w:tcW w:w="100" w:type="dxa"/>
            <w:vAlign w:val="bottom"/>
            <w:tcBorders>
              <w:top w:val="single" w:sz="8" w:color="B6B6B6"/>
            </w:tcBorders>
          </w:tcPr>
          <w:p>
            <w:pPr>
              <w:spacing w:after="0"/>
              <w:rPr>
                <w:sz w:val="21"/>
                <w:szCs w:val="21"/>
                <w:color w:val="auto"/>
              </w:rPr>
            </w:pPr>
          </w:p>
        </w:tc>
        <w:tc>
          <w:tcPr>
            <w:tcW w:w="160" w:type="dxa"/>
            <w:vAlign w:val="bottom"/>
            <w:tcBorders>
              <w:top w:val="single" w:sz="8" w:color="B6B6B6"/>
            </w:tcBorders>
          </w:tcPr>
          <w:p>
            <w:pPr>
              <w:spacing w:after="0"/>
              <w:rPr>
                <w:sz w:val="21"/>
                <w:szCs w:val="21"/>
                <w:color w:val="auto"/>
              </w:rPr>
            </w:pPr>
          </w:p>
        </w:tc>
        <w:tc>
          <w:tcPr>
            <w:tcW w:w="1320" w:type="dxa"/>
            <w:vAlign w:val="bottom"/>
            <w:tcBorders>
              <w:top w:val="single" w:sz="8" w:color="B6B6B6"/>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407,169</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251,230</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627,491</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716,686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Borders>
              <w:bottom w:val="single" w:sz="8" w:color="auto"/>
            </w:tcBorders>
            <w:shd w:val="clear" w:color="auto" w:fill="B6B6B6"/>
          </w:tcPr>
          <w:p>
            <w:pPr>
              <w:spacing w:after="0"/>
              <w:rPr>
                <w:sz w:val="21"/>
                <w:szCs w:val="21"/>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1,034,660</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967,916</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1,129,610</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45,142</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46,211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160" w:type="dxa"/>
            <w:vAlign w:val="bottom"/>
          </w:tcPr>
          <w:p>
            <w:pPr>
              <w:spacing w:after="0"/>
              <w:rPr>
                <w:sz w:val="22"/>
                <w:szCs w:val="22"/>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top w:val="single" w:sz="8" w:color="B6B6B6"/>
            </w:tcBorders>
            <w:gridSpan w:val="3"/>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B6B6B6"/>
          </w:tcPr>
          <w:p>
            <w:pPr>
              <w:spacing w:after="0"/>
              <w:rPr>
                <w:sz w:val="21"/>
                <w:szCs w:val="21"/>
                <w:color w:val="auto"/>
              </w:rPr>
            </w:pPr>
          </w:p>
        </w:tc>
        <w:tc>
          <w:tcPr>
            <w:tcW w:w="136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2,210,173</w:t>
            </w:r>
          </w:p>
        </w:tc>
        <w:tc>
          <w:tcPr>
            <w:tcW w:w="100" w:type="dxa"/>
            <w:vAlign w:val="bottom"/>
            <w:tcBorders>
              <w:top w:val="single" w:sz="8" w:color="B6B6B6"/>
            </w:tcBorders>
            <w:shd w:val="clear" w:color="auto" w:fill="B6B6B6"/>
          </w:tcPr>
          <w:p>
            <w:pPr>
              <w:spacing w:after="0"/>
              <w:rPr>
                <w:sz w:val="21"/>
                <w:szCs w:val="21"/>
                <w:color w:val="auto"/>
              </w:rPr>
            </w:pPr>
          </w:p>
        </w:tc>
        <w:tc>
          <w:tcPr>
            <w:tcW w:w="160" w:type="dxa"/>
            <w:vAlign w:val="bottom"/>
            <w:tcBorders>
              <w:top w:val="single" w:sz="8" w:color="auto"/>
              <w:bottom w:val="single" w:sz="8" w:color="auto"/>
            </w:tcBorders>
            <w:shd w:val="clear" w:color="auto" w:fill="B6B6B6"/>
          </w:tcPr>
          <w:p>
            <w:pPr>
              <w:spacing w:after="0"/>
              <w:rPr>
                <w:sz w:val="21"/>
                <w:szCs w:val="21"/>
                <w:color w:val="auto"/>
              </w:rPr>
            </w:pPr>
          </w:p>
        </w:tc>
        <w:tc>
          <w:tcPr>
            <w:tcW w:w="132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2,166,051</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8080" w:type="dxa"/>
            <w:vAlign w:val="bottom"/>
            <w:gridSpan w:val="3"/>
            <w:shd w:val="clear" w:color="auto" w:fill="B6B6B6"/>
          </w:tcPr>
          <w:p>
            <w:pPr>
              <w:spacing w:after="0" w:line="202" w:lineRule="exact"/>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B6B6B6"/>
          </w:tcPr>
          <w:p>
            <w:pPr>
              <w:spacing w:after="0"/>
              <w:rPr>
                <w:sz w:val="17"/>
                <w:szCs w:val="17"/>
                <w:color w:val="auto"/>
              </w:rPr>
            </w:pPr>
          </w:p>
        </w:tc>
        <w:tc>
          <w:tcPr>
            <w:tcW w:w="136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80" w:type="dxa"/>
            <w:vAlign w:val="bottom"/>
            <w:tcBorders>
              <w:top w:val="single" w:sz="8" w:color="auto"/>
            </w:tcBorders>
            <w:shd w:val="clear" w:color="auto" w:fill="B6B6B6"/>
          </w:tcPr>
          <w:p>
            <w:pPr>
              <w:spacing w:after="0"/>
              <w:rPr>
                <w:sz w:val="2"/>
                <w:szCs w:val="2"/>
                <w:color w:val="auto"/>
              </w:rPr>
            </w:pPr>
          </w:p>
        </w:tc>
        <w:tc>
          <w:tcPr>
            <w:tcW w:w="800" w:type="dxa"/>
            <w:vAlign w:val="bottom"/>
            <w:tcBorders>
              <w:top w:val="single" w:sz="8" w:color="auto"/>
            </w:tcBorders>
            <w:shd w:val="clear" w:color="auto" w:fill="B6B6B6"/>
          </w:tcPr>
          <w:p>
            <w:pPr>
              <w:spacing w:after="0"/>
              <w:rPr>
                <w:sz w:val="2"/>
                <w:szCs w:val="2"/>
                <w:color w:val="auto"/>
              </w:rPr>
            </w:pPr>
          </w:p>
        </w:tc>
        <w:tc>
          <w:tcPr>
            <w:tcW w:w="6500" w:type="dxa"/>
            <w:vAlign w:val="bottom"/>
            <w:tcBorders>
              <w:top w:val="single" w:sz="8" w:color="B6B6B6"/>
            </w:tcBorders>
            <w:shd w:val="clear" w:color="auto" w:fill="B6B6B6"/>
          </w:tcPr>
          <w:p>
            <w:pPr>
              <w:spacing w:after="0"/>
              <w:rPr>
                <w:sz w:val="2"/>
                <w:szCs w:val="2"/>
                <w:color w:val="auto"/>
              </w:rPr>
            </w:pPr>
          </w:p>
        </w:tc>
        <w:tc>
          <w:tcPr>
            <w:tcW w:w="160" w:type="dxa"/>
            <w:vAlign w:val="bottom"/>
            <w:tcBorders>
              <w:top w:val="single" w:sz="8" w:color="B6B6B6"/>
            </w:tcBorders>
            <w:shd w:val="clear" w:color="auto" w:fill="B6B6B6"/>
          </w:tcPr>
          <w:p>
            <w:pPr>
              <w:spacing w:after="0"/>
              <w:rPr>
                <w:sz w:val="2"/>
                <w:szCs w:val="2"/>
                <w:color w:val="auto"/>
              </w:rPr>
            </w:pPr>
          </w:p>
        </w:tc>
        <w:tc>
          <w:tcPr>
            <w:tcW w:w="1360" w:type="dxa"/>
            <w:vAlign w:val="bottom"/>
            <w:tcBorders>
              <w:top w:val="single" w:sz="8" w:color="B6B6B6"/>
            </w:tcBorders>
            <w:shd w:val="clear" w:color="auto" w:fill="B6B6B6"/>
          </w:tcPr>
          <w:p>
            <w:pPr>
              <w:spacing w:after="0"/>
              <w:rPr>
                <w:sz w:val="2"/>
                <w:szCs w:val="2"/>
                <w:color w:val="auto"/>
              </w:rPr>
            </w:pPr>
          </w:p>
        </w:tc>
        <w:tc>
          <w:tcPr>
            <w:tcW w:w="100" w:type="dxa"/>
            <w:vAlign w:val="bottom"/>
            <w:tcBorders>
              <w:top w:val="single" w:sz="8" w:color="B6B6B6"/>
            </w:tcBorders>
            <w:shd w:val="clear" w:color="auto" w:fill="B6B6B6"/>
          </w:tcPr>
          <w:p>
            <w:pPr>
              <w:spacing w:after="0"/>
              <w:rPr>
                <w:sz w:val="2"/>
                <w:szCs w:val="2"/>
                <w:color w:val="auto"/>
              </w:rPr>
            </w:pPr>
          </w:p>
        </w:tc>
        <w:tc>
          <w:tcPr>
            <w:tcW w:w="160" w:type="dxa"/>
            <w:vAlign w:val="bottom"/>
            <w:tcBorders>
              <w:top w:val="single" w:sz="8" w:color="B6B6B6"/>
            </w:tcBorders>
            <w:shd w:val="clear" w:color="auto" w:fill="B6B6B6"/>
          </w:tcPr>
          <w:p>
            <w:pPr>
              <w:spacing w:after="0"/>
              <w:rPr>
                <w:sz w:val="2"/>
                <w:szCs w:val="2"/>
                <w:color w:val="auto"/>
              </w:rPr>
            </w:pPr>
          </w:p>
        </w:tc>
        <w:tc>
          <w:tcPr>
            <w:tcW w:w="1320" w:type="dxa"/>
            <w:vAlign w:val="bottom"/>
            <w:tcBorders>
              <w:top w:val="single" w:sz="8" w:color="B6B6B6"/>
            </w:tcBorders>
            <w:shd w:val="clear" w:color="auto" w:fill="B6B6B6"/>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Preferred stock, par value $.50 per share; 2,000,000 shares authorized and no shares issued</w:t>
            </w:r>
          </w:p>
        </w:tc>
        <w:tc>
          <w:tcPr>
            <w:tcW w:w="1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Common stock, par value $.50 per share; 40,000,000 shares authorized and 15,505,772 shares issued at</w:t>
            </w:r>
          </w:p>
        </w:tc>
        <w:tc>
          <w:tcPr>
            <w:tcW w:w="160" w:type="dxa"/>
            <w:vAlign w:val="bottom"/>
            <w:shd w:val="clear" w:color="auto" w:fill="B6B6B6"/>
          </w:tcPr>
          <w:p>
            <w:pPr>
              <w:spacing w:after="0"/>
              <w:rPr>
                <w:sz w:val="20"/>
                <w:szCs w:val="20"/>
                <w:color w:val="auto"/>
              </w:rPr>
            </w:pPr>
          </w:p>
        </w:tc>
        <w:tc>
          <w:tcPr>
            <w:tcW w:w="1360" w:type="dxa"/>
            <w:vAlign w:val="bottom"/>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160" w:type="dxa"/>
            <w:vAlign w:val="bottom"/>
            <w:shd w:val="clear" w:color="auto" w:fill="B6B6B6"/>
          </w:tcPr>
          <w:p>
            <w:pPr>
              <w:spacing w:after="0"/>
              <w:rPr>
                <w:sz w:val="20"/>
                <w:szCs w:val="20"/>
                <w:color w:val="auto"/>
              </w:rPr>
            </w:pPr>
          </w:p>
        </w:tc>
        <w:tc>
          <w:tcPr>
            <w:tcW w:w="132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080" w:type="dxa"/>
            <w:vAlign w:val="bottom"/>
            <w:gridSpan w:val="3"/>
            <w:shd w:val="clear" w:color="auto" w:fill="B6B6B6"/>
          </w:tcPr>
          <w:p>
            <w:pPr>
              <w:ind w:left="160"/>
              <w:spacing w:after="0" w:line="202" w:lineRule="exact"/>
              <w:rPr>
                <w:sz w:val="20"/>
                <w:szCs w:val="20"/>
                <w:color w:val="auto"/>
              </w:rPr>
            </w:pPr>
            <w:r>
              <w:rPr>
                <w:rFonts w:ascii="Times New Roman" w:cs="Times New Roman" w:eastAsia="Times New Roman" w:hAnsi="Times New Roman"/>
                <w:sz w:val="18"/>
                <w:szCs w:val="18"/>
                <w:color w:val="auto"/>
              </w:rPr>
              <w:t>September 30, 2025 and December 31, 2024; 13,120,318 and 13,504,104 shares outstanding at</w:t>
            </w:r>
          </w:p>
        </w:tc>
        <w:tc>
          <w:tcPr>
            <w:tcW w:w="160" w:type="dxa"/>
            <w:vAlign w:val="bottom"/>
            <w:shd w:val="clear" w:color="auto" w:fill="B6B6B6"/>
          </w:tcPr>
          <w:p>
            <w:pPr>
              <w:spacing w:after="0"/>
              <w:rPr>
                <w:sz w:val="17"/>
                <w:szCs w:val="17"/>
                <w:color w:val="auto"/>
              </w:rPr>
            </w:pPr>
          </w:p>
        </w:tc>
        <w:tc>
          <w:tcPr>
            <w:tcW w:w="136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160" w:type="dxa"/>
            <w:vAlign w:val="bottom"/>
            <w:shd w:val="clear" w:color="auto" w:fill="B6B6B6"/>
          </w:tcPr>
          <w:p>
            <w:pPr>
              <w:spacing w:after="0"/>
              <w:rPr>
                <w:sz w:val="17"/>
                <w:szCs w:val="17"/>
                <w:color w:val="auto"/>
              </w:rPr>
            </w:pPr>
          </w:p>
        </w:tc>
        <w:tc>
          <w:tcPr>
            <w:tcW w:w="132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080" w:type="dxa"/>
            <w:vAlign w:val="bottom"/>
            <w:gridSpan w:val="3"/>
            <w:shd w:val="clear" w:color="auto" w:fill="B6B6B6"/>
          </w:tcPr>
          <w:p>
            <w:pPr>
              <w:ind w:left="160"/>
              <w:spacing w:after="0"/>
              <w:rPr>
                <w:sz w:val="20"/>
                <w:szCs w:val="20"/>
                <w:color w:val="auto"/>
              </w:rPr>
            </w:pPr>
            <w:r>
              <w:rPr>
                <w:rFonts w:ascii="Times New Roman" w:cs="Times New Roman" w:eastAsia="Times New Roman" w:hAnsi="Times New Roman"/>
                <w:sz w:val="18"/>
                <w:szCs w:val="18"/>
                <w:color w:val="auto"/>
              </w:rPr>
              <w:t>September 30, 2025 and December 31, 2024, respectively.</w:t>
            </w:r>
          </w:p>
        </w:tc>
        <w:tc>
          <w:tcPr>
            <w:tcW w:w="160" w:type="dxa"/>
            <w:vAlign w:val="bottom"/>
            <w:shd w:val="clear" w:color="auto" w:fill="B6B6B6"/>
          </w:tcPr>
          <w:p>
            <w:pPr>
              <w:spacing w:after="0"/>
              <w:rPr>
                <w:sz w:val="21"/>
                <w:szCs w:val="21"/>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B6B6B6"/>
          </w:tcPr>
          <w:p>
            <w:pPr>
              <w:spacing w:after="0"/>
              <w:rPr>
                <w:sz w:val="22"/>
                <w:szCs w:val="22"/>
                <w:color w:val="auto"/>
              </w:rPr>
            </w:pPr>
          </w:p>
        </w:tc>
        <w:tc>
          <w:tcPr>
            <w:tcW w:w="1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163,038</w:t>
            </w:r>
          </w:p>
        </w:tc>
        <w:tc>
          <w:tcPr>
            <w:tcW w:w="100" w:type="dxa"/>
            <w:vAlign w:val="bottom"/>
            <w:shd w:val="clear" w:color="auto" w:fill="B6B6B6"/>
          </w:tcPr>
          <w:p>
            <w:pPr>
              <w:spacing w:after="0"/>
              <w:rPr>
                <w:sz w:val="22"/>
                <w:szCs w:val="22"/>
                <w:color w:val="auto"/>
              </w:rPr>
            </w:pPr>
          </w:p>
        </w:tc>
        <w:tc>
          <w:tcPr>
            <w:tcW w:w="16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148,487</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8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Common shares in treasury, at cost (2,385,454 shares at September 30, 2025 and 2,001,668 shares at</w:t>
            </w:r>
          </w:p>
        </w:tc>
        <w:tc>
          <w:tcPr>
            <w:tcW w:w="160" w:type="dxa"/>
            <w:vAlign w:val="bottom"/>
          </w:tcPr>
          <w:p>
            <w:pPr>
              <w:spacing w:after="0"/>
              <w:rPr>
                <w:sz w:val="19"/>
                <w:szCs w:val="19"/>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(103,835)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 2024)</w:t>
            </w:r>
          </w:p>
        </w:tc>
        <w:tc>
          <w:tcPr>
            <w:tcW w:w="16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gridSpan w:val="3"/>
            <w:shd w:val="clear" w:color="auto" w:fill="B6B6B6"/>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B6B6B6"/>
          </w:tcPr>
          <w:p>
            <w:pPr>
              <w:spacing w:after="0"/>
              <w:rPr>
                <w:sz w:val="21"/>
                <w:szCs w:val="21"/>
                <w:color w:val="auto"/>
              </w:rPr>
            </w:pP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(29,432)</w:t>
            </w:r>
          </w:p>
        </w:tc>
        <w:tc>
          <w:tcPr>
            <w:tcW w:w="100" w:type="dxa"/>
            <w:vAlign w:val="bottom"/>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spacing w:after="0"/>
              <w:rPr>
                <w:sz w:val="21"/>
                <w:szCs w:val="21"/>
                <w:color w:val="auto"/>
              </w:rPr>
            </w:pP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080" w:type="dxa"/>
            <w:vAlign w:val="bottom"/>
            <w:tcBorders>
              <w:bottom w:val="single" w:sz="8" w:color="B6B6B6"/>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243,449</w:t>
            </w:r>
          </w:p>
        </w:tc>
        <w:tc>
          <w:tcPr>
            <w:tcW w:w="100" w:type="dxa"/>
            <w:vAlign w:val="bottom"/>
            <w:tcBorders>
              <w:bottom w:val="single" w:sz="8" w:color="B6B6B6"/>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229,030</w:t>
            </w: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8080" w:type="dxa"/>
            <w:vAlign w:val="bottom"/>
            <w:tcBorders>
              <w:bottom w:val="single" w:sz="8" w:color="B6B6B6"/>
            </w:tcBorders>
            <w:gridSpan w:val="3"/>
            <w:shd w:val="clear" w:color="auto" w:fill="B6B6B6"/>
          </w:tcPr>
          <w:p>
            <w:pPr>
              <w:ind w:left="5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2,453,622</w:t>
            </w:r>
          </w:p>
        </w:tc>
        <w:tc>
          <w:tcPr>
            <w:tcW w:w="100" w:type="dxa"/>
            <w:vAlign w:val="bottom"/>
            <w:tcBorders>
              <w:bottom w:val="single" w:sz="8" w:color="B6B6B6"/>
            </w:tcBorders>
            <w:shd w:val="clear" w:color="auto" w:fill="B6B6B6"/>
          </w:tcPr>
          <w:p>
            <w:pPr>
              <w:spacing w:after="0"/>
              <w:rPr>
                <w:sz w:val="24"/>
                <w:szCs w:val="24"/>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2,395,081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Borders>
              <w:top w:val="single" w:sz="8" w:color="B6B6B6"/>
            </w:tcBorders>
          </w:tcPr>
          <w:p>
            <w:pPr>
              <w:spacing w:after="0" w:line="20" w:lineRule="exact"/>
              <w:rPr>
                <w:sz w:val="1"/>
                <w:szCs w:val="1"/>
                <w:color w:val="auto"/>
              </w:rPr>
            </w:pPr>
          </w:p>
        </w:tc>
        <w:tc>
          <w:tcPr>
            <w:tcW w:w="800" w:type="dxa"/>
            <w:vAlign w:val="bottom"/>
            <w:tcBorders>
              <w:top w:val="single" w:sz="8" w:color="B6B6B6"/>
            </w:tcBorders>
          </w:tcPr>
          <w:p>
            <w:pPr>
              <w:spacing w:after="0" w:line="20" w:lineRule="exact"/>
              <w:rPr>
                <w:sz w:val="1"/>
                <w:szCs w:val="1"/>
                <w:color w:val="auto"/>
              </w:rPr>
            </w:pPr>
          </w:p>
        </w:tc>
        <w:tc>
          <w:tcPr>
            <w:tcW w:w="65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32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2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shd w:val="clear" w:color="auto" w:fill="B6B6B6"/>
          </w:tcPr>
          <w:p>
            <w:pPr>
              <w:spacing w:after="0"/>
              <w:rPr>
                <w:sz w:val="16"/>
                <w:szCs w:val="16"/>
                <w:color w:val="auto"/>
              </w:rPr>
            </w:pPr>
          </w:p>
        </w:tc>
        <w:tc>
          <w:tcPr>
            <w:tcW w:w="260" w:type="dxa"/>
            <w:vAlign w:val="bottom"/>
            <w:shd w:val="clear" w:color="auto" w:fill="B6B6B6"/>
          </w:tcPr>
          <w:p>
            <w:pPr>
              <w:spacing w:after="0"/>
              <w:rPr>
                <w:sz w:val="16"/>
                <w:szCs w:val="16"/>
                <w:color w:val="auto"/>
              </w:rPr>
            </w:pPr>
          </w:p>
        </w:tc>
        <w:tc>
          <w:tcPr>
            <w:tcW w:w="2240" w:type="dxa"/>
            <w:vAlign w:val="bottom"/>
            <w:gridSpan w:val="5"/>
            <w:shd w:val="clear" w:color="auto" w:fill="B6B6B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shd w:val="clear" w:color="auto" w:fill="B6B6B6"/>
          </w:tcPr>
          <w:p>
            <w:pPr>
              <w:spacing w:after="0"/>
              <w:rPr>
                <w:sz w:val="16"/>
                <w:szCs w:val="16"/>
                <w:color w:val="auto"/>
              </w:rPr>
            </w:pPr>
          </w:p>
        </w:tc>
        <w:tc>
          <w:tcPr>
            <w:tcW w:w="2140" w:type="dxa"/>
            <w:vAlign w:val="bottom"/>
            <w:gridSpan w:val="4"/>
            <w:shd w:val="clear" w:color="auto" w:fill="B6B6B6"/>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636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2240" w:type="dxa"/>
            <w:vAlign w:val="bottom"/>
            <w:gridSpan w:val="5"/>
            <w:shd w:val="clear" w:color="auto" w:fill="B6B6B6"/>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40" w:type="dxa"/>
            <w:vAlign w:val="bottom"/>
            <w:shd w:val="clear" w:color="auto" w:fill="B6B6B6"/>
          </w:tcPr>
          <w:p>
            <w:pPr>
              <w:spacing w:after="0"/>
              <w:rPr>
                <w:sz w:val="18"/>
                <w:szCs w:val="18"/>
                <w:color w:val="auto"/>
              </w:rPr>
            </w:pPr>
          </w:p>
        </w:tc>
        <w:tc>
          <w:tcPr>
            <w:tcW w:w="2140" w:type="dxa"/>
            <w:vAlign w:val="bottom"/>
            <w:gridSpan w:val="4"/>
            <w:shd w:val="clear" w:color="auto" w:fill="B6B6B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8"/>
        </w:trPr>
        <w:tc>
          <w:tcPr>
            <w:tcW w:w="6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6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Fee Revenue and Other Income:</w:t>
            </w: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80" w:type="dxa"/>
            <w:vAlign w:val="bottom"/>
            <w:tcBorders>
              <w:bottom w:val="single" w:sz="8" w:color="B6B6B6"/>
            </w:tcBorders>
            <w:shd w:val="clear" w:color="auto" w:fill="B6B6B6"/>
          </w:tcPr>
          <w:p>
            <w:pPr>
              <w:spacing w:after="0"/>
              <w:rPr>
                <w:sz w:val="18"/>
                <w:szCs w:val="18"/>
                <w:color w:val="auto"/>
              </w:rPr>
            </w:pP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spacing w:after="0"/>
              <w:rPr>
                <w:sz w:val="18"/>
                <w:szCs w:val="18"/>
                <w:color w:val="auto"/>
              </w:rPr>
            </w:pP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Processing fees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16,655</w:t>
            </w:r>
          </w:p>
        </w:tc>
        <w:tc>
          <w:tcPr>
            <w:tcW w:w="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16,686</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50,206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50,361</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Financial fees</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10,416</w:t>
            </w:r>
          </w:p>
        </w:tc>
        <w:tc>
          <w:tcPr>
            <w:tcW w:w="80" w:type="dxa"/>
            <w:vAlign w:val="bottom"/>
            <w:tcBorders>
              <w:bottom w:val="single" w:sz="8" w:color="B6B6B6"/>
            </w:tcBorders>
            <w:shd w:val="clear" w:color="auto" w:fill="B6B6B6"/>
          </w:tcPr>
          <w:p>
            <w:pPr>
              <w:spacing w:after="0"/>
              <w:rPr>
                <w:sz w:val="19"/>
                <w:szCs w:val="19"/>
                <w:color w:val="auto"/>
              </w:rPr>
            </w:pP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11,017</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30,538</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32,075</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(loss) on sale of investment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80" w:type="dxa"/>
            <w:vAlign w:val="bottom"/>
            <w:tcBorders>
              <w:bottom w:val="single" w:sz="8" w:color="B6B6B6"/>
            </w:tcBorders>
            <w:shd w:val="clear" w:color="auto" w:fill="B6B6B6"/>
          </w:tcPr>
          <w:p>
            <w:pPr>
              <w:spacing w:after="0"/>
              <w:rPr>
                <w:sz w:val="21"/>
                <w:szCs w:val="21"/>
                <w:color w:val="auto"/>
              </w:rPr>
            </w:pP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4,657</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3,512</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fee revenue and other income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28,843</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28,763</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81,829</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85,935</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88"/>
        </w:trPr>
        <w:tc>
          <w:tcPr>
            <w:tcW w:w="6360" w:type="dxa"/>
            <w:vAlign w:val="bottom"/>
            <w:shd w:val="clear" w:color="auto" w:fill="B6B6B6"/>
          </w:tcPr>
          <w:p>
            <w:pPr>
              <w:spacing w:after="0"/>
              <w:rPr>
                <w:sz w:val="7"/>
                <w:szCs w:val="7"/>
                <w:color w:val="auto"/>
              </w:rPr>
            </w:pPr>
          </w:p>
        </w:tc>
        <w:tc>
          <w:tcPr>
            <w:tcW w:w="260" w:type="dxa"/>
            <w:vAlign w:val="bottom"/>
            <w:shd w:val="clear" w:color="auto" w:fill="B6B6B6"/>
          </w:tcPr>
          <w:p>
            <w:pPr>
              <w:spacing w:after="0"/>
              <w:rPr>
                <w:sz w:val="7"/>
                <w:szCs w:val="7"/>
                <w:color w:val="auto"/>
              </w:rPr>
            </w:pPr>
          </w:p>
        </w:tc>
        <w:tc>
          <w:tcPr>
            <w:tcW w:w="900" w:type="dxa"/>
            <w:vAlign w:val="bottom"/>
            <w:shd w:val="clear" w:color="auto" w:fill="B6B6B6"/>
          </w:tcPr>
          <w:p>
            <w:pPr>
              <w:spacing w:after="0"/>
              <w:rPr>
                <w:sz w:val="7"/>
                <w:szCs w:val="7"/>
                <w:color w:val="auto"/>
              </w:rPr>
            </w:pPr>
          </w:p>
        </w:tc>
        <w:tc>
          <w:tcPr>
            <w:tcW w:w="80" w:type="dxa"/>
            <w:vAlign w:val="bottom"/>
            <w:shd w:val="clear" w:color="auto" w:fill="B6B6B6"/>
          </w:tcPr>
          <w:p>
            <w:pPr>
              <w:spacing w:after="0"/>
              <w:rPr>
                <w:sz w:val="7"/>
                <w:szCs w:val="7"/>
                <w:color w:val="auto"/>
              </w:rPr>
            </w:pPr>
          </w:p>
        </w:tc>
        <w:tc>
          <w:tcPr>
            <w:tcW w:w="260" w:type="dxa"/>
            <w:vAlign w:val="bottom"/>
            <w:shd w:val="clear" w:color="auto" w:fill="B6B6B6"/>
          </w:tcPr>
          <w:p>
            <w:pPr>
              <w:spacing w:after="0"/>
              <w:rPr>
                <w:sz w:val="7"/>
                <w:szCs w:val="7"/>
                <w:color w:val="auto"/>
              </w:rPr>
            </w:pPr>
          </w:p>
        </w:tc>
        <w:tc>
          <w:tcPr>
            <w:tcW w:w="900" w:type="dxa"/>
            <w:vAlign w:val="bottom"/>
            <w:shd w:val="clear" w:color="auto" w:fill="B6B6B6"/>
          </w:tcPr>
          <w:p>
            <w:pPr>
              <w:spacing w:after="0"/>
              <w:rPr>
                <w:sz w:val="7"/>
                <w:szCs w:val="7"/>
                <w:color w:val="auto"/>
              </w:rPr>
            </w:pPr>
          </w:p>
        </w:tc>
        <w:tc>
          <w:tcPr>
            <w:tcW w:w="100" w:type="dxa"/>
            <w:vAlign w:val="bottom"/>
            <w:shd w:val="clear" w:color="auto" w:fill="B6B6B6"/>
          </w:tcPr>
          <w:p>
            <w:pPr>
              <w:spacing w:after="0"/>
              <w:rPr>
                <w:sz w:val="7"/>
                <w:szCs w:val="7"/>
                <w:color w:val="auto"/>
              </w:rPr>
            </w:pPr>
          </w:p>
        </w:tc>
        <w:tc>
          <w:tcPr>
            <w:tcW w:w="240" w:type="dxa"/>
            <w:vAlign w:val="bottom"/>
            <w:shd w:val="clear" w:color="auto" w:fill="B6B6B6"/>
          </w:tcPr>
          <w:p>
            <w:pPr>
              <w:spacing w:after="0"/>
              <w:rPr>
                <w:sz w:val="7"/>
                <w:szCs w:val="7"/>
                <w:color w:val="auto"/>
              </w:rPr>
            </w:pPr>
          </w:p>
        </w:tc>
        <w:tc>
          <w:tcPr>
            <w:tcW w:w="900" w:type="dxa"/>
            <w:vAlign w:val="bottom"/>
            <w:shd w:val="clear" w:color="auto" w:fill="B6B6B6"/>
          </w:tcPr>
          <w:p>
            <w:pPr>
              <w:spacing w:after="0"/>
              <w:rPr>
                <w:sz w:val="7"/>
                <w:szCs w:val="7"/>
                <w:color w:val="auto"/>
              </w:rPr>
            </w:pPr>
          </w:p>
        </w:tc>
        <w:tc>
          <w:tcPr>
            <w:tcW w:w="100" w:type="dxa"/>
            <w:vAlign w:val="bottom"/>
            <w:shd w:val="clear" w:color="auto" w:fill="B6B6B6"/>
          </w:tcPr>
          <w:p>
            <w:pPr>
              <w:spacing w:after="0"/>
              <w:rPr>
                <w:sz w:val="7"/>
                <w:szCs w:val="7"/>
                <w:color w:val="auto"/>
              </w:rPr>
            </w:pPr>
          </w:p>
        </w:tc>
        <w:tc>
          <w:tcPr>
            <w:tcW w:w="240" w:type="dxa"/>
            <w:vAlign w:val="bottom"/>
            <w:shd w:val="clear" w:color="auto" w:fill="B6B6B6"/>
          </w:tcPr>
          <w:p>
            <w:pPr>
              <w:spacing w:after="0"/>
              <w:rPr>
                <w:sz w:val="7"/>
                <w:szCs w:val="7"/>
                <w:color w:val="auto"/>
              </w:rPr>
            </w:pPr>
          </w:p>
        </w:tc>
        <w:tc>
          <w:tcPr>
            <w:tcW w:w="900" w:type="dxa"/>
            <w:vAlign w:val="bottom"/>
            <w:shd w:val="clear" w:color="auto" w:fill="B6B6B6"/>
          </w:tcPr>
          <w:p>
            <w:pPr>
              <w:spacing w:after="0"/>
              <w:rPr>
                <w:sz w:val="7"/>
                <w:szCs w:val="7"/>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1"/>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Interest and fees on loans</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15,632</w:t>
            </w:r>
          </w:p>
        </w:tc>
        <w:tc>
          <w:tcPr>
            <w:tcW w:w="80" w:type="dxa"/>
            <w:vAlign w:val="bottom"/>
            <w:tcBorders>
              <w:bottom w:val="single" w:sz="8" w:color="B6B6B6"/>
            </w:tcBorders>
            <w:shd w:val="clear" w:color="auto" w:fill="B6B6B6"/>
          </w:tcPr>
          <w:p>
            <w:pPr>
              <w:spacing w:after="0"/>
              <w:rPr>
                <w:sz w:val="19"/>
                <w:szCs w:val="19"/>
                <w:color w:val="auto"/>
              </w:rPr>
            </w:pP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14,567</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46,819</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40,935</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dividends on investment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Taxable</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80" w:type="dxa"/>
            <w:vAlign w:val="bottom"/>
            <w:tcBorders>
              <w:bottom w:val="single" w:sz="8" w:color="B6B6B6"/>
            </w:tcBorders>
            <w:shd w:val="clear" w:color="auto" w:fill="B6B6B6"/>
          </w:tcPr>
          <w:p>
            <w:pPr>
              <w:spacing w:after="0"/>
              <w:rPr>
                <w:sz w:val="19"/>
                <w:szCs w:val="19"/>
                <w:color w:val="auto"/>
              </w:rPr>
            </w:pP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11,996</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10,117</w:t>
            </w:r>
          </w:p>
        </w:tc>
      </w:tr>
      <w:tr>
        <w:trPr>
          <w:trHeight w:val="210"/>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Exempt from federal income taxes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Interest on federal funds sold and other short-term investments</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3,860</w:t>
            </w:r>
          </w:p>
        </w:tc>
        <w:tc>
          <w:tcPr>
            <w:tcW w:w="80" w:type="dxa"/>
            <w:vAlign w:val="bottom"/>
            <w:tcBorders>
              <w:bottom w:val="single" w:sz="8" w:color="B6B6B6"/>
            </w:tcBorders>
            <w:shd w:val="clear" w:color="auto" w:fill="B6B6B6"/>
          </w:tcPr>
          <w:p>
            <w:pPr>
              <w:spacing w:after="0"/>
              <w:rPr>
                <w:sz w:val="21"/>
                <w:szCs w:val="21"/>
                <w:color w:val="auto"/>
              </w:rPr>
            </w:pP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10,755</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11,908</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interest income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25,171</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22,774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72,199</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65,669</w:t>
            </w:r>
          </w:p>
        </w:tc>
      </w:tr>
      <w:tr>
        <w:trPr>
          <w:trHeight w:val="72"/>
        </w:trPr>
        <w:tc>
          <w:tcPr>
            <w:tcW w:w="6360" w:type="dxa"/>
            <w:vAlign w:val="bottom"/>
            <w:tcBorders>
              <w:bottom w:val="single" w:sz="8" w:color="B6B6B6"/>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B6B6B6"/>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B6B6B6"/>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B6B6B6"/>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12"/>
        </w:trPr>
        <w:tc>
          <w:tcPr>
            <w:tcW w:w="636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60" w:type="dxa"/>
            <w:vAlign w:val="bottom"/>
            <w:tcBorders>
              <w:top w:val="single" w:sz="8" w:color="B6B6B6"/>
            </w:tcBorders>
          </w:tcPr>
          <w:p>
            <w:pPr>
              <w:spacing w:after="0"/>
              <w:rPr>
                <w:sz w:val="18"/>
                <w:szCs w:val="18"/>
                <w:color w:val="auto"/>
              </w:rPr>
            </w:pPr>
          </w:p>
        </w:tc>
        <w:tc>
          <w:tcPr>
            <w:tcW w:w="900" w:type="dxa"/>
            <w:vAlign w:val="bottom"/>
            <w:tcBorders>
              <w:top w:val="single" w:sz="8" w:color="B6B6B6"/>
            </w:tcBorders>
          </w:tcPr>
          <w:p>
            <w:pPr>
              <w:spacing w:after="0"/>
              <w:rPr>
                <w:sz w:val="18"/>
                <w:szCs w:val="18"/>
                <w:color w:val="auto"/>
              </w:rPr>
            </w:pPr>
          </w:p>
        </w:tc>
        <w:tc>
          <w:tcPr>
            <w:tcW w:w="80" w:type="dxa"/>
            <w:vAlign w:val="bottom"/>
            <w:tcBorders>
              <w:top w:val="single" w:sz="8" w:color="B6B6B6"/>
            </w:tcBorders>
          </w:tcPr>
          <w:p>
            <w:pPr>
              <w:spacing w:after="0"/>
              <w:rPr>
                <w:sz w:val="18"/>
                <w:szCs w:val="18"/>
                <w:color w:val="auto"/>
              </w:rPr>
            </w:pPr>
          </w:p>
        </w:tc>
        <w:tc>
          <w:tcPr>
            <w:tcW w:w="260" w:type="dxa"/>
            <w:vAlign w:val="bottom"/>
            <w:tcBorders>
              <w:top w:val="single" w:sz="8" w:color="B6B6B6"/>
            </w:tcBorders>
          </w:tcPr>
          <w:p>
            <w:pPr>
              <w:spacing w:after="0"/>
              <w:rPr>
                <w:sz w:val="18"/>
                <w:szCs w:val="18"/>
                <w:color w:val="auto"/>
              </w:rPr>
            </w:pPr>
          </w:p>
        </w:tc>
        <w:tc>
          <w:tcPr>
            <w:tcW w:w="900" w:type="dxa"/>
            <w:vAlign w:val="bottom"/>
            <w:tcBorders>
              <w:top w:val="single" w:sz="8" w:color="B6B6B6"/>
            </w:tcBorders>
          </w:tcPr>
          <w:p>
            <w:pPr>
              <w:spacing w:after="0"/>
              <w:rPr>
                <w:sz w:val="18"/>
                <w:szCs w:val="18"/>
                <w:color w:val="auto"/>
              </w:rPr>
            </w:pPr>
          </w:p>
        </w:tc>
        <w:tc>
          <w:tcPr>
            <w:tcW w:w="100" w:type="dxa"/>
            <w:vAlign w:val="bottom"/>
            <w:tcBorders>
              <w:top w:val="single" w:sz="8" w:color="B6B6B6"/>
            </w:tcBorders>
          </w:tcPr>
          <w:p>
            <w:pPr>
              <w:spacing w:after="0"/>
              <w:rPr>
                <w:sz w:val="18"/>
                <w:szCs w:val="18"/>
                <w:color w:val="auto"/>
              </w:rPr>
            </w:pPr>
          </w:p>
        </w:tc>
        <w:tc>
          <w:tcPr>
            <w:tcW w:w="240" w:type="dxa"/>
            <w:vAlign w:val="bottom"/>
            <w:tcBorders>
              <w:top w:val="single" w:sz="8" w:color="B6B6B6"/>
            </w:tcBorders>
          </w:tcPr>
          <w:p>
            <w:pPr>
              <w:spacing w:after="0"/>
              <w:rPr>
                <w:sz w:val="18"/>
                <w:szCs w:val="18"/>
                <w:color w:val="auto"/>
              </w:rPr>
            </w:pPr>
          </w:p>
        </w:tc>
        <w:tc>
          <w:tcPr>
            <w:tcW w:w="900" w:type="dxa"/>
            <w:vAlign w:val="bottom"/>
            <w:tcBorders>
              <w:top w:val="single" w:sz="8" w:color="B6B6B6"/>
            </w:tcBorders>
          </w:tcPr>
          <w:p>
            <w:pPr>
              <w:spacing w:after="0"/>
              <w:rPr>
                <w:sz w:val="18"/>
                <w:szCs w:val="18"/>
                <w:color w:val="auto"/>
              </w:rPr>
            </w:pPr>
          </w:p>
        </w:tc>
        <w:tc>
          <w:tcPr>
            <w:tcW w:w="100" w:type="dxa"/>
            <w:vAlign w:val="bottom"/>
            <w:tcBorders>
              <w:top w:val="single" w:sz="8" w:color="B6B6B6"/>
            </w:tcBorders>
          </w:tcPr>
          <w:p>
            <w:pPr>
              <w:spacing w:after="0"/>
              <w:rPr>
                <w:sz w:val="18"/>
                <w:szCs w:val="18"/>
                <w:color w:val="auto"/>
              </w:rPr>
            </w:pPr>
          </w:p>
        </w:tc>
        <w:tc>
          <w:tcPr>
            <w:tcW w:w="240" w:type="dxa"/>
            <w:vAlign w:val="bottom"/>
            <w:tcBorders>
              <w:top w:val="single" w:sz="8" w:color="B6B6B6"/>
            </w:tcBorders>
          </w:tcPr>
          <w:p>
            <w:pPr>
              <w:spacing w:after="0"/>
              <w:rPr>
                <w:sz w:val="18"/>
                <w:szCs w:val="18"/>
                <w:color w:val="auto"/>
              </w:rPr>
            </w:pPr>
          </w:p>
        </w:tc>
        <w:tc>
          <w:tcPr>
            <w:tcW w:w="900" w:type="dxa"/>
            <w:vAlign w:val="bottom"/>
            <w:tcBorders>
              <w:top w:val="single" w:sz="8" w:color="B6B6B6"/>
            </w:tcBorders>
          </w:tcPr>
          <w:p>
            <w:pPr>
              <w:spacing w:after="0"/>
              <w:rPr>
                <w:sz w:val="18"/>
                <w:szCs w:val="18"/>
                <w:color w:val="auto"/>
              </w:rPr>
            </w:pPr>
          </w:p>
        </w:tc>
      </w:tr>
      <w:tr>
        <w:trPr>
          <w:trHeight w:val="31"/>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Interest on deposits</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80" w:type="dxa"/>
            <w:vAlign w:val="bottom"/>
            <w:tcBorders>
              <w:bottom w:val="single" w:sz="8" w:color="B6B6B6"/>
            </w:tcBorders>
            <w:shd w:val="clear" w:color="auto" w:fill="B6B6B6"/>
          </w:tcPr>
          <w:p>
            <w:pPr>
              <w:spacing w:after="0"/>
              <w:rPr>
                <w:sz w:val="21"/>
                <w:szCs w:val="21"/>
                <w:color w:val="auto"/>
              </w:rPr>
            </w:pP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12,431</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15,646</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interest expense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5,156</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15,646</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6360" w:type="dxa"/>
            <w:vAlign w:val="bottom"/>
            <w:tcBorders>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6"/>
                <w:szCs w:val="16"/>
                <w:color w:val="auto"/>
              </w:rPr>
              <w:t>Net interest income</w:t>
            </w: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21,020</w:t>
            </w:r>
          </w:p>
        </w:tc>
        <w:tc>
          <w:tcPr>
            <w:tcW w:w="80" w:type="dxa"/>
            <w:vAlign w:val="bottom"/>
            <w:tcBorders>
              <w:bottom w:val="single" w:sz="8" w:color="B6B6B6"/>
            </w:tcBorders>
            <w:shd w:val="clear" w:color="auto" w:fill="B6B6B6"/>
          </w:tcPr>
          <w:p>
            <w:pPr>
              <w:spacing w:after="0"/>
              <w:rPr>
                <w:sz w:val="18"/>
                <w:szCs w:val="18"/>
                <w:color w:val="auto"/>
              </w:rPr>
            </w:pP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17,618</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59,768</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50,023</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provision for credit losses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6"/>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interest income after (release of) provision for credit losses</w:t>
            </w:r>
          </w:p>
        </w:tc>
        <w:tc>
          <w:tcPr>
            <w:tcW w:w="260" w:type="dxa"/>
            <w:vAlign w:val="bottom"/>
            <w:tcBorders>
              <w:bottom w:val="single" w:sz="8" w:color="B6B6B6"/>
            </w:tcBorders>
            <w:shd w:val="clear" w:color="auto" w:fill="B6B6B6"/>
          </w:tcPr>
          <w:p>
            <w:pPr>
              <w:spacing w:after="0"/>
              <w:rPr>
                <w:sz w:val="20"/>
                <w:szCs w:val="20"/>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21,213</w:t>
            </w:r>
          </w:p>
        </w:tc>
        <w:tc>
          <w:tcPr>
            <w:tcW w:w="80" w:type="dxa"/>
            <w:vAlign w:val="bottom"/>
            <w:tcBorders>
              <w:bottom w:val="single" w:sz="8" w:color="B6B6B6"/>
            </w:tcBorders>
            <w:shd w:val="clear" w:color="auto" w:fill="B6B6B6"/>
          </w:tcPr>
          <w:p>
            <w:pPr>
              <w:spacing w:after="0"/>
              <w:rPr>
                <w:sz w:val="20"/>
                <w:szCs w:val="20"/>
                <w:color w:val="auto"/>
              </w:rPr>
            </w:pPr>
          </w:p>
        </w:tc>
        <w:tc>
          <w:tcPr>
            <w:tcW w:w="260" w:type="dxa"/>
            <w:vAlign w:val="bottom"/>
            <w:tcBorders>
              <w:bottom w:val="single" w:sz="8" w:color="B6B6B6"/>
            </w:tcBorders>
            <w:shd w:val="clear" w:color="auto" w:fill="B6B6B6"/>
          </w:tcPr>
          <w:p>
            <w:pPr>
              <w:spacing w:after="0"/>
              <w:rPr>
                <w:sz w:val="20"/>
                <w:szCs w:val="20"/>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17,758</w:t>
            </w:r>
          </w:p>
        </w:tc>
        <w:tc>
          <w:tcPr>
            <w:tcW w:w="100" w:type="dxa"/>
            <w:vAlign w:val="bottom"/>
            <w:tcBorders>
              <w:bottom w:val="single" w:sz="8" w:color="B6B6B6"/>
            </w:tcBorders>
            <w:shd w:val="clear" w:color="auto" w:fill="B6B6B6"/>
          </w:tcPr>
          <w:p>
            <w:pPr>
              <w:spacing w:after="0"/>
              <w:rPr>
                <w:sz w:val="20"/>
                <w:szCs w:val="20"/>
                <w:color w:val="auto"/>
              </w:rPr>
            </w:pPr>
          </w:p>
        </w:tc>
        <w:tc>
          <w:tcPr>
            <w:tcW w:w="240" w:type="dxa"/>
            <w:vAlign w:val="bottom"/>
            <w:tcBorders>
              <w:bottom w:val="single" w:sz="8" w:color="B6B6B6"/>
            </w:tcBorders>
            <w:shd w:val="clear" w:color="auto" w:fill="B6B6B6"/>
          </w:tcPr>
          <w:p>
            <w:pPr>
              <w:spacing w:after="0"/>
              <w:rPr>
                <w:sz w:val="20"/>
                <w:szCs w:val="20"/>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59,031</w:t>
            </w:r>
          </w:p>
        </w:tc>
        <w:tc>
          <w:tcPr>
            <w:tcW w:w="100" w:type="dxa"/>
            <w:vAlign w:val="bottom"/>
            <w:tcBorders>
              <w:bottom w:val="single" w:sz="8" w:color="B6B6B6"/>
            </w:tcBorders>
            <w:shd w:val="clear" w:color="auto" w:fill="B6B6B6"/>
          </w:tcPr>
          <w:p>
            <w:pPr>
              <w:spacing w:after="0"/>
              <w:rPr>
                <w:sz w:val="20"/>
                <w:szCs w:val="20"/>
                <w:color w:val="auto"/>
              </w:rPr>
            </w:pPr>
          </w:p>
        </w:tc>
        <w:tc>
          <w:tcPr>
            <w:tcW w:w="240" w:type="dxa"/>
            <w:vAlign w:val="bottom"/>
            <w:tcBorders>
              <w:bottom w:val="single" w:sz="8" w:color="B6B6B6"/>
            </w:tcBorders>
            <w:shd w:val="clear" w:color="auto" w:fill="B6B6B6"/>
          </w:tcPr>
          <w:p>
            <w:pPr>
              <w:spacing w:after="0"/>
              <w:rPr>
                <w:sz w:val="20"/>
                <w:szCs w:val="20"/>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49,668</w:t>
            </w:r>
          </w:p>
        </w:tc>
      </w:tr>
      <w:tr>
        <w:trPr>
          <w:trHeight w:val="204"/>
        </w:trPr>
        <w:tc>
          <w:tcPr>
            <w:tcW w:w="63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net revenue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50,056</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46,521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140,860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135,603</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94"/>
        </w:trPr>
        <w:tc>
          <w:tcPr>
            <w:tcW w:w="6360" w:type="dxa"/>
            <w:vAlign w:val="bottom"/>
            <w:shd w:val="clear" w:color="auto" w:fill="B6B6B6"/>
          </w:tcPr>
          <w:p>
            <w:pPr>
              <w:spacing w:after="0"/>
              <w:rPr>
                <w:sz w:val="8"/>
                <w:szCs w:val="8"/>
                <w:color w:val="auto"/>
              </w:rPr>
            </w:pPr>
          </w:p>
        </w:tc>
        <w:tc>
          <w:tcPr>
            <w:tcW w:w="260" w:type="dxa"/>
            <w:vAlign w:val="bottom"/>
            <w:shd w:val="clear" w:color="auto" w:fill="B6B6B6"/>
          </w:tcPr>
          <w:p>
            <w:pPr>
              <w:spacing w:after="0"/>
              <w:rPr>
                <w:sz w:val="8"/>
                <w:szCs w:val="8"/>
                <w:color w:val="auto"/>
              </w:rPr>
            </w:pPr>
          </w:p>
        </w:tc>
        <w:tc>
          <w:tcPr>
            <w:tcW w:w="9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60" w:type="dxa"/>
            <w:vAlign w:val="bottom"/>
            <w:shd w:val="clear" w:color="auto" w:fill="B6B6B6"/>
          </w:tcPr>
          <w:p>
            <w:pPr>
              <w:spacing w:after="0"/>
              <w:rPr>
                <w:sz w:val="8"/>
                <w:szCs w:val="8"/>
                <w:color w:val="auto"/>
              </w:rPr>
            </w:pPr>
          </w:p>
        </w:tc>
        <w:tc>
          <w:tcPr>
            <w:tcW w:w="90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240" w:type="dxa"/>
            <w:vAlign w:val="bottom"/>
            <w:shd w:val="clear" w:color="auto" w:fill="B6B6B6"/>
          </w:tcPr>
          <w:p>
            <w:pPr>
              <w:spacing w:after="0"/>
              <w:rPr>
                <w:sz w:val="8"/>
                <w:szCs w:val="8"/>
                <w:color w:val="auto"/>
              </w:rPr>
            </w:pPr>
          </w:p>
        </w:tc>
        <w:tc>
          <w:tcPr>
            <w:tcW w:w="90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240" w:type="dxa"/>
            <w:vAlign w:val="bottom"/>
            <w:shd w:val="clear" w:color="auto" w:fill="B6B6B6"/>
          </w:tcPr>
          <w:p>
            <w:pPr>
              <w:spacing w:after="0"/>
              <w:rPr>
                <w:sz w:val="8"/>
                <w:szCs w:val="8"/>
                <w:color w:val="auto"/>
              </w:rPr>
            </w:pPr>
          </w:p>
        </w:tc>
        <w:tc>
          <w:tcPr>
            <w:tcW w:w="900" w:type="dxa"/>
            <w:vAlign w:val="bottom"/>
            <w:shd w:val="clear" w:color="auto" w:fill="B6B6B6"/>
          </w:tcPr>
          <w:p>
            <w:pPr>
              <w:spacing w:after="0"/>
              <w:rPr>
                <w:sz w:val="8"/>
                <w:szCs w:val="8"/>
                <w:color w:val="auto"/>
              </w:rPr>
            </w:pPr>
          </w:p>
        </w:tc>
      </w:tr>
      <w:tr>
        <w:trPr>
          <w:trHeight w:val="212"/>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1"/>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Salaries and commissions</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20,105</w:t>
            </w:r>
          </w:p>
        </w:tc>
        <w:tc>
          <w:tcPr>
            <w:tcW w:w="80" w:type="dxa"/>
            <w:vAlign w:val="bottom"/>
            <w:tcBorders>
              <w:bottom w:val="single" w:sz="8" w:color="B6B6B6"/>
            </w:tcBorders>
            <w:shd w:val="clear" w:color="auto" w:fill="B6B6B6"/>
          </w:tcPr>
          <w:p>
            <w:pPr>
              <w:spacing w:after="0"/>
              <w:rPr>
                <w:sz w:val="19"/>
                <w:szCs w:val="19"/>
                <w:color w:val="auto"/>
              </w:rPr>
            </w:pP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20,530</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60,406</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60,445</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Employee profit sharing</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80" w:type="dxa"/>
            <w:vAlign w:val="bottom"/>
            <w:tcBorders>
              <w:bottom w:val="single" w:sz="8" w:color="B6B6B6"/>
            </w:tcBorders>
            <w:shd w:val="clear" w:color="auto" w:fill="B6B6B6"/>
          </w:tcPr>
          <w:p>
            <w:pPr>
              <w:spacing w:after="0"/>
              <w:rPr>
                <w:sz w:val="19"/>
                <w:szCs w:val="19"/>
                <w:color w:val="auto"/>
              </w:rPr>
            </w:pP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4,770</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2,978</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pension cost</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Other benefits</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4,798</w:t>
            </w:r>
          </w:p>
        </w:tc>
        <w:tc>
          <w:tcPr>
            <w:tcW w:w="80" w:type="dxa"/>
            <w:vAlign w:val="bottom"/>
            <w:tcBorders>
              <w:bottom w:val="single" w:sz="8" w:color="B6B6B6"/>
            </w:tcBorders>
            <w:shd w:val="clear" w:color="auto" w:fill="B6B6B6"/>
          </w:tcPr>
          <w:p>
            <w:pPr>
              <w:spacing w:after="0"/>
              <w:rPr>
                <w:sz w:val="21"/>
                <w:szCs w:val="21"/>
                <w:color w:val="auto"/>
              </w:rPr>
            </w:pP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14,284</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13,161</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personnel expenses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27,606</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26,522</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82,637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79,673</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Occupancy</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80" w:type="dxa"/>
            <w:vAlign w:val="bottom"/>
            <w:tcBorders>
              <w:bottom w:val="single" w:sz="8" w:color="B6B6B6"/>
            </w:tcBorders>
            <w:shd w:val="clear" w:color="auto" w:fill="B6B6B6"/>
          </w:tcPr>
          <w:p>
            <w:pPr>
              <w:spacing w:after="0"/>
              <w:rPr>
                <w:sz w:val="19"/>
                <w:szCs w:val="19"/>
                <w:color w:val="auto"/>
              </w:rPr>
            </w:pP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2,124</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2,016</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Equipment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5,825</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tcBorders>
              <w:bottom w:val="single" w:sz="8" w:color="B6B6B6"/>
            </w:tcBorders>
            <w:shd w:val="clear" w:color="auto" w:fill="B6B6B6"/>
          </w:tcPr>
          <w:p>
            <w:pPr>
              <w:spacing w:after="0"/>
              <w:rPr>
                <w:sz w:val="19"/>
                <w:szCs w:val="19"/>
                <w:color w:val="auto"/>
              </w:rPr>
            </w:pPr>
          </w:p>
        </w:tc>
        <w:tc>
          <w:tcPr>
            <w:tcW w:w="26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spacing w:after="0"/>
              <w:rPr>
                <w:sz w:val="19"/>
                <w:szCs w:val="19"/>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Bad debt expense (recovery)</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7,847</w:t>
            </w:r>
          </w:p>
        </w:tc>
      </w:tr>
      <w:tr>
        <w:trPr>
          <w:trHeight w:val="33"/>
        </w:trPr>
        <w:tc>
          <w:tcPr>
            <w:tcW w:w="6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7,295</w:t>
            </w:r>
          </w:p>
        </w:tc>
        <w:tc>
          <w:tcPr>
            <w:tcW w:w="80" w:type="dxa"/>
            <w:vAlign w:val="bottom"/>
            <w:tcBorders>
              <w:bottom w:val="single" w:sz="8" w:color="B6B6B6"/>
            </w:tcBorders>
            <w:shd w:val="clear" w:color="auto" w:fill="B6B6B6"/>
          </w:tcPr>
          <w:p>
            <w:pPr>
              <w:spacing w:after="0"/>
              <w:rPr>
                <w:sz w:val="21"/>
                <w:szCs w:val="21"/>
                <w:color w:val="auto"/>
              </w:rPr>
            </w:pPr>
          </w:p>
        </w:tc>
        <w:tc>
          <w:tcPr>
            <w:tcW w:w="26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6,746</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21,081</w:t>
            </w:r>
          </w:p>
        </w:tc>
        <w:tc>
          <w:tcPr>
            <w:tcW w:w="10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B6B6B6"/>
            </w:tcBorders>
            <w:shd w:val="clear" w:color="auto" w:fill="B6B6B6"/>
          </w:tcPr>
          <w:p>
            <w:pPr>
              <w:spacing w:after="0"/>
              <w:rPr>
                <w:sz w:val="21"/>
                <w:szCs w:val="21"/>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21,494</w:t>
            </w:r>
          </w:p>
        </w:tc>
      </w:tr>
      <w:tr>
        <w:trPr>
          <w:trHeight w:val="204"/>
        </w:trPr>
        <w:tc>
          <w:tcPr>
            <w:tcW w:w="6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operating expense</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38,441</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42,757</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112,090</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117,374</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Income from continuing operations, before income tax expense</w:t>
            </w: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11,615</w:t>
            </w:r>
          </w:p>
        </w:tc>
        <w:tc>
          <w:tcPr>
            <w:tcW w:w="80" w:type="dxa"/>
            <w:vAlign w:val="bottom"/>
            <w:tcBorders>
              <w:bottom w:val="single" w:sz="8" w:color="B6B6B6"/>
            </w:tcBorders>
            <w:shd w:val="clear" w:color="auto" w:fill="B6B6B6"/>
          </w:tcPr>
          <w:p>
            <w:pPr>
              <w:spacing w:after="0"/>
              <w:rPr>
                <w:sz w:val="18"/>
                <w:szCs w:val="18"/>
                <w:color w:val="auto"/>
              </w:rPr>
            </w:pP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28,770</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18,229</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3,829</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6360" w:type="dxa"/>
            <w:vAlign w:val="bottom"/>
            <w:tcBorders>
              <w:bottom w:val="single" w:sz="8" w:color="B6B6B6"/>
            </w:tcBorders>
            <w:shd w:val="clear" w:color="auto" w:fill="B6B6B6"/>
          </w:tcPr>
          <w:p>
            <w:pPr>
              <w:ind w:left="5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9,212</w:t>
            </w:r>
          </w:p>
        </w:tc>
        <w:tc>
          <w:tcPr>
            <w:tcW w:w="80" w:type="dxa"/>
            <w:vAlign w:val="bottom"/>
            <w:tcBorders>
              <w:bottom w:val="single" w:sz="8" w:color="B6B6B6"/>
            </w:tcBorders>
            <w:shd w:val="clear" w:color="auto" w:fill="B6B6B6"/>
          </w:tcPr>
          <w:p>
            <w:pPr>
              <w:spacing w:after="0"/>
              <w:rPr>
                <w:sz w:val="18"/>
                <w:szCs w:val="18"/>
                <w:color w:val="auto"/>
              </w:rPr>
            </w:pPr>
          </w:p>
        </w:tc>
        <w:tc>
          <w:tcPr>
            <w:tcW w:w="26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22,922</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spacing w:after="0"/>
              <w:rPr>
                <w:sz w:val="18"/>
                <w:szCs w:val="18"/>
                <w:color w:val="auto"/>
              </w:rPr>
            </w:pP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14,400</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income from discontinued operations, net of tax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9"/>
        </w:trPr>
        <w:tc>
          <w:tcPr>
            <w:tcW w:w="6360" w:type="dxa"/>
            <w:vAlign w:val="bottom"/>
            <w:tcBorders>
              <w:bottom w:val="single" w:sz="8" w:color="B6B6B6"/>
            </w:tcBorders>
            <w:shd w:val="clear" w:color="auto" w:fill="B6B6B6"/>
          </w:tcPr>
          <w:p>
            <w:pPr>
              <w:ind w:left="5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9,106</w:t>
            </w:r>
          </w:p>
        </w:tc>
        <w:tc>
          <w:tcPr>
            <w:tcW w:w="80" w:type="dxa"/>
            <w:vAlign w:val="bottom"/>
            <w:tcBorders>
              <w:bottom w:val="single" w:sz="8" w:color="B6B6B6"/>
            </w:tcBorders>
            <w:shd w:val="clear" w:color="auto" w:fill="B6B6B6"/>
          </w:tcPr>
          <w:p>
            <w:pPr>
              <w:spacing w:after="0"/>
              <w:rPr>
                <w:sz w:val="22"/>
                <w:szCs w:val="22"/>
                <w:color w:val="auto"/>
              </w:rPr>
            </w:pPr>
          </w:p>
        </w:tc>
        <w:tc>
          <w:tcPr>
            <w:tcW w:w="260" w:type="dxa"/>
            <w:vAlign w:val="bottom"/>
            <w:tcBorders>
              <w:bottom w:val="single" w:sz="8" w:color="auto"/>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2,938</w:t>
            </w:r>
          </w:p>
        </w:tc>
        <w:tc>
          <w:tcPr>
            <w:tcW w:w="10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26,927</w:t>
            </w:r>
          </w:p>
        </w:tc>
        <w:tc>
          <w:tcPr>
            <w:tcW w:w="100" w:type="dxa"/>
            <w:vAlign w:val="bottom"/>
            <w:tcBorders>
              <w:bottom w:val="single" w:sz="8" w:color="B6B6B6"/>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14,574</w:t>
            </w:r>
          </w:p>
        </w:tc>
      </w:tr>
      <w:tr>
        <w:trPr>
          <w:trHeight w:val="20"/>
        </w:trPr>
        <w:tc>
          <w:tcPr>
            <w:tcW w:w="6360" w:type="dxa"/>
            <w:vAlign w:val="bottom"/>
            <w:tcBorders>
              <w:top w:val="single" w:sz="8" w:color="B6B6B6"/>
            </w:tcBorders>
          </w:tcPr>
          <w:p>
            <w:pPr>
              <w:spacing w:after="0" w:line="20" w:lineRule="exact"/>
              <w:rPr>
                <w:sz w:val="1"/>
                <w:szCs w:val="1"/>
                <w:color w:val="auto"/>
              </w:rPr>
            </w:pPr>
          </w:p>
        </w:tc>
        <w:tc>
          <w:tcPr>
            <w:tcW w:w="26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6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r>
      <w:tr>
        <w:trPr>
          <w:trHeight w:val="58"/>
        </w:trPr>
        <w:tc>
          <w:tcPr>
            <w:tcW w:w="6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Basic earnings per share from continuing operations</w:t>
            </w:r>
          </w:p>
        </w:tc>
        <w:tc>
          <w:tcPr>
            <w:tcW w:w="26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Borders>
              <w:bottom w:val="single" w:sz="8" w:color="B6B6B6"/>
            </w:tcBorders>
            <w:shd w:val="clear" w:color="auto" w:fill="B6B6B6"/>
          </w:tcPr>
          <w:p>
            <w:pPr>
              <w:spacing w:after="0"/>
              <w:rPr>
                <w:sz w:val="19"/>
                <w:szCs w:val="19"/>
                <w:color w:val="auto"/>
              </w:rPr>
            </w:pPr>
          </w:p>
        </w:tc>
        <w:tc>
          <w:tcPr>
            <w:tcW w:w="26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(loss) earnings per share from discontinued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6"/>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6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Borders>
              <w:bottom w:val="single" w:sz="8" w:color="B6B6B6"/>
            </w:tcBorders>
            <w:shd w:val="clear" w:color="auto" w:fill="B6B6B6"/>
          </w:tcPr>
          <w:p>
            <w:pPr>
              <w:spacing w:after="0"/>
              <w:rPr>
                <w:sz w:val="18"/>
                <w:szCs w:val="18"/>
                <w:color w:val="auto"/>
              </w:rPr>
            </w:pPr>
          </w:p>
        </w:tc>
        <w:tc>
          <w:tcPr>
            <w:tcW w:w="26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Borders>
              <w:bottom w:val="single" w:sz="8" w:color="B6B6B6"/>
            </w:tcBorders>
            <w:shd w:val="clear" w:color="auto" w:fill="B6B6B6"/>
          </w:tcPr>
          <w:p>
            <w:pPr>
              <w:spacing w:after="0"/>
              <w:rPr>
                <w:sz w:val="18"/>
                <w:szCs w:val="18"/>
                <w:color w:val="auto"/>
              </w:rPr>
            </w:pPr>
          </w:p>
        </w:tc>
        <w:tc>
          <w:tcPr>
            <w:tcW w:w="240" w:type="dxa"/>
            <w:vAlign w:val="bottom"/>
            <w:tcBorders>
              <w:bottom w:val="single" w:sz="8" w:color="B6B6B6"/>
            </w:tcBorders>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108"/>
        </w:trPr>
        <w:tc>
          <w:tcPr>
            <w:tcW w:w="6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223"/>
        </w:trPr>
        <w:tc>
          <w:tcPr>
            <w:tcW w:w="63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Diluted earnings per share from continuing operations</w:t>
            </w:r>
          </w:p>
        </w:tc>
        <w:tc>
          <w:tcPr>
            <w:tcW w:w="26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Borders>
              <w:bottom w:val="single" w:sz="8" w:color="B6B6B6"/>
            </w:tcBorders>
            <w:shd w:val="clear" w:color="auto" w:fill="B6B6B6"/>
          </w:tcPr>
          <w:p>
            <w:pPr>
              <w:spacing w:after="0"/>
              <w:rPr>
                <w:sz w:val="19"/>
                <w:szCs w:val="19"/>
                <w:color w:val="auto"/>
              </w:rPr>
            </w:pPr>
          </w:p>
        </w:tc>
        <w:tc>
          <w:tcPr>
            <w:tcW w:w="26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B6B6B6"/>
            </w:tcBorders>
            <w:shd w:val="clear" w:color="auto" w:fill="B6B6B6"/>
          </w:tcPr>
          <w:p>
            <w:pPr>
              <w:spacing w:after="0"/>
              <w:rPr>
                <w:sz w:val="19"/>
                <w:szCs w:val="19"/>
                <w:color w:val="auto"/>
              </w:rPr>
            </w:pPr>
          </w:p>
        </w:tc>
        <w:tc>
          <w:tcPr>
            <w:tcW w:w="240" w:type="dxa"/>
            <w:vAlign w:val="bottom"/>
            <w:tcBorders>
              <w:bottom w:val="single" w:sz="8" w:color="B6B6B6"/>
            </w:tcBorders>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210"/>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(loss) earnings per share from discontinued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636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B6B6B6"/>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4"/>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60" w:type="dxa"/>
            <w:vAlign w:val="bottom"/>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80" w:type="dxa"/>
            <w:vAlign w:val="bottom"/>
            <w:shd w:val="clear" w:color="auto" w:fill="B6B6B6"/>
          </w:tcPr>
          <w:p>
            <w:pPr>
              <w:spacing w:after="0"/>
              <w:rPr>
                <w:sz w:val="17"/>
                <w:szCs w:val="17"/>
                <w:color w:val="auto"/>
              </w:rPr>
            </w:pPr>
          </w:p>
        </w:tc>
        <w:tc>
          <w:tcPr>
            <w:tcW w:w="260" w:type="dxa"/>
            <w:vAlign w:val="bottom"/>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B6B6B6"/>
          </w:tcPr>
          <w:p>
            <w:pPr>
              <w:spacing w:after="0"/>
              <w:rPr>
                <w:sz w:val="17"/>
                <w:szCs w:val="17"/>
                <w:color w:val="auto"/>
              </w:rPr>
            </w:pPr>
          </w:p>
        </w:tc>
        <w:tc>
          <w:tcPr>
            <w:tcW w:w="240" w:type="dxa"/>
            <w:vAlign w:val="bottom"/>
            <w:shd w:val="clear" w:color="auto" w:fill="B6B6B6"/>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B6B6B6"/>
          </w:tcPr>
          <w:p>
            <w:pPr>
              <w:spacing w:after="0"/>
              <w:rPr>
                <w:sz w:val="17"/>
                <w:szCs w:val="17"/>
                <w:color w:val="auto"/>
              </w:rPr>
            </w:pPr>
          </w:p>
        </w:tc>
        <w:tc>
          <w:tcPr>
            <w:tcW w:w="240" w:type="dxa"/>
            <w:vAlign w:val="bottom"/>
            <w:shd w:val="clear" w:color="auto" w:fill="B6B6B6"/>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33"/>
        </w:trPr>
        <w:tc>
          <w:tcPr>
            <w:tcW w:w="6360" w:type="dxa"/>
            <w:vAlign w:val="bottom"/>
            <w:shd w:val="clear" w:color="auto" w:fill="B6B6B6"/>
          </w:tcPr>
          <w:p>
            <w:pPr>
              <w:spacing w:after="0"/>
              <w:rPr>
                <w:sz w:val="2"/>
                <w:szCs w:val="2"/>
                <w:color w:val="auto"/>
              </w:rPr>
            </w:pPr>
          </w:p>
        </w:tc>
        <w:tc>
          <w:tcPr>
            <w:tcW w:w="260" w:type="dxa"/>
            <w:vAlign w:val="bottom"/>
            <w:shd w:val="clear" w:color="auto" w:fill="B6B6B6"/>
          </w:tcPr>
          <w:p>
            <w:pPr>
              <w:spacing w:after="0"/>
              <w:rPr>
                <w:sz w:val="2"/>
                <w:szCs w:val="2"/>
                <w:color w:val="auto"/>
              </w:rPr>
            </w:pPr>
          </w:p>
        </w:tc>
        <w:tc>
          <w:tcPr>
            <w:tcW w:w="900" w:type="dxa"/>
            <w:vAlign w:val="bottom"/>
            <w:shd w:val="clear" w:color="auto" w:fill="B6B6B6"/>
          </w:tcPr>
          <w:p>
            <w:pPr>
              <w:spacing w:after="0"/>
              <w:rPr>
                <w:sz w:val="2"/>
                <w:szCs w:val="2"/>
                <w:color w:val="auto"/>
              </w:rPr>
            </w:pPr>
          </w:p>
        </w:tc>
        <w:tc>
          <w:tcPr>
            <w:tcW w:w="80" w:type="dxa"/>
            <w:vAlign w:val="bottom"/>
            <w:shd w:val="clear" w:color="auto" w:fill="B6B6B6"/>
          </w:tcPr>
          <w:p>
            <w:pPr>
              <w:spacing w:after="0"/>
              <w:rPr>
                <w:sz w:val="2"/>
                <w:szCs w:val="2"/>
                <w:color w:val="auto"/>
              </w:rPr>
            </w:pPr>
          </w:p>
        </w:tc>
        <w:tc>
          <w:tcPr>
            <w:tcW w:w="260" w:type="dxa"/>
            <w:vAlign w:val="bottom"/>
            <w:shd w:val="clear" w:color="auto" w:fill="B6B6B6"/>
          </w:tcPr>
          <w:p>
            <w:pPr>
              <w:spacing w:after="0"/>
              <w:rPr>
                <w:sz w:val="2"/>
                <w:szCs w:val="2"/>
                <w:color w:val="auto"/>
              </w:rPr>
            </w:pPr>
          </w:p>
        </w:tc>
        <w:tc>
          <w:tcPr>
            <w:tcW w:w="90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240" w:type="dxa"/>
            <w:vAlign w:val="bottom"/>
            <w:shd w:val="clear" w:color="auto" w:fill="B6B6B6"/>
          </w:tcPr>
          <w:p>
            <w:pPr>
              <w:spacing w:after="0"/>
              <w:rPr>
                <w:sz w:val="2"/>
                <w:szCs w:val="2"/>
                <w:color w:val="auto"/>
              </w:rPr>
            </w:pPr>
          </w:p>
        </w:tc>
        <w:tc>
          <w:tcPr>
            <w:tcW w:w="90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240" w:type="dxa"/>
            <w:vAlign w:val="bottom"/>
            <w:shd w:val="clear" w:color="auto" w:fill="B6B6B6"/>
          </w:tcPr>
          <w:p>
            <w:pPr>
              <w:spacing w:after="0"/>
              <w:rPr>
                <w:sz w:val="2"/>
                <w:szCs w:val="2"/>
                <w:color w:val="auto"/>
              </w:rPr>
            </w:pPr>
          </w:p>
        </w:tc>
        <w:tc>
          <w:tcPr>
            <w:tcW w:w="900" w:type="dxa"/>
            <w:vAlign w:val="bottom"/>
            <w:shd w:val="clear" w:color="auto" w:fill="B6B6B6"/>
          </w:tcPr>
          <w:p>
            <w:pPr>
              <w:spacing w:after="0"/>
              <w:rPr>
                <w:sz w:val="2"/>
                <w:szCs w:val="2"/>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shd w:val="clear" w:color="auto" w:fill="B6B6B6"/>
          </w:tcPr>
          <w:p>
            <w:pPr>
              <w:spacing w:after="0"/>
              <w:rPr>
                <w:sz w:val="17"/>
                <w:szCs w:val="17"/>
                <w:color w:val="auto"/>
              </w:rPr>
            </w:pPr>
          </w:p>
        </w:tc>
        <w:tc>
          <w:tcPr>
            <w:tcW w:w="320" w:type="dxa"/>
            <w:vAlign w:val="bottom"/>
            <w:shd w:val="clear" w:color="auto" w:fill="B6B6B6"/>
          </w:tcPr>
          <w:p>
            <w:pPr>
              <w:spacing w:after="0"/>
              <w:rPr>
                <w:sz w:val="17"/>
                <w:szCs w:val="17"/>
                <w:color w:val="auto"/>
              </w:rPr>
            </w:pPr>
          </w:p>
        </w:tc>
        <w:tc>
          <w:tcPr>
            <w:tcW w:w="2800" w:type="dxa"/>
            <w:vAlign w:val="bottom"/>
            <w:gridSpan w:val="5"/>
            <w:shd w:val="clear" w:color="auto" w:fill="B6B6B6"/>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shd w:val="clear" w:color="auto" w:fill="B6B6B6"/>
          </w:tcPr>
          <w:p>
            <w:pPr>
              <w:spacing w:after="0"/>
              <w:rPr>
                <w:sz w:val="17"/>
                <w:szCs w:val="17"/>
                <w:color w:val="auto"/>
              </w:rPr>
            </w:pPr>
          </w:p>
        </w:tc>
        <w:tc>
          <w:tcPr>
            <w:tcW w:w="2720" w:type="dxa"/>
            <w:vAlign w:val="bottom"/>
            <w:gridSpan w:val="4"/>
            <w:shd w:val="clear" w:color="auto" w:fill="B6B6B6"/>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060" w:type="dxa"/>
            <w:vAlign w:val="bottom"/>
            <w:shd w:val="clear" w:color="auto" w:fill="B6B6B6"/>
          </w:tcPr>
          <w:p>
            <w:pPr>
              <w:spacing w:after="0"/>
              <w:rPr>
                <w:sz w:val="20"/>
                <w:szCs w:val="20"/>
                <w:color w:val="auto"/>
              </w:rPr>
            </w:pPr>
          </w:p>
        </w:tc>
        <w:tc>
          <w:tcPr>
            <w:tcW w:w="320" w:type="dxa"/>
            <w:vAlign w:val="bottom"/>
            <w:tcBorders>
              <w:bottom w:val="single" w:sz="8" w:color="auto"/>
            </w:tcBorders>
            <w:shd w:val="clear" w:color="auto" w:fill="B6B6B6"/>
          </w:tcPr>
          <w:p>
            <w:pPr>
              <w:spacing w:after="0"/>
              <w:rPr>
                <w:sz w:val="20"/>
                <w:szCs w:val="20"/>
                <w:color w:val="auto"/>
              </w:rPr>
            </w:pPr>
          </w:p>
        </w:tc>
        <w:tc>
          <w:tcPr>
            <w:tcW w:w="1780" w:type="dxa"/>
            <w:vAlign w:val="bottom"/>
            <w:tcBorders>
              <w:bottom w:val="single" w:sz="8" w:color="auto"/>
            </w:tcBorders>
            <w:gridSpan w:val="3"/>
            <w:shd w:val="clear" w:color="auto" w:fill="B6B6B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340" w:type="dxa"/>
            <w:vAlign w:val="bottom"/>
            <w:tcBorders>
              <w:bottom w:val="single" w:sz="8" w:color="auto"/>
            </w:tcBorders>
            <w:shd w:val="clear" w:color="auto" w:fill="B6B6B6"/>
          </w:tcPr>
          <w:p>
            <w:pPr>
              <w:spacing w:after="0"/>
              <w:rPr>
                <w:sz w:val="20"/>
                <w:szCs w:val="20"/>
                <w:color w:val="auto"/>
              </w:rPr>
            </w:pPr>
          </w:p>
        </w:tc>
        <w:tc>
          <w:tcPr>
            <w:tcW w:w="1780" w:type="dxa"/>
            <w:vAlign w:val="bottom"/>
            <w:tcBorders>
              <w:bottom w:val="single" w:sz="8" w:color="auto"/>
            </w:tcBorders>
            <w:gridSpan w:val="3"/>
            <w:shd w:val="clear" w:color="auto" w:fill="B6B6B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shd w:val="clear" w:color="auto" w:fill="B6B6B6"/>
          </w:tcPr>
          <w:p>
            <w:pPr>
              <w:spacing w:after="0"/>
              <w:rPr>
                <w:sz w:val="20"/>
                <w:szCs w:val="20"/>
                <w:color w:val="auto"/>
              </w:rPr>
            </w:pPr>
          </w:p>
        </w:tc>
      </w:tr>
      <w:tr>
        <w:trPr>
          <w:trHeight w:val="246"/>
        </w:trPr>
        <w:tc>
          <w:tcPr>
            <w:tcW w:w="50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57"/>
        </w:trPr>
        <w:tc>
          <w:tcPr>
            <w:tcW w:w="5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r>
      <w:tr>
        <w:trPr>
          <w:trHeight w:val="263"/>
        </w:trPr>
        <w:tc>
          <w:tcPr>
            <w:tcW w:w="5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spacing w:after="0"/>
              <w:rPr>
                <w:sz w:val="22"/>
                <w:szCs w:val="22"/>
                <w:color w:val="auto"/>
              </w:rPr>
            </w:pPr>
          </w:p>
        </w:tc>
      </w:tr>
      <w:tr>
        <w:trPr>
          <w:trHeight w:val="263"/>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gain on securities available-for-sale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w:t>
            </w:r>
          </w:p>
        </w:tc>
      </w:tr>
      <w:tr>
        <w:trPr>
          <w:trHeight w:val="263"/>
        </w:trPr>
        <w:tc>
          <w:tcPr>
            <w:tcW w:w="50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8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(2,604)</w:t>
            </w:r>
          </w:p>
        </w:tc>
      </w:tr>
      <w:tr>
        <w:trPr>
          <w:trHeight w:val="225"/>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adjustments for (gains) losses included in net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55"/>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w:t>
            </w: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50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Tax effect</w:t>
            </w:r>
          </w:p>
        </w:tc>
        <w:tc>
          <w:tcPr>
            <w:tcW w:w="3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102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B6B6B6"/>
          </w:tcPr>
          <w:p>
            <w:pPr>
              <w:spacing w:after="0"/>
              <w:rPr>
                <w:sz w:val="22"/>
                <w:szCs w:val="22"/>
                <w:color w:val="auto"/>
              </w:rPr>
            </w:pPr>
          </w:p>
        </w:tc>
        <w:tc>
          <w:tcPr>
            <w:tcW w:w="540" w:type="dxa"/>
            <w:vAlign w:val="bottom"/>
            <w:shd w:val="clear" w:color="auto" w:fill="B6B6B6"/>
          </w:tcPr>
          <w:p>
            <w:pPr>
              <w:spacing w:after="0"/>
              <w:rPr>
                <w:sz w:val="22"/>
                <w:szCs w:val="22"/>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5060" w:type="dxa"/>
            <w:vAlign w:val="bottom"/>
            <w:tcBorders>
              <w:bottom w:val="single" w:sz="8" w:color="B6B6B6"/>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Borders>
              <w:bottom w:val="single" w:sz="8" w:color="B6B6B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bottom w:val="single" w:sz="8" w:color="B6B6B6"/>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B6B6B6"/>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81"/>
        </w:trPr>
        <w:tc>
          <w:tcPr>
            <w:tcW w:w="506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100" w:type="dxa"/>
            <w:vAlign w:val="bottom"/>
            <w:tcBorders>
              <w:bottom w:val="single" w:sz="8" w:color="B6B6B6"/>
            </w:tcBorders>
            <w:shd w:val="clear" w:color="auto" w:fill="B6B6B6"/>
          </w:tcPr>
          <w:p>
            <w:pPr>
              <w:spacing w:after="0"/>
              <w:rPr>
                <w:sz w:val="24"/>
                <w:szCs w:val="24"/>
                <w:color w:val="auto"/>
              </w:rPr>
            </w:pPr>
          </w:p>
        </w:tc>
        <w:tc>
          <w:tcPr>
            <w:tcW w:w="540" w:type="dxa"/>
            <w:vAlign w:val="bottom"/>
            <w:tcBorders>
              <w:bottom w:val="single" w:sz="8" w:color="auto"/>
            </w:tcBorders>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80" w:type="dxa"/>
            <w:vAlign w:val="bottom"/>
            <w:tcBorders>
              <w:bottom w:val="single" w:sz="8" w:color="B6B6B6"/>
            </w:tcBorders>
            <w:shd w:val="clear" w:color="auto" w:fill="B6B6B6"/>
          </w:tcPr>
          <w:p>
            <w:pPr>
              <w:spacing w:after="0"/>
              <w:rPr>
                <w:sz w:val="24"/>
                <w:szCs w:val="24"/>
                <w:color w:val="auto"/>
              </w:rPr>
            </w:pPr>
          </w:p>
        </w:tc>
        <w:tc>
          <w:tcPr>
            <w:tcW w:w="3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42,683</w:t>
            </w:r>
          </w:p>
        </w:tc>
        <w:tc>
          <w:tcPr>
            <w:tcW w:w="100" w:type="dxa"/>
            <w:vAlign w:val="bottom"/>
            <w:tcBorders>
              <w:bottom w:val="single" w:sz="8" w:color="B6B6B6"/>
            </w:tcBorders>
            <w:shd w:val="clear" w:color="auto" w:fill="B6B6B6"/>
          </w:tcPr>
          <w:p>
            <w:pPr>
              <w:spacing w:after="0"/>
              <w:rPr>
                <w:sz w:val="24"/>
                <w:szCs w:val="24"/>
                <w:color w:val="auto"/>
              </w:rPr>
            </w:pPr>
          </w:p>
        </w:tc>
        <w:tc>
          <w:tcPr>
            <w:tcW w:w="540" w:type="dxa"/>
            <w:vAlign w:val="bottom"/>
            <w:tcBorders>
              <w:bottom w:val="single" w:sz="8" w:color="auto"/>
            </w:tcBorders>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22,958</w:t>
            </w:r>
          </w:p>
        </w:tc>
      </w:tr>
      <w:tr>
        <w:trPr>
          <w:trHeight w:val="20"/>
        </w:trPr>
        <w:tc>
          <w:tcPr>
            <w:tcW w:w="5060" w:type="dxa"/>
            <w:vAlign w:val="bottom"/>
            <w:tcBorders>
              <w:top w:val="single" w:sz="8" w:color="B6B6B6"/>
            </w:tcBorders>
          </w:tcPr>
          <w:p>
            <w:pPr>
              <w:spacing w:after="0" w:line="20" w:lineRule="exact"/>
              <w:rPr>
                <w:sz w:val="1"/>
                <w:szCs w:val="1"/>
                <w:color w:val="auto"/>
              </w:rPr>
            </w:pPr>
          </w:p>
        </w:tc>
        <w:tc>
          <w:tcPr>
            <w:tcW w:w="32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540" w:type="dxa"/>
            <w:vAlign w:val="bottom"/>
            <w:tcBorders>
              <w:top w:val="single" w:sz="8" w:color="B6B6B6"/>
              <w:bottom w:val="single" w:sz="8" w:color="auto"/>
            </w:tcBorders>
          </w:tcPr>
          <w:p>
            <w:pPr>
              <w:spacing w:after="0" w:line="20" w:lineRule="exact"/>
              <w:rPr>
                <w:sz w:val="1"/>
                <w:szCs w:val="1"/>
                <w:color w:val="auto"/>
              </w:rPr>
            </w:pPr>
          </w:p>
        </w:tc>
        <w:tc>
          <w:tcPr>
            <w:tcW w:w="94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340" w:type="dxa"/>
            <w:vAlign w:val="bottom"/>
            <w:tcBorders>
              <w:top w:val="single" w:sz="8" w:color="B6B6B6"/>
              <w:bottom w:val="single" w:sz="8" w:color="auto"/>
            </w:tcBorders>
          </w:tcPr>
          <w:p>
            <w:pPr>
              <w:spacing w:after="0" w:line="20" w:lineRule="exact"/>
              <w:rPr>
                <w:sz w:val="1"/>
                <w:szCs w:val="1"/>
                <w:color w:val="auto"/>
              </w:rPr>
            </w:pPr>
          </w:p>
        </w:tc>
        <w:tc>
          <w:tcPr>
            <w:tcW w:w="114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540" w:type="dxa"/>
            <w:vAlign w:val="bottom"/>
            <w:tcBorders>
              <w:top w:val="single" w:sz="8" w:color="B6B6B6"/>
              <w:bottom w:val="single" w:sz="8" w:color="auto"/>
            </w:tcBorders>
          </w:tcPr>
          <w:p>
            <w:pPr>
              <w:spacing w:after="0" w:line="20" w:lineRule="exact"/>
              <w:rPr>
                <w:sz w:val="1"/>
                <w:szCs w:val="1"/>
                <w:color w:val="auto"/>
              </w:rPr>
            </w:pPr>
          </w:p>
        </w:tc>
        <w:tc>
          <w:tcPr>
            <w:tcW w:w="940" w:type="dxa"/>
            <w:vAlign w:val="bottom"/>
            <w:tcBorders>
              <w:top w:val="single" w:sz="8" w:color="B6B6B6"/>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0"/>
        </w:trPr>
        <w:tc>
          <w:tcPr>
            <w:tcW w:w="8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spacing w:after="0"/>
              <w:rPr>
                <w:sz w:val="18"/>
                <w:szCs w:val="18"/>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14,574</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Less: net income from discontinued operations</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4,005</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from continuing operations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22,922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14,400</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Net amortization of premium/discount on investment securities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2,916</w:t>
            </w: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3,486</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Loss on sale of investment securities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355</w:t>
            </w: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in current income tax liability</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Increase in accounts receivable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(4,033)</w:t>
            </w: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w:t>
            </w: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33,959</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18,582</w:t>
            </w:r>
          </w:p>
        </w:tc>
      </w:tr>
      <w:tr>
        <w:trPr>
          <w:trHeight w:val="210"/>
        </w:trPr>
        <w:tc>
          <w:tcPr>
            <w:tcW w:w="8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provided by operating activities -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32,589</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20,319</w:t>
            </w:r>
          </w:p>
        </w:tc>
      </w:tr>
      <w:tr>
        <w:trPr>
          <w:trHeight w:val="34"/>
        </w:trPr>
        <w:tc>
          <w:tcPr>
            <w:tcW w:w="818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investment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24,985</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Proceeds from maturities of investment securities available-for-sale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55,814</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130,518</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investment securities available-for-sale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(354,813)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(71,121)</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in loans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(6,358)</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(64,069)</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TEM business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Decrease (increase) in payments in advance of funding</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20,490</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(8,341)</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premises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(8,321)</w:t>
            </w: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investing activities - continuing operations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(145,998)</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3,651</w:t>
            </w: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investing activities -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w:t>
            </w: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B6B6B6"/>
            </w:tcBorders>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(146,097)</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4,123</w:t>
            </w:r>
          </w:p>
        </w:tc>
      </w:tr>
      <w:tr>
        <w:trPr>
          <w:trHeight w:val="298"/>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(decrease) in noninterest-bearing demand deposits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155,939</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(131,786)</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interest-bearing demand and savings deposits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33,640</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in time deposits</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11,842</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4,655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accounts and drafts receivable from customers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79,760</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Net increase (decrease) in accounts and drafts payable</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760</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(130,806)</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paid</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(12,264)</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Purchase of common shares for treasury</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(17,728)</w:t>
            </w: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(3,705)</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(1,749)</w:t>
            </w: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financing activities - continuing operations</w:t>
            </w: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42,079</w:t>
            </w:r>
          </w:p>
        </w:tc>
        <w:tc>
          <w:tcPr>
            <w:tcW w:w="100" w:type="dxa"/>
            <w:vAlign w:val="bottom"/>
            <w:tcBorders>
              <w:bottom w:val="single" w:sz="8" w:color="B6B6B6"/>
            </w:tcBorders>
            <w:shd w:val="clear" w:color="auto" w:fill="B6B6B6"/>
          </w:tcPr>
          <w:p>
            <w:pPr>
              <w:spacing w:after="0"/>
              <w:rPr>
                <w:sz w:val="18"/>
                <w:szCs w:val="18"/>
                <w:color w:val="auto"/>
              </w:rPr>
            </w:pPr>
          </w:p>
        </w:tc>
        <w:tc>
          <w:tcPr>
            <w:tcW w:w="340" w:type="dxa"/>
            <w:vAlign w:val="bottom"/>
            <w:tcBorders>
              <w:bottom w:val="single" w:sz="8" w:color="B6B6B6"/>
            </w:tcBorders>
            <w:shd w:val="clear" w:color="auto" w:fill="B6B6B6"/>
          </w:tcPr>
          <w:p>
            <w:pPr>
              <w:spacing w:after="0"/>
              <w:rPr>
                <w:sz w:val="18"/>
                <w:szCs w:val="18"/>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(162,255)</w:t>
            </w:r>
          </w:p>
        </w:tc>
      </w:tr>
      <w:tr>
        <w:trPr>
          <w:trHeight w:val="210"/>
        </w:trPr>
        <w:tc>
          <w:tcPr>
            <w:tcW w:w="81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Net cash used in financing activities - discontinued operations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w:t>
            </w:r>
          </w:p>
        </w:tc>
      </w:tr>
      <w:tr>
        <w:trPr>
          <w:trHeight w:val="33"/>
        </w:trPr>
        <w:tc>
          <w:tcPr>
            <w:tcW w:w="818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B6B6B6"/>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6"/>
        </w:trPr>
        <w:tc>
          <w:tcPr>
            <w:tcW w:w="8180" w:type="dxa"/>
            <w:vAlign w:val="bottom"/>
            <w:tcBorders>
              <w:bottom w:val="single" w:sz="8" w:color="B6B6B6"/>
            </w:tcBorders>
            <w:shd w:val="clear" w:color="auto" w:fill="B6B6B6"/>
          </w:tcPr>
          <w:p>
            <w:pPr>
              <w:ind w:left="56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22,414</w:t>
            </w:r>
          </w:p>
        </w:tc>
        <w:tc>
          <w:tcPr>
            <w:tcW w:w="100" w:type="dxa"/>
            <w:vAlign w:val="bottom"/>
            <w:tcBorders>
              <w:bottom w:val="single" w:sz="8" w:color="B6B6B6"/>
            </w:tcBorders>
            <w:shd w:val="clear" w:color="auto" w:fill="B6B6B6"/>
          </w:tcPr>
          <w:p>
            <w:pPr>
              <w:spacing w:after="0"/>
              <w:rPr>
                <w:sz w:val="20"/>
                <w:szCs w:val="20"/>
                <w:color w:val="auto"/>
              </w:rPr>
            </w:pPr>
          </w:p>
        </w:tc>
        <w:tc>
          <w:tcPr>
            <w:tcW w:w="340" w:type="dxa"/>
            <w:vAlign w:val="bottom"/>
            <w:tcBorders>
              <w:bottom w:val="single" w:sz="8" w:color="B6B6B6"/>
            </w:tcBorders>
            <w:shd w:val="clear" w:color="auto" w:fill="B6B6B6"/>
          </w:tcPr>
          <w:p>
            <w:pPr>
              <w:spacing w:after="0"/>
              <w:rPr>
                <w:sz w:val="20"/>
                <w:szCs w:val="20"/>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(166,354)</w:t>
            </w:r>
          </w:p>
        </w:tc>
      </w:t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(91,094)</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(141,912)</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349,728</w:t>
            </w: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372,468</w:t>
            </w:r>
          </w:p>
        </w:tc>
      </w:tr>
      <w:tr>
        <w:trPr>
          <w:trHeight w:val="234"/>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258,634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230,556</w:t>
            </w:r>
          </w:p>
        </w:tc>
      </w:tr>
      <w:tr>
        <w:trPr>
          <w:trHeight w:val="24"/>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61"/>
        </w:trPr>
        <w:tc>
          <w:tcPr>
            <w:tcW w:w="8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23"/>
        </w:trPr>
        <w:tc>
          <w:tcPr>
            <w:tcW w:w="81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c>
          <w:tcPr>
            <w:tcW w:w="100" w:type="dxa"/>
            <w:vAlign w:val="bottom"/>
            <w:tcBorders>
              <w:bottom w:val="single" w:sz="8" w:color="B6B6B6"/>
            </w:tcBorders>
            <w:shd w:val="clear" w:color="auto" w:fill="B6B6B6"/>
          </w:tcPr>
          <w:p>
            <w:pPr>
              <w:spacing w:after="0"/>
              <w:rPr>
                <w:sz w:val="19"/>
                <w:szCs w:val="19"/>
                <w:color w:val="auto"/>
              </w:rPr>
            </w:pPr>
          </w:p>
        </w:tc>
        <w:tc>
          <w:tcPr>
            <w:tcW w:w="340" w:type="dxa"/>
            <w:vAlign w:val="bottom"/>
            <w:tcBorders>
              <w:bottom w:val="single" w:sz="8" w:color="B6B6B6"/>
            </w:tcBorders>
            <w:shd w:val="clear" w:color="auto" w:fill="B6B6B6"/>
          </w:tcPr>
          <w:p>
            <w:pPr>
              <w:spacing w:after="0"/>
              <w:rPr>
                <w:sz w:val="19"/>
                <w:szCs w:val="19"/>
                <w:color w:val="auto"/>
              </w:rPr>
            </w:pPr>
          </w:p>
        </w:tc>
        <w:tc>
          <w:tcPr>
            <w:tcW w:w="1140" w:type="dxa"/>
            <w:vAlign w:val="bottom"/>
            <w:tcBorders>
              <w:bottom w:val="single" w:sz="8" w:color="B6B6B6"/>
            </w:tcBorders>
            <w:shd w:val="clear" w:color="auto" w:fill="B6B6B6"/>
          </w:tcPr>
          <w:p>
            <w:pPr>
              <w:spacing w:after="0"/>
              <w:rPr>
                <w:sz w:val="19"/>
                <w:szCs w:val="19"/>
                <w:color w:val="auto"/>
              </w:rPr>
            </w:pPr>
          </w:p>
        </w:tc>
      </w:tr>
      <w:tr>
        <w:trPr>
          <w:trHeight w:val="210"/>
        </w:trPr>
        <w:tc>
          <w:tcPr>
            <w:tcW w:w="8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15,653</w:t>
            </w:r>
          </w:p>
        </w:tc>
      </w:tr>
      <w:tr>
        <w:trPr>
          <w:trHeight w:val="3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4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4,890</w:t>
            </w:r>
          </w:p>
        </w:tc>
        <w:tc>
          <w:tcPr>
            <w:tcW w:w="10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6"/>
                <w:szCs w:val="16"/>
                <w:color w:val="auto"/>
              </w:rPr>
              <w:t>4,095</w:t>
            </w:r>
          </w:p>
        </w:tc>
      </w:tr>
      <w:tr>
        <w:trPr>
          <w:trHeight w:val="33"/>
        </w:trPr>
        <w:tc>
          <w:tcPr>
            <w:tcW w:w="8180" w:type="dxa"/>
            <w:vAlign w:val="bottom"/>
            <w:shd w:val="clear" w:color="auto" w:fill="B6B6B6"/>
          </w:tcPr>
          <w:p>
            <w:pPr>
              <w:spacing w:after="0"/>
              <w:rPr>
                <w:sz w:val="2"/>
                <w:szCs w:val="2"/>
                <w:color w:val="auto"/>
              </w:rPr>
            </w:pPr>
          </w:p>
        </w:tc>
        <w:tc>
          <w:tcPr>
            <w:tcW w:w="340" w:type="dxa"/>
            <w:vAlign w:val="bottom"/>
            <w:shd w:val="clear" w:color="auto" w:fill="B6B6B6"/>
          </w:tcPr>
          <w:p>
            <w:pPr>
              <w:spacing w:after="0"/>
              <w:rPr>
                <w:sz w:val="2"/>
                <w:szCs w:val="2"/>
                <w:color w:val="auto"/>
              </w:rPr>
            </w:pPr>
          </w:p>
        </w:tc>
        <w:tc>
          <w:tcPr>
            <w:tcW w:w="1140" w:type="dxa"/>
            <w:vAlign w:val="bottom"/>
            <w:shd w:val="clear" w:color="auto" w:fill="B6B6B6"/>
          </w:tcPr>
          <w:p>
            <w:pPr>
              <w:spacing w:after="0"/>
              <w:rPr>
                <w:sz w:val="2"/>
                <w:szCs w:val="2"/>
                <w:color w:val="auto"/>
              </w:rPr>
            </w:pPr>
          </w:p>
        </w:tc>
        <w:tc>
          <w:tcPr>
            <w:tcW w:w="100" w:type="dxa"/>
            <w:vAlign w:val="bottom"/>
            <w:shd w:val="clear" w:color="auto" w:fill="B6B6B6"/>
          </w:tcPr>
          <w:p>
            <w:pPr>
              <w:spacing w:after="0"/>
              <w:rPr>
                <w:sz w:val="2"/>
                <w:szCs w:val="2"/>
                <w:color w:val="auto"/>
              </w:rPr>
            </w:pPr>
          </w:p>
        </w:tc>
        <w:tc>
          <w:tcPr>
            <w:tcW w:w="340" w:type="dxa"/>
            <w:vAlign w:val="bottom"/>
            <w:shd w:val="clear" w:color="auto" w:fill="B6B6B6"/>
          </w:tcPr>
          <w:p>
            <w:pPr>
              <w:spacing w:after="0"/>
              <w:rPr>
                <w:sz w:val="2"/>
                <w:szCs w:val="2"/>
                <w:color w:val="auto"/>
              </w:rPr>
            </w:pPr>
          </w:p>
        </w:tc>
        <w:tc>
          <w:tcPr>
            <w:tcW w:w="1140" w:type="dxa"/>
            <w:vAlign w:val="bottom"/>
            <w:shd w:val="clear" w:color="auto" w:fill="B6B6B6"/>
          </w:tcPr>
          <w:p>
            <w:pPr>
              <w:spacing w:after="0"/>
              <w:rPr>
                <w:sz w:val="2"/>
                <w:szCs w:val="2"/>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17" w:right="339" w:bottom="74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742"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6"/>
                <w:szCs w:val="16"/>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19"/>
                <w:szCs w:val="19"/>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204,128</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149,236</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(81,554)</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(49,638)</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229,925</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29"/>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($0.30 per share)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0" w:type="dxa"/>
            <w:vAlign w:val="bottom"/>
          </w:tcPr>
          <w:p>
            <w:pPr>
              <w:spacing w:after="0"/>
              <w:rPr>
                <w:sz w:val="1"/>
                <w:szCs w:val="1"/>
                <w:color w:val="auto"/>
              </w:rPr>
            </w:pPr>
          </w:p>
        </w:tc>
      </w:tr>
      <w:tr>
        <w:trPr>
          <w:trHeight w:val="176"/>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1,505 common shares pursuant</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share-based compensation plans, net</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0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64,471 common shares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29"/>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12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10,553</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205,026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237,647</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204,842</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158,005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(32,675)</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240,822</w:t>
            </w:r>
          </w:p>
        </w:tc>
        <w:tc>
          <w:tcPr>
            <w:tcW w:w="0" w:type="dxa"/>
            <w:vAlign w:val="bottom"/>
          </w:tcPr>
          <w:p>
            <w:pPr>
              <w:spacing w:after="0"/>
              <w:rPr>
                <w:sz w:val="1"/>
                <w:szCs w:val="1"/>
                <w:color w:val="auto"/>
              </w:rPr>
            </w:pP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($0.31 per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0" w:type="dxa"/>
            <w:vAlign w:val="bottom"/>
          </w:tcPr>
          <w:p>
            <w:pPr>
              <w:spacing w:after="0"/>
              <w:rPr>
                <w:sz w:val="1"/>
                <w:szCs w:val="1"/>
                <w:color w:val="auto"/>
              </w:rPr>
            </w:pPr>
          </w:p>
        </w:tc>
      </w:tr>
      <w:tr>
        <w:trPr>
          <w:trHeight w:val="175"/>
        </w:trPr>
        <w:tc>
          <w:tcPr>
            <w:tcW w:w="330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1,490 common shares pursuant</w:t>
            </w: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1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 share-based compensation plans, net</w:t>
            </w: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0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159,587 common shares</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205,925</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163,038</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(103,835)</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(29,432)</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243,449</w:t>
            </w:r>
          </w:p>
        </w:tc>
        <w:tc>
          <w:tcPr>
            <w:tcW w:w="0" w:type="dxa"/>
            <w:vAlign w:val="bottom"/>
          </w:tcPr>
          <w:p>
            <w:pPr>
              <w:spacing w:after="0"/>
              <w:rPr>
                <w:sz w:val="1"/>
                <w:szCs w:val="1"/>
                <w:color w:val="auto"/>
              </w:rPr>
            </w:pPr>
          </w:p>
        </w:tc>
      </w:tr>
      <w:tr>
        <w:trPr>
          <w:trHeight w:val="20"/>
        </w:trPr>
        <w:tc>
          <w:tcPr>
            <w:tcW w:w="33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12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60" w:type="dxa"/>
            <w:vAlign w:val="bottom"/>
          </w:tcPr>
          <w:p>
            <w:pPr>
              <w:spacing w:after="0"/>
              <w:rPr>
                <w:sz w:val="15"/>
                <w:szCs w:val="15"/>
                <w:color w:val="auto"/>
              </w:rPr>
            </w:pPr>
          </w:p>
        </w:tc>
        <w:tc>
          <w:tcPr>
            <w:tcW w:w="15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40" w:type="dxa"/>
            <w:vAlign w:val="bottom"/>
          </w:tcPr>
          <w:p>
            <w:pPr>
              <w:spacing w:after="0"/>
              <w:rPr>
                <w:sz w:val="15"/>
                <w:szCs w:val="15"/>
                <w:color w:val="auto"/>
              </w:rPr>
            </w:pPr>
          </w:p>
        </w:tc>
        <w:tc>
          <w:tcPr>
            <w:tcW w:w="9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8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60" w:type="dxa"/>
            <w:vAlign w:val="bottom"/>
          </w:tcPr>
          <w:p>
            <w:pPr>
              <w:spacing w:after="0"/>
              <w:rPr>
                <w:sz w:val="21"/>
                <w:szCs w:val="21"/>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208,007</w:t>
            </w:r>
          </w:p>
        </w:tc>
        <w:tc>
          <w:tcPr>
            <w:tcW w:w="80" w:type="dxa"/>
            <w:vAlign w:val="bottom"/>
            <w:tcBorders>
              <w:top w:val="single" w:sz="8" w:color="B6B6B6"/>
            </w:tcBorders>
            <w:shd w:val="clear" w:color="auto" w:fill="B6B6B6"/>
          </w:tcPr>
          <w:p>
            <w:pPr>
              <w:spacing w:after="0"/>
              <w:rPr>
                <w:sz w:val="19"/>
                <w:szCs w:val="19"/>
                <w:color w:val="auto"/>
              </w:rPr>
            </w:pPr>
          </w:p>
        </w:tc>
        <w:tc>
          <w:tcPr>
            <w:tcW w:w="1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145,782</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(84,264)</w:t>
            </w:r>
          </w:p>
        </w:tc>
        <w:tc>
          <w:tcPr>
            <w:tcW w:w="100" w:type="dxa"/>
            <w:vAlign w:val="bottom"/>
            <w:tcBorders>
              <w:top w:val="single" w:sz="8" w:color="B6B6B6"/>
            </w:tcBorders>
            <w:shd w:val="clear" w:color="auto" w:fill="B6B6B6"/>
          </w:tcPr>
          <w:p>
            <w:pPr>
              <w:spacing w:after="0"/>
              <w:rPr>
                <w:sz w:val="19"/>
                <w:szCs w:val="19"/>
                <w:color w:val="auto"/>
              </w:rPr>
            </w:pPr>
          </w:p>
        </w:tc>
        <w:tc>
          <w:tcPr>
            <w:tcW w:w="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(47,469)</w:t>
            </w:r>
          </w:p>
        </w:tc>
        <w:tc>
          <w:tcPr>
            <w:tcW w:w="80" w:type="dxa"/>
            <w:vAlign w:val="bottom"/>
            <w:tcBorders>
              <w:top w:val="single" w:sz="8" w:color="B6B6B6"/>
            </w:tcBorders>
            <w:shd w:val="clear" w:color="auto" w:fill="B6B6B6"/>
          </w:tcPr>
          <w:p>
            <w:pPr>
              <w:spacing w:after="0"/>
              <w:rPr>
                <w:sz w:val="19"/>
                <w:szCs w:val="19"/>
                <w:color w:val="auto"/>
              </w:rPr>
            </w:pPr>
          </w:p>
        </w:tc>
        <w:tc>
          <w:tcPr>
            <w:tcW w:w="240" w:type="dxa"/>
            <w:vAlign w:val="bottom"/>
            <w:tcBorders>
              <w:top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229,809</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0" w:type="dxa"/>
            <w:vAlign w:val="bottom"/>
          </w:tcPr>
          <w:p>
            <w:pPr>
              <w:spacing w:after="0"/>
              <w:rPr>
                <w:sz w:val="1"/>
                <w:szCs w:val="1"/>
                <w:color w:val="auto"/>
              </w:rPr>
            </w:pP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Cash dividends ($0.90 per share)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0" w:type="dxa"/>
            <w:vAlign w:val="bottom"/>
          </w:tcPr>
          <w:p>
            <w:pPr>
              <w:spacing w:after="0"/>
              <w:rPr>
                <w:sz w:val="1"/>
                <w:szCs w:val="1"/>
                <w:color w:val="auto"/>
              </w:rPr>
            </w:pPr>
          </w:p>
        </w:tc>
      </w:tr>
      <w:tr>
        <w:trPr>
          <w:trHeight w:val="175"/>
        </w:trPr>
        <w:tc>
          <w:tcPr>
            <w:tcW w:w="33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124,801 common shares</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pursuant to share-based compensation</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 net</w:t>
            </w: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29"/>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87,742 common shares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0" w:type="dxa"/>
            <w:vAlign w:val="bottom"/>
          </w:tcPr>
          <w:p>
            <w:pPr>
              <w:spacing w:after="0"/>
              <w:rPr>
                <w:sz w:val="1"/>
                <w:szCs w:val="1"/>
                <w:color w:val="auto"/>
              </w:rPr>
            </w:pP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120" w:type="dxa"/>
            <w:vAlign w:val="bottom"/>
            <w:tcBorders>
              <w:bottom w:val="single" w:sz="8" w:color="auto"/>
            </w:tcBorders>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tcBorders>
              <w:bottom w:val="single" w:sz="8" w:color="auto"/>
            </w:tcBorders>
            <w:shd w:val="clear" w:color="auto" w:fill="B6B6B6"/>
          </w:tcPr>
          <w:p>
            <w:pPr>
              <w:spacing w:after="0"/>
              <w:rPr>
                <w:sz w:val="19"/>
                <w:szCs w:val="19"/>
                <w:color w:val="auto"/>
              </w:rPr>
            </w:pPr>
          </w:p>
        </w:tc>
        <w:tc>
          <w:tcPr>
            <w:tcW w:w="96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980" w:type="dxa"/>
            <w:vAlign w:val="bottom"/>
            <w:tcBorders>
              <w:bottom w:val="single" w:sz="8" w:color="auto"/>
            </w:tcBorders>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tcBorders>
              <w:bottom w:val="single" w:sz="8" w:color="auto"/>
            </w:tcBorders>
            <w:shd w:val="clear" w:color="auto" w:fill="B6B6B6"/>
          </w:tcPr>
          <w:p>
            <w:pPr>
              <w:spacing w:after="0"/>
              <w:rPr>
                <w:sz w:val="19"/>
                <w:szCs w:val="19"/>
                <w:color w:val="auto"/>
              </w:rPr>
            </w:pP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8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205,026</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148,092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237,647</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3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205,593</w:t>
            </w:r>
          </w:p>
        </w:tc>
        <w:tc>
          <w:tcPr>
            <w:tcW w:w="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(87,615)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(45,188)</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229,030</w:t>
            </w:r>
          </w:p>
        </w:tc>
        <w:tc>
          <w:tcPr>
            <w:tcW w:w="0" w:type="dxa"/>
            <w:vAlign w:val="bottom"/>
          </w:tcPr>
          <w:p>
            <w:pPr>
              <w:spacing w:after="0"/>
              <w:rPr>
                <w:sz w:val="1"/>
                <w:szCs w:val="1"/>
                <w:color w:val="auto"/>
              </w:rPr>
            </w:pPr>
          </w:p>
        </w:tc>
      </w:tr>
      <w:tr>
        <w:trPr>
          <w:trHeight w:val="229"/>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26,927</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26,927</w:t>
            </w:r>
          </w:p>
        </w:tc>
        <w:tc>
          <w:tcPr>
            <w:tcW w:w="0" w:type="dxa"/>
            <w:vAlign w:val="bottom"/>
          </w:tcPr>
          <w:p>
            <w:pPr>
              <w:spacing w:after="0"/>
              <w:rPr>
                <w:sz w:val="1"/>
                <w:szCs w:val="1"/>
                <w:color w:val="auto"/>
              </w:rPr>
            </w:pPr>
          </w:p>
        </w:tc>
      </w:tr>
      <w:tr>
        <w:trPr>
          <w:trHeight w:val="230"/>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($0.93 per share)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(12,376)</w:t>
            </w:r>
          </w:p>
        </w:tc>
        <w:tc>
          <w:tcPr>
            <w:tcW w:w="0" w:type="dxa"/>
            <w:vAlign w:val="bottom"/>
          </w:tcPr>
          <w:p>
            <w:pPr>
              <w:spacing w:after="0"/>
              <w:rPr>
                <w:sz w:val="1"/>
                <w:szCs w:val="1"/>
                <w:color w:val="auto"/>
              </w:rPr>
            </w:pPr>
          </w:p>
        </w:tc>
      </w:tr>
      <w:tr>
        <w:trPr>
          <w:trHeight w:val="175"/>
        </w:trPr>
        <w:tc>
          <w:tcPr>
            <w:tcW w:w="3300" w:type="dxa"/>
            <w:vAlign w:val="bottom"/>
            <w:shd w:val="clear" w:color="auto" w:fill="B6B6B6"/>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120,642 common shares</w:t>
            </w: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1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300" w:type="dxa"/>
            <w:vAlign w:val="bottom"/>
            <w:shd w:val="clear" w:color="auto" w:fill="B6B6B6"/>
          </w:tcPr>
          <w:p>
            <w:pPr>
              <w:ind w:left="180"/>
              <w:spacing w:after="0" w:line="176" w:lineRule="exact"/>
              <w:rPr>
                <w:sz w:val="20"/>
                <w:szCs w:val="20"/>
                <w:color w:val="auto"/>
              </w:rPr>
            </w:pPr>
            <w:r>
              <w:rPr>
                <w:rFonts w:ascii="Times New Roman" w:cs="Times New Roman" w:eastAsia="Times New Roman" w:hAnsi="Times New Roman"/>
                <w:sz w:val="18"/>
                <w:szCs w:val="18"/>
                <w:color w:val="auto"/>
              </w:rPr>
              <w:t>pursuant to share-based compensation</w:t>
            </w: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1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180" w:type="dxa"/>
            <w:vAlign w:val="bottom"/>
            <w:shd w:val="clear" w:color="auto" w:fill="B6B6B6"/>
          </w:tcPr>
          <w:p>
            <w:pPr>
              <w:spacing w:after="0"/>
              <w:rPr>
                <w:sz w:val="15"/>
                <w:szCs w:val="15"/>
                <w:color w:val="auto"/>
              </w:rPr>
            </w:pPr>
          </w:p>
        </w:tc>
        <w:tc>
          <w:tcPr>
            <w:tcW w:w="96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98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160" w:type="dxa"/>
            <w:vAlign w:val="bottom"/>
            <w:shd w:val="clear" w:color="auto" w:fill="B6B6B6"/>
          </w:tcPr>
          <w:p>
            <w:pPr>
              <w:spacing w:after="0"/>
              <w:rPr>
                <w:sz w:val="15"/>
                <w:szCs w:val="15"/>
                <w:color w:val="auto"/>
              </w:rPr>
            </w:pPr>
          </w:p>
        </w:tc>
        <w:tc>
          <w:tcPr>
            <w:tcW w:w="148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plans, net</w:t>
            </w: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8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shd w:val="clear" w:color="auto" w:fill="B6B6B6"/>
          </w:tcPr>
          <w:p>
            <w:pPr>
              <w:spacing w:after="0"/>
              <w:rPr>
                <w:sz w:val="21"/>
                <w:szCs w:val="21"/>
                <w:color w:val="auto"/>
              </w:rPr>
            </w:pPr>
          </w:p>
        </w:tc>
        <w:tc>
          <w:tcPr>
            <w:tcW w:w="160" w:type="dxa"/>
            <w:vAlign w:val="bottom"/>
            <w:shd w:val="clear" w:color="auto" w:fill="B6B6B6"/>
          </w:tcPr>
          <w:p>
            <w:pPr>
              <w:spacing w:after="0"/>
              <w:rPr>
                <w:sz w:val="21"/>
                <w:szCs w:val="21"/>
                <w:color w:val="auto"/>
              </w:rPr>
            </w:pPr>
          </w:p>
        </w:tc>
        <w:tc>
          <w:tcPr>
            <w:tcW w:w="148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0" w:type="dxa"/>
            <w:vAlign w:val="bottom"/>
          </w:tcPr>
          <w:p>
            <w:pPr>
              <w:spacing w:after="0"/>
              <w:rPr>
                <w:sz w:val="1"/>
                <w:szCs w:val="1"/>
                <w:color w:val="auto"/>
              </w:rPr>
            </w:pPr>
          </w:p>
        </w:tc>
      </w:tr>
      <w:tr>
        <w:trPr>
          <w:trHeight w:val="22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0" w:type="dxa"/>
            <w:vAlign w:val="bottom"/>
          </w:tcPr>
          <w:p>
            <w:pPr>
              <w:spacing w:after="0"/>
              <w:rPr>
                <w:sz w:val="1"/>
                <w:szCs w:val="1"/>
                <w:color w:val="auto"/>
              </w:rPr>
            </w:pPr>
          </w:p>
        </w:tc>
      </w:tr>
      <w:tr>
        <w:trPr>
          <w:trHeight w:val="230"/>
        </w:trPr>
        <w:tc>
          <w:tcPr>
            <w:tcW w:w="33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Purchase of 415,965 common shares</w:t>
            </w: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1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1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100" w:type="dxa"/>
            <w:vAlign w:val="bottom"/>
            <w:shd w:val="clear" w:color="auto" w:fill="B6B6B6"/>
          </w:tcPr>
          <w:p>
            <w:pPr>
              <w:spacing w:after="0"/>
              <w:rPr>
                <w:sz w:val="19"/>
                <w:szCs w:val="19"/>
                <w:color w:val="auto"/>
              </w:rPr>
            </w:pPr>
          </w:p>
        </w:tc>
        <w:tc>
          <w:tcPr>
            <w:tcW w:w="160" w:type="dxa"/>
            <w:vAlign w:val="bottom"/>
            <w:shd w:val="clear" w:color="auto" w:fill="B6B6B6"/>
          </w:tcPr>
          <w:p>
            <w:pPr>
              <w:spacing w:after="0"/>
              <w:rPr>
                <w:sz w:val="19"/>
                <w:szCs w:val="19"/>
                <w:color w:val="auto"/>
              </w:rPr>
            </w:pPr>
          </w:p>
        </w:tc>
        <w:tc>
          <w:tcPr>
            <w:tcW w:w="148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(17,728)</w:t>
            </w:r>
          </w:p>
        </w:tc>
        <w:tc>
          <w:tcPr>
            <w:tcW w:w="0" w:type="dxa"/>
            <w:vAlign w:val="bottom"/>
          </w:tcPr>
          <w:p>
            <w:pPr>
              <w:spacing w:after="0"/>
              <w:rPr>
                <w:sz w:val="1"/>
                <w:szCs w:val="1"/>
                <w:color w:val="auto"/>
              </w:rPr>
            </w:pPr>
          </w:p>
        </w:tc>
      </w:tr>
      <w:tr>
        <w:trPr>
          <w:trHeight w:val="230"/>
        </w:trPr>
        <w:tc>
          <w:tcPr>
            <w:tcW w:w="330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gain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B6B6B6"/>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8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15,756</w:t>
            </w:r>
          </w:p>
        </w:tc>
        <w:tc>
          <w:tcPr>
            <w:tcW w:w="0" w:type="dxa"/>
            <w:vAlign w:val="bottom"/>
          </w:tcPr>
          <w:p>
            <w:pPr>
              <w:spacing w:after="0"/>
              <w:rPr>
                <w:sz w:val="1"/>
                <w:szCs w:val="1"/>
                <w:color w:val="auto"/>
              </w:rPr>
            </w:pPr>
          </w:p>
        </w:tc>
      </w:tr>
      <w:tr>
        <w:trPr>
          <w:trHeight w:val="248"/>
        </w:trPr>
        <w:tc>
          <w:tcPr>
            <w:tcW w:w="330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205,925</w:t>
            </w:r>
          </w:p>
        </w:tc>
        <w:tc>
          <w:tcPr>
            <w:tcW w:w="80" w:type="dxa"/>
            <w:vAlign w:val="bottom"/>
            <w:tcBorders>
              <w:bottom w:val="single" w:sz="8" w:color="B6B6B6"/>
            </w:tcBorders>
            <w:shd w:val="clear" w:color="auto" w:fill="B6B6B6"/>
          </w:tcPr>
          <w:p>
            <w:pPr>
              <w:spacing w:after="0"/>
              <w:rPr>
                <w:sz w:val="21"/>
                <w:szCs w:val="21"/>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163,038</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(103,835)</w:t>
            </w:r>
          </w:p>
        </w:tc>
        <w:tc>
          <w:tcPr>
            <w:tcW w:w="100" w:type="dxa"/>
            <w:vAlign w:val="bottom"/>
            <w:tcBorders>
              <w:bottom w:val="single" w:sz="8" w:color="B6B6B6"/>
            </w:tcBorders>
            <w:shd w:val="clear" w:color="auto" w:fill="B6B6B6"/>
          </w:tcPr>
          <w:p>
            <w:pPr>
              <w:spacing w:after="0"/>
              <w:rPr>
                <w:sz w:val="21"/>
                <w:szCs w:val="21"/>
                <w:color w:val="auto"/>
              </w:rPr>
            </w:pP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(29,432)</w:t>
            </w:r>
          </w:p>
        </w:tc>
        <w:tc>
          <w:tcPr>
            <w:tcW w:w="80" w:type="dxa"/>
            <w:vAlign w:val="bottom"/>
            <w:tcBorders>
              <w:bottom w:val="single" w:sz="8" w:color="B6B6B6"/>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243,449</w:t>
            </w:r>
          </w:p>
        </w:tc>
        <w:tc>
          <w:tcPr>
            <w:tcW w:w="0" w:type="dxa"/>
            <w:vAlign w:val="bottom"/>
          </w:tcPr>
          <w:p>
            <w:pPr>
              <w:spacing w:after="0"/>
              <w:rPr>
                <w:sz w:val="1"/>
                <w:szCs w:val="1"/>
                <w:color w:val="auto"/>
              </w:rPr>
            </w:pPr>
          </w:p>
        </w:tc>
      </w:tr>
      <w:tr>
        <w:trPr>
          <w:trHeight w:val="20"/>
        </w:trPr>
        <w:tc>
          <w:tcPr>
            <w:tcW w:w="33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12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180" w:type="dxa"/>
            <w:vAlign w:val="bottom"/>
            <w:tcBorders>
              <w:top w:val="single" w:sz="8" w:color="B6B6B6"/>
              <w:bottom w:val="single" w:sz="8" w:color="auto"/>
            </w:tcBorders>
          </w:tcPr>
          <w:p>
            <w:pPr>
              <w:spacing w:after="0" w:line="20" w:lineRule="exact"/>
              <w:rPr>
                <w:sz w:val="1"/>
                <w:szCs w:val="1"/>
                <w:color w:val="auto"/>
              </w:rPr>
            </w:pPr>
          </w:p>
        </w:tc>
        <w:tc>
          <w:tcPr>
            <w:tcW w:w="96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160" w:type="dxa"/>
            <w:vAlign w:val="bottom"/>
            <w:tcBorders>
              <w:top w:val="single" w:sz="8" w:color="B6B6B6"/>
              <w:bottom w:val="single" w:sz="8" w:color="auto"/>
            </w:tcBorders>
          </w:tcPr>
          <w:p>
            <w:pPr>
              <w:spacing w:after="0" w:line="20" w:lineRule="exact"/>
              <w:rPr>
                <w:sz w:val="1"/>
                <w:szCs w:val="1"/>
                <w:color w:val="auto"/>
              </w:rPr>
            </w:pPr>
          </w:p>
        </w:tc>
        <w:tc>
          <w:tcPr>
            <w:tcW w:w="1480" w:type="dxa"/>
            <w:vAlign w:val="bottom"/>
            <w:tcBorders>
              <w:top w:val="single" w:sz="8" w:color="B6B6B6"/>
              <w:bottom w:val="single" w:sz="8" w:color="auto"/>
            </w:tcBorders>
          </w:tcPr>
          <w:p>
            <w:pPr>
              <w:spacing w:after="0" w:line="20" w:lineRule="exact"/>
              <w:rPr>
                <w:sz w:val="1"/>
                <w:szCs w:val="1"/>
                <w:color w:val="auto"/>
              </w:rPr>
            </w:pPr>
          </w:p>
        </w:tc>
        <w:tc>
          <w:tcPr>
            <w:tcW w:w="80" w:type="dxa"/>
            <w:vAlign w:val="bottom"/>
            <w:tcBorders>
              <w:top w:val="single" w:sz="8" w:color="B6B6B6"/>
            </w:tcBorders>
          </w:tcPr>
          <w:p>
            <w:pPr>
              <w:spacing w:after="0" w:line="20" w:lineRule="exact"/>
              <w:rPr>
                <w:sz w:val="1"/>
                <w:szCs w:val="1"/>
                <w:color w:val="auto"/>
              </w:rPr>
            </w:pPr>
          </w:p>
        </w:tc>
        <w:tc>
          <w:tcPr>
            <w:tcW w:w="240" w:type="dxa"/>
            <w:vAlign w:val="bottom"/>
            <w:tcBorders>
              <w:top w:val="single" w:sz="8" w:color="B6B6B6"/>
              <w:bottom w:val="single" w:sz="8" w:color="auto"/>
            </w:tcBorders>
          </w:tcPr>
          <w:p>
            <w:pPr>
              <w:spacing w:after="0" w:line="20" w:lineRule="exact"/>
              <w:rPr>
                <w:sz w:val="1"/>
                <w:szCs w:val="1"/>
                <w:color w:val="auto"/>
              </w:rPr>
            </w:pPr>
          </w:p>
        </w:tc>
        <w:tc>
          <w:tcPr>
            <w:tcW w:w="90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CASS INFORMATION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Rule 10-01 of Regulation S-X. Accordingly, they do not include all of the information and notes required by U.S. generally accepted accounting principles for complete financial statements. In the opinion of management, all adjustments, consisting of normal recurring accruals, considered necessary for a fair presentation have been included. Certain amounts in prior-period financial statements have been reclassified to conform to the current period’s presentation. Such reclassifications have no effect on previously reported net income or shareholders’ equity. For further information, refer to the audited consolidated financial statements and related footnotes included in Cass Information System, Inc.’s (the “Company” or “Cass”) Annual Report on Form 10-K for the year ended December 31, 2024 ("2024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Discontinued Operations and Assets and Liabilities Held for Sale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7, 2025, the Company signed an Asset Purchase Agreement providing for the sale of its telecom expense management and managed mobility solutions business unit ("TEM Business Unit") to Asignet USA Inc ("Asignet") for a purchase price of $18.0 million. The sale closed on June 30, 2025. The Company also signed a Transition Services Agreement with Asignet to provide certain information technology, data ingestion, and payment processing services for a period of time not to exceed 18 months after closing.</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applied discontinued operations accounting in accordance with Accounting Standards Codification, or ASC, Topic 205-20, “Presentation of Financial Statements – Discontinued Operations,” to the assets and liabilities being sold related to the Company's TEM Business Unit as of September 30, 2025 and December 31, 2024, and for the three and nine months ended September 30, 2025, and 2024, as applicable. The sale of the TEM Business Unit represents a strategic shift due to the Company completely exiting both the telecom expense management and managed mobility solutions businesses. The Company did not allocate any consolidated interest that is not directly attributable to or related to discontinued operations. All financial information in the consolidated financial statements and notes to the consolidated financial statements is reported on a continuing operations basis, unless otherwise noted. The TEM Business Unit is included in the Information Services operating segment.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 of major classes of assets and liabilities included as part of discontinued operations at September 30, 2025, and December 31, 2024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4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3"/>
        </w:trPr>
        <w:tc>
          <w:tcPr>
            <w:tcW w:w="4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62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520" w:type="dxa"/>
            <w:vAlign w:val="bottom"/>
            <w:shd w:val="clear" w:color="auto" w:fill="B6B6B6"/>
          </w:tcPr>
          <w:p>
            <w:pPr>
              <w:spacing w:after="0"/>
              <w:rPr>
                <w:sz w:val="19"/>
                <w:szCs w:val="19"/>
                <w:color w:val="auto"/>
              </w:rPr>
            </w:pPr>
          </w:p>
        </w:tc>
        <w:tc>
          <w:tcPr>
            <w:tcW w:w="98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0" w:type="dxa"/>
            <w:vAlign w:val="bottom"/>
          </w:tcPr>
          <w:p>
            <w:pPr>
              <w:spacing w:after="0"/>
              <w:rPr>
                <w:sz w:val="1"/>
                <w:szCs w:val="1"/>
                <w:color w:val="auto"/>
              </w:rPr>
            </w:pPr>
          </w:p>
        </w:tc>
      </w:tr>
      <w:tr>
        <w:trPr>
          <w:trHeight w:val="230"/>
        </w:trPr>
        <w:tc>
          <w:tcPr>
            <w:tcW w:w="4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720" w:type="dxa"/>
            <w:vAlign w:val="bottom"/>
            <w:gridSpan w:val="2"/>
            <w:shd w:val="clear" w:color="auto" w:fill="B6B6B6"/>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30"/>
        </w:trPr>
        <w:tc>
          <w:tcPr>
            <w:tcW w:w="4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6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1720" w:type="dxa"/>
            <w:vAlign w:val="bottom"/>
            <w:gridSpan w:val="2"/>
            <w:shd w:val="clear" w:color="auto" w:fill="B6B6B6"/>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6B6B6"/>
          </w:tcPr>
          <w:p>
            <w:pPr>
              <w:spacing w:after="0"/>
              <w:rPr>
                <w:sz w:val="19"/>
                <w:szCs w:val="19"/>
                <w:color w:val="auto"/>
              </w:rPr>
            </w:pP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0" w:type="dxa"/>
            <w:vAlign w:val="bottom"/>
          </w:tcPr>
          <w:p>
            <w:pPr>
              <w:spacing w:after="0"/>
              <w:rPr>
                <w:sz w:val="1"/>
                <w:szCs w:val="1"/>
                <w:color w:val="auto"/>
              </w:rPr>
            </w:pPr>
          </w:p>
        </w:tc>
      </w:tr>
      <w:tr>
        <w:trPr>
          <w:trHeight w:val="223"/>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3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0" w:type="dxa"/>
            <w:vAlign w:val="bottom"/>
          </w:tcPr>
          <w:p>
            <w:pPr>
              <w:spacing w:after="0"/>
              <w:rPr>
                <w:sz w:val="1"/>
                <w:szCs w:val="1"/>
                <w:color w:val="auto"/>
              </w:rPr>
            </w:pPr>
          </w:p>
        </w:tc>
      </w:tr>
      <w:tr>
        <w:trPr>
          <w:trHeight w:val="20"/>
        </w:trPr>
        <w:tc>
          <w:tcPr>
            <w:tcW w:w="4460" w:type="dxa"/>
            <w:vAlign w:val="bottom"/>
            <w:tcBorders>
              <w:bottom w:val="single" w:sz="8" w:color="B6B6B6"/>
            </w:tcBorders>
          </w:tcPr>
          <w:p>
            <w:pPr>
              <w:spacing w:after="0" w:line="20" w:lineRule="exact"/>
              <w:rPr>
                <w:sz w:val="1"/>
                <w:szCs w:val="1"/>
                <w:color w:val="auto"/>
              </w:rPr>
            </w:pPr>
          </w:p>
        </w:tc>
        <w:tc>
          <w:tcPr>
            <w:tcW w:w="3460" w:type="dxa"/>
            <w:vAlign w:val="bottom"/>
            <w:tcBorders>
              <w:bottom w:val="single" w:sz="8" w:color="B6B6B6"/>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4460" w:type="dxa"/>
            <w:vAlign w:val="bottom"/>
            <w:shd w:val="clear" w:color="auto" w:fill="B6B6B6"/>
          </w:tcPr>
          <w:p>
            <w:pPr>
              <w:spacing w:after="0"/>
              <w:rPr>
                <w:sz w:val="5"/>
                <w:szCs w:val="5"/>
                <w:color w:val="auto"/>
              </w:rPr>
            </w:pPr>
          </w:p>
        </w:tc>
        <w:tc>
          <w:tcPr>
            <w:tcW w:w="3460" w:type="dxa"/>
            <w:vAlign w:val="bottom"/>
            <w:shd w:val="clear" w:color="auto" w:fill="B6B6B6"/>
          </w:tcPr>
          <w:p>
            <w:pPr>
              <w:spacing w:after="0"/>
              <w:rPr>
                <w:sz w:val="5"/>
                <w:szCs w:val="5"/>
                <w:color w:val="auto"/>
              </w:rPr>
            </w:pPr>
          </w:p>
        </w:tc>
        <w:tc>
          <w:tcPr>
            <w:tcW w:w="100" w:type="dxa"/>
            <w:vAlign w:val="bottom"/>
            <w:shd w:val="clear" w:color="auto" w:fill="B6B6B6"/>
          </w:tcPr>
          <w:p>
            <w:pPr>
              <w:spacing w:after="0"/>
              <w:rPr>
                <w:sz w:val="5"/>
                <w:szCs w:val="5"/>
                <w:color w:val="auto"/>
              </w:rPr>
            </w:pPr>
          </w:p>
        </w:tc>
        <w:tc>
          <w:tcPr>
            <w:tcW w:w="1620" w:type="dxa"/>
            <w:vAlign w:val="bottom"/>
            <w:shd w:val="clear" w:color="auto" w:fill="B6B6B6"/>
          </w:tcPr>
          <w:p>
            <w:pPr>
              <w:spacing w:after="0"/>
              <w:rPr>
                <w:sz w:val="5"/>
                <w:szCs w:val="5"/>
                <w:color w:val="auto"/>
              </w:rPr>
            </w:pPr>
          </w:p>
        </w:tc>
        <w:tc>
          <w:tcPr>
            <w:tcW w:w="100" w:type="dxa"/>
            <w:vAlign w:val="bottom"/>
            <w:shd w:val="clear" w:color="auto" w:fill="B6B6B6"/>
          </w:tcPr>
          <w:p>
            <w:pPr>
              <w:spacing w:after="0"/>
              <w:rPr>
                <w:sz w:val="5"/>
                <w:szCs w:val="5"/>
                <w:color w:val="auto"/>
              </w:rPr>
            </w:pPr>
          </w:p>
        </w:tc>
        <w:tc>
          <w:tcPr>
            <w:tcW w:w="520" w:type="dxa"/>
            <w:vAlign w:val="bottom"/>
            <w:shd w:val="clear" w:color="auto" w:fill="B6B6B6"/>
          </w:tcPr>
          <w:p>
            <w:pPr>
              <w:spacing w:after="0"/>
              <w:rPr>
                <w:sz w:val="5"/>
                <w:szCs w:val="5"/>
                <w:color w:val="auto"/>
              </w:rPr>
            </w:pPr>
          </w:p>
        </w:tc>
        <w:tc>
          <w:tcPr>
            <w:tcW w:w="980" w:type="dxa"/>
            <w:vAlign w:val="bottom"/>
            <w:shd w:val="clear" w:color="auto" w:fill="B6B6B6"/>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3560" w:type="dxa"/>
            <w:vAlign w:val="bottom"/>
            <w:gridSpan w:val="2"/>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B6B6B6"/>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19,665</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0" w:type="dxa"/>
            <w:vAlign w:val="bottom"/>
          </w:tcPr>
          <w:p>
            <w:pPr>
              <w:spacing w:after="0"/>
              <w:rPr>
                <w:sz w:val="1"/>
                <w:szCs w:val="1"/>
                <w:color w:val="auto"/>
              </w:rPr>
            </w:pPr>
          </w:p>
        </w:tc>
      </w:tr>
      <w:tr>
        <w:trPr>
          <w:trHeight w:val="248"/>
        </w:trPr>
        <w:tc>
          <w:tcPr>
            <w:tcW w:w="4460" w:type="dxa"/>
            <w:vAlign w:val="bottom"/>
            <w:tcBorders>
              <w:top w:val="single" w:sz="8" w:color="B6B6B6"/>
              <w:bottom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3460" w:type="dxa"/>
            <w:vAlign w:val="bottom"/>
            <w:tcBorders>
              <w:top w:val="single" w:sz="8" w:color="B6B6B6"/>
              <w:bottom w:val="single" w:sz="8" w:color="B6B6B6"/>
            </w:tcBorders>
            <w:shd w:val="clear" w:color="auto" w:fill="B6B6B6"/>
          </w:tcPr>
          <w:p>
            <w:pPr>
              <w:spacing w:after="0"/>
              <w:rPr>
                <w:sz w:val="21"/>
                <w:szCs w:val="21"/>
                <w:color w:val="auto"/>
              </w:rPr>
            </w:pPr>
          </w:p>
        </w:tc>
        <w:tc>
          <w:tcPr>
            <w:tcW w:w="10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B6B6B6"/>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B6B6B6"/>
              <w:bottom w:val="single" w:sz="8" w:color="B6B6B6"/>
            </w:tcBorders>
            <w:shd w:val="clear" w:color="auto" w:fill="B6B6B6"/>
          </w:tcPr>
          <w:p>
            <w:pPr>
              <w:spacing w:after="0"/>
              <w:rPr>
                <w:sz w:val="21"/>
                <w:szCs w:val="21"/>
                <w:color w:val="auto"/>
              </w:rPr>
            </w:pPr>
          </w:p>
        </w:tc>
        <w:tc>
          <w:tcPr>
            <w:tcW w:w="520" w:type="dxa"/>
            <w:vAlign w:val="bottom"/>
            <w:tcBorders>
              <w:top w:val="single" w:sz="8" w:color="auto"/>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0" w:type="dxa"/>
            <w:vAlign w:val="bottom"/>
          </w:tcPr>
          <w:p>
            <w:pPr>
              <w:spacing w:after="0"/>
              <w:rPr>
                <w:sz w:val="1"/>
                <w:szCs w:val="1"/>
                <w:color w:val="auto"/>
              </w:rPr>
            </w:pPr>
          </w:p>
        </w:tc>
      </w:tr>
      <w:tr>
        <w:trPr>
          <w:trHeight w:val="20"/>
        </w:trPr>
        <w:tc>
          <w:tcPr>
            <w:tcW w:w="4460" w:type="dxa"/>
            <w:vAlign w:val="bottom"/>
            <w:tcBorders>
              <w:top w:val="single" w:sz="8" w:color="B6B6B6"/>
            </w:tcBorders>
          </w:tcPr>
          <w:p>
            <w:pPr>
              <w:spacing w:after="0" w:line="20" w:lineRule="exact"/>
              <w:rPr>
                <w:sz w:val="1"/>
                <w:szCs w:val="1"/>
                <w:color w:val="auto"/>
              </w:rPr>
            </w:pPr>
          </w:p>
        </w:tc>
        <w:tc>
          <w:tcPr>
            <w:tcW w:w="3460" w:type="dxa"/>
            <w:vAlign w:val="bottom"/>
            <w:tcBorders>
              <w:top w:val="single" w:sz="8" w:color="B6B6B6"/>
              <w:bottom w:val="single" w:sz="8" w:color="B6B6B6"/>
            </w:tcBorders>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B6B6B6"/>
              <w:bottom w:val="single" w:sz="8" w:color="auto"/>
            </w:tcBorders>
          </w:tcPr>
          <w:p>
            <w:pPr>
              <w:spacing w:after="0" w:line="20" w:lineRule="exact"/>
              <w:rPr>
                <w:sz w:val="1"/>
                <w:szCs w:val="1"/>
                <w:color w:val="auto"/>
              </w:rPr>
            </w:pPr>
          </w:p>
        </w:tc>
        <w:tc>
          <w:tcPr>
            <w:tcW w:w="1620" w:type="dxa"/>
            <w:vAlign w:val="bottom"/>
            <w:tcBorders>
              <w:top w:val="single" w:sz="8" w:color="B6B6B6"/>
              <w:bottom w:val="single" w:sz="8" w:color="auto"/>
            </w:tcBorders>
          </w:tcPr>
          <w:p>
            <w:pPr>
              <w:spacing w:after="0" w:line="20" w:lineRule="exact"/>
              <w:rPr>
                <w:sz w:val="1"/>
                <w:szCs w:val="1"/>
                <w:color w:val="auto"/>
              </w:rPr>
            </w:pPr>
          </w:p>
        </w:tc>
        <w:tc>
          <w:tcPr>
            <w:tcW w:w="100" w:type="dxa"/>
            <w:vAlign w:val="bottom"/>
            <w:tcBorders>
              <w:top w:val="single" w:sz="8" w:color="B6B6B6"/>
            </w:tcBorders>
          </w:tcPr>
          <w:p>
            <w:pPr>
              <w:spacing w:after="0" w:line="20" w:lineRule="exact"/>
              <w:rPr>
                <w:sz w:val="1"/>
                <w:szCs w:val="1"/>
                <w:color w:val="auto"/>
              </w:rPr>
            </w:pPr>
          </w:p>
        </w:tc>
        <w:tc>
          <w:tcPr>
            <w:tcW w:w="520" w:type="dxa"/>
            <w:vAlign w:val="bottom"/>
            <w:tcBorders>
              <w:top w:val="single" w:sz="8" w:color="B6B6B6"/>
              <w:bottom w:val="single" w:sz="8" w:color="auto"/>
            </w:tcBorders>
          </w:tcPr>
          <w:p>
            <w:pPr>
              <w:spacing w:after="0" w:line="20" w:lineRule="exact"/>
              <w:rPr>
                <w:sz w:val="1"/>
                <w:szCs w:val="1"/>
                <w:color w:val="auto"/>
              </w:rPr>
            </w:pPr>
          </w:p>
        </w:tc>
        <w:tc>
          <w:tcPr>
            <w:tcW w:w="980" w:type="dxa"/>
            <w:vAlign w:val="bottom"/>
            <w:tcBorders>
              <w:top w:val="single" w:sz="8" w:color="B6B6B6"/>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46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46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discontinued operations, net of tax, for the three and nine months ended September 30, 2025, and 2024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8"/>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B6B6B6"/>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tc>
        <w:tc>
          <w:tcPr>
            <w:tcW w:w="240" w:type="dxa"/>
            <w:vAlign w:val="bottom"/>
            <w:shd w:val="clear" w:color="auto" w:fill="B6B6B6"/>
          </w:tcPr>
          <w:p>
            <w:pPr>
              <w:spacing w:after="0"/>
              <w:rPr>
                <w:sz w:val="19"/>
                <w:szCs w:val="19"/>
                <w:color w:val="auto"/>
              </w:rPr>
            </w:pPr>
          </w:p>
        </w:tc>
        <w:tc>
          <w:tcPr>
            <w:tcW w:w="920" w:type="dxa"/>
            <w:vAlign w:val="bottom"/>
            <w:shd w:val="clear" w:color="auto" w:fill="B6B6B6"/>
          </w:tcPr>
          <w:p>
            <w:pPr>
              <w:spacing w:after="0"/>
              <w:rPr>
                <w:sz w:val="19"/>
                <w:szCs w:val="19"/>
                <w:color w:val="auto"/>
              </w:rPr>
            </w:pPr>
          </w:p>
        </w:tc>
        <w:tc>
          <w:tcPr>
            <w:tcW w:w="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spacing w:after="0"/>
              <w:rPr>
                <w:sz w:val="19"/>
                <w:szCs w:val="19"/>
                <w:color w:val="auto"/>
              </w:rPr>
            </w:pP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12,027</w:t>
            </w:r>
          </w:p>
        </w:tc>
      </w:tr>
      <w:tr>
        <w:trPr>
          <w:trHeight w:val="229"/>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40" w:type="dxa"/>
            <w:vAlign w:val="bottom"/>
            <w:shd w:val="clear" w:color="auto" w:fill="B6B6B6"/>
          </w:tcPr>
          <w:p>
            <w:pPr>
              <w:spacing w:after="0"/>
              <w:rPr>
                <w:sz w:val="19"/>
                <w:szCs w:val="19"/>
                <w:color w:val="auto"/>
              </w:rPr>
            </w:pPr>
          </w:p>
        </w:tc>
        <w:tc>
          <w:tcPr>
            <w:tcW w:w="100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r>
      <w:tr>
        <w:trPr>
          <w:trHeight w:val="229"/>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Gain on sale of TEM business</w:t>
            </w:r>
          </w:p>
        </w:tc>
        <w:tc>
          <w:tcPr>
            <w:tcW w:w="240" w:type="dxa"/>
            <w:vAlign w:val="bottom"/>
            <w:shd w:val="clear" w:color="auto" w:fill="B6B6B6"/>
          </w:tcPr>
          <w:p>
            <w:pPr>
              <w:spacing w:after="0"/>
              <w:rPr>
                <w:sz w:val="19"/>
                <w:szCs w:val="19"/>
                <w:color w:val="auto"/>
              </w:rPr>
            </w:pPr>
          </w:p>
        </w:tc>
        <w:tc>
          <w:tcPr>
            <w:tcW w:w="100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19"/>
                <w:szCs w:val="19"/>
                <w:color w:val="auto"/>
              </w:rPr>
            </w:pPr>
          </w:p>
        </w:tc>
        <w:tc>
          <w:tcPr>
            <w:tcW w:w="100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Borders>
              <w:bottom w:val="single" w:sz="8" w:color="B6B6B6"/>
            </w:tcBorders>
          </w:tcPr>
          <w:p>
            <w:pPr>
              <w:ind w:left="36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Borders>
              <w:bottom w:val="single" w:sz="8" w:color="B6B6B6"/>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w:t>
            </w:r>
          </w:p>
        </w:tc>
        <w:tc>
          <w:tcPr>
            <w:tcW w:w="100" w:type="dxa"/>
            <w:vAlign w:val="bottom"/>
            <w:tcBorders>
              <w:bottom w:val="single" w:sz="8" w:color="B6B6B6"/>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100" w:type="dxa"/>
            <w:vAlign w:val="bottom"/>
            <w:tcBorders>
              <w:bottom w:val="single" w:sz="8" w:color="B6B6B6"/>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13,215</w:t>
            </w:r>
          </w:p>
        </w:tc>
      </w:tr>
      <w:tr>
        <w:trPr>
          <w:trHeight w:val="183"/>
        </w:trPr>
        <w:tc>
          <w:tcPr>
            <w:tcW w:w="636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20" w:type="dxa"/>
            <w:vAlign w:val="bottom"/>
            <w:shd w:val="clear" w:color="auto" w:fill="B6B6B6"/>
          </w:tcPr>
          <w:p>
            <w:pPr>
              <w:spacing w:after="0"/>
              <w:rPr>
                <w:sz w:val="15"/>
                <w:szCs w:val="15"/>
                <w:color w:val="auto"/>
              </w:rPr>
            </w:pPr>
          </w:p>
        </w:tc>
        <w:tc>
          <w:tcPr>
            <w:tcW w:w="80" w:type="dxa"/>
            <w:vAlign w:val="bottom"/>
            <w:shd w:val="clear" w:color="auto" w:fill="B6B6B6"/>
          </w:tcPr>
          <w:p>
            <w:pPr>
              <w:spacing w:after="0"/>
              <w:rPr>
                <w:sz w:val="15"/>
                <w:szCs w:val="15"/>
                <w:color w:val="auto"/>
              </w:rPr>
            </w:pPr>
          </w:p>
        </w:tc>
        <w:tc>
          <w:tcPr>
            <w:tcW w:w="26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c>
          <w:tcPr>
            <w:tcW w:w="100" w:type="dxa"/>
            <w:vAlign w:val="bottom"/>
            <w:shd w:val="clear" w:color="auto" w:fill="B6B6B6"/>
          </w:tcPr>
          <w:p>
            <w:pPr>
              <w:spacing w:after="0"/>
              <w:rPr>
                <w:sz w:val="15"/>
                <w:szCs w:val="15"/>
                <w:color w:val="auto"/>
              </w:rPr>
            </w:pPr>
          </w:p>
        </w:tc>
        <w:tc>
          <w:tcPr>
            <w:tcW w:w="240" w:type="dxa"/>
            <w:vAlign w:val="bottom"/>
            <w:shd w:val="clear" w:color="auto" w:fill="B6B6B6"/>
          </w:tcPr>
          <w:p>
            <w:pPr>
              <w:spacing w:after="0"/>
              <w:rPr>
                <w:sz w:val="15"/>
                <w:szCs w:val="15"/>
                <w:color w:val="auto"/>
              </w:rPr>
            </w:pPr>
          </w:p>
        </w:tc>
        <w:tc>
          <w:tcPr>
            <w:tcW w:w="900" w:type="dxa"/>
            <w:vAlign w:val="bottom"/>
            <w:shd w:val="clear" w:color="auto" w:fill="B6B6B6"/>
          </w:tcPr>
          <w:p>
            <w:pPr>
              <w:spacing w:after="0"/>
              <w:rPr>
                <w:sz w:val="15"/>
                <w:szCs w:val="15"/>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240" w:type="dxa"/>
            <w:vAlign w:val="bottom"/>
            <w:shd w:val="clear" w:color="auto" w:fill="B6B6B6"/>
          </w:tcPr>
          <w:p>
            <w:pPr>
              <w:spacing w:after="0"/>
              <w:rPr>
                <w:sz w:val="19"/>
                <w:szCs w:val="19"/>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8,662</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240" w:type="dxa"/>
            <w:vAlign w:val="bottom"/>
            <w:tcBorders>
              <w:bottom w:val="single" w:sz="8" w:color="auto"/>
            </w:tcBorders>
            <w:shd w:val="clear" w:color="auto" w:fill="B6B6B6"/>
          </w:tcPr>
          <w:p>
            <w:pPr>
              <w:spacing w:after="0"/>
              <w:rPr>
                <w:sz w:val="19"/>
                <w:szCs w:val="19"/>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personnel expenses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10,658</w:t>
            </w:r>
          </w:p>
        </w:tc>
      </w:tr>
      <w:tr>
        <w:trPr>
          <w:trHeight w:val="229"/>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40" w:type="dxa"/>
            <w:vAlign w:val="bottom"/>
            <w:shd w:val="clear" w:color="auto" w:fill="B6B6B6"/>
          </w:tcPr>
          <w:p>
            <w:pPr>
              <w:spacing w:after="0"/>
              <w:rPr>
                <w:sz w:val="19"/>
                <w:szCs w:val="19"/>
                <w:color w:val="auto"/>
              </w:rPr>
            </w:pPr>
          </w:p>
        </w:tc>
        <w:tc>
          <w:tcPr>
            <w:tcW w:w="9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63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shd w:val="clear" w:color="auto" w:fill="B6B6B6"/>
          </w:tcPr>
          <w:p>
            <w:pPr>
              <w:spacing w:after="0"/>
              <w:rPr>
                <w:sz w:val="19"/>
                <w:szCs w:val="19"/>
                <w:color w:val="auto"/>
              </w:rPr>
            </w:pPr>
          </w:p>
        </w:tc>
        <w:tc>
          <w:tcPr>
            <w:tcW w:w="100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B6B6B6"/>
          </w:tcPr>
          <w:p>
            <w:pPr>
              <w:spacing w:after="0"/>
              <w:rPr>
                <w:sz w:val="19"/>
                <w:szCs w:val="19"/>
                <w:color w:val="auto"/>
              </w:rPr>
            </w:pPr>
          </w:p>
        </w:tc>
        <w:tc>
          <w:tcPr>
            <w:tcW w:w="240" w:type="dxa"/>
            <w:vAlign w:val="bottom"/>
            <w:shd w:val="clear" w:color="auto" w:fill="B6B6B6"/>
          </w:tcPr>
          <w:p>
            <w:pPr>
              <w:spacing w:after="0"/>
              <w:rPr>
                <w:sz w:val="19"/>
                <w:szCs w:val="19"/>
                <w:color w:val="auto"/>
              </w:rPr>
            </w:pPr>
          </w:p>
        </w:tc>
        <w:tc>
          <w:tcPr>
            <w:tcW w:w="9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360" w:type="dxa"/>
            <w:vAlign w:val="bottom"/>
            <w:tcBorders>
              <w:bottom w:val="single" w:sz="8" w:color="B6B6B6"/>
            </w:tcBorders>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bottom w:val="single" w:sz="8" w:color="B6B6B6"/>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Borders>
              <w:bottom w:val="single" w:sz="8" w:color="B6B6B6"/>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w:t>
            </w:r>
          </w:p>
        </w:tc>
      </w:tr>
      <w:tr>
        <w:trPr>
          <w:trHeight w:val="223"/>
        </w:trPr>
        <w:tc>
          <w:tcPr>
            <w:tcW w:w="63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40" w:type="dxa"/>
            <w:vAlign w:val="bottom"/>
            <w:tcBorders>
              <w:bottom w:val="single" w:sz="8" w:color="auto"/>
            </w:tcBorders>
            <w:shd w:val="clear" w:color="auto" w:fill="B6B6B6"/>
          </w:tcPr>
          <w:p>
            <w:pPr>
              <w:spacing w:after="0"/>
              <w:rPr>
                <w:sz w:val="19"/>
                <w:szCs w:val="19"/>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12,989</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discontinued operations, before income tax (benefit) expense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63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shd w:val="clear" w:color="auto" w:fill="B6B6B6"/>
          </w:tcPr>
          <w:p>
            <w:pPr>
              <w:spacing w:after="0"/>
              <w:rPr>
                <w:sz w:val="19"/>
                <w:szCs w:val="19"/>
                <w:color w:val="auto"/>
              </w:rPr>
            </w:pPr>
          </w:p>
        </w:tc>
        <w:tc>
          <w:tcPr>
            <w:tcW w:w="9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shd w:val="clear" w:color="auto" w:fill="B6B6B6"/>
          </w:tcPr>
          <w:p>
            <w:pPr>
              <w:spacing w:after="0"/>
              <w:rPr>
                <w:sz w:val="19"/>
                <w:szCs w:val="19"/>
                <w:color w:val="auto"/>
              </w:rPr>
            </w:pPr>
          </w:p>
        </w:tc>
        <w:tc>
          <w:tcPr>
            <w:tcW w:w="240" w:type="dxa"/>
            <w:vAlign w:val="bottom"/>
            <w:tcBorders>
              <w:bottom w:val="single" w:sz="8" w:color="auto"/>
            </w:tcBorders>
            <w:shd w:val="clear" w:color="auto" w:fill="B6B6B6"/>
          </w:tcPr>
          <w:p>
            <w:pPr>
              <w:spacing w:after="0"/>
              <w:rPr>
                <w:sz w:val="19"/>
                <w:szCs w:val="19"/>
                <w:color w:val="auto"/>
              </w:rPr>
            </w:pPr>
          </w:p>
        </w:tc>
        <w:tc>
          <w:tcPr>
            <w:tcW w:w="9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6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0"/>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Intangible Assets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intangible assets in accordance with ASC 350, </w:t>
      </w: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which requires that intangibles with indefinite useful lives be tested annually for impairment, or when management deems there is a triggering event, and those with finite useful lives be amortized over their useful lives.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Details of the Company’s intangible assets are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4"/>
                <w:szCs w:val="24"/>
                <w:color w:val="auto"/>
              </w:rPr>
            </w:pPr>
          </w:p>
        </w:tc>
        <w:tc>
          <w:tcPr>
            <w:tcW w:w="296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24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 eligible for amortization:</w:t>
            </w:r>
          </w:p>
        </w:tc>
        <w:tc>
          <w:tcPr>
            <w:tcW w:w="140" w:type="dxa"/>
            <w:vAlign w:val="bottom"/>
            <w:shd w:val="clear" w:color="auto" w:fill="B6B6B6"/>
          </w:tcPr>
          <w:p>
            <w:pPr>
              <w:spacing w:after="0"/>
              <w:rPr>
                <w:sz w:val="21"/>
                <w:szCs w:val="21"/>
                <w:color w:val="auto"/>
              </w:rPr>
            </w:pPr>
          </w:p>
        </w:tc>
        <w:tc>
          <w:tcPr>
            <w:tcW w:w="136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4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32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lists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6,314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Software</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5,512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5,412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Unamortized intangible assets:</w:t>
            </w:r>
          </w:p>
        </w:tc>
        <w:tc>
          <w:tcPr>
            <w:tcW w:w="1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14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16,164</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16,333</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28,264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(8,064)</w:t>
            </w:r>
          </w:p>
        </w:tc>
        <w:tc>
          <w:tcPr>
            <w:tcW w:w="100" w:type="dxa"/>
            <w:vAlign w:val="bottom"/>
            <w:tcBorders>
              <w:bottom w:val="single" w:sz="8" w:color="auto"/>
            </w:tcBorders>
            <w:shd w:val="clear" w:color="auto" w:fill="B6B6B6"/>
          </w:tcPr>
          <w:p>
            <w:pPr>
              <w:spacing w:after="0"/>
              <w:rPr>
                <w:sz w:val="21"/>
                <w:szCs w:val="21"/>
                <w:color w:val="auto"/>
              </w:rPr>
            </w:pPr>
          </w:p>
        </w:tc>
        <w:tc>
          <w:tcPr>
            <w:tcW w:w="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28,432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customer lists are amortized over 5 to 10 years; software over 3 to 7 years; the trade names over 10 to 20 years; and other intangible assets over 15 years. Amortization of intangible assets amounted to $293,000 and $879,000 for the three and nine months ended September 30, 2025, respectively. Amortization of intangible assets amounted to $173,000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$519,000 for the three and nine months ended September 30, 2024, respectively. Estimated annual amortization of intangibles is $1.2 million in 2025, $1.0 million in 2026, $730,000 in 2027, 2028, and $699,000 in 2029.</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by the weighted-average number of common shares outstanding. Diluted earnings per share is computed by dividing net income by the sum of the weighted-average number of common shares outstanding and the weighted-average number of potential common shares outstanding.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tc>
        <w:tc>
          <w:tcPr>
            <w:tcW w:w="340" w:type="dxa"/>
            <w:vAlign w:val="bottom"/>
          </w:tcPr>
          <w:p>
            <w:pPr>
              <w:spacing w:after="0"/>
              <w:rPr>
                <w:sz w:val="17"/>
                <w:szCs w:val="17"/>
                <w:color w:val="auto"/>
              </w:rPr>
            </w:pPr>
          </w:p>
        </w:tc>
        <w:tc>
          <w:tcPr>
            <w:tcW w:w="28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5020" w:type="dxa"/>
            <w:vAlign w:val="bottom"/>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spacing w:after="0"/>
              <w:rPr>
                <w:sz w:val="21"/>
                <w:szCs w:val="21"/>
                <w:color w:val="auto"/>
              </w:rPr>
            </w:pPr>
          </w:p>
        </w:tc>
        <w:tc>
          <w:tcPr>
            <w:tcW w:w="100" w:type="dxa"/>
            <w:vAlign w:val="bottom"/>
            <w:tcBorders>
              <w:bottom w:val="single" w:sz="8" w:color="B6B6B6"/>
            </w:tcBorders>
            <w:shd w:val="clear" w:color="auto" w:fill="B6B6B6"/>
          </w:tcPr>
          <w:p>
            <w:pPr>
              <w:spacing w:after="0"/>
              <w:rPr>
                <w:sz w:val="21"/>
                <w:szCs w:val="21"/>
                <w:color w:val="auto"/>
              </w:rPr>
            </w:pPr>
          </w:p>
        </w:tc>
        <w:tc>
          <w:tcPr>
            <w:tcW w:w="520" w:type="dxa"/>
            <w:vAlign w:val="bottom"/>
            <w:tcBorders>
              <w:bottom w:val="single" w:sz="8" w:color="B6B6B6"/>
            </w:tcBorders>
            <w:shd w:val="clear" w:color="auto" w:fill="B6B6B6"/>
          </w:tcPr>
          <w:p>
            <w:pPr>
              <w:spacing w:after="0"/>
              <w:rPr>
                <w:sz w:val="21"/>
                <w:szCs w:val="21"/>
                <w:color w:val="auto"/>
              </w:rPr>
            </w:pPr>
          </w:p>
        </w:tc>
        <w:tc>
          <w:tcPr>
            <w:tcW w:w="960" w:type="dxa"/>
            <w:vAlign w:val="bottom"/>
            <w:tcBorders>
              <w:bottom w:val="single" w:sz="8" w:color="B6B6B6"/>
            </w:tcBorders>
            <w:shd w:val="clear" w:color="auto" w:fill="B6B6B6"/>
          </w:tcPr>
          <w:p>
            <w:pPr>
              <w:spacing w:after="0"/>
              <w:rPr>
                <w:sz w:val="21"/>
                <w:szCs w:val="21"/>
                <w:color w:val="auto"/>
              </w:rPr>
            </w:pPr>
          </w:p>
        </w:tc>
        <w:tc>
          <w:tcPr>
            <w:tcW w:w="100" w:type="dxa"/>
            <w:vAlign w:val="bottom"/>
            <w:tcBorders>
              <w:bottom w:val="single" w:sz="8" w:color="B6B6B6"/>
            </w:tcBorders>
            <w:shd w:val="clear" w:color="auto" w:fill="B6B6B6"/>
          </w:tcPr>
          <w:p>
            <w:pPr>
              <w:spacing w:after="0"/>
              <w:rPr>
                <w:sz w:val="21"/>
                <w:szCs w:val="21"/>
                <w:color w:val="auto"/>
              </w:rPr>
            </w:pPr>
          </w:p>
        </w:tc>
        <w:tc>
          <w:tcPr>
            <w:tcW w:w="340" w:type="dxa"/>
            <w:vAlign w:val="bottom"/>
            <w:tcBorders>
              <w:bottom w:val="single" w:sz="8" w:color="B6B6B6"/>
            </w:tcBorders>
            <w:shd w:val="clear" w:color="auto" w:fill="B6B6B6"/>
          </w:tcPr>
          <w:p>
            <w:pPr>
              <w:spacing w:after="0"/>
              <w:rPr>
                <w:sz w:val="21"/>
                <w:szCs w:val="21"/>
                <w:color w:val="auto"/>
              </w:rPr>
            </w:pPr>
          </w:p>
        </w:tc>
        <w:tc>
          <w:tcPr>
            <w:tcW w:w="1140" w:type="dxa"/>
            <w:vAlign w:val="bottom"/>
            <w:tcBorders>
              <w:bottom w:val="single" w:sz="8" w:color="B6B6B6"/>
            </w:tcBorders>
            <w:shd w:val="clear" w:color="auto" w:fill="B6B6B6"/>
          </w:tcPr>
          <w:p>
            <w:pPr>
              <w:spacing w:after="0"/>
              <w:rPr>
                <w:sz w:val="21"/>
                <w:szCs w:val="21"/>
                <w:color w:val="auto"/>
              </w:rPr>
            </w:pPr>
          </w:p>
        </w:tc>
        <w:tc>
          <w:tcPr>
            <w:tcW w:w="100" w:type="dxa"/>
            <w:vAlign w:val="bottom"/>
            <w:tcBorders>
              <w:bottom w:val="single" w:sz="8" w:color="B6B6B6"/>
            </w:tcBorders>
            <w:shd w:val="clear" w:color="auto" w:fill="B6B6B6"/>
          </w:tcPr>
          <w:p>
            <w:pPr>
              <w:spacing w:after="0"/>
              <w:rPr>
                <w:sz w:val="21"/>
                <w:szCs w:val="21"/>
                <w:color w:val="auto"/>
              </w:rPr>
            </w:pPr>
          </w:p>
        </w:tc>
        <w:tc>
          <w:tcPr>
            <w:tcW w:w="520" w:type="dxa"/>
            <w:vAlign w:val="bottom"/>
            <w:tcBorders>
              <w:bottom w:val="single" w:sz="8" w:color="B6B6B6"/>
            </w:tcBorders>
            <w:shd w:val="clear" w:color="auto" w:fill="B6B6B6"/>
          </w:tcPr>
          <w:p>
            <w:pPr>
              <w:spacing w:after="0"/>
              <w:rPr>
                <w:sz w:val="21"/>
                <w:szCs w:val="21"/>
                <w:color w:val="auto"/>
              </w:rPr>
            </w:pPr>
          </w:p>
        </w:tc>
        <w:tc>
          <w:tcPr>
            <w:tcW w:w="960" w:type="dxa"/>
            <w:vAlign w:val="bottom"/>
            <w:tcBorders>
              <w:bottom w:val="single" w:sz="8" w:color="B6B6B6"/>
            </w:tcBorders>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B6B6B6"/>
          </w:tcPr>
          <w:p>
            <w:pPr>
              <w:spacing w:after="0"/>
              <w:rPr>
                <w:sz w:val="22"/>
                <w:szCs w:val="22"/>
                <w:color w:val="auto"/>
              </w:rPr>
            </w:pPr>
          </w:p>
        </w:tc>
        <w:tc>
          <w:tcPr>
            <w:tcW w:w="520" w:type="dxa"/>
            <w:vAlign w:val="bottom"/>
            <w:tcBorders>
              <w:bottom w:val="single" w:sz="8" w:color="auto"/>
            </w:tcBorders>
            <w:shd w:val="clear" w:color="auto" w:fill="B6B6B6"/>
          </w:tcPr>
          <w:p>
            <w:pPr>
              <w:spacing w:after="0"/>
              <w:rPr>
                <w:sz w:val="22"/>
                <w:szCs w:val="22"/>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shd w:val="clear" w:color="auto" w:fill="B6B6B6"/>
          </w:tcPr>
          <w:p>
            <w:pPr>
              <w:spacing w:after="0"/>
              <w:rPr>
                <w:sz w:val="22"/>
                <w:szCs w:val="22"/>
                <w:color w:val="auto"/>
              </w:rPr>
            </w:pPr>
          </w:p>
        </w:tc>
        <w:tc>
          <w:tcPr>
            <w:tcW w:w="520" w:type="dxa"/>
            <w:vAlign w:val="bottom"/>
            <w:tcBorders>
              <w:bottom w:val="single" w:sz="8" w:color="auto"/>
            </w:tcBorders>
            <w:shd w:val="clear" w:color="auto" w:fill="B6B6B6"/>
          </w:tcPr>
          <w:p>
            <w:pPr>
              <w:spacing w:after="0"/>
              <w:rPr>
                <w:sz w:val="22"/>
                <w:szCs w:val="22"/>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13,116,216</w:t>
            </w:r>
          </w:p>
        </w:tc>
        <w:tc>
          <w:tcPr>
            <w:tcW w:w="10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13,504,204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13,262,729</w:t>
            </w:r>
          </w:p>
        </w:tc>
        <w:tc>
          <w:tcPr>
            <w:tcW w:w="10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13,524,165</w:t>
            </w:r>
          </w:p>
        </w:tc>
        <w:tc>
          <w:tcPr>
            <w:tcW w:w="0" w:type="dxa"/>
            <w:vAlign w:val="bottom"/>
          </w:tcPr>
          <w:p>
            <w:pPr>
              <w:spacing w:after="0"/>
              <w:rPr>
                <w:sz w:val="1"/>
                <w:szCs w:val="1"/>
                <w:color w:val="auto"/>
              </w:rPr>
            </w:pPr>
          </w:p>
        </w:tc>
      </w:tr>
      <w:tr>
        <w:trPr>
          <w:trHeight w:val="25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share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Basic (loss) earnings per share from discontinued operations</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B6B6B6"/>
          </w:tcPr>
          <w:p>
            <w:pPr>
              <w:spacing w:after="0"/>
              <w:rPr>
                <w:sz w:val="22"/>
                <w:szCs w:val="22"/>
                <w:color w:val="auto"/>
              </w:rPr>
            </w:pPr>
          </w:p>
        </w:tc>
        <w:tc>
          <w:tcPr>
            <w:tcW w:w="520" w:type="dxa"/>
            <w:vAlign w:val="bottom"/>
            <w:tcBorders>
              <w:bottom w:val="single" w:sz="8" w:color="auto"/>
            </w:tcBorders>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B6B6B6"/>
          </w:tcPr>
          <w:p>
            <w:pPr>
              <w:spacing w:after="0"/>
              <w:rPr>
                <w:sz w:val="22"/>
                <w:szCs w:val="22"/>
                <w:color w:val="auto"/>
              </w:rPr>
            </w:pPr>
          </w:p>
        </w:tc>
        <w:tc>
          <w:tcPr>
            <w:tcW w:w="520" w:type="dxa"/>
            <w:vAlign w:val="bottom"/>
            <w:tcBorders>
              <w:bottom w:val="single" w:sz="8" w:color="auto"/>
            </w:tcBorders>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56"/>
        </w:trPr>
        <w:tc>
          <w:tcPr>
            <w:tcW w:w="5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52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340" w:type="dxa"/>
            <w:vAlign w:val="bottom"/>
            <w:shd w:val="clear" w:color="auto" w:fill="B6B6B6"/>
          </w:tcPr>
          <w:p>
            <w:pPr>
              <w:spacing w:after="0"/>
              <w:rPr>
                <w:sz w:val="21"/>
                <w:szCs w:val="21"/>
                <w:color w:val="auto"/>
              </w:rPr>
            </w:pPr>
          </w:p>
        </w:tc>
        <w:tc>
          <w:tcPr>
            <w:tcW w:w="114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520" w:type="dxa"/>
            <w:vAlign w:val="bottom"/>
            <w:shd w:val="clear" w:color="auto" w:fill="B6B6B6"/>
          </w:tcPr>
          <w:p>
            <w:pPr>
              <w:spacing w:after="0"/>
              <w:rPr>
                <w:sz w:val="21"/>
                <w:szCs w:val="21"/>
                <w:color w:val="auto"/>
              </w:rPr>
            </w:pPr>
          </w:p>
        </w:tc>
        <w:tc>
          <w:tcPr>
            <w:tcW w:w="9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22,922</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B6B6B6"/>
          </w:tcPr>
          <w:p>
            <w:pPr>
              <w:spacing w:after="0"/>
              <w:rPr>
                <w:sz w:val="22"/>
                <w:szCs w:val="22"/>
                <w:color w:val="auto"/>
              </w:rPr>
            </w:pPr>
          </w:p>
        </w:tc>
        <w:tc>
          <w:tcPr>
            <w:tcW w:w="520" w:type="dxa"/>
            <w:vAlign w:val="bottom"/>
            <w:tcBorders>
              <w:bottom w:val="single" w:sz="8" w:color="auto"/>
            </w:tcBorders>
            <w:shd w:val="clear" w:color="auto" w:fill="B6B6B6"/>
          </w:tcPr>
          <w:p>
            <w:pPr>
              <w:spacing w:after="0"/>
              <w:rPr>
                <w:sz w:val="22"/>
                <w:szCs w:val="22"/>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shd w:val="clear" w:color="auto" w:fill="B6B6B6"/>
          </w:tcPr>
          <w:p>
            <w:pPr>
              <w:spacing w:after="0"/>
              <w:rPr>
                <w:sz w:val="22"/>
                <w:szCs w:val="22"/>
                <w:color w:val="auto"/>
              </w:rPr>
            </w:pPr>
          </w:p>
        </w:tc>
        <w:tc>
          <w:tcPr>
            <w:tcW w:w="520" w:type="dxa"/>
            <w:vAlign w:val="bottom"/>
            <w:tcBorders>
              <w:bottom w:val="single" w:sz="8" w:color="auto"/>
            </w:tcBorders>
            <w:shd w:val="clear" w:color="auto" w:fill="B6B6B6"/>
          </w:tcPr>
          <w:p>
            <w:pPr>
              <w:spacing w:after="0"/>
              <w:rPr>
                <w:sz w:val="22"/>
                <w:szCs w:val="22"/>
                <w:color w:val="auto"/>
              </w:rPr>
            </w:pP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5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26,927</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14,574</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13,116,216</w:t>
            </w:r>
          </w:p>
        </w:tc>
        <w:tc>
          <w:tcPr>
            <w:tcW w:w="10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13,504,204</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13,262,729</w:t>
            </w:r>
          </w:p>
        </w:tc>
        <w:tc>
          <w:tcPr>
            <w:tcW w:w="10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13,524,165</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Effect of dilutive restricted stock and stock appreciation rights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283,139</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281,793</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274,500</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273,575</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Weighted-average common shares outstanding assuming dilution</w:t>
            </w: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13,399,355</w:t>
            </w:r>
          </w:p>
        </w:tc>
        <w:tc>
          <w:tcPr>
            <w:tcW w:w="10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13,785,997</w:t>
            </w:r>
          </w:p>
        </w:tc>
        <w:tc>
          <w:tcPr>
            <w:tcW w:w="100" w:type="dxa"/>
            <w:vAlign w:val="bottom"/>
            <w:shd w:val="clear" w:color="auto" w:fill="B6B6B6"/>
          </w:tcPr>
          <w:p>
            <w:pPr>
              <w:spacing w:after="0"/>
              <w:rPr>
                <w:sz w:val="22"/>
                <w:szCs w:val="22"/>
                <w:color w:val="auto"/>
              </w:rPr>
            </w:pPr>
          </w:p>
        </w:tc>
        <w:tc>
          <w:tcPr>
            <w:tcW w:w="34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13,537,229</w:t>
            </w:r>
          </w:p>
        </w:tc>
        <w:tc>
          <w:tcPr>
            <w:tcW w:w="100" w:type="dxa"/>
            <w:vAlign w:val="bottom"/>
            <w:shd w:val="clear" w:color="auto" w:fill="B6B6B6"/>
          </w:tcPr>
          <w:p>
            <w:pPr>
              <w:spacing w:after="0"/>
              <w:rPr>
                <w:sz w:val="22"/>
                <w:szCs w:val="22"/>
                <w:color w:val="auto"/>
              </w:rPr>
            </w:pPr>
          </w:p>
        </w:tc>
        <w:tc>
          <w:tcPr>
            <w:tcW w:w="520" w:type="dxa"/>
            <w:vAlign w:val="bottom"/>
            <w:shd w:val="clear" w:color="auto" w:fill="B6B6B6"/>
          </w:tcPr>
          <w:p>
            <w:pPr>
              <w:spacing w:after="0"/>
              <w:rPr>
                <w:sz w:val="22"/>
                <w:szCs w:val="22"/>
                <w:color w:val="auto"/>
              </w:rPr>
            </w:pP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13,797,740</w:t>
            </w:r>
          </w:p>
        </w:tc>
        <w:tc>
          <w:tcPr>
            <w:tcW w:w="0" w:type="dxa"/>
            <w:vAlign w:val="bottom"/>
          </w:tcPr>
          <w:p>
            <w:pPr>
              <w:spacing w:after="0"/>
              <w:rPr>
                <w:sz w:val="1"/>
                <w:szCs w:val="1"/>
                <w:color w:val="auto"/>
              </w:rPr>
            </w:pPr>
          </w:p>
        </w:tc>
      </w:tr>
      <w:tr>
        <w:trPr>
          <w:trHeight w:val="250"/>
        </w:trPr>
        <w:tc>
          <w:tcPr>
            <w:tcW w:w="5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share from continuing operations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Diluted (loss) earnings per share from discontinued operations</w:t>
            </w: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B6B6B6"/>
          </w:tcPr>
          <w:p>
            <w:pPr>
              <w:spacing w:after="0"/>
              <w:rPr>
                <w:sz w:val="22"/>
                <w:szCs w:val="22"/>
                <w:color w:val="auto"/>
              </w:rPr>
            </w:pPr>
          </w:p>
        </w:tc>
        <w:tc>
          <w:tcPr>
            <w:tcW w:w="520" w:type="dxa"/>
            <w:vAlign w:val="bottom"/>
            <w:tcBorders>
              <w:bottom w:val="single" w:sz="8" w:color="auto"/>
            </w:tcBorders>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B6B6B6"/>
          </w:tcPr>
          <w:p>
            <w:pPr>
              <w:spacing w:after="0"/>
              <w:rPr>
                <w:sz w:val="22"/>
                <w:szCs w:val="22"/>
                <w:color w:val="auto"/>
              </w:rPr>
            </w:pPr>
          </w:p>
        </w:tc>
        <w:tc>
          <w:tcPr>
            <w:tcW w:w="34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B6B6B6"/>
          </w:tcPr>
          <w:p>
            <w:pPr>
              <w:spacing w:after="0"/>
              <w:rPr>
                <w:sz w:val="22"/>
                <w:szCs w:val="22"/>
                <w:color w:val="auto"/>
              </w:rPr>
            </w:pPr>
          </w:p>
        </w:tc>
        <w:tc>
          <w:tcPr>
            <w:tcW w:w="520" w:type="dxa"/>
            <w:vAlign w:val="bottom"/>
            <w:tcBorders>
              <w:bottom w:val="single" w:sz="8" w:color="auto"/>
            </w:tcBorders>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 Repurchases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 treasury stock buyback program pursuant to which, in July 2025, the Board of Directors authorized the repurchase of up to 500,000 shares of the Company’s common stock with no expiration date. As of September 30, 2025, the Company had 340,413 shares remaining available for repurchase under the program. The Company repurchased 159,587 and 415,965 shares during the three and nine months ended September 30, 2025, respectively and 64,471 and 87,742 shares during the three and nine months ended September 30, 2024, respectively. Repurchases may be made in the open market or through negotiated transactions from time to time depending on market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Industry Segment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services provided by the Company are classified into two reportable segments: Information Services and Banking Services. Each of these segments provides distinct services that are marketed through different channels and are consistent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presentation of financial information to the chief operating decision maker to evaluate segment performance, develop strategy, and allocate resources. They are managed separately due to their unique service and processing requirements. The Company's chief operating decision maker is the President and Chief Executive Officer of Cass Information Systems' Inc.</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Information Services segment provides transportation, energy, telecommunication, and environmental invoice processing and payment services to large corporations. In addition, this segment provides church management software and on-line generosity services primarily for faith-based ministries. As discussed in Note 2 to the consolidated financial statements, the Company applied discontinued operations accounting to the assets and liabilities being sold related to the TEM Business Unit as of and for the three and nine months ended September 30, 2025 and 2024, as applicable. The TEM Business Unit is included in the Information Services operating segment. The Banking Services segment provides banking services primarily to privately held businesses, franchise restaurants and faith-based ministries, as well as supporting the banking needs of the Information Services segment.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for segments are the same as those described in the summary of significant accounting policies in the Company’s 2024 Form 10-K. Management and the chief operating decision maker evaluates segment performance based on pre-tax income after allocations for corporate expenses. Transactions between segments are accounted for at what management believes to be fair value.</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revenue originates from, and all long-lived assets are located within, the United States and no revenue from any customer of any segment exceeds 10% of the Company’s consolidated revenue.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Funding sources represent average balances and deposits generated by Information Services and Banking Services and there is no allocation methodology used. Banking Services interest income is determined by actual interest income on loans minus actual interest expense paid on deposits plus/minus an allocation for interest income or expense dependent on the remaining available liquidity of the segment. Information Services interest income is determined by multiplying available liquidity by actual yields on short-term investments and investment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difference between total segment interest income and overall total Company interest income is included in Corporate, Eliminations, and Other.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information about the Company’s operations in each industry segment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17"/>
                <w:szCs w:val="17"/>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1"/>
        </w:trPr>
        <w:tc>
          <w:tcPr>
            <w:tcW w:w="49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27,491</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28,839</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Gain on sale of investment securities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25,171</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Release of credit losses</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39,835</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9,597</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50,056</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Intersegment expense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80" w:type="dxa"/>
            <w:vAlign w:val="bottom"/>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7,588</w:t>
            </w:r>
          </w:p>
        </w:tc>
        <w:tc>
          <w:tcPr>
            <w:tcW w:w="0" w:type="dxa"/>
            <w:vAlign w:val="bottom"/>
          </w:tcPr>
          <w:p>
            <w:pPr>
              <w:spacing w:after="0"/>
              <w:rPr>
                <w:sz w:val="1"/>
                <w:szCs w:val="1"/>
                <w:color w:val="auto"/>
              </w:rPr>
            </w:pPr>
          </w:p>
        </w:tc>
      </w:tr>
      <w:tr>
        <w:trPr>
          <w:trHeight w:val="250"/>
        </w:trPr>
        <w:tc>
          <w:tcPr>
            <w:tcW w:w="4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6,122</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4,869</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0" w:type="dxa"/>
            <w:vAlign w:val="bottom"/>
          </w:tcPr>
          <w:p>
            <w:pPr>
              <w:spacing w:after="0"/>
              <w:rPr>
                <w:sz w:val="1"/>
                <w:szCs w:val="1"/>
                <w:color w:val="auto"/>
              </w:rPr>
            </w:pPr>
          </w:p>
        </w:tc>
      </w:tr>
      <w:tr>
        <w:trPr>
          <w:trHeight w:val="250"/>
        </w:trPr>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Pre-tax loss from discontinued operations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01"/>
        </w:trPr>
        <w:tc>
          <w:tcPr>
            <w:tcW w:w="4980" w:type="dxa"/>
            <w:vAlign w:val="bottom"/>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80" w:type="dxa"/>
            <w:vAlign w:val="bottom"/>
            <w:shd w:val="clear" w:color="auto" w:fill="B6B6B6"/>
          </w:tcPr>
          <w:p>
            <w:pPr>
              <w:spacing w:after="0"/>
              <w:rPr>
                <w:sz w:val="8"/>
                <w:szCs w:val="8"/>
                <w:color w:val="auto"/>
              </w:rPr>
            </w:pPr>
          </w:p>
        </w:tc>
        <w:tc>
          <w:tcPr>
            <w:tcW w:w="122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8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320" w:type="dxa"/>
            <w:vAlign w:val="bottom"/>
            <w:shd w:val="clear" w:color="auto" w:fill="B6B6B6"/>
          </w:tcPr>
          <w:p>
            <w:pPr>
              <w:spacing w:after="0"/>
              <w:rPr>
                <w:sz w:val="8"/>
                <w:szCs w:val="8"/>
                <w:color w:val="auto"/>
              </w:rPr>
            </w:pPr>
          </w:p>
        </w:tc>
        <w:tc>
          <w:tcPr>
            <w:tcW w:w="116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1,591,235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1,174,037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2,453,622</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1,451,420</w:t>
            </w:r>
          </w:p>
        </w:tc>
        <w:tc>
          <w:tcPr>
            <w:tcW w:w="80" w:type="dxa"/>
            <w:vAlign w:val="bottom"/>
            <w:tcBorders>
              <w:bottom w:val="single" w:sz="8" w:color="auto"/>
            </w:tcBorders>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761,129</w:t>
            </w:r>
          </w:p>
        </w:tc>
        <w:tc>
          <w:tcPr>
            <w:tcW w:w="100" w:type="dxa"/>
            <w:vAlign w:val="bottom"/>
            <w:tcBorders>
              <w:bottom w:val="single" w:sz="8" w:color="auto"/>
            </w:tcBorders>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2,212,549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7"/>
        </w:trPr>
        <w:tc>
          <w:tcPr>
            <w:tcW w:w="1360" w:type="dxa"/>
            <w:vAlign w:val="bottom"/>
            <w:tcBorders>
              <w:top w:val="single" w:sz="8" w:color="0000FF"/>
            </w:tcBorders>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24"/>
                <w:szCs w:val="24"/>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2024:</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10,223</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15,630</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22,774</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0" w:type="dxa"/>
            <w:vAlign w:val="bottom"/>
          </w:tcPr>
          <w:p>
            <w:pPr>
              <w:spacing w:after="0"/>
              <w:rPr>
                <w:sz w:val="1"/>
                <w:szCs w:val="1"/>
                <w:color w:val="auto"/>
              </w:rPr>
            </w:pPr>
          </w:p>
        </w:tc>
      </w:tr>
      <w:tr>
        <w:trPr>
          <w:trHeight w:val="257"/>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Release of credit losses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50"/>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37,689</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46,521</w:t>
            </w:r>
          </w:p>
        </w:tc>
        <w:tc>
          <w:tcPr>
            <w:tcW w:w="0" w:type="dxa"/>
            <w:vAlign w:val="bottom"/>
          </w:tcPr>
          <w:p>
            <w:pPr>
              <w:spacing w:after="0"/>
              <w:rPr>
                <w:sz w:val="1"/>
                <w:szCs w:val="1"/>
                <w:color w:val="auto"/>
              </w:rPr>
            </w:pPr>
          </w:p>
        </w:tc>
      </w:tr>
      <w:tr>
        <w:trPr>
          <w:trHeight w:val="101"/>
        </w:trPr>
        <w:tc>
          <w:tcPr>
            <w:tcW w:w="4980" w:type="dxa"/>
            <w:vAlign w:val="bottom"/>
            <w:gridSpan w:val="2"/>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80" w:type="dxa"/>
            <w:vAlign w:val="bottom"/>
            <w:shd w:val="clear" w:color="auto" w:fill="B6B6B6"/>
          </w:tcPr>
          <w:p>
            <w:pPr>
              <w:spacing w:after="0"/>
              <w:rPr>
                <w:sz w:val="8"/>
                <w:szCs w:val="8"/>
                <w:color w:val="auto"/>
              </w:rPr>
            </w:pPr>
          </w:p>
        </w:tc>
        <w:tc>
          <w:tcPr>
            <w:tcW w:w="122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8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320" w:type="dxa"/>
            <w:vAlign w:val="bottom"/>
            <w:shd w:val="clear" w:color="auto" w:fill="B6B6B6"/>
          </w:tcPr>
          <w:p>
            <w:pPr>
              <w:spacing w:after="0"/>
              <w:rPr>
                <w:sz w:val="8"/>
                <w:szCs w:val="8"/>
                <w:color w:val="auto"/>
              </w:rPr>
            </w:pPr>
          </w:p>
        </w:tc>
        <w:tc>
          <w:tcPr>
            <w:tcW w:w="116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Intersegment expense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80" w:type="dxa"/>
            <w:vAlign w:val="bottom"/>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spacing w:after="0"/>
              <w:rPr>
                <w:sz w:val="22"/>
                <w:szCs w:val="22"/>
                <w:color w:val="auto"/>
              </w:rPr>
            </w:pP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spacing w:after="0"/>
              <w:rPr>
                <w:sz w:val="22"/>
                <w:szCs w:val="22"/>
                <w:color w:val="auto"/>
              </w:rPr>
            </w:pP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0" w:type="dxa"/>
            <w:vAlign w:val="bottom"/>
          </w:tcPr>
          <w:p>
            <w:pPr>
              <w:spacing w:after="0"/>
              <w:rPr>
                <w:sz w:val="1"/>
                <w:szCs w:val="1"/>
                <w:color w:val="auto"/>
              </w:rPr>
            </w:pPr>
          </w:p>
        </w:tc>
      </w:tr>
      <w:tr>
        <w:trPr>
          <w:trHeight w:val="250"/>
        </w:trPr>
        <w:tc>
          <w:tcPr>
            <w:tcW w:w="49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42,757</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gridSpan w:val="2"/>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(loss) income from continuing operations</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50"/>
        </w:trPr>
        <w:tc>
          <w:tcPr>
            <w:tcW w:w="4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Pre-tax loss from discontinued operations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01"/>
        </w:trPr>
        <w:tc>
          <w:tcPr>
            <w:tcW w:w="4980" w:type="dxa"/>
            <w:vAlign w:val="bottom"/>
            <w:gridSpan w:val="2"/>
            <w:shd w:val="clear" w:color="auto" w:fill="B6B6B6"/>
          </w:tcPr>
          <w:p>
            <w:pPr>
              <w:spacing w:after="0"/>
              <w:rPr>
                <w:sz w:val="8"/>
                <w:szCs w:val="8"/>
                <w:color w:val="auto"/>
              </w:rPr>
            </w:pPr>
          </w:p>
        </w:tc>
        <w:tc>
          <w:tcPr>
            <w:tcW w:w="20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80" w:type="dxa"/>
            <w:vAlign w:val="bottom"/>
            <w:shd w:val="clear" w:color="auto" w:fill="B6B6B6"/>
          </w:tcPr>
          <w:p>
            <w:pPr>
              <w:spacing w:after="0"/>
              <w:rPr>
                <w:sz w:val="8"/>
                <w:szCs w:val="8"/>
                <w:color w:val="auto"/>
              </w:rPr>
            </w:pPr>
          </w:p>
        </w:tc>
        <w:tc>
          <w:tcPr>
            <w:tcW w:w="280" w:type="dxa"/>
            <w:vAlign w:val="bottom"/>
            <w:shd w:val="clear" w:color="auto" w:fill="B6B6B6"/>
          </w:tcPr>
          <w:p>
            <w:pPr>
              <w:spacing w:after="0"/>
              <w:rPr>
                <w:sz w:val="8"/>
                <w:szCs w:val="8"/>
                <w:color w:val="auto"/>
              </w:rPr>
            </w:pPr>
          </w:p>
        </w:tc>
        <w:tc>
          <w:tcPr>
            <w:tcW w:w="1220" w:type="dxa"/>
            <w:vAlign w:val="bottom"/>
            <w:shd w:val="clear" w:color="auto" w:fill="B6B6B6"/>
          </w:tcPr>
          <w:p>
            <w:pPr>
              <w:spacing w:after="0"/>
              <w:rPr>
                <w:sz w:val="8"/>
                <w:szCs w:val="8"/>
                <w:color w:val="auto"/>
              </w:rPr>
            </w:pPr>
          </w:p>
        </w:tc>
        <w:tc>
          <w:tcPr>
            <w:tcW w:w="100" w:type="dxa"/>
            <w:vAlign w:val="bottom"/>
            <w:shd w:val="clear" w:color="auto" w:fill="B6B6B6"/>
          </w:tcPr>
          <w:p>
            <w:pPr>
              <w:spacing w:after="0"/>
              <w:rPr>
                <w:sz w:val="8"/>
                <w:szCs w:val="8"/>
                <w:color w:val="auto"/>
              </w:rPr>
            </w:pPr>
          </w:p>
        </w:tc>
        <w:tc>
          <w:tcPr>
            <w:tcW w:w="180" w:type="dxa"/>
            <w:vAlign w:val="bottom"/>
            <w:shd w:val="clear" w:color="auto" w:fill="B6B6B6"/>
          </w:tcPr>
          <w:p>
            <w:pPr>
              <w:spacing w:after="0"/>
              <w:rPr>
                <w:sz w:val="8"/>
                <w:szCs w:val="8"/>
                <w:color w:val="auto"/>
              </w:rPr>
            </w:pPr>
          </w:p>
        </w:tc>
        <w:tc>
          <w:tcPr>
            <w:tcW w:w="1300" w:type="dxa"/>
            <w:vAlign w:val="bottom"/>
            <w:shd w:val="clear" w:color="auto" w:fill="B6B6B6"/>
          </w:tcPr>
          <w:p>
            <w:pPr>
              <w:spacing w:after="0"/>
              <w:rPr>
                <w:sz w:val="8"/>
                <w:szCs w:val="8"/>
                <w:color w:val="auto"/>
              </w:rPr>
            </w:pPr>
          </w:p>
        </w:tc>
        <w:tc>
          <w:tcPr>
            <w:tcW w:w="120" w:type="dxa"/>
            <w:vAlign w:val="bottom"/>
            <w:shd w:val="clear" w:color="auto" w:fill="B6B6B6"/>
          </w:tcPr>
          <w:p>
            <w:pPr>
              <w:spacing w:after="0"/>
              <w:rPr>
                <w:sz w:val="8"/>
                <w:szCs w:val="8"/>
                <w:color w:val="auto"/>
              </w:rPr>
            </w:pPr>
          </w:p>
        </w:tc>
        <w:tc>
          <w:tcPr>
            <w:tcW w:w="320" w:type="dxa"/>
            <w:vAlign w:val="bottom"/>
            <w:shd w:val="clear" w:color="auto" w:fill="B6B6B6"/>
          </w:tcPr>
          <w:p>
            <w:pPr>
              <w:spacing w:after="0"/>
              <w:rPr>
                <w:sz w:val="8"/>
                <w:szCs w:val="8"/>
                <w:color w:val="auto"/>
              </w:rPr>
            </w:pPr>
          </w:p>
        </w:tc>
        <w:tc>
          <w:tcPr>
            <w:tcW w:w="1160" w:type="dxa"/>
            <w:vAlign w:val="bottom"/>
            <w:shd w:val="clear" w:color="auto" w:fill="B6B6B6"/>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1,371,095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2,260,760</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1,273,365</w:t>
            </w:r>
          </w:p>
        </w:tc>
        <w:tc>
          <w:tcPr>
            <w:tcW w:w="80" w:type="dxa"/>
            <w:vAlign w:val="bottom"/>
            <w:tcBorders>
              <w:bottom w:val="single" w:sz="8" w:color="auto"/>
            </w:tcBorders>
            <w:shd w:val="clear" w:color="auto" w:fill="B6B6B6"/>
          </w:tcPr>
          <w:p>
            <w:pPr>
              <w:spacing w:after="0"/>
              <w:rPr>
                <w:sz w:val="22"/>
                <w:szCs w:val="22"/>
                <w:color w:val="auto"/>
              </w:rPr>
            </w:pPr>
          </w:p>
        </w:tc>
        <w:tc>
          <w:tcPr>
            <w:tcW w:w="28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774,126</w:t>
            </w:r>
          </w:p>
        </w:tc>
        <w:tc>
          <w:tcPr>
            <w:tcW w:w="100" w:type="dxa"/>
            <w:vAlign w:val="bottom"/>
            <w:tcBorders>
              <w:bottom w:val="single" w:sz="8" w:color="auto"/>
            </w:tcBorders>
            <w:shd w:val="clear" w:color="auto" w:fill="B6B6B6"/>
          </w:tcPr>
          <w:p>
            <w:pPr>
              <w:spacing w:after="0"/>
              <w:rPr>
                <w:sz w:val="22"/>
                <w:szCs w:val="22"/>
                <w:color w:val="auto"/>
              </w:rPr>
            </w:pPr>
          </w:p>
        </w:tc>
        <w:tc>
          <w:tcPr>
            <w:tcW w:w="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2,047,491</w:t>
            </w:r>
          </w:p>
        </w:tc>
        <w:tc>
          <w:tcPr>
            <w:tcW w:w="0" w:type="dxa"/>
            <w:vAlign w:val="bottom"/>
          </w:tcPr>
          <w:p>
            <w:pPr>
              <w:spacing w:after="0"/>
              <w:rPr>
                <w:sz w:val="1"/>
                <w:szCs w:val="1"/>
                <w:color w:val="auto"/>
              </w:rPr>
            </w:pPr>
          </w:p>
        </w:tc>
      </w:tr>
      <w:tr>
        <w:trPr>
          <w:trHeight w:val="918"/>
        </w:trPr>
        <w:tc>
          <w:tcPr>
            <w:tcW w:w="1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36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7"/>
        </w:trPr>
        <w:tc>
          <w:tcPr>
            <w:tcW w:w="1360" w:type="dxa"/>
            <w:vAlign w:val="bottom"/>
            <w:tcBorders>
              <w:top w:val="single" w:sz="8" w:color="0000FF"/>
            </w:tcBorders>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24"/>
                <w:szCs w:val="24"/>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81,845</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85,401</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72,199</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gridSpan w:val="2"/>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115,117</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140,860</w:t>
            </w:r>
          </w:p>
        </w:tc>
        <w:tc>
          <w:tcPr>
            <w:tcW w:w="0" w:type="dxa"/>
            <w:vAlign w:val="bottom"/>
          </w:tcPr>
          <w:p>
            <w:pPr>
              <w:spacing w:after="0"/>
              <w:rPr>
                <w:sz w:val="1"/>
                <w:szCs w:val="1"/>
                <w:color w:val="auto"/>
              </w:rPr>
            </w:pPr>
          </w:p>
        </w:tc>
      </w:tr>
      <w:tr>
        <w:trPr>
          <w:trHeight w:val="94"/>
        </w:trPr>
        <w:tc>
          <w:tcPr>
            <w:tcW w:w="49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73,267</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82,637</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Bad debt recovery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B6B6B6"/>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8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21,960</w:t>
            </w:r>
          </w:p>
        </w:tc>
        <w:tc>
          <w:tcPr>
            <w:tcW w:w="0" w:type="dxa"/>
            <w:vAlign w:val="bottom"/>
          </w:tcPr>
          <w:p>
            <w:pPr>
              <w:spacing w:after="0"/>
              <w:rPr>
                <w:sz w:val="1"/>
                <w:szCs w:val="1"/>
                <w:color w:val="auto"/>
              </w:rPr>
            </w:pPr>
          </w:p>
        </w:tc>
      </w:tr>
      <w:tr>
        <w:trPr>
          <w:trHeight w:val="250"/>
        </w:trPr>
        <w:tc>
          <w:tcPr>
            <w:tcW w:w="4980" w:type="dxa"/>
            <w:vAlign w:val="bottom"/>
            <w:gridSpan w:val="2"/>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98,741</w:t>
            </w: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13,349</w:t>
            </w: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0" w:type="dxa"/>
            <w:vAlign w:val="bottom"/>
          </w:tcPr>
          <w:p>
            <w:pPr>
              <w:spacing w:after="0"/>
              <w:rPr>
                <w:sz w:val="1"/>
                <w:szCs w:val="1"/>
                <w:color w:val="auto"/>
              </w:rPr>
            </w:pPr>
          </w:p>
        </w:tc>
      </w:tr>
      <w:tr>
        <w:trPr>
          <w:trHeight w:val="250"/>
        </w:trPr>
        <w:tc>
          <w:tcPr>
            <w:tcW w:w="49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Pre-tax income (loss) from continuing operations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28,770</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0" w:type="dxa"/>
            <w:vAlign w:val="bottom"/>
          </w:tcPr>
          <w:p>
            <w:pPr>
              <w:spacing w:after="0"/>
              <w:rPr>
                <w:sz w:val="1"/>
                <w:szCs w:val="1"/>
                <w:color w:val="auto"/>
              </w:rPr>
            </w:pPr>
          </w:p>
        </w:tc>
      </w:tr>
      <w:tr>
        <w:trPr>
          <w:trHeight w:val="94"/>
        </w:trPr>
        <w:tc>
          <w:tcPr>
            <w:tcW w:w="498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16,164</w:t>
            </w:r>
          </w:p>
        </w:tc>
        <w:tc>
          <w:tcPr>
            <w:tcW w:w="0" w:type="dxa"/>
            <w:vAlign w:val="bottom"/>
          </w:tcPr>
          <w:p>
            <w:pPr>
              <w:spacing w:after="0"/>
              <w:rPr>
                <w:sz w:val="1"/>
                <w:szCs w:val="1"/>
                <w:color w:val="auto"/>
              </w:rPr>
            </w:pPr>
          </w:p>
        </w:tc>
      </w:tr>
      <w:tr>
        <w:trPr>
          <w:trHeight w:val="250"/>
        </w:trPr>
        <w:tc>
          <w:tcPr>
            <w:tcW w:w="4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63"/>
        </w:trPr>
        <w:tc>
          <w:tcPr>
            <w:tcW w:w="4980" w:type="dxa"/>
            <w:vAlign w:val="bottom"/>
            <w:gridSpan w:val="2"/>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1,591,235</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1,174,037</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(311,650)</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2,453,622</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1,376,783</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764,987</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2,141,770</w:t>
            </w:r>
          </w:p>
        </w:tc>
        <w:tc>
          <w:tcPr>
            <w:tcW w:w="0" w:type="dxa"/>
            <w:vAlign w:val="bottom"/>
          </w:tcPr>
          <w:p>
            <w:pPr>
              <w:spacing w:after="0"/>
              <w:rPr>
                <w:sz w:val="1"/>
                <w:szCs w:val="1"/>
                <w:color w:val="auto"/>
              </w:rPr>
            </w:pPr>
          </w:p>
        </w:tc>
      </w:tr>
      <w:tr>
        <w:trPr>
          <w:trHeight w:val="918"/>
        </w:trPr>
        <w:tc>
          <w:tcPr>
            <w:tcW w:w="13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360" w:type="dxa"/>
            <w:vAlign w:val="bottom"/>
            <w:tcBorders>
              <w:bottom w:val="single" w:sz="8" w:color="9A9A9A"/>
            </w:tcBorders>
          </w:tcPr>
          <w:p>
            <w:pPr>
              <w:spacing w:after="0"/>
              <w:rPr>
                <w:sz w:val="8"/>
                <w:szCs w:val="8"/>
                <w:color w:val="auto"/>
              </w:rPr>
            </w:pPr>
          </w:p>
        </w:tc>
        <w:tc>
          <w:tcPr>
            <w:tcW w:w="36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Information</w:t>
            </w:r>
          </w:p>
        </w:tc>
        <w:tc>
          <w:tcPr>
            <w:tcW w:w="280" w:type="dxa"/>
            <w:vAlign w:val="bottom"/>
          </w:tcPr>
          <w:p>
            <w:pPr>
              <w:spacing w:after="0"/>
              <w:rPr>
                <w:sz w:val="17"/>
                <w:szCs w:val="17"/>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Banking</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Eliminations</w:t>
            </w: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300" w:type="dxa"/>
            <w:vAlign w:val="bottom"/>
            <w:shd w:val="clear" w:color="auto" w:fill="B6B6B6"/>
          </w:tcPr>
          <w:p>
            <w:pPr>
              <w:spacing w:after="0"/>
              <w:rPr>
                <w:sz w:val="21"/>
                <w:szCs w:val="21"/>
                <w:color w:val="auto"/>
              </w:rPr>
            </w:pPr>
          </w:p>
        </w:tc>
        <w:tc>
          <w:tcPr>
            <w:tcW w:w="120" w:type="dxa"/>
            <w:vAlign w:val="bottom"/>
            <w:shd w:val="clear" w:color="auto" w:fill="B6B6B6"/>
          </w:tcPr>
          <w:p>
            <w:pPr>
              <w:spacing w:after="0"/>
              <w:rPr>
                <w:sz w:val="21"/>
                <w:szCs w:val="21"/>
                <w:color w:val="auto"/>
              </w:rPr>
            </w:pP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82,998</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85,948</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Loss on sale of investment securities</w:t>
            </w:r>
          </w:p>
        </w:tc>
        <w:tc>
          <w:tcPr>
            <w:tcW w:w="200" w:type="dxa"/>
            <w:vAlign w:val="bottom"/>
            <w:shd w:val="clear" w:color="auto" w:fill="B6B6B6"/>
          </w:tcPr>
          <w:p>
            <w:pPr>
              <w:spacing w:after="0"/>
              <w:rPr>
                <w:sz w:val="22"/>
                <w:szCs w:val="22"/>
                <w:color w:val="auto"/>
              </w:rPr>
            </w:pPr>
          </w:p>
        </w:tc>
        <w:tc>
          <w:tcPr>
            <w:tcW w:w="138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0"/>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30,166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65,669</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(11,068)</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15,646</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57"/>
        </w:trPr>
        <w:tc>
          <w:tcPr>
            <w:tcW w:w="4980" w:type="dxa"/>
            <w:vAlign w:val="bottom"/>
            <w:tcBorders>
              <w:top w:val="single" w:sz="8" w:color="B6B6B6"/>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net revenue</w:t>
            </w:r>
          </w:p>
        </w:tc>
        <w:tc>
          <w:tcPr>
            <w:tcW w:w="20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111,918</w:t>
            </w:r>
          </w:p>
        </w:tc>
        <w:tc>
          <w:tcPr>
            <w:tcW w:w="80" w:type="dxa"/>
            <w:vAlign w:val="bottom"/>
            <w:tcBorders>
              <w:top w:val="single" w:sz="8" w:color="B6B6B6"/>
            </w:tcBorders>
            <w:shd w:val="clear" w:color="auto" w:fill="B6B6B6"/>
          </w:tcPr>
          <w:p>
            <w:pPr>
              <w:spacing w:after="0"/>
              <w:rPr>
                <w:sz w:val="22"/>
                <w:szCs w:val="22"/>
                <w:color w:val="auto"/>
              </w:rPr>
            </w:pPr>
          </w:p>
        </w:tc>
        <w:tc>
          <w:tcPr>
            <w:tcW w:w="280" w:type="dxa"/>
            <w:vAlign w:val="bottom"/>
            <w:tcBorders>
              <w:top w:val="single" w:sz="8" w:color="auto"/>
            </w:tcBorders>
            <w:shd w:val="clear" w:color="auto" w:fill="B6B6B6"/>
          </w:tcPr>
          <w:p>
            <w:pPr>
              <w:spacing w:after="0"/>
              <w:rPr>
                <w:sz w:val="22"/>
                <w:szCs w:val="22"/>
                <w:color w:val="auto"/>
              </w:rPr>
            </w:pPr>
          </w:p>
        </w:tc>
        <w:tc>
          <w:tcPr>
            <w:tcW w:w="12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20,290</w:t>
            </w:r>
          </w:p>
        </w:tc>
        <w:tc>
          <w:tcPr>
            <w:tcW w:w="100" w:type="dxa"/>
            <w:vAlign w:val="bottom"/>
            <w:tcBorders>
              <w:top w:val="single" w:sz="8" w:color="B6B6B6"/>
            </w:tcBorders>
            <w:shd w:val="clear" w:color="auto" w:fill="B6B6B6"/>
          </w:tcPr>
          <w:p>
            <w:pPr>
              <w:spacing w:after="0"/>
              <w:rPr>
                <w:sz w:val="22"/>
                <w:szCs w:val="22"/>
                <w:color w:val="auto"/>
              </w:rPr>
            </w:pPr>
          </w:p>
        </w:tc>
        <w:tc>
          <w:tcPr>
            <w:tcW w:w="180" w:type="dxa"/>
            <w:vAlign w:val="bottom"/>
            <w:tcBorders>
              <w:top w:val="single" w:sz="8" w:color="auto"/>
            </w:tcBorders>
            <w:shd w:val="clear" w:color="auto" w:fill="B6B6B6"/>
          </w:tcPr>
          <w:p>
            <w:pPr>
              <w:spacing w:after="0"/>
              <w:rPr>
                <w:sz w:val="22"/>
                <w:szCs w:val="22"/>
                <w:color w:val="auto"/>
              </w:rPr>
            </w:pPr>
          </w:p>
        </w:tc>
        <w:tc>
          <w:tcPr>
            <w:tcW w:w="130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tcBorders>
              <w:top w:val="single" w:sz="8" w:color="B6B6B6"/>
            </w:tcBorders>
            <w:shd w:val="clear" w:color="auto" w:fill="B6B6B6"/>
          </w:tcPr>
          <w:p>
            <w:pPr>
              <w:spacing w:after="0"/>
              <w:rPr>
                <w:sz w:val="22"/>
                <w:szCs w:val="22"/>
                <w:color w:val="auto"/>
              </w:rPr>
            </w:pPr>
          </w:p>
        </w:tc>
        <w:tc>
          <w:tcPr>
            <w:tcW w:w="320" w:type="dxa"/>
            <w:vAlign w:val="bottom"/>
            <w:tcBorders>
              <w:top w:val="single" w:sz="8" w:color="auto"/>
            </w:tcBorders>
            <w:shd w:val="clear" w:color="auto" w:fill="B6B6B6"/>
          </w:tcPr>
          <w:p>
            <w:pPr>
              <w:spacing w:after="0"/>
              <w:rPr>
                <w:sz w:val="22"/>
                <w:szCs w:val="22"/>
                <w:color w:val="auto"/>
              </w:rPr>
            </w:pPr>
          </w:p>
        </w:tc>
        <w:tc>
          <w:tcPr>
            <w:tcW w:w="116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135,603</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Personnel expenses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70,739</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50"/>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Intersegment income (expense)</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B6B6B6"/>
            </w:tcBorders>
          </w:tcPr>
          <w:p>
            <w:pPr>
              <w:ind w:left="180"/>
              <w:spacing w:after="0"/>
              <w:rPr>
                <w:sz w:val="20"/>
                <w:szCs w:val="20"/>
                <w:color w:val="auto"/>
              </w:rPr>
            </w:pPr>
            <w:r>
              <w:rPr>
                <w:rFonts w:ascii="Times New Roman" w:cs="Times New Roman" w:eastAsia="Times New Roman" w:hAnsi="Times New Roman"/>
                <w:sz w:val="18"/>
                <w:szCs w:val="18"/>
                <w:color w:val="auto"/>
              </w:rPr>
              <w:t>Other operating expense</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8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Borders>
              <w:bottom w:val="single" w:sz="8" w:color="B6B6B6"/>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B6B6B6"/>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0" w:type="dxa"/>
            <w:vAlign w:val="bottom"/>
          </w:tcPr>
          <w:p>
            <w:pPr>
              <w:spacing w:after="0"/>
              <w:rPr>
                <w:sz w:val="1"/>
                <w:szCs w:val="1"/>
                <w:color w:val="auto"/>
              </w:rPr>
            </w:pPr>
          </w:p>
        </w:tc>
      </w:tr>
      <w:tr>
        <w:trPr>
          <w:trHeight w:val="250"/>
        </w:trPr>
        <w:tc>
          <w:tcPr>
            <w:tcW w:w="49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Total operating expense</w:t>
            </w:r>
          </w:p>
        </w:tc>
        <w:tc>
          <w:tcPr>
            <w:tcW w:w="200" w:type="dxa"/>
            <w:vAlign w:val="bottom"/>
            <w:shd w:val="clear" w:color="auto" w:fill="B6B6B6"/>
          </w:tcPr>
          <w:p>
            <w:pPr>
              <w:spacing w:after="0"/>
              <w:rPr>
                <w:sz w:val="21"/>
                <w:szCs w:val="21"/>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103,794</w:t>
            </w:r>
          </w:p>
        </w:tc>
        <w:tc>
          <w:tcPr>
            <w:tcW w:w="8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13,580</w:t>
            </w:r>
          </w:p>
        </w:tc>
        <w:tc>
          <w:tcPr>
            <w:tcW w:w="100" w:type="dxa"/>
            <w:vAlign w:val="bottom"/>
            <w:shd w:val="clear" w:color="auto" w:fill="B6B6B6"/>
          </w:tcPr>
          <w:p>
            <w:pPr>
              <w:spacing w:after="0"/>
              <w:rPr>
                <w:sz w:val="21"/>
                <w:szCs w:val="21"/>
                <w:color w:val="auto"/>
              </w:rPr>
            </w:pPr>
          </w:p>
        </w:tc>
        <w:tc>
          <w:tcPr>
            <w:tcW w:w="180" w:type="dxa"/>
            <w:vAlign w:val="bottom"/>
            <w:shd w:val="clear" w:color="auto" w:fill="B6B6B6"/>
          </w:tcPr>
          <w:p>
            <w:pPr>
              <w:spacing w:after="0"/>
              <w:rPr>
                <w:sz w:val="21"/>
                <w:szCs w:val="21"/>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1"/>
                <w:szCs w:val="21"/>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117,374</w:t>
            </w:r>
          </w:p>
        </w:tc>
        <w:tc>
          <w:tcPr>
            <w:tcW w:w="0" w:type="dxa"/>
            <w:vAlign w:val="bottom"/>
          </w:tcPr>
          <w:p>
            <w:pPr>
              <w:spacing w:after="0"/>
              <w:rPr>
                <w:sz w:val="1"/>
                <w:szCs w:val="1"/>
                <w:color w:val="auto"/>
              </w:rPr>
            </w:pPr>
          </w:p>
        </w:tc>
      </w:tr>
      <w:tr>
        <w:trPr>
          <w:trHeight w:val="250"/>
        </w:trPr>
        <w:tc>
          <w:tcPr>
            <w:tcW w:w="49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Pre-tax income from continuing operations</w:t>
            </w: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w:t>
            </w:r>
          </w:p>
        </w:tc>
        <w:tc>
          <w:tcPr>
            <w:tcW w:w="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520"/>
              <w:spacing w:after="0"/>
              <w:rPr>
                <w:sz w:val="20"/>
                <w:szCs w:val="20"/>
                <w:color w:val="auto"/>
              </w:rPr>
            </w:pPr>
            <w:r>
              <w:rPr>
                <w:rFonts w:ascii="Times New Roman" w:cs="Times New Roman" w:eastAsia="Times New Roman" w:hAnsi="Times New Roman"/>
                <w:sz w:val="18"/>
                <w:szCs w:val="18"/>
                <w:color w:val="auto"/>
              </w:rPr>
              <w:t>Pre-tax income from discontinued operations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3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94"/>
        </w:trPr>
        <w:tc>
          <w:tcPr>
            <w:tcW w:w="4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17,173</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42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0" w:type="dxa"/>
            <w:vAlign w:val="bottom"/>
          </w:tcPr>
          <w:p>
            <w:pPr>
              <w:spacing w:after="0"/>
              <w:rPr>
                <w:sz w:val="1"/>
                <w:szCs w:val="1"/>
                <w:color w:val="auto"/>
              </w:rPr>
            </w:pPr>
          </w:p>
        </w:tc>
      </w:tr>
      <w:tr>
        <w:trPr>
          <w:trHeight w:val="250"/>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63"/>
        </w:trPr>
        <w:tc>
          <w:tcPr>
            <w:tcW w:w="49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1,371,095</w:t>
            </w:r>
          </w:p>
        </w:tc>
        <w:tc>
          <w:tcPr>
            <w:tcW w:w="8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1,172,264</w:t>
            </w:r>
          </w:p>
        </w:tc>
        <w:tc>
          <w:tcPr>
            <w:tcW w:w="100" w:type="dxa"/>
            <w:vAlign w:val="bottom"/>
            <w:shd w:val="clear" w:color="auto" w:fill="B6B6B6"/>
          </w:tcPr>
          <w:p>
            <w:pPr>
              <w:spacing w:after="0"/>
              <w:rPr>
                <w:sz w:val="22"/>
                <w:szCs w:val="22"/>
                <w:color w:val="auto"/>
              </w:rPr>
            </w:pPr>
          </w:p>
        </w:tc>
        <w:tc>
          <w:tcPr>
            <w:tcW w:w="18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(282,599)</w:t>
            </w:r>
          </w:p>
        </w:tc>
        <w:tc>
          <w:tcPr>
            <w:tcW w:w="12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2,260,760</w:t>
            </w: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Average funding sources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1,267,431</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786,541</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2,053,972</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Intersegment income (expense) primarily relates to payment processing fees paid by the Information Services segment to the Banking services segment. The Corporate elimination for total assets and interest income and interest expense primarily relates to allocated funds and related interest depending on funding needs of the operating segments.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Loans by Type</w:t>
            </w:r>
          </w:p>
        </w:tc>
        <w:tc>
          <w:tcPr>
            <w:tcW w:w="40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loans is as follows:</w:t>
            </w:r>
          </w:p>
        </w:tc>
        <w:tc>
          <w:tcPr>
            <w:tcW w:w="4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4000" w:type="dxa"/>
            <w:vAlign w:val="bottom"/>
          </w:tcPr>
          <w:p>
            <w:pPr>
              <w:spacing w:after="0"/>
              <w:rPr>
                <w:sz w:val="24"/>
                <w:szCs w:val="24"/>
                <w:color w:val="auto"/>
              </w:rPr>
            </w:pPr>
          </w:p>
        </w:tc>
        <w:tc>
          <w:tcPr>
            <w:tcW w:w="14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3760" w:type="dxa"/>
            <w:vAlign w:val="bottom"/>
            <w:tcBorders>
              <w:bottom w:val="single" w:sz="8" w:color="auto"/>
            </w:tcBorders>
            <w:vMerge w:val="continue"/>
          </w:tcPr>
          <w:p>
            <w:pPr>
              <w:spacing w:after="0"/>
              <w:rPr>
                <w:sz w:val="21"/>
                <w:szCs w:val="21"/>
                <w:color w:val="auto"/>
              </w:rPr>
            </w:pPr>
          </w:p>
        </w:tc>
        <w:tc>
          <w:tcPr>
            <w:tcW w:w="40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3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569,739</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559,262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4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4000" w:type="dxa"/>
            <w:vAlign w:val="bottom"/>
            <w:shd w:val="clear" w:color="auto" w:fill="B6B6B6"/>
          </w:tcPr>
          <w:p>
            <w:pPr>
              <w:spacing w:after="0"/>
              <w:rPr>
                <w:sz w:val="22"/>
                <w:szCs w:val="22"/>
                <w:color w:val="auto"/>
              </w:rPr>
            </w:pPr>
          </w:p>
        </w:tc>
        <w:tc>
          <w:tcPr>
            <w:tcW w:w="148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0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101,242</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119,194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00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10,302</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40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20" w:type="dxa"/>
            <w:vAlign w:val="bottom"/>
          </w:tcPr>
          <w:p>
            <w:pPr>
              <w:spacing w:after="0"/>
              <w:rPr>
                <w:sz w:val="22"/>
                <w:szCs w:val="22"/>
                <w:color w:val="auto"/>
              </w:rPr>
            </w:pPr>
          </w:p>
        </w:tc>
        <w:tc>
          <w:tcPr>
            <w:tcW w:w="3760" w:type="dxa"/>
            <w:vAlign w:val="bottom"/>
            <w:shd w:val="clear" w:color="auto" w:fill="B6B6B6"/>
          </w:tcPr>
          <w:p>
            <w:pPr>
              <w:ind w:left="560"/>
              <w:spacing w:after="0"/>
              <w:rPr>
                <w:sz w:val="20"/>
                <w:szCs w:val="20"/>
                <w:color w:val="auto"/>
              </w:rPr>
            </w:pPr>
            <w:r>
              <w:rPr>
                <w:rFonts w:ascii="Times New Roman" w:cs="Times New Roman" w:eastAsia="Times New Roman" w:hAnsi="Times New Roman"/>
                <w:sz w:val="18"/>
                <w:szCs w:val="18"/>
                <w:color w:val="auto"/>
              </w:rPr>
              <w:t>Mortgage</w:t>
            </w:r>
          </w:p>
        </w:tc>
        <w:tc>
          <w:tcPr>
            <w:tcW w:w="4000" w:type="dxa"/>
            <w:vAlign w:val="bottom"/>
            <w:shd w:val="clear" w:color="auto" w:fill="B6B6B6"/>
          </w:tcPr>
          <w:p>
            <w:pPr>
              <w:spacing w:after="0"/>
              <w:rPr>
                <w:sz w:val="22"/>
                <w:szCs w:val="22"/>
                <w:color w:val="auto"/>
              </w:rPr>
            </w:pPr>
          </w:p>
        </w:tc>
        <w:tc>
          <w:tcPr>
            <w:tcW w:w="14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378,820</w:t>
            </w:r>
          </w:p>
        </w:tc>
        <w:tc>
          <w:tcPr>
            <w:tcW w:w="240" w:type="dxa"/>
            <w:vAlign w:val="bottom"/>
            <w:shd w:val="clear" w:color="auto" w:fill="B6B6B6"/>
          </w:tcPr>
          <w:p>
            <w:pPr>
              <w:spacing w:after="0"/>
              <w:rPr>
                <w:sz w:val="22"/>
                <w:szCs w:val="22"/>
                <w:color w:val="auto"/>
              </w:rPr>
            </w:pPr>
          </w:p>
        </w:tc>
        <w:tc>
          <w:tcPr>
            <w:tcW w:w="13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368,881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Construction</w:t>
            </w:r>
          </w:p>
        </w:tc>
        <w:tc>
          <w:tcPr>
            <w:tcW w:w="40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28,244</w:t>
            </w: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376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 loans</w:t>
            </w:r>
          </w:p>
        </w:tc>
        <w:tc>
          <w:tcPr>
            <w:tcW w:w="4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1,088,347</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1,081,989</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18"/>
        </w:trPr>
        <w:tc>
          <w:tcPr>
            <w:tcW w:w="2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400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-16-</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40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aging of loans past due by category at September 30, 2025 and December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7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48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Nonperforming</w:t>
            </w: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90</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30-59</w:t>
            </w:r>
          </w:p>
        </w:tc>
        <w:tc>
          <w:tcPr>
            <w:tcW w:w="460" w:type="dxa"/>
            <w:vAlign w:val="bottom"/>
          </w:tcPr>
          <w:p>
            <w:pPr>
              <w:spacing w:after="0"/>
              <w:rPr>
                <w:sz w:val="15"/>
                <w:szCs w:val="15"/>
                <w:color w:val="auto"/>
              </w:rPr>
            </w:pP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60-89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Days</w:t>
            </w:r>
          </w:p>
        </w:tc>
        <w:tc>
          <w:tcPr>
            <w:tcW w:w="320" w:type="dxa"/>
            <w:vAlign w:val="bottom"/>
          </w:tcPr>
          <w:p>
            <w:pPr>
              <w:spacing w:after="0"/>
              <w:rPr>
                <w:sz w:val="15"/>
                <w:szCs w:val="15"/>
                <w:color w:val="auto"/>
              </w:rPr>
            </w:pPr>
          </w:p>
        </w:tc>
        <w:tc>
          <w:tcPr>
            <w:tcW w:w="110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Non-</w:t>
            </w:r>
          </w:p>
        </w:tc>
        <w:tc>
          <w:tcPr>
            <w:tcW w:w="360" w:type="dxa"/>
            <w:vAlign w:val="bottom"/>
          </w:tcPr>
          <w:p>
            <w:pPr>
              <w:spacing w:after="0"/>
              <w:rPr>
                <w:sz w:val="15"/>
                <w:szCs w:val="15"/>
                <w:color w:val="auto"/>
              </w:rPr>
            </w:pPr>
          </w:p>
        </w:tc>
        <w:tc>
          <w:tcPr>
            <w:tcW w:w="10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5"/>
                <w:szCs w:val="15"/>
                <w:color w:val="auto"/>
              </w:rPr>
            </w:pPr>
          </w:p>
        </w:tc>
        <w:tc>
          <w:tcPr>
            <w:tcW w:w="11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center"/>
              <w:ind w:right="21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and</w:t>
            </w:r>
          </w:p>
        </w:tc>
        <w:tc>
          <w:tcPr>
            <w:tcW w:w="3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4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Days</w:t>
            </w: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accrual</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0" w:type="dxa"/>
            <w:vAlign w:val="bottom"/>
          </w:tcPr>
          <w:p>
            <w:pPr>
              <w:spacing w:after="0"/>
              <w:rPr>
                <w:sz w:val="1"/>
                <w:szCs w:val="1"/>
                <w:color w:val="auto"/>
              </w:rPr>
            </w:pPr>
          </w:p>
        </w:tc>
      </w:tr>
      <w:tr>
        <w:trPr>
          <w:trHeight w:val="257"/>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September 30, 2025</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565,969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569,739</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97,938</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101,242</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10,302</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378,820</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378,820</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28,244</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28,244</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1,081,273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7,074</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1,088,347</w:t>
            </w:r>
          </w:p>
        </w:tc>
        <w:tc>
          <w:tcPr>
            <w:tcW w:w="0" w:type="dxa"/>
            <w:vAlign w:val="bottom"/>
          </w:tcPr>
          <w:p>
            <w:pPr>
              <w:spacing w:after="0"/>
              <w:rPr>
                <w:sz w:val="1"/>
                <w:szCs w:val="1"/>
                <w:color w:val="auto"/>
              </w:rPr>
            </w:pPr>
          </w:p>
        </w:tc>
      </w:tr>
      <w:tr>
        <w:trPr>
          <w:trHeight w:val="256"/>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2024</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559,262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559,262</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119,194</w:t>
            </w: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shd w:val="clear" w:color="auto" w:fill="B6B6B6"/>
          </w:tcPr>
          <w:p>
            <w:pPr>
              <w:spacing w:after="0"/>
              <w:rPr>
                <w:sz w:val="22"/>
                <w:szCs w:val="22"/>
                <w:color w:val="auto"/>
              </w:rPr>
            </w:pPr>
          </w:p>
        </w:tc>
        <w:tc>
          <w:tcPr>
            <w:tcW w:w="1120" w:type="dxa"/>
            <w:vAlign w:val="bottom"/>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119,194</w:t>
            </w: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9,134</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0" w:type="dxa"/>
            <w:vAlign w:val="bottom"/>
          </w:tcPr>
          <w:p>
            <w:pPr>
              <w:spacing w:after="0"/>
              <w:rPr>
                <w:sz w:val="1"/>
                <w:szCs w:val="1"/>
                <w:color w:val="auto"/>
              </w:rPr>
            </w:pPr>
          </w:p>
        </w:tc>
      </w:tr>
      <w:tr>
        <w:trPr>
          <w:trHeight w:val="263"/>
        </w:trPr>
        <w:tc>
          <w:tcPr>
            <w:tcW w:w="276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460" w:type="dxa"/>
            <w:vAlign w:val="bottom"/>
            <w:shd w:val="clear" w:color="auto" w:fill="B6B6B6"/>
          </w:tcPr>
          <w:p>
            <w:pPr>
              <w:spacing w:after="0"/>
              <w:rPr>
                <w:sz w:val="22"/>
                <w:szCs w:val="22"/>
                <w:color w:val="auto"/>
              </w:rPr>
            </w:pPr>
          </w:p>
        </w:tc>
        <w:tc>
          <w:tcPr>
            <w:tcW w:w="102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spacing w:after="0"/>
              <w:rPr>
                <w:sz w:val="22"/>
                <w:szCs w:val="22"/>
                <w:color w:val="auto"/>
              </w:rPr>
            </w:pPr>
          </w:p>
        </w:tc>
        <w:tc>
          <w:tcPr>
            <w:tcW w:w="320" w:type="dxa"/>
            <w:vAlign w:val="bottom"/>
            <w:shd w:val="clear" w:color="auto" w:fill="B6B6B6"/>
          </w:tcPr>
          <w:p>
            <w:pPr>
              <w:spacing w:after="0"/>
              <w:rPr>
                <w:sz w:val="22"/>
                <w:szCs w:val="22"/>
                <w:color w:val="auto"/>
              </w:rPr>
            </w:pPr>
          </w:p>
        </w:tc>
        <w:tc>
          <w:tcPr>
            <w:tcW w:w="110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08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368,881</w:t>
            </w:r>
          </w:p>
        </w:tc>
        <w:tc>
          <w:tcPr>
            <w:tcW w:w="240" w:type="dxa"/>
            <w:vAlign w:val="bottom"/>
          </w:tcPr>
          <w:p>
            <w:pPr>
              <w:spacing w:after="0"/>
              <w:rPr>
                <w:sz w:val="21"/>
                <w:szCs w:val="21"/>
                <w:color w:val="auto"/>
              </w:rPr>
            </w:pPr>
          </w:p>
        </w:tc>
        <w:tc>
          <w:tcPr>
            <w:tcW w:w="11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Pr>
          <w:p>
            <w:pPr>
              <w:spacing w:after="0"/>
              <w:rPr>
                <w:sz w:val="21"/>
                <w:szCs w:val="21"/>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368,881</w:t>
            </w:r>
          </w:p>
        </w:tc>
        <w:tc>
          <w:tcPr>
            <w:tcW w:w="0" w:type="dxa"/>
            <w:vAlign w:val="bottom"/>
          </w:tcPr>
          <w:p>
            <w:pPr>
              <w:spacing w:after="0"/>
              <w:rPr>
                <w:sz w:val="1"/>
                <w:szCs w:val="1"/>
                <w:color w:val="auto"/>
              </w:rPr>
            </w:pPr>
          </w:p>
        </w:tc>
      </w:tr>
      <w:tr>
        <w:trPr>
          <w:trHeight w:val="257"/>
        </w:trPr>
        <w:tc>
          <w:tcPr>
            <w:tcW w:w="276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24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25,518</w:t>
            </w:r>
          </w:p>
        </w:tc>
        <w:tc>
          <w:tcPr>
            <w:tcW w:w="24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gridSpan w:val="2"/>
            <w:shd w:val="clear" w:color="auto" w:fill="B6B6B6"/>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060" w:type="dxa"/>
            <w:vAlign w:val="bottom"/>
            <w:tcBorders>
              <w:bottom w:val="single" w:sz="8" w:color="auto"/>
            </w:tcBorders>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0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25,518</w:t>
            </w:r>
          </w:p>
        </w:tc>
        <w:tc>
          <w:tcPr>
            <w:tcW w:w="0" w:type="dxa"/>
            <w:vAlign w:val="bottom"/>
          </w:tcPr>
          <w:p>
            <w:pPr>
              <w:spacing w:after="0"/>
              <w:rPr>
                <w:sz w:val="1"/>
                <w:szCs w:val="1"/>
                <w:color w:val="auto"/>
              </w:rPr>
            </w:pPr>
          </w:p>
        </w:tc>
      </w:tr>
      <w:tr>
        <w:trPr>
          <w:trHeight w:val="250"/>
        </w:trPr>
        <w:tc>
          <w:tcPr>
            <w:tcW w:w="2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1,081,989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1,081,989</w:t>
            </w:r>
          </w:p>
        </w:tc>
        <w:tc>
          <w:tcPr>
            <w:tcW w:w="0" w:type="dxa"/>
            <w:vAlign w:val="bottom"/>
          </w:tcPr>
          <w:p>
            <w:pPr>
              <w:spacing w:after="0"/>
              <w:rPr>
                <w:sz w:val="1"/>
                <w:szCs w:val="1"/>
                <w:color w:val="auto"/>
              </w:rPr>
            </w:pPr>
          </w:p>
        </w:tc>
      </w:tr>
      <w:tr>
        <w:trPr>
          <w:trHeight w:val="905"/>
        </w:trPr>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-17-</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7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credit exposure of the loan portfolio by internally assigned credit grade as of September 30, 2025 and December 31,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40" w:type="dxa"/>
            <w:vAlign w:val="bottom"/>
          </w:tcPr>
          <w:p>
            <w:pPr>
              <w:spacing w:after="0"/>
              <w:rPr>
                <w:sz w:val="17"/>
                <w:szCs w:val="17"/>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Performing</w:t>
            </w:r>
          </w:p>
        </w:tc>
        <w:tc>
          <w:tcPr>
            <w:tcW w:w="260" w:type="dxa"/>
            <w:vAlign w:val="bottom"/>
          </w:tcPr>
          <w:p>
            <w:pPr>
              <w:spacing w:after="0"/>
              <w:rPr>
                <w:sz w:val="17"/>
                <w:szCs w:val="17"/>
                <w:color w:val="auto"/>
              </w:rPr>
            </w:pPr>
          </w:p>
        </w:tc>
        <w:tc>
          <w:tcPr>
            <w:tcW w:w="15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Nonperforming</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32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Subject to</w:t>
            </w:r>
          </w:p>
        </w:tc>
        <w:tc>
          <w:tcPr>
            <w:tcW w:w="240" w:type="dxa"/>
            <w:vAlign w:val="bottom"/>
          </w:tcPr>
          <w:p>
            <w:pPr>
              <w:spacing w:after="0"/>
              <w:rPr>
                <w:sz w:val="17"/>
                <w:szCs w:val="17"/>
                <w:color w:val="auto"/>
              </w:rPr>
            </w:pPr>
          </w:p>
        </w:tc>
        <w:tc>
          <w:tcPr>
            <w:tcW w:w="136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60" w:type="dxa"/>
            <w:vAlign w:val="bottom"/>
          </w:tcPr>
          <w:p>
            <w:pPr>
              <w:spacing w:after="0"/>
              <w:rPr>
                <w:sz w:val="17"/>
                <w:szCs w:val="17"/>
                <w:color w:val="auto"/>
              </w:rPr>
            </w:pPr>
          </w:p>
        </w:tc>
        <w:tc>
          <w:tcPr>
            <w:tcW w:w="154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Loans Subject</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3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Normal</w:t>
            </w:r>
          </w:p>
        </w:tc>
        <w:tc>
          <w:tcPr>
            <w:tcW w:w="240" w:type="dxa"/>
            <w:vAlign w:val="bottom"/>
          </w:tcPr>
          <w:p>
            <w:pPr>
              <w:spacing w:after="0"/>
              <w:rPr>
                <w:sz w:val="18"/>
                <w:szCs w:val="18"/>
                <w:color w:val="auto"/>
              </w:rPr>
            </w:pPr>
          </w:p>
        </w:tc>
        <w:tc>
          <w:tcPr>
            <w:tcW w:w="1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60" w:type="dxa"/>
            <w:vAlign w:val="bottom"/>
          </w:tcPr>
          <w:p>
            <w:pPr>
              <w:spacing w:after="0"/>
              <w:rPr>
                <w:sz w:val="18"/>
                <w:szCs w:val="18"/>
                <w:color w:val="auto"/>
              </w:rPr>
            </w:pPr>
          </w:p>
        </w:tc>
        <w:tc>
          <w:tcPr>
            <w:tcW w:w="15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to Special</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6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5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13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center"/>
              <w:ind w:right="9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10"/>
              <w:spacing w:after="0" w:line="253" w:lineRule="exact"/>
              <w:rPr>
                <w:sz w:val="20"/>
                <w:szCs w:val="20"/>
                <w:color w:val="auto"/>
              </w:rPr>
            </w:pPr>
            <w:r>
              <w:rPr>
                <w:rFonts w:ascii="Times New Roman" w:cs="Times New Roman" w:eastAsia="Times New Roman" w:hAnsi="Times New Roman"/>
                <w:sz w:val="18"/>
                <w:szCs w:val="18"/>
                <w:b w:val="1"/>
                <w:bCs w:val="1"/>
                <w:color w:val="auto"/>
                <w:w w:val="98"/>
              </w:rPr>
              <w:t>Monitoring</w:t>
            </w:r>
            <w:r>
              <w:rPr>
                <w:rFonts w:ascii="Times New Roman" w:cs="Times New Roman" w:eastAsia="Times New Roman" w:hAnsi="Times New Roman"/>
                <w:sz w:val="23"/>
                <w:szCs w:val="23"/>
                <w:b w:val="1"/>
                <w:bCs w:val="1"/>
                <w:color w:val="auto"/>
                <w:w w:val="98"/>
                <w:vertAlign w:val="superscript"/>
              </w:rPr>
              <w:t>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7"/>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September 30, 2025</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533,678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32,291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569,739</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93,982</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3,956</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3,304</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101,242</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10,302</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368,216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10,604</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378,820</w:t>
            </w:r>
          </w:p>
        </w:tc>
      </w:tr>
      <w:tr>
        <w:trPr>
          <w:trHeight w:val="257"/>
        </w:trPr>
        <w:tc>
          <w:tcPr>
            <w:tcW w:w="33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28,244</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28,244</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1,034,422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46,851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7,074</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1,088,347</w:t>
            </w:r>
          </w:p>
        </w:tc>
      </w:tr>
      <w:tr>
        <w:trPr>
          <w:trHeight w:val="257"/>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December 31, 2024</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527,690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31,572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559,262</w:t>
            </w:r>
          </w:p>
        </w:tc>
      </w:tr>
      <w:tr>
        <w:trPr>
          <w:trHeight w:val="263"/>
        </w:trPr>
        <w:tc>
          <w:tcPr>
            <w:tcW w:w="33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w:t>
            </w:r>
          </w:p>
        </w:tc>
        <w:tc>
          <w:tcPr>
            <w:tcW w:w="15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63"/>
        </w:trPr>
        <w:tc>
          <w:tcPr>
            <w:tcW w:w="3320" w:type="dxa"/>
            <w:vAlign w:val="bottom"/>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116,063</w:t>
            </w: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119,194</w:t>
            </w: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9,134</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9,134</w:t>
            </w:r>
          </w:p>
        </w:tc>
      </w:tr>
      <w:tr>
        <w:trPr>
          <w:trHeight w:val="263"/>
        </w:trPr>
        <w:tc>
          <w:tcPr>
            <w:tcW w:w="33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Faith-based:</w:t>
            </w:r>
          </w:p>
        </w:tc>
        <w:tc>
          <w:tcPr>
            <w:tcW w:w="15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54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280" w:type="dxa"/>
            <w:vAlign w:val="bottom"/>
            <w:shd w:val="clear" w:color="auto" w:fill="B6B6B6"/>
          </w:tcPr>
          <w:p>
            <w:pPr>
              <w:spacing w:after="0"/>
              <w:rPr>
                <w:sz w:val="22"/>
                <w:szCs w:val="22"/>
                <w:color w:val="auto"/>
              </w:rPr>
            </w:pPr>
          </w:p>
        </w:tc>
      </w:tr>
      <w:tr>
        <w:trPr>
          <w:trHeight w:val="250"/>
        </w:trPr>
        <w:tc>
          <w:tcPr>
            <w:tcW w:w="3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w:t>
            </w:r>
          </w:p>
        </w:tc>
        <w:tc>
          <w:tcPr>
            <w:tcW w:w="15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352,356</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16,525</w:t>
            </w:r>
          </w:p>
        </w:tc>
        <w:tc>
          <w:tcPr>
            <w:tcW w:w="2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368,881</w:t>
            </w:r>
          </w:p>
        </w:tc>
      </w:tr>
      <w:tr>
        <w:trPr>
          <w:trHeight w:val="257"/>
        </w:trPr>
        <w:tc>
          <w:tcPr>
            <w:tcW w:w="33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Construction</w:t>
            </w:r>
          </w:p>
        </w:tc>
        <w:tc>
          <w:tcPr>
            <w:tcW w:w="1560" w:type="dxa"/>
            <w:vAlign w:val="bottom"/>
            <w:tcBorders>
              <w:bottom w:val="single" w:sz="8" w:color="auto"/>
            </w:tcBorders>
            <w:shd w:val="clear" w:color="auto" w:fill="B6B6B6"/>
          </w:tcPr>
          <w:p>
            <w:pPr>
              <w:spacing w:after="0"/>
              <w:rPr>
                <w:sz w:val="22"/>
                <w:szCs w:val="22"/>
                <w:color w:val="auto"/>
              </w:rPr>
            </w:pPr>
          </w:p>
        </w:tc>
        <w:tc>
          <w:tcPr>
            <w:tcW w:w="132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25,518</w:t>
            </w:r>
          </w:p>
        </w:tc>
        <w:tc>
          <w:tcPr>
            <w:tcW w:w="240" w:type="dxa"/>
            <w:vAlign w:val="bottom"/>
            <w:tcBorders>
              <w:bottom w:val="single" w:sz="8" w:color="auto"/>
            </w:tcBorders>
            <w:shd w:val="clear" w:color="auto" w:fill="B6B6B6"/>
          </w:tcPr>
          <w:p>
            <w:pPr>
              <w:spacing w:after="0"/>
              <w:rPr>
                <w:sz w:val="22"/>
                <w:szCs w:val="22"/>
                <w:color w:val="auto"/>
              </w:rPr>
            </w:pPr>
          </w:p>
        </w:tc>
        <w:tc>
          <w:tcPr>
            <w:tcW w:w="13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B6B6B6"/>
          </w:tcPr>
          <w:p>
            <w:pPr>
              <w:spacing w:after="0"/>
              <w:rPr>
                <w:sz w:val="22"/>
                <w:szCs w:val="22"/>
                <w:color w:val="auto"/>
              </w:rPr>
            </w:pPr>
          </w:p>
        </w:tc>
        <w:tc>
          <w:tcPr>
            <w:tcW w:w="15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B6B6B6"/>
          </w:tcPr>
          <w:p>
            <w:pPr>
              <w:spacing w:after="0"/>
              <w:rPr>
                <w:sz w:val="22"/>
                <w:szCs w:val="22"/>
                <w:color w:val="auto"/>
              </w:rPr>
            </w:pPr>
          </w:p>
        </w:tc>
        <w:tc>
          <w:tcPr>
            <w:tcW w:w="1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25,518</w:t>
            </w:r>
          </w:p>
        </w:tc>
      </w:tr>
      <w:tr>
        <w:trPr>
          <w:trHeight w:val="250"/>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1,030,761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51,228</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1,081,989</w:t>
            </w:r>
          </w:p>
        </w:tc>
      </w:tr>
    </w:tbl>
    <w:p>
      <w:pPr>
        <w:spacing w:after="0" w:line="292" w:lineRule="exact"/>
        <w:rPr>
          <w:sz w:val="20"/>
          <w:szCs w:val="20"/>
          <w:color w:val="auto"/>
        </w:rPr>
      </w:pPr>
    </w:p>
    <w:p>
      <w:pPr>
        <w:ind w:left="20" w:right="140" w:firstLine="6"/>
        <w:spacing w:after="0" w:line="208" w:lineRule="auto"/>
        <w:tabs>
          <w:tab w:leader="none" w:pos="123"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normal monitoring involve borrowers of acceptable-to-strong credit quality and risk, who have the apparent ability to satisfy their loan obligations.</w:t>
      </w:r>
    </w:p>
    <w:p>
      <w:pPr>
        <w:ind w:left="120" w:hanging="94"/>
        <w:spacing w:after="0" w:line="233" w:lineRule="auto"/>
        <w:tabs>
          <w:tab w:leader="none" w:pos="12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Loans subject to special monitoring possess some credit deficiency or potential weakness which requires a high level of management attention.</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84" w:lineRule="exact"/>
        <w:rPr>
          <w:rFonts w:ascii="Times New Roman" w:cs="Times New Roman" w:eastAsia="Times New Roman" w:hAnsi="Times New Roman"/>
          <w:sz w:val="23"/>
          <w:szCs w:val="23"/>
          <w:color w:val="auto"/>
          <w:vertAlign w:val="superscript"/>
        </w:rPr>
      </w:pPr>
    </w:p>
    <w:p>
      <w:pPr>
        <w:ind w:left="5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 modifications to borrowers experiencing financial difficulty may be in the form of principal forgiveness, an interest rate reduction, an other-than-insignificant payment delay, a term extension, or a combination thereof, among other things.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amortized cost of loans that were both experiencing financial difficulty and modified during the nine months ended September 30, 2025, segregated by category and type of modification.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Combination</w:t>
            </w:r>
          </w:p>
        </w:tc>
        <w:tc>
          <w:tcPr>
            <w:tcW w:w="1680" w:type="dxa"/>
            <w:vAlign w:val="bottom"/>
          </w:tcPr>
          <w:p>
            <w:pPr>
              <w:spacing w:after="0"/>
              <w:rPr>
                <w:sz w:val="17"/>
                <w:szCs w:val="17"/>
                <w:color w:val="auto"/>
              </w:rPr>
            </w:pP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Percentage of Total</w:t>
            </w:r>
          </w:p>
        </w:tc>
      </w:tr>
      <w:tr>
        <w:trPr>
          <w:trHeight w:val="203"/>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64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and Interest Rate</w:t>
            </w:r>
          </w:p>
        </w:tc>
        <w:tc>
          <w:tcPr>
            <w:tcW w:w="16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Loans Held for</w:t>
            </w:r>
          </w:p>
        </w:tc>
      </w:tr>
      <w:tr>
        <w:trPr>
          <w:trHeight w:val="272"/>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Payment Delay</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Term Extension</w:t>
            </w:r>
          </w:p>
        </w:tc>
        <w:tc>
          <w:tcPr>
            <w:tcW w:w="2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Reduction</w:t>
            </w:r>
          </w:p>
        </w:tc>
        <w:tc>
          <w:tcPr>
            <w:tcW w:w="2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Reduction</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w:t>
            </w:r>
          </w:p>
        </w:tc>
      </w:tr>
      <w:tr>
        <w:trPr>
          <w:trHeight w:val="257"/>
        </w:trPr>
        <w:tc>
          <w:tcPr>
            <w:tcW w:w="32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September 30, 2025</w:t>
            </w:r>
          </w:p>
        </w:tc>
        <w:tc>
          <w:tcPr>
            <w:tcW w:w="120" w:type="dxa"/>
            <w:vAlign w:val="bottom"/>
            <w:shd w:val="clear" w:color="auto" w:fill="B6B6B6"/>
          </w:tcPr>
          <w:p>
            <w:pPr>
              <w:spacing w:after="0"/>
              <w:rPr>
                <w:sz w:val="22"/>
                <w:szCs w:val="22"/>
                <w:color w:val="auto"/>
              </w:rPr>
            </w:pPr>
          </w:p>
        </w:tc>
        <w:tc>
          <w:tcPr>
            <w:tcW w:w="136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3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320" w:type="dxa"/>
            <w:vAlign w:val="bottom"/>
            <w:shd w:val="clear" w:color="auto" w:fill="B6B6B6"/>
          </w:tcPr>
          <w:p>
            <w:pPr>
              <w:spacing w:after="0"/>
              <w:rPr>
                <w:sz w:val="22"/>
                <w:szCs w:val="22"/>
                <w:color w:val="auto"/>
              </w:rPr>
            </w:pPr>
          </w:p>
        </w:tc>
        <w:tc>
          <w:tcPr>
            <w:tcW w:w="200" w:type="dxa"/>
            <w:vAlign w:val="bottom"/>
            <w:shd w:val="clear" w:color="auto" w:fill="B6B6B6"/>
          </w:tcPr>
          <w:p>
            <w:pPr>
              <w:spacing w:after="0"/>
              <w:rPr>
                <w:sz w:val="22"/>
                <w:szCs w:val="22"/>
                <w:color w:val="auto"/>
              </w:rPr>
            </w:pPr>
          </w:p>
        </w:tc>
        <w:tc>
          <w:tcPr>
            <w:tcW w:w="1440" w:type="dxa"/>
            <w:vAlign w:val="bottom"/>
            <w:shd w:val="clear" w:color="auto" w:fill="B6B6B6"/>
          </w:tcPr>
          <w:p>
            <w:pPr>
              <w:spacing w:after="0"/>
              <w:rPr>
                <w:sz w:val="22"/>
                <w:szCs w:val="22"/>
                <w:color w:val="auto"/>
              </w:rPr>
            </w:pPr>
          </w:p>
        </w:tc>
        <w:tc>
          <w:tcPr>
            <w:tcW w:w="1680" w:type="dxa"/>
            <w:vAlign w:val="bottom"/>
            <w:shd w:val="clear" w:color="auto" w:fill="B6B6B6"/>
          </w:tcPr>
          <w:p>
            <w:pPr>
              <w:spacing w:after="0"/>
              <w:rPr>
                <w:sz w:val="22"/>
                <w:szCs w:val="22"/>
                <w:color w:val="auto"/>
              </w:rPr>
            </w:pPr>
          </w:p>
        </w:tc>
      </w:tr>
      <w:tr>
        <w:trPr>
          <w:trHeight w:val="25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4.90 %</w:t>
            </w:r>
          </w:p>
        </w:tc>
      </w:tr>
      <w:tr>
        <w:trPr>
          <w:trHeight w:val="263"/>
        </w:trPr>
        <w:tc>
          <w:tcPr>
            <w:tcW w:w="32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B6B6B6"/>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27,930</w:t>
            </w:r>
          </w:p>
        </w:tc>
        <w:tc>
          <w:tcPr>
            <w:tcW w:w="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B6B6B6"/>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2.57 %</w:t>
            </w:r>
          </w:p>
        </w:tc>
      </w:tr>
    </w:tbl>
    <w:p>
      <w:pPr>
        <w:spacing w:after="0" w:line="2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There were two loans modified during the nine months ended September 30, 2025. There were no loans modified during the nine months ended September 30, 2024. Both loans modified during the nine months ended September 30, 2025 were due to term extensions coupled with an interest rate increase.</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payment status of loans that have been modified to borrowers experiencing financial difficulty in the last twelve months: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30-59 Days Past</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60-89 Days Past</w:t>
            </w:r>
          </w:p>
        </w:tc>
        <w:tc>
          <w:tcPr>
            <w:tcW w:w="200" w:type="dxa"/>
            <w:vAlign w:val="bottom"/>
          </w:tcPr>
          <w:p>
            <w:pPr>
              <w:spacing w:after="0"/>
              <w:rPr>
                <w:sz w:val="17"/>
                <w:szCs w:val="17"/>
                <w:color w:val="auto"/>
              </w:rPr>
            </w:pPr>
          </w:p>
        </w:tc>
        <w:tc>
          <w:tcPr>
            <w:tcW w:w="174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90 Days or More</w:t>
            </w:r>
          </w:p>
        </w:tc>
        <w:tc>
          <w:tcPr>
            <w:tcW w:w="1440" w:type="dxa"/>
            <w:vAlign w:val="bottom"/>
          </w:tcPr>
          <w:p>
            <w:pPr>
              <w:spacing w:after="0"/>
              <w:rPr>
                <w:sz w:val="17"/>
                <w:szCs w:val="17"/>
                <w:color w:val="auto"/>
              </w:rPr>
            </w:pPr>
          </w:p>
        </w:tc>
      </w:tr>
      <w:tr>
        <w:trPr>
          <w:trHeight w:val="245"/>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4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6"/>
              </w:rPr>
              <w:t>Due</w:t>
            </w: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1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Past Due</w:t>
            </w:r>
          </w:p>
        </w:tc>
      </w:tr>
      <w:tr>
        <w:trPr>
          <w:trHeight w:val="250"/>
        </w:trPr>
        <w:tc>
          <w:tcPr>
            <w:tcW w:w="27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98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27,930</w:t>
            </w:r>
          </w:p>
        </w:tc>
        <w:tc>
          <w:tcPr>
            <w:tcW w:w="40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B6B6B6"/>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B6B6B6"/>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B6B6B6"/>
          </w:tcPr>
          <w:p>
            <w:pPr>
              <w:ind w:left="1040"/>
              <w:spacing w:after="0"/>
              <w:rPr>
                <w:sz w:val="20"/>
                <w:szCs w:val="20"/>
                <w:color w:val="auto"/>
              </w:rPr>
            </w:pPr>
            <w:r>
              <w:rPr>
                <w:rFonts w:ascii="Times New Roman" w:cs="Times New Roman" w:eastAsia="Times New Roman" w:hAnsi="Times New Roman"/>
                <w:sz w:val="18"/>
                <w:szCs w:val="18"/>
                <w:color w:val="auto"/>
              </w:rPr>
              <w:t>— %</w:t>
            </w:r>
          </w:p>
        </w:tc>
      </w:tr>
      <w:tr>
        <w:trPr>
          <w:trHeight w:val="250"/>
        </w:trPr>
        <w:tc>
          <w:tcPr>
            <w:tcW w:w="2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27,930</w:t>
            </w: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 Company had no commitments to lend additional funds to borrowers experiencing financial difficulty for which the Company modified the terms of the loans in the form of principal forgiveness, an interest rate reduction, an other-than-insignificant payment delay, or a term extension during the current period.</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modified loans that had a payment default during the nine months ended September 30, 2025 that had been modified due to the borrower experiencing financial difficulty within the 12 previous months preceding the default.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Company's determination that a modified loan has subsequently been deemed uncollectible, the loan is written off. There were no loans written off during the nine months ended September 30, 2025.</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 Company had three non-accrual loans totaling $7.1 million that had an allowance for credit losses specifically allocated to them of $141,000 based on an evaluation of expected credit losses. There were no non-accrual loans at December 31, 2024. The Company did not record any interest income on non-accrual loans during the three and nine months ended September 30, 2025 or September 30,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foreclosed loans recorded as other real estate owned as of September 30, 2025 or December 31, 2024.</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in the allowance for credit losses (“ACL”) by category for the nine months ended September 30, 2025 and year-ended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720" w:type="dxa"/>
            <w:vAlign w:val="bottom"/>
          </w:tcPr>
          <w:p>
            <w:pPr>
              <w:spacing w:after="0"/>
              <w:rPr>
                <w:sz w:val="17"/>
                <w:szCs w:val="17"/>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C&amp;I</w:t>
            </w:r>
          </w:p>
        </w:tc>
        <w:tc>
          <w:tcPr>
            <w:tcW w:w="380" w:type="dxa"/>
            <w:vAlign w:val="bottom"/>
          </w:tcPr>
          <w:p>
            <w:pPr>
              <w:spacing w:after="0"/>
              <w:rPr>
                <w:sz w:val="17"/>
                <w:szCs w:val="17"/>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w:t>
            </w:r>
          </w:p>
        </w:tc>
        <w:tc>
          <w:tcPr>
            <w:tcW w:w="200" w:type="dxa"/>
            <w:vAlign w:val="bottom"/>
          </w:tcPr>
          <w:p>
            <w:pPr>
              <w:spacing w:after="0"/>
              <w:rPr>
                <w:sz w:val="17"/>
                <w:szCs w:val="17"/>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Faith-based</w:t>
            </w:r>
          </w:p>
        </w:tc>
        <w:tc>
          <w:tcPr>
            <w:tcW w:w="220" w:type="dxa"/>
            <w:vAlign w:val="bottom"/>
          </w:tcPr>
          <w:p>
            <w:pPr>
              <w:spacing w:after="0"/>
              <w:rPr>
                <w:sz w:val="17"/>
                <w:szCs w:val="17"/>
                <w:color w:val="auto"/>
              </w:rPr>
            </w:pPr>
          </w:p>
        </w:tc>
        <w:tc>
          <w:tcPr>
            <w:tcW w:w="13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380" w:type="dxa"/>
            <w:vAlign w:val="bottom"/>
          </w:tcPr>
          <w:p>
            <w:pPr>
              <w:spacing w:after="0"/>
              <w:rPr>
                <w:sz w:val="17"/>
                <w:szCs w:val="17"/>
                <w:color w:val="auto"/>
              </w:rPr>
            </w:pPr>
          </w:p>
        </w:tc>
        <w:tc>
          <w:tcPr>
            <w:tcW w:w="104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vMerge w:val="continue"/>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CRE</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58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72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5,412</w:t>
            </w:r>
          </w:p>
        </w:tc>
        <w:tc>
          <w:tcPr>
            <w:tcW w:w="38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6,476</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7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2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1,023</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6,258</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0" w:type="dxa"/>
            <w:vAlign w:val="bottom"/>
          </w:tcPr>
          <w:p>
            <w:pPr>
              <w:spacing w:after="0"/>
              <w:rPr>
                <w:sz w:val="1"/>
                <w:szCs w:val="1"/>
                <w:color w:val="auto"/>
              </w:rPr>
            </w:pPr>
          </w:p>
        </w:tc>
      </w:tr>
      <w:tr>
        <w:trPr>
          <w:trHeight w:val="257"/>
        </w:trPr>
        <w:tc>
          <w:tcPr>
            <w:tcW w:w="3580" w:type="dxa"/>
            <w:vAlign w:val="bottom"/>
            <w:tcBorders>
              <w:bottom w:val="single" w:sz="8" w:color="auto"/>
            </w:tcBorders>
          </w:tcPr>
          <w:p>
            <w:pPr>
              <w:ind w:left="200"/>
              <w:spacing w:after="0" w:line="256" w:lineRule="exact"/>
              <w:rPr>
                <w:sz w:val="20"/>
                <w:szCs w:val="20"/>
                <w:color w:val="auto"/>
              </w:rPr>
            </w:pPr>
            <w:r>
              <w:rPr>
                <w:rFonts w:ascii="Times New Roman" w:cs="Times New Roman" w:eastAsia="Times New Roman" w:hAnsi="Times New Roman"/>
                <w:sz w:val="18"/>
                <w:szCs w:val="18"/>
                <w:color w:val="auto"/>
              </w:rPr>
              <w:t xml:space="preserve">Provision for (release of) credit losses </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43"/>
        </w:trPr>
        <w:tc>
          <w:tcPr>
            <w:tcW w:w="35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72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38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6,617</w:t>
            </w:r>
          </w:p>
        </w:tc>
        <w:tc>
          <w:tcPr>
            <w:tcW w:w="2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3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14,066</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980" w:hanging="95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nine months ended September 30, 2025, there was a provision for credit losses of $66,000 for unfunded commitments.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is party to activities that contain credit, market and operational risks that are not reflected in whole or in part in the Company’s consolidated financial statements. As more fully described in the Form 10-K, such activities include traditional off-balance sheet credit-related financial instruments. These financial instruments include commitments to extend credit, commercial letters of credit and standby letters of credit. The Company’s maximum potential exposure to credit loss in the event of nonperformance by the other party to the financial instrument for commitments to extend credit, commercial letters of credit and standby letters of credit is represented by the contractual amounts of those instruments. Commitments to extend credit and letters of credit are subject to the same underwriting standards as those financial instruments included on the consolidated balance sheets. An allowance for unfunded commitments of $339,000 and $273,000 had been recorded at September 30, 2025 and December 31, 2024,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2025, the balances of unfunded commitments, standby and commercial letters of credit were $174.8 million, $11.9 million, and $489,000, respectively. Since some of the financial instruments may expire without being drawn upon, the total amounts do not necessarily represent future cash requirements.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19, 2024, the Company filed a claim against Rubicon Technologies, Inc. ("Rubicon") for failed reimbursement of invoices that were processed and paid by the Company on Rubicon's behalf and unpaid fees for Company services that were due for invoice management services and bill pay services, together with interest and penalties related to the foregoing amounts. On April 22, 2024, Rubicon filed a counterclaim against the Company for failure to perform its obligations under the Master Services Agreement between the Company and Rubicon. The Company recorded a write-off to bad debt expense of $7.8 million for the year ended December 31, 2024 related to this matter.</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28, 2025, the Company and Rubicon, in order to fully resolve the above matters, signed a Settlement Agreement and Mutual Release whereby Rubicon made an initial payment to the Company of $2.0 million. The Company recorded a bad debt recovery of $2.0 million in the consolidated statement of income for the nine months ended September 30, 2025 upon receipt of the initial payment of $2.0 million. Rubicon also agreed to a fully amortizing, interest-bearing Promissory Note of $5.0 million, with annual payments, maturing July 1, 2029. The Company will record any future payments received in accordance with the Settlement Agreement and Mutual Release as a bad debt recovery when cash is received.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16, 2023, the Board of Directors adopted the 2023 Omnibus Stock and Performance Compensation Plan (the "2023 Omnibus Plan"), which was approved by the Company's shareholders on April 18, 2023. The 2023 Omnibus Plan permits the issuance of up to 1.0 million shares of the Company’s common stock in the form of stock options, SARs, restricted stock, restricted stock units, phantom stock, and performance awards. During the nine months ended September 30, 2025, 65,294 time-based restricted shares and 56,339 performance-based restricted shares were granted under the 2023 Omnibus Plan. Share-based compensation expense was $1.0 million and $3.2 million for the three and nine months ended September 30, 2025, respectively, and $863,000 and $2.5 million for the three and nine months ended September 30, 2024,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Restricted shares granted to Company employees are amortized to expense over a three-year cliff vesting period, or until vesting occurs upon retirement. Restricted shares granted to members of the Board of Directors are amortized to expense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 a one-year service period, with the exception of those shares granted in lieu of cash payments for retainer fees which are expensed in the period earned.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unrecognized compensation expense related to non-vested restricted shares was $2.3 million, and the related weighted-average period over which it is expected to be recognized is approximately 0.58 years.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is a summary of the activity of the Company's restricted stock for the nine months ended September 30, 2025, with total shares and weighted-average fair value:</w:t>
      </w:r>
    </w:p>
    <w:p>
      <w:pPr>
        <w:spacing w:after="0" w:line="17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14605</wp:posOffset>
            </wp:positionV>
            <wp:extent cx="19456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7"/>
        </w:trPr>
        <w:tc>
          <w:tcPr>
            <w:tcW w:w="5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254,808</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5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65,294</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r>
      <w:tr>
        <w:trPr>
          <w:trHeight w:val="263"/>
        </w:trPr>
        <w:tc>
          <w:tcPr>
            <w:tcW w:w="5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(43,526)</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39.62</w:t>
            </w:r>
          </w:p>
        </w:tc>
      </w:tr>
      <w:tr>
        <w:trPr>
          <w:trHeight w:val="25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4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w:t>
            </w:r>
          </w:p>
        </w:tc>
      </w:tr>
      <w:tr>
        <w:trPr>
          <w:trHeight w:val="250"/>
        </w:trPr>
        <w:tc>
          <w:tcPr>
            <w:tcW w:w="54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4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274,018</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42.88</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granted three-year performance-based restricted stock (“PBRS”) awards which are contingent upon the Company’s achievement of pre-established financial goals over a three-year cliff vesting period. The number of shares issued ranges from 0% to 150% of the target opportunity based on the actual achievement of financial goals for the three-year performance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activity of the PBRS for the nine months ended September 30, 2025, based on 100% of target value:</w:t>
      </w:r>
    </w:p>
    <w:p>
      <w:pPr>
        <w:spacing w:after="0" w:line="235"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31"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14605</wp:posOffset>
            </wp:positionV>
            <wp:extent cx="19456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5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2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158,428</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43.87</w:t>
            </w:r>
          </w:p>
        </w:tc>
      </w:tr>
      <w:tr>
        <w:trPr>
          <w:trHeight w:val="25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56,339</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r>
      <w:tr>
        <w:trPr>
          <w:trHeight w:val="263"/>
        </w:trPr>
        <w:tc>
          <w:tcPr>
            <w:tcW w:w="54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39.58</w:t>
            </w:r>
          </w:p>
        </w:tc>
      </w:tr>
      <w:tr>
        <w:trPr>
          <w:trHeight w:val="250"/>
        </w:trPr>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4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50"/>
        </w:trPr>
        <w:tc>
          <w:tcPr>
            <w:tcW w:w="54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42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154,719</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44.52</w:t>
            </w: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PBRS that vested during the nine months ended September 30, 2025 were based on the Company's achievement of 99.1% of target financial goals for the 2022-2024 performance period, resulting in the issuance of 55,348 shares of common stock. The outstanding PBRS at September 30, 2025 will vest at scheduled vesting dates and the actual number of shares of common stock issued will range from 0% to 150% of the target opportunity based on the actual achievement of financial goals for the respective three-year performance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Defined Pension Plans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a noncontributory defined-benefit pension plan (the “Plan”), which covered eligible employees that was terminated in 2024. The Company recorded no net periodic pension cost for the three and nine months ended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$195,000 and $581,000 for the three and nine months ended September 30, 2024, respectively related to the Plan.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Plan, the Company has an unfunded supplemental executive retirement plan (the "SERP"). There are no current employees earning benefits and therefore, there is no service cost associated with the SERP. The following table represents the components of the net periodic cost for the SERP:</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0" w:type="dxa"/>
            <w:vAlign w:val="bottom"/>
          </w:tcPr>
          <w:p>
            <w:pPr>
              <w:spacing w:after="0"/>
              <w:rPr>
                <w:sz w:val="1"/>
                <w:szCs w:val="1"/>
                <w:color w:val="auto"/>
              </w:rPr>
            </w:pPr>
          </w:p>
        </w:tc>
      </w:tr>
      <w:tr>
        <w:trPr>
          <w:trHeight w:val="241"/>
        </w:trPr>
        <w:tc>
          <w:tcPr>
            <w:tcW w:w="5680" w:type="dxa"/>
            <w:vAlign w:val="bottom"/>
            <w:tcBorders>
              <w:bottom w:val="single" w:sz="8" w:color="auto"/>
            </w:tcBorders>
            <w:vMerge w:val="continue"/>
          </w:tcPr>
          <w:p>
            <w:pPr>
              <w:spacing w:after="0"/>
              <w:rPr>
                <w:sz w:val="20"/>
                <w:szCs w:val="20"/>
                <w:color w:val="auto"/>
              </w:rPr>
            </w:pPr>
          </w:p>
        </w:tc>
        <w:tc>
          <w:tcPr>
            <w:tcW w:w="3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52"/>
        </w:trPr>
        <w:tc>
          <w:tcPr>
            <w:tcW w:w="5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3640" w:type="dxa"/>
            <w:vAlign w:val="bottom"/>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B6B6B6"/>
          </w:tcPr>
          <w:p>
            <w:pPr>
              <w:spacing w:after="0"/>
              <w:rPr>
                <w:sz w:val="20"/>
                <w:szCs w:val="20"/>
                <w:color w:val="auto"/>
              </w:rPr>
            </w:pPr>
            <w:r>
              <w:rPr>
                <w:rFonts w:ascii="Times New Roman" w:cs="Times New Roman" w:eastAsia="Times New Roman" w:hAnsi="Times New Roman"/>
                <w:sz w:val="18"/>
                <w:szCs w:val="18"/>
                <w:color w:val="auto"/>
              </w:rPr>
              <w:t>463</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36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6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640" w:type="dxa"/>
            <w:vAlign w:val="bottom"/>
            <w:tcBorders>
              <w:bottom w:val="single" w:sz="8" w:color="auto"/>
            </w:tcBorders>
            <w:shd w:val="clear" w:color="auto" w:fill="B6B6B6"/>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B6B6B6"/>
          </w:tcPr>
          <w:p>
            <w:pPr>
              <w:spacing w:after="0"/>
              <w:rPr>
                <w:sz w:val="20"/>
                <w:szCs w:val="20"/>
                <w:color w:val="auto"/>
              </w:rPr>
            </w:pPr>
            <w:r>
              <w:rPr>
                <w:rFonts w:ascii="Times New Roman" w:cs="Times New Roman" w:eastAsia="Times New Roman" w:hAnsi="Times New Roman"/>
                <w:sz w:val="18"/>
                <w:szCs w:val="18"/>
                <w:color w:val="auto"/>
              </w:rPr>
              <w:t>450</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SERP cost recorded to expense was $113,000 and $338,000 for the three and nine month periods ended September 30, 2025, September 30, 2024,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continuing operations was 20.7% and 20.3% for the three and nine months ended September 30, 2025, respectively and was 19.6% and 21.0% for the three and nine months ended September 30, 2024, respectively. The effective tax rate can differ from the statutory rate of 21% primarily due to the impact of state income taxes, the tax-exempt interest received from municipal bonds and bank-owned life insurance, and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Investment Securities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 securities available-for-sale are recorded at fair value on a recurring basis. The Company’s investment securities available-for-sale are measured at fair value using Level 2 inputs including observable trade data, market data, etc. The market evaluation utilizes several sources which include “observable inputs” rather than “significant unobservable inputs” and therefore fall into the Level 2 category. The amortized cost, gross unrealized gains, gross unrealized losses and fair value of investment securities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5"/>
                <w:szCs w:val="15"/>
                <w:color w:val="auto"/>
              </w:rPr>
            </w:pPr>
          </w:p>
        </w:tc>
        <w:tc>
          <w:tcPr>
            <w:tcW w:w="12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257,145</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1,802</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247,109</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439,159</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1,515</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(27,864)</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412,810</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30,960</w:t>
            </w:r>
          </w:p>
        </w:tc>
        <w:tc>
          <w:tcPr>
            <w:tcW w:w="30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29,074</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756,338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3,317</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(42,286)</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717,369</w:t>
            </w:r>
          </w:p>
        </w:tc>
        <w:tc>
          <w:tcPr>
            <w:tcW w:w="0" w:type="dxa"/>
            <w:vAlign w:val="bottom"/>
          </w:tcPr>
          <w:p>
            <w:pPr>
              <w:spacing w:after="0"/>
              <w:rPr>
                <w:sz w:val="1"/>
                <w:szCs w:val="1"/>
                <w:color w:val="auto"/>
              </w:rPr>
            </w:pPr>
          </w:p>
        </w:tc>
      </w:tr>
      <w:tr>
        <w:trPr>
          <w:trHeight w:val="547"/>
        </w:trPr>
        <w:tc>
          <w:tcPr>
            <w:tcW w:w="5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00" w:type="dxa"/>
            <w:vAlign w:val="bottom"/>
          </w:tcPr>
          <w:p>
            <w:pPr>
              <w:spacing w:after="0"/>
              <w:rPr>
                <w:sz w:val="15"/>
                <w:szCs w:val="15"/>
                <w:color w:val="auto"/>
              </w:rPr>
            </w:pPr>
          </w:p>
        </w:tc>
        <w:tc>
          <w:tcPr>
            <w:tcW w:w="130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5"/>
                <w:szCs w:val="15"/>
                <w:color w:val="auto"/>
              </w:rPr>
            </w:pPr>
          </w:p>
        </w:tc>
        <w:tc>
          <w:tcPr>
            <w:tcW w:w="12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188,933</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28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171,964</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 guaranteed by U.S.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agencies or sponsored enterprises</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267,359</w:t>
            </w:r>
          </w:p>
        </w:tc>
        <w:tc>
          <w:tcPr>
            <w:tcW w:w="3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(34,095)</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233,275</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95,841</w:t>
            </w:r>
          </w:p>
        </w:tc>
        <w:tc>
          <w:tcPr>
            <w:tcW w:w="30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B6B6B6"/>
          </w:tcPr>
          <w:p>
            <w:pPr>
              <w:spacing w:after="0"/>
              <w:rPr>
                <w:sz w:val="22"/>
                <w:szCs w:val="22"/>
                <w:color w:val="auto"/>
              </w:rPr>
            </w:pPr>
          </w:p>
        </w:tc>
        <w:tc>
          <w:tcPr>
            <w:tcW w:w="13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28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87,786</w:t>
            </w:r>
          </w:p>
        </w:tc>
        <w:tc>
          <w:tcPr>
            <w:tcW w:w="0" w:type="dxa"/>
            <w:vAlign w:val="bottom"/>
          </w:tcPr>
          <w:p>
            <w:pPr>
              <w:spacing w:after="0"/>
              <w:rPr>
                <w:sz w:val="1"/>
                <w:szCs w:val="1"/>
                <w:color w:val="auto"/>
              </w:rPr>
            </w:pPr>
          </w:p>
        </w:tc>
      </w:tr>
      <w:tr>
        <w:trPr>
          <w:trHeight w:val="2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 guaranteed by U.S. government</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agencies or sponsored enterprises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35,575</w:t>
            </w: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587,708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28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528,021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investment securities with unrealized losses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2,814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148,209</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11,822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151,023</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11,838</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117,666</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1,227</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145,446</w:t>
            </w:r>
          </w:p>
        </w:tc>
        <w:tc>
          <w:tcPr>
            <w:tcW w:w="2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26,637</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263,112</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27,864</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28,723</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2,238</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28,723</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28,728</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120,480</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351,106</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41,043</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471,586</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42,286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12 months or more</w:t>
            </w: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4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40" w:type="dxa"/>
            <w:vAlign w:val="bottom"/>
          </w:tcPr>
          <w:p>
            <w:pPr>
              <w:jc w:val="right"/>
              <w:ind w:right="19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40" w:type="dxa"/>
            <w:vAlign w:val="bottom"/>
          </w:tcPr>
          <w:p>
            <w:pPr>
              <w:spacing w:after="0"/>
              <w:rPr>
                <w:sz w:val="15"/>
                <w:szCs w:val="15"/>
                <w:color w:val="auto"/>
              </w:rPr>
            </w:pPr>
          </w:p>
        </w:tc>
        <w:tc>
          <w:tcPr>
            <w:tcW w:w="116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5"/>
                <w:szCs w:val="15"/>
                <w:color w:val="auto"/>
              </w:rPr>
            </w:pPr>
          </w:p>
        </w:tc>
        <w:tc>
          <w:tcPr>
            <w:tcW w:w="11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5"/>
                <w:szCs w:val="15"/>
                <w:color w:val="auto"/>
              </w:rPr>
            </w:pPr>
          </w:p>
        </w:tc>
        <w:tc>
          <w:tcPr>
            <w:tcW w:w="1100" w:type="dxa"/>
            <w:vAlign w:val="bottom"/>
          </w:tcPr>
          <w:p>
            <w:pPr>
              <w:jc w:val="right"/>
              <w:ind w:right="130"/>
              <w:spacing w:after="0" w:line="176"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0" w:type="dxa"/>
            <w:vAlign w:val="bottom"/>
          </w:tcPr>
          <w:p>
            <w:pPr>
              <w:spacing w:after="0"/>
              <w:rPr>
                <w:sz w:val="1"/>
                <w:szCs w:val="1"/>
                <w:color w:val="auto"/>
              </w:rPr>
            </w:pPr>
          </w:p>
        </w:tc>
      </w:tr>
      <w:tr>
        <w:trPr>
          <w:trHeight w:val="241"/>
        </w:trPr>
        <w:tc>
          <w:tcPr>
            <w:tcW w:w="30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0" w:type="dxa"/>
            <w:vAlign w:val="bottom"/>
          </w:tcPr>
          <w:p>
            <w:pPr>
              <w:spacing w:after="0"/>
              <w:rPr>
                <w:sz w:val="1"/>
                <w:szCs w:val="1"/>
                <w:color w:val="auto"/>
              </w:rPr>
            </w:pPr>
          </w:p>
        </w:tc>
      </w:tr>
      <w:tr>
        <w:trPr>
          <w:trHeight w:val="252"/>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State and political subdivisions</w:t>
            </w:r>
          </w:p>
        </w:tc>
        <w:tc>
          <w:tcPr>
            <w:tcW w:w="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4,082</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163,893</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16,964</w:t>
            </w:r>
          </w:p>
        </w:tc>
        <w:tc>
          <w:tcPr>
            <w:tcW w:w="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167,975</w:t>
            </w:r>
          </w:p>
        </w:tc>
        <w:tc>
          <w:tcPr>
            <w:tcW w:w="2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Mortgage-backed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85,272</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2,086</w:t>
            </w:r>
          </w:p>
        </w:tc>
        <w:tc>
          <w:tcPr>
            <w:tcW w:w="2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139,676</w:t>
            </w:r>
          </w:p>
        </w:tc>
        <w:tc>
          <w:tcPr>
            <w:tcW w:w="2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32,009</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224,948</w:t>
            </w:r>
          </w:p>
        </w:tc>
        <w:tc>
          <w:tcPr>
            <w:tcW w:w="2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34,095</w:t>
            </w:r>
          </w:p>
        </w:tc>
        <w:tc>
          <w:tcPr>
            <w:tcW w:w="0" w:type="dxa"/>
            <w:vAlign w:val="bottom"/>
          </w:tcPr>
          <w:p>
            <w:pPr>
              <w:spacing w:after="0"/>
              <w:rPr>
                <w:sz w:val="1"/>
                <w:szCs w:val="1"/>
                <w:color w:val="auto"/>
              </w:rPr>
            </w:pPr>
          </w:p>
        </w:tc>
      </w:tr>
      <w:tr>
        <w:trPr>
          <w:trHeight w:val="263"/>
        </w:trPr>
        <w:tc>
          <w:tcPr>
            <w:tcW w:w="3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7,901</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B6B6B6"/>
          </w:tcPr>
          <w:p>
            <w:pPr>
              <w:spacing w:after="0"/>
              <w:rPr>
                <w:sz w:val="22"/>
                <w:szCs w:val="22"/>
                <w:color w:val="auto"/>
              </w:rPr>
            </w:pPr>
          </w:p>
        </w:tc>
        <w:tc>
          <w:tcPr>
            <w:tcW w:w="11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66,860</w:t>
            </w:r>
          </w:p>
        </w:tc>
        <w:tc>
          <w:tcPr>
            <w:tcW w:w="24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7,960</w:t>
            </w:r>
          </w:p>
        </w:tc>
        <w:tc>
          <w:tcPr>
            <w:tcW w:w="24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74,761</w:t>
            </w:r>
          </w:p>
        </w:tc>
        <w:tc>
          <w:tcPr>
            <w:tcW w:w="280" w:type="dxa"/>
            <w:vAlign w:val="bottom"/>
            <w:shd w:val="clear" w:color="auto" w:fill="B6B6B6"/>
          </w:tcPr>
          <w:p>
            <w:pPr>
              <w:spacing w:after="0"/>
              <w:rPr>
                <w:sz w:val="22"/>
                <w:szCs w:val="22"/>
                <w:color w:val="auto"/>
              </w:rPr>
            </w:pPr>
          </w:p>
        </w:tc>
        <w:tc>
          <w:tcPr>
            <w:tcW w:w="11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0" w:type="dxa"/>
            <w:vAlign w:val="bottom"/>
          </w:tcPr>
          <w:p>
            <w:pPr>
              <w:spacing w:after="0"/>
              <w:rPr>
                <w:sz w:val="1"/>
                <w:szCs w:val="1"/>
                <w:color w:val="auto"/>
              </w:rPr>
            </w:pPr>
          </w:p>
        </w:tc>
      </w:tr>
      <w:tr>
        <w:trPr>
          <w:trHeight w:val="211"/>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 issued or</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guaranteed by U.S. government agencies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sponsored enterprises</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30,575</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97,255</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401,004</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57,512</w:t>
            </w:r>
          </w:p>
        </w:tc>
        <w:tc>
          <w:tcPr>
            <w:tcW w:w="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498,259</w:t>
            </w:r>
          </w:p>
        </w:tc>
        <w:tc>
          <w:tcPr>
            <w:tcW w:w="2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59,705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were 209 investment securities, or 69.9% (182 of which for greater than 12 months), in an unrealized loss position as of September 30, 2025. The unrealized losses at September 30, 2025 were primarily attributable to changes in market interest rates after the investment securities were purchased. The Company does not currently intend to sell, and based on current conditions, the Company does not believe it will be required to sell these available-for-sale investment securities before the recovery of the amortized cost basis, which may be the maturity dates of the investment securities. Therefore, the unrealized losses are recorded in accumulated other comprehensive loss. There were 241 investment securities, or 96.0% (215 of which for greater than 12 months), in an unrealized loss position as of December 31, 2024. At September 30, 2025 and December 31, 2024, the Company had not recorded an allowance for credit losses on investment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are shown in the following table. Expected maturities may differ from contractual maturities because borrowers have the right to prepay obligations with or without prepayment penalties.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 2025</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6"/>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11,388</w:t>
            </w:r>
          </w:p>
        </w:tc>
        <w:tc>
          <w:tcPr>
            <w:tcW w:w="3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11,387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1 year through 5 years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75,399</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72,765</w:t>
            </w:r>
          </w:p>
        </w:tc>
      </w:tr>
      <w:tr>
        <w:trPr>
          <w:trHeight w:val="263"/>
        </w:trPr>
        <w:tc>
          <w:tcPr>
            <w:tcW w:w="81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Due after 5 years through 10 years</w:t>
            </w:r>
          </w:p>
        </w:tc>
        <w:tc>
          <w:tcPr>
            <w:tcW w:w="120" w:type="dxa"/>
            <w:vAlign w:val="bottom"/>
            <w:shd w:val="clear" w:color="auto" w:fill="B6B6B6"/>
          </w:tcPr>
          <w:p>
            <w:pPr>
              <w:spacing w:after="0"/>
              <w:rPr>
                <w:sz w:val="22"/>
                <w:szCs w:val="22"/>
                <w:color w:val="auto"/>
              </w:rPr>
            </w:pPr>
          </w:p>
        </w:tc>
        <w:tc>
          <w:tcPr>
            <w:tcW w:w="13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167,330</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154,915</w:t>
            </w:r>
          </w:p>
        </w:tc>
      </w:tr>
      <w:tr>
        <w:trPr>
          <w:trHeight w:val="25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Due after 10 years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502,221</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478,302</w:t>
            </w:r>
          </w:p>
        </w:tc>
      </w:tr>
      <w:tr>
        <w:trPr>
          <w:trHeight w:val="250"/>
        </w:trPr>
        <w:tc>
          <w:tcPr>
            <w:tcW w:w="818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756,338</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717,369</w:t>
            </w: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Proceeds from sales of investment securities classified as available-for-sale were $72.7 million and $125.8 million for the three and nine months ended September 30, 2025, and were $0 and $25.0 million for the three and nine months ended September 30, 2024, respectively. Gross realized losses were $347,000 and $3.9 million for the three and nine months ended September 30, 2025, respectively, and were $0 and $13,000 for the three and nine months ended September 30, 2024, respectively. There were $351,000 gross realized gains for both the three and nine months ended September 30, 2025, respectively, and no gross realized gains for both the three and nine months ended September 30, 2024, respectively. There were no investment securities pledged to secure public deposits or for other purposes at September 30,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Fair Value of Financial Instruments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carrying amounts and fair values of the Company’s financial instruments: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80"/>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60" w:type="dxa"/>
            <w:vAlign w:val="bottom"/>
          </w:tcPr>
          <w:p>
            <w:pPr>
              <w:spacing w:after="0"/>
              <w:rPr>
                <w:sz w:val="15"/>
                <w:szCs w:val="15"/>
                <w:color w:val="auto"/>
              </w:rPr>
            </w:pPr>
          </w:p>
        </w:tc>
        <w:tc>
          <w:tcPr>
            <w:tcW w:w="1240" w:type="dxa"/>
            <w:vAlign w:val="bottom"/>
          </w:tcPr>
          <w:p>
            <w:pPr>
              <w:jc w:val="right"/>
              <w:ind w:right="310"/>
              <w:spacing w:after="0" w:line="180"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5"/>
                <w:szCs w:val="15"/>
                <w:color w:val="auto"/>
              </w:rPr>
            </w:pPr>
          </w:p>
        </w:tc>
        <w:tc>
          <w:tcPr>
            <w:tcW w:w="1260" w:type="dxa"/>
            <w:vAlign w:val="bottom"/>
          </w:tcPr>
          <w:p>
            <w:pPr>
              <w:jc w:val="right"/>
              <w:ind w:right="310"/>
              <w:spacing w:after="0" w:line="180"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300" w:type="dxa"/>
            <w:vAlign w:val="bottom"/>
          </w:tcPr>
          <w:p>
            <w:pPr>
              <w:spacing w:after="0"/>
              <w:rPr>
                <w:sz w:val="15"/>
                <w:szCs w:val="15"/>
                <w:color w:val="auto"/>
              </w:rPr>
            </w:pPr>
          </w:p>
        </w:tc>
        <w:tc>
          <w:tcPr>
            <w:tcW w:w="12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assets:</w:t>
            </w:r>
          </w:p>
        </w:tc>
        <w:tc>
          <w:tcPr>
            <w:tcW w:w="260" w:type="dxa"/>
            <w:vAlign w:val="bottom"/>
            <w:shd w:val="clear" w:color="auto" w:fill="B6B6B6"/>
          </w:tcPr>
          <w:p>
            <w:pPr>
              <w:spacing w:after="0"/>
              <w:rPr>
                <w:sz w:val="21"/>
                <w:szCs w:val="21"/>
                <w:color w:val="auto"/>
              </w:rPr>
            </w:pPr>
          </w:p>
        </w:tc>
        <w:tc>
          <w:tcPr>
            <w:tcW w:w="124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4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300" w:type="dxa"/>
            <w:vAlign w:val="bottom"/>
            <w:shd w:val="clear" w:color="auto" w:fill="B6B6B6"/>
          </w:tcPr>
          <w:p>
            <w:pPr>
              <w:spacing w:after="0"/>
              <w:rPr>
                <w:sz w:val="21"/>
                <w:szCs w:val="21"/>
                <w:color w:val="auto"/>
              </w:rPr>
            </w:pPr>
          </w:p>
        </w:tc>
        <w:tc>
          <w:tcPr>
            <w:tcW w:w="12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258,634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258,634</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349,728</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349,728</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717,369</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717,369</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528,021</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528,021</w:t>
            </w: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1,074,281</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1,068,594</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1,046,406</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auto"/>
            </w:tcBorders>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9,558</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Borders>
              <w:bottom w:val="single" w:sz="8" w:color="auto"/>
            </w:tcBorders>
            <w:shd w:val="clear" w:color="auto" w:fill="B6B6B6"/>
          </w:tcPr>
          <w:p>
            <w:pPr>
              <w:spacing w:after="0"/>
              <w:rPr>
                <w:sz w:val="22"/>
                <w:szCs w:val="22"/>
                <w:color w:val="auto"/>
              </w:rPr>
            </w:pPr>
          </w:p>
        </w:tc>
        <w:tc>
          <w:tcPr>
            <w:tcW w:w="24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7,979</w:t>
            </w:r>
          </w:p>
        </w:tc>
        <w:tc>
          <w:tcPr>
            <w:tcW w:w="300" w:type="dxa"/>
            <w:vAlign w:val="bottom"/>
            <w:tcBorders>
              <w:bottom w:val="single" w:sz="8" w:color="auto"/>
            </w:tcBorders>
            <w:shd w:val="clear" w:color="auto" w:fill="B6B6B6"/>
          </w:tcPr>
          <w:p>
            <w:pPr>
              <w:spacing w:after="0"/>
              <w:rPr>
                <w:sz w:val="22"/>
                <w:szCs w:val="22"/>
                <w:color w:val="auto"/>
              </w:rPr>
            </w:pP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7,979</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2,059,842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2,051,165</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1,954,322</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1,932,134</w:t>
            </w:r>
          </w:p>
        </w:tc>
        <w:tc>
          <w:tcPr>
            <w:tcW w:w="0" w:type="dxa"/>
            <w:vAlign w:val="bottom"/>
          </w:tcPr>
          <w:p>
            <w:pPr>
              <w:spacing w:after="0"/>
              <w:rPr>
                <w:sz w:val="1"/>
                <w:szCs w:val="1"/>
                <w:color w:val="auto"/>
              </w:rPr>
            </w:pPr>
          </w:p>
        </w:tc>
      </w:tr>
      <w:tr>
        <w:trPr>
          <w:trHeight w:val="257"/>
        </w:trPr>
        <w:tc>
          <w:tcPr>
            <w:tcW w:w="502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Balance sheet liabilities:</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1,034,660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1,034,660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967,916</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967,916</w:t>
            </w:r>
          </w:p>
        </w:tc>
        <w:tc>
          <w:tcPr>
            <w:tcW w:w="0" w:type="dxa"/>
            <w:vAlign w:val="bottom"/>
          </w:tcPr>
          <w:p>
            <w:pPr>
              <w:spacing w:after="0"/>
              <w:rPr>
                <w:sz w:val="1"/>
                <w:szCs w:val="1"/>
                <w:color w:val="auto"/>
              </w:rPr>
            </w:pPr>
          </w:p>
        </w:tc>
      </w:tr>
      <w:tr>
        <w:trPr>
          <w:trHeight w:val="263"/>
        </w:trPr>
        <w:tc>
          <w:tcPr>
            <w:tcW w:w="502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Accounts and drafts payable</w:t>
            </w:r>
          </w:p>
        </w:tc>
        <w:tc>
          <w:tcPr>
            <w:tcW w:w="2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1,130,371</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1,130,371</w:t>
            </w:r>
          </w:p>
        </w:tc>
        <w:tc>
          <w:tcPr>
            <w:tcW w:w="100" w:type="dxa"/>
            <w:vAlign w:val="bottom"/>
            <w:shd w:val="clear" w:color="auto" w:fill="B6B6B6"/>
          </w:tcPr>
          <w:p>
            <w:pPr>
              <w:spacing w:after="0"/>
              <w:rPr>
                <w:sz w:val="22"/>
                <w:szCs w:val="22"/>
                <w:color w:val="auto"/>
              </w:rPr>
            </w:pPr>
          </w:p>
        </w:tc>
        <w:tc>
          <w:tcPr>
            <w:tcW w:w="240" w:type="dxa"/>
            <w:vAlign w:val="bottom"/>
            <w:shd w:val="clear" w:color="auto" w:fill="B6B6B6"/>
          </w:tcPr>
          <w:p>
            <w:pPr>
              <w:spacing w:after="0"/>
              <w:rPr>
                <w:sz w:val="22"/>
                <w:szCs w:val="22"/>
                <w:color w:val="auto"/>
              </w:rPr>
            </w:pPr>
          </w:p>
        </w:tc>
        <w:tc>
          <w:tcPr>
            <w:tcW w:w="126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1,129,610</w:t>
            </w:r>
          </w:p>
        </w:tc>
        <w:tc>
          <w:tcPr>
            <w:tcW w:w="300" w:type="dxa"/>
            <w:vAlign w:val="bottom"/>
            <w:shd w:val="clear" w:color="auto" w:fill="B6B6B6"/>
          </w:tcPr>
          <w:p>
            <w:pPr>
              <w:spacing w:after="0"/>
              <w:rPr>
                <w:sz w:val="22"/>
                <w:szCs w:val="22"/>
                <w:color w:val="auto"/>
              </w:rPr>
            </w:pPr>
          </w:p>
        </w:tc>
        <w:tc>
          <w:tcPr>
            <w:tcW w:w="12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1,129,610</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0"/>
        </w:trPr>
        <w:tc>
          <w:tcPr>
            <w:tcW w:w="5020" w:type="dxa"/>
            <w:vAlign w:val="bottom"/>
            <w:tcBorders>
              <w:bottom w:val="single" w:sz="8" w:color="auto"/>
            </w:tcBorders>
            <w:shd w:val="clear" w:color="auto" w:fill="B6B6B6"/>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2,166,002</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2,166,002</w:t>
            </w:r>
          </w:p>
        </w:tc>
        <w:tc>
          <w:tcPr>
            <w:tcW w:w="100" w:type="dxa"/>
            <w:vAlign w:val="bottom"/>
            <w:tcBorders>
              <w:bottom w:val="single" w:sz="8" w:color="auto"/>
            </w:tcBorders>
            <w:shd w:val="clear" w:color="auto" w:fill="B6B6B6"/>
          </w:tcPr>
          <w:p>
            <w:pPr>
              <w:spacing w:after="0"/>
              <w:rPr>
                <w:sz w:val="21"/>
                <w:szCs w:val="21"/>
                <w:color w:val="auto"/>
              </w:rPr>
            </w:pP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2,098,192</w:t>
            </w:r>
          </w:p>
        </w:tc>
        <w:tc>
          <w:tcPr>
            <w:tcW w:w="30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2,098,192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instruments for which it is practicable to estimate that value: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Investment Securities </w:t>
      </w:r>
      <w:r>
        <w:rPr>
          <w:rFonts w:ascii="Times New Roman" w:cs="Times New Roman" w:eastAsia="Times New Roman" w:hAnsi="Times New Roman"/>
          <w:sz w:val="18"/>
          <w:szCs w:val="18"/>
          <w:color w:val="auto"/>
        </w:rPr>
        <w:t>- The fair value is measured on a recurring basis using Level 2 inputs including observable trade data, market data, etc. Refer to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12, “Investment Securities,” for fair value and unrealized gains and losses by investment type.</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Loans </w:t>
      </w:r>
      <w:r>
        <w:rPr>
          <w:rFonts w:ascii="Times New Roman" w:cs="Times New Roman" w:eastAsia="Times New Roman" w:hAnsi="Times New Roman"/>
          <w:sz w:val="18"/>
          <w:szCs w:val="18"/>
          <w:color w:val="auto"/>
        </w:rPr>
        <w:t>- The fair value is estimated using present values of future cash flows discounted at risk-adjusted interest rates for each loan category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and is therefore a Level 3 valuation. Management believes that the risk factor embedded in the interest rates along with the allowance for credit losses result in a fair valuation.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Receivable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Deposits </w:t>
      </w:r>
      <w:r>
        <w:rPr>
          <w:rFonts w:ascii="Times New Roman" w:cs="Times New Roman" w:eastAsia="Times New Roman" w:hAnsi="Times New Roman"/>
          <w:sz w:val="18"/>
          <w:szCs w:val="18"/>
          <w:color w:val="auto"/>
        </w:rPr>
        <w:t>- The fair value of demand deposits, savings deposits and certain money market deposits is the amount payable on demand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fixed-maturity certificates of deposit is estimated using the rates currently offered for deposits of similar remaining maturities and therefore, is a Level 2 valuation. The fair value estimates above do</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include the benefit that results from the low-cost funding provided by the deposit liabilities compared to the cost of borrowing funds in the market or the benefit derived from the customer relationship inherent in existing deposits.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Accounts and Drafts Payable </w:t>
      </w:r>
      <w:r>
        <w:rPr>
          <w:rFonts w:ascii="Times New Roman" w:cs="Times New Roman" w:eastAsia="Times New Roman" w:hAnsi="Times New Roman"/>
          <w:sz w:val="18"/>
          <w:szCs w:val="18"/>
          <w:color w:val="auto"/>
        </w:rPr>
        <w:t>- The carrying amount approximates fair value.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Accrued Interest Payable </w:t>
      </w:r>
      <w:r>
        <w:rPr>
          <w:rFonts w:ascii="Times New Roman" w:cs="Times New Roman" w:eastAsia="Times New Roman" w:hAnsi="Times New Roman"/>
          <w:sz w:val="18"/>
          <w:szCs w:val="18"/>
          <w:color w:val="auto"/>
        </w:rPr>
        <w:t>- The carrying amount approximates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Revenue from Contracts with Customers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as the obligation to the customer is satisfied. The Company’s revenue from contracts with clients is as follows: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Processing fees </w:t>
      </w:r>
      <w:r>
        <w:rPr>
          <w:rFonts w:ascii="Times New Roman" w:cs="Times New Roman" w:eastAsia="Times New Roman" w:hAnsi="Times New Roman"/>
          <w:sz w:val="18"/>
          <w:szCs w:val="18"/>
          <w:color w:val="auto"/>
        </w:rPr>
        <w:t>– The Company earns fees on a per-item or monthly basis for the invoice processing services rendered on behalf of customers. Per-item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recognized at the point in time when the performance obligation is satisfied. Monthly fees are earned over the course of a month, representing the period over which the performance obligation is satisfied. The contracts have no significant variable consideration or financing components.</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Financial fees </w:t>
      </w:r>
      <w:r>
        <w:rPr>
          <w:rFonts w:ascii="Times New Roman" w:cs="Times New Roman" w:eastAsia="Times New Roman" w:hAnsi="Times New Roman"/>
          <w:sz w:val="18"/>
          <w:szCs w:val="18"/>
          <w:color w:val="auto"/>
        </w:rPr>
        <w:t>– The Company earns fees on a transaction level basis for invoice payment services when making customer payments. Fees are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the point in time when the payment transactions are made, which is when the performance obligation is satisfied. The contracts have no significant impact of variable consideration and no significant financing components.</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service fees </w:t>
      </w:r>
      <w:r>
        <w:rPr>
          <w:rFonts w:ascii="Times New Roman" w:cs="Times New Roman" w:eastAsia="Times New Roman" w:hAnsi="Times New Roman"/>
          <w:sz w:val="18"/>
          <w:szCs w:val="18"/>
          <w:color w:val="auto"/>
        </w:rPr>
        <w:t>– Revenue from service fees consists of service charges and fees on deposit accounts under depository agreements with customers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access to deposited funds. Service charges on deposit accounts are transaction-based fees that are recognized at the point in time when the performance obligation is satisfied. The contracts have no significant impact of variable consideration and no significant financing components.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non-interest income, segregated by revenue streams in-scope and out-of-scope for the periods ended September 30, 2025 and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18"/>
                <w:szCs w:val="18"/>
                <w:color w:val="auto"/>
              </w:rPr>
            </w:pPr>
          </w:p>
        </w:tc>
        <w:tc>
          <w:tcPr>
            <w:tcW w:w="260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5"/>
        </w:trPr>
        <w:tc>
          <w:tcPr>
            <w:tcW w:w="55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1"/>
                <w:szCs w:val="21"/>
                <w:color w:val="auto"/>
              </w:rPr>
            </w:pPr>
          </w:p>
        </w:tc>
      </w:tr>
      <w:tr>
        <w:trPr>
          <w:trHeight w:val="250"/>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56"/>
        </w:trPr>
        <w:tc>
          <w:tcPr>
            <w:tcW w:w="55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Fee revenue and other income</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spacing w:after="0"/>
              <w:rPr>
                <w:sz w:val="22"/>
                <w:szCs w:val="22"/>
                <w:color w:val="auto"/>
              </w:rPr>
            </w:pP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spacing w:after="0"/>
              <w:rPr>
                <w:sz w:val="22"/>
                <w:szCs w:val="22"/>
                <w:color w:val="auto"/>
              </w:rPr>
            </w:pPr>
          </w:p>
        </w:tc>
      </w:tr>
      <w:tr>
        <w:trPr>
          <w:trHeight w:val="250"/>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In-scope of FASB ASC 606</w:t>
            </w: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3"/>
        </w:trPr>
        <w:tc>
          <w:tcPr>
            <w:tcW w:w="550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Processing fees</w:t>
            </w:r>
          </w:p>
        </w:tc>
        <w:tc>
          <w:tcPr>
            <w:tcW w:w="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50,206</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50,361</w:t>
            </w:r>
          </w:p>
        </w:tc>
      </w:tr>
      <w:tr>
        <w:trPr>
          <w:trHeight w:val="250"/>
        </w:trPr>
        <w:tc>
          <w:tcPr>
            <w:tcW w:w="5500" w:type="dxa"/>
            <w:vAlign w:val="bottom"/>
            <w:tcBorders>
              <w:bottom w:val="single" w:sz="8" w:color="B6B6B6"/>
            </w:tcBorders>
          </w:tcPr>
          <w:p>
            <w:pPr>
              <w:ind w:left="380"/>
              <w:spacing w:after="0"/>
              <w:rPr>
                <w:sz w:val="20"/>
                <w:szCs w:val="20"/>
                <w:color w:val="auto"/>
              </w:rPr>
            </w:pPr>
            <w:r>
              <w:rPr>
                <w:rFonts w:ascii="Times New Roman" w:cs="Times New Roman" w:eastAsia="Times New Roman" w:hAnsi="Times New Roman"/>
                <w:sz w:val="18"/>
                <w:szCs w:val="18"/>
                <w:color w:val="auto"/>
              </w:rPr>
              <w:t>Financial fees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11,017</w:t>
            </w:r>
          </w:p>
        </w:tc>
        <w:tc>
          <w:tcPr>
            <w:tcW w:w="100" w:type="dxa"/>
            <w:vAlign w:val="bottom"/>
            <w:tcBorders>
              <w:bottom w:val="single" w:sz="8" w:color="B6B6B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30,538</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32,075</w:t>
            </w:r>
          </w:p>
        </w:tc>
      </w:tr>
      <w:tr>
        <w:trPr>
          <w:trHeight w:val="257"/>
        </w:trPr>
        <w:tc>
          <w:tcPr>
            <w:tcW w:w="550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Information services payment and processing revenue</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27,071</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27,703</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80,744</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82,436</w:t>
            </w:r>
          </w:p>
        </w:tc>
      </w:tr>
      <w:tr>
        <w:trPr>
          <w:trHeight w:val="250"/>
        </w:trPr>
        <w:tc>
          <w:tcPr>
            <w:tcW w:w="5500" w:type="dxa"/>
            <w:vAlign w:val="bottom"/>
            <w:tcBorders>
              <w:bottom w:val="single" w:sz="8" w:color="B6B6B6"/>
            </w:tcBorders>
          </w:tcPr>
          <w:p>
            <w:pPr>
              <w:ind w:left="360"/>
              <w:spacing w:after="0"/>
              <w:rPr>
                <w:sz w:val="20"/>
                <w:szCs w:val="20"/>
                <w:color w:val="auto"/>
              </w:rPr>
            </w:pPr>
            <w:r>
              <w:rPr>
                <w:rFonts w:ascii="Times New Roman" w:cs="Times New Roman" w:eastAsia="Times New Roman" w:hAnsi="Times New Roman"/>
                <w:sz w:val="18"/>
                <w:szCs w:val="18"/>
                <w:color w:val="auto"/>
              </w:rPr>
              <w:t>Bank service fees</w:t>
            </w: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bottom w:val="single" w:sz="8" w:color="B6B6B6"/>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Borders>
              <w:bottom w:val="single" w:sz="8" w:color="B6B6B6"/>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w:t>
            </w:r>
          </w:p>
        </w:tc>
      </w:tr>
      <w:tr>
        <w:trPr>
          <w:trHeight w:val="256"/>
        </w:trPr>
        <w:tc>
          <w:tcPr>
            <w:tcW w:w="550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Fee revenue (in-scope of FASB ASC 606)</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28,057</w:t>
            </w:r>
          </w:p>
        </w:tc>
        <w:tc>
          <w:tcPr>
            <w:tcW w:w="100" w:type="dxa"/>
            <w:vAlign w:val="bottom"/>
            <w:shd w:val="clear" w:color="auto" w:fill="B6B6B6"/>
          </w:tcPr>
          <w:p>
            <w:pPr>
              <w:spacing w:after="0"/>
              <w:rPr>
                <w:sz w:val="22"/>
                <w:szCs w:val="22"/>
                <w:color w:val="auto"/>
              </w:rPr>
            </w:pP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81,802</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83,391</w:t>
            </w:r>
          </w:p>
        </w:tc>
      </w:tr>
      <w:tr>
        <w:trPr>
          <w:trHeight w:val="250"/>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(out-of-scope of FASB ASC 606)</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57"/>
        </w:trPr>
        <w:tc>
          <w:tcPr>
            <w:tcW w:w="550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Gain (loss) on sale of investment securities</w:t>
            </w:r>
          </w:p>
        </w:tc>
        <w:tc>
          <w:tcPr>
            <w:tcW w:w="20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960" w:type="dxa"/>
            <w:vAlign w:val="bottom"/>
            <w:gridSpan w:val="2"/>
            <w:shd w:val="clear" w:color="auto" w:fill="B6B6B6"/>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B6B6B6"/>
          </w:tcPr>
          <w:p>
            <w:pPr>
              <w:spacing w:after="0"/>
              <w:rPr>
                <w:sz w:val="22"/>
                <w:szCs w:val="22"/>
                <w:color w:val="auto"/>
              </w:rPr>
            </w:pPr>
          </w:p>
        </w:tc>
        <w:tc>
          <w:tcPr>
            <w:tcW w:w="11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shd w:val="clear" w:color="auto" w:fill="B6B6B6"/>
          </w:tcPr>
          <w:p>
            <w:pPr>
              <w:spacing w:after="0"/>
              <w:rPr>
                <w:sz w:val="22"/>
                <w:szCs w:val="22"/>
                <w:color w:val="auto"/>
              </w:rPr>
            </w:pPr>
          </w:p>
        </w:tc>
        <w:tc>
          <w:tcPr>
            <w:tcW w:w="500" w:type="dxa"/>
            <w:vAlign w:val="bottom"/>
            <w:shd w:val="clear" w:color="auto" w:fill="B6B6B6"/>
          </w:tcPr>
          <w:p>
            <w:pPr>
              <w:spacing w:after="0"/>
              <w:rPr>
                <w:sz w:val="22"/>
                <w:szCs w:val="22"/>
                <w:color w:val="auto"/>
              </w:rPr>
            </w:pPr>
          </w:p>
        </w:tc>
        <w:tc>
          <w:tcPr>
            <w:tcW w:w="8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55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Total fee revenue and other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28,843</w:t>
            </w:r>
          </w:p>
        </w:tc>
        <w:tc>
          <w:tcPr>
            <w:tcW w:w="100" w:type="dxa"/>
            <w:vAlign w:val="bottom"/>
            <w:tcBorders>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28,763</w:t>
            </w:r>
          </w:p>
        </w:tc>
        <w:tc>
          <w:tcPr>
            <w:tcW w:w="10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81,829</w:t>
            </w:r>
          </w:p>
        </w:tc>
        <w:tc>
          <w:tcPr>
            <w:tcW w:w="100" w:type="dxa"/>
            <w:vAlign w:val="bottom"/>
            <w:tcBorders>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85,935</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Leases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leases certain premises under operating leases. As of September 30, 2025, the Company had lease liabilities of $4.7 million and right-of-use assets of $4.5 million. Lease liabilities and right-of-use assets are reflected in other liabilities and other assets, respectively. Presented within occupancy expense on the Consolidated Statements of Income for the three and nine months ended September 30, 2025, operating lease cost was $214,000 and $642,000, respectively, short-term lease cost was $53,000 and $159,000, respectively, and there was no variable lease cost. At September 30, 2025, the weighted-average remaining lease term for the operating leases was 6.4 years and the weighted-average discount rate used in the measurement of operating lease liabilities was 2.75%. Certain of the Company’s leases contain options to renew the lease; however, these renewal options are not included in the calculation of the lease liabilities as they are not reasonably certain to be exercised. See the Company’s 2024 Form 10-K for information regarding these commitments.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 maturity analysis of operating lease liabilities and undiscounted cash flows as of September 30, 2025 is as follows:</w:t>
            </w:r>
          </w:p>
        </w:tc>
        <w:tc>
          <w:tcPr>
            <w:tcW w:w="5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58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8840" w:type="dxa"/>
            <w:vAlign w:val="bottom"/>
            <w:tcBorders>
              <w:bottom w:val="single" w:sz="8" w:color="auto"/>
            </w:tcBorders>
            <w:vMerge w:val="continue"/>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2"/>
        </w:trPr>
        <w:tc>
          <w:tcPr>
            <w:tcW w:w="88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Lease payments due</w:t>
            </w:r>
          </w:p>
        </w:tc>
        <w:tc>
          <w:tcPr>
            <w:tcW w:w="580" w:type="dxa"/>
            <w:vAlign w:val="bottom"/>
            <w:shd w:val="clear" w:color="auto" w:fill="B6B6B6"/>
          </w:tcPr>
          <w:p>
            <w:pPr>
              <w:spacing w:after="0"/>
              <w:rPr>
                <w:sz w:val="21"/>
                <w:szCs w:val="21"/>
                <w:color w:val="auto"/>
              </w:rPr>
            </w:pPr>
          </w:p>
        </w:tc>
        <w:tc>
          <w:tcPr>
            <w:tcW w:w="158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than 1 year</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63"/>
        </w:trPr>
        <w:tc>
          <w:tcPr>
            <w:tcW w:w="884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1-2 years</w:t>
            </w:r>
          </w:p>
        </w:tc>
        <w:tc>
          <w:tcPr>
            <w:tcW w:w="580" w:type="dxa"/>
            <w:vAlign w:val="bottom"/>
            <w:shd w:val="clear" w:color="auto" w:fill="B6B6B6"/>
          </w:tcPr>
          <w:p>
            <w:pPr>
              <w:spacing w:after="0"/>
              <w:rPr>
                <w:sz w:val="22"/>
                <w:szCs w:val="22"/>
                <w:color w:val="auto"/>
              </w:rPr>
            </w:pPr>
          </w:p>
        </w:tc>
        <w:tc>
          <w:tcPr>
            <w:tcW w:w="1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50"/>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2-3 years</w:t>
            </w:r>
          </w:p>
        </w:tc>
        <w:tc>
          <w:tcPr>
            <w:tcW w:w="5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63"/>
        </w:trPr>
        <w:tc>
          <w:tcPr>
            <w:tcW w:w="884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3-4 years</w:t>
            </w:r>
          </w:p>
        </w:tc>
        <w:tc>
          <w:tcPr>
            <w:tcW w:w="580" w:type="dxa"/>
            <w:vAlign w:val="bottom"/>
            <w:shd w:val="clear" w:color="auto" w:fill="B6B6B6"/>
          </w:tcPr>
          <w:p>
            <w:pPr>
              <w:spacing w:after="0"/>
              <w:rPr>
                <w:sz w:val="22"/>
                <w:szCs w:val="22"/>
                <w:color w:val="auto"/>
              </w:rPr>
            </w:pPr>
          </w:p>
        </w:tc>
        <w:tc>
          <w:tcPr>
            <w:tcW w:w="15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50"/>
        </w:trPr>
        <w:tc>
          <w:tcPr>
            <w:tcW w:w="8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 years</w:t>
            </w:r>
          </w:p>
        </w:tc>
        <w:tc>
          <w:tcPr>
            <w:tcW w:w="5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57"/>
        </w:trPr>
        <w:tc>
          <w:tcPr>
            <w:tcW w:w="884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Over 5 years</w:t>
            </w:r>
          </w:p>
        </w:tc>
        <w:tc>
          <w:tcPr>
            <w:tcW w:w="580" w:type="dxa"/>
            <w:vAlign w:val="bottom"/>
            <w:tcBorders>
              <w:bottom w:val="single" w:sz="8" w:color="auto"/>
            </w:tcBorders>
            <w:shd w:val="clear" w:color="auto" w:fill="B6B6B6"/>
          </w:tcPr>
          <w:p>
            <w:pPr>
              <w:spacing w:after="0"/>
              <w:rPr>
                <w:sz w:val="22"/>
                <w:szCs w:val="22"/>
                <w:color w:val="auto"/>
              </w:rPr>
            </w:pPr>
          </w:p>
        </w:tc>
        <w:tc>
          <w:tcPr>
            <w:tcW w:w="15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50"/>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5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w:t>
            </w:r>
          </w:p>
        </w:tc>
        <w:tc>
          <w:tcPr>
            <w:tcW w:w="0" w:type="dxa"/>
            <w:vAlign w:val="bottom"/>
          </w:tcPr>
          <w:p>
            <w:pPr>
              <w:spacing w:after="0"/>
              <w:rPr>
                <w:sz w:val="1"/>
                <w:szCs w:val="1"/>
                <w:color w:val="auto"/>
              </w:rPr>
            </w:pPr>
          </w:p>
        </w:tc>
      </w:tr>
      <w:tr>
        <w:trPr>
          <w:trHeight w:val="257"/>
        </w:trPr>
        <w:tc>
          <w:tcPr>
            <w:tcW w:w="88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Discount on cash flows</w:t>
            </w:r>
          </w:p>
        </w:tc>
        <w:tc>
          <w:tcPr>
            <w:tcW w:w="580" w:type="dxa"/>
            <w:vAlign w:val="bottom"/>
            <w:tcBorders>
              <w:bottom w:val="single" w:sz="8" w:color="auto"/>
            </w:tcBorders>
            <w:shd w:val="clear" w:color="auto" w:fill="B6B6B6"/>
          </w:tcPr>
          <w:p>
            <w:pPr>
              <w:spacing w:after="0"/>
              <w:rPr>
                <w:sz w:val="22"/>
                <w:szCs w:val="22"/>
                <w:color w:val="auto"/>
              </w:rPr>
            </w:pPr>
          </w:p>
        </w:tc>
        <w:tc>
          <w:tcPr>
            <w:tcW w:w="15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50"/>
        </w:trPr>
        <w:tc>
          <w:tcPr>
            <w:tcW w:w="8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sale and leaseback transactions, leveraged leases, or lease transactions with related parties during the nine months ended September 30,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accordance with FASB ASC 855,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has evaluated subsequent events after the consolidated balance sheet date of September 30, 2025. There were no other events identified that would require additional disclosures to prevent the Company’s unaudited consolidated financial statements from being misleading.</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40"/>
        <w:spacing w:after="0" w:line="464"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jc w:val="both"/>
        <w:spacing w:after="0" w:line="254" w:lineRule="auto"/>
        <w:rPr>
          <w:sz w:val="20"/>
          <w:szCs w:val="20"/>
          <w:color w:val="auto"/>
        </w:rPr>
      </w:pPr>
      <w:r>
        <w:rPr>
          <w:rFonts w:ascii="Times New Roman" w:cs="Times New Roman" w:eastAsia="Times New Roman" w:hAnsi="Times New Roman"/>
          <w:sz w:val="18"/>
          <w:szCs w:val="18"/>
          <w:color w:val="auto"/>
        </w:rPr>
        <w:t>Cass Information Systems, Inc. ("Cass" or the "Company") provides payment and information processing services to large manufacturing, distribution, and retail enterprises across the United States. The Company’s services include freight invoice rating, payment processing, auditing, and the generation of accounting and transportation information. Cass also processes and pays facility-related invoices, which include electricity and gas as well as waste and telecommunications expenses. Cass solutions include integrated payments, a B2B payment platform for clients that require an agile fintech partner. Additionally, the Company offers a church management software solution and an on-line platform to provide generosity services for faith-based and non-profit organizations. The Company’s bank subsidiary, Cass Commercial Bank (the “Bank”), supports the Company’s payment operations. The Bank also provides banking services to its target markets, which include privately held businesses in the St. Louis metropolitan area and restaurant franchises and faith-based ministries within the United States.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Cass is compensated for its information processing services through service fees, transactional level payment services, and investment of account balances generated during the payment process. Both the number of transactions processed and the dollar volume processed are therefore key metrics followed by management. The Bank earns most of its revenue from net interest income.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factors will influence the Company’s revenue and profitability, such as changes in the general level of interest rates, which has a significant effect on net interest income; industry-wide factors, such as the willingness of large corporations to outsource key business functions, and the general level of transportation and energy costs; and economic factors that include the general level of economic activity, the ability to hire and retain qualified staff, the growth and quality of the Bank’s loan portfolio, and the effects of tariffs or other domestic or international governmental policies. For a more detailed discussion of the Company’s revenue drivers and factors that impact the Company’s results of operation and financial condition generally, see Item 7, “Management’s Discussion and Analysis of Financial Condition and Results of Operations” in the Company’s 2024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Industry Developments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freight rates have recently begun gradually increasing after several quarters of decline since 2023, volumes continue to decline on a year over year basis which continues to put pressure on transportation related processing fees. In addition, carrier consolidation with small and medium-sized trucking companies exiting the market or selling to larger carriers continues to put downward pressure on financial fees as the smaller trucking companies were larger users of our quick pay solutions.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experienced an increase in facility dollar volumes in recent quarters due to higher energy usage and prices, in addition to onboarding new clients with high dollar volumes as compared to the related transaction count. Energy prices are rising due to a number of factors, including an aging power grid, and rising demand for electricity as a result of data center construction to power artificial intelligence and electric vehicles.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Items of Note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interest income increased $3.5 million, or 19.3%, as compared to the same period last year. The increase in net interest income was attributable to the net interest margin improving to 3.87% as compared to 3.55% in the same period last year, in addition to an increase in average interest-earning assets of $187.6 million, or 9.4%. The Company generally benefits from a higher interest rate environment due to a large percentage of its funding sources being non-interest bearing.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into law the One Big Beautiful Bill Act which makes various changes to the tax law. The most significant impacts relate to the deductibility of interest expense, research and experimentation expenses and accelerated deprecation deductions, among others. The full impact of the bill is being analyzed by the Company and could have an impact on income tax expense in future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paragraphs more fully discuss the results of operations and changes in financial condition for the three months ended September 30, 2025 (“third quarter of 2025”) compared to the three months ended September 30, 2024 (“third quarter of 2024”) and the nine months ended September 30, 2025 compared to the nine months ended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September 30, 2024. The following discussion and analysis should be read in conjunction with the unaudited consolidated financial statements and related notes and with the statistical information and financial data appearing in this report, as well as in the Company’s 2024 Form 10-K. Results of operations for the three months ended September 30, 2025 are not necessarily indicative of the results to be attained for any other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has applied discontinued operations accounting in accordance with Accounting Standards Codification, or ASC, Topic 205-20, “Presentation of Financial Statements – Discontinued Operations,” to the assets and liabilities being sold related to the Company's TEM Business Unit as of September 30, 2025 and December 31, 2024, and for the three and nine months ended September 30, 2025, and 2024, as applicable. All financial information in this Quarterly Report on Form 10-Q is reported on a continuing operations basis, unless otherwise noted. See Note 2 to our consolidated financial statements for further discussion regarding discontinued operations and subsequent events associated with discontinued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operating results: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Third Quarter of</w:t>
            </w: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80"/>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tc>
        <w:tc>
          <w:tcPr>
            <w:tcW w:w="300" w:type="dxa"/>
            <w:vAlign w:val="bottom"/>
          </w:tcPr>
          <w:p>
            <w:pPr>
              <w:spacing w:after="0"/>
              <w:rPr>
                <w:sz w:val="15"/>
                <w:szCs w:val="15"/>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5"/>
                <w:szCs w:val="15"/>
                <w:color w:val="auto"/>
              </w:rPr>
            </w:pPr>
          </w:p>
        </w:tc>
        <w:tc>
          <w:tcPr>
            <w:tcW w:w="12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jc w:val="right"/>
              <w:ind w:right="45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5"/>
                <w:szCs w:val="15"/>
                <w:color w:val="auto"/>
              </w:rPr>
            </w:pPr>
          </w:p>
        </w:tc>
        <w:tc>
          <w:tcPr>
            <w:tcW w:w="122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60" w:type="dxa"/>
            <w:vAlign w:val="bottom"/>
          </w:tcPr>
          <w:p>
            <w:pPr>
              <w:jc w:val="right"/>
              <w:ind w:right="470"/>
              <w:spacing w:after="0" w:line="180"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298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0"/>
        </w:trPr>
        <w:tc>
          <w:tcPr>
            <w:tcW w:w="2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16,655</w:t>
            </w:r>
          </w:p>
        </w:tc>
        <w:tc>
          <w:tcPr>
            <w:tcW w:w="3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16,686</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B6B6B6"/>
          </w:tcPr>
          <w:p>
            <w:pPr>
              <w:spacing w:after="0"/>
              <w:rPr>
                <w:sz w:val="21"/>
                <w:szCs w:val="21"/>
                <w:color w:val="auto"/>
              </w:rPr>
            </w:pP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50,206</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50,361</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00" w:type="dxa"/>
            <w:vAlign w:val="bottom"/>
          </w:tcPr>
          <w:p>
            <w:pPr>
              <w:spacing w:after="0"/>
              <w:rPr>
                <w:sz w:val="21"/>
                <w:szCs w:val="21"/>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10,416</w:t>
            </w:r>
          </w:p>
        </w:tc>
        <w:tc>
          <w:tcPr>
            <w:tcW w:w="380" w:type="dxa"/>
            <w:vAlign w:val="bottom"/>
          </w:tcPr>
          <w:p>
            <w:pPr>
              <w:spacing w:after="0"/>
              <w:rPr>
                <w:sz w:val="21"/>
                <w:szCs w:val="21"/>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11,017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30,538</w:t>
            </w:r>
          </w:p>
        </w:tc>
        <w:tc>
          <w:tcPr>
            <w:tcW w:w="34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32,075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63"/>
        </w:trPr>
        <w:tc>
          <w:tcPr>
            <w:tcW w:w="2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21,020</w:t>
            </w:r>
          </w:p>
        </w:tc>
        <w:tc>
          <w:tcPr>
            <w:tcW w:w="38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17,618</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59,768</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50,023</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provision for credit loss</w:t>
            </w: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(193)</w:t>
            </w:r>
          </w:p>
        </w:tc>
        <w:tc>
          <w:tcPr>
            <w:tcW w:w="380" w:type="dxa"/>
            <w:vAlign w:val="bottom"/>
          </w:tcPr>
          <w:p>
            <w:pPr>
              <w:spacing w:after="0"/>
              <w:rPr>
                <w:sz w:val="21"/>
                <w:szCs w:val="21"/>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(140)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737</w:t>
            </w:r>
          </w:p>
        </w:tc>
        <w:tc>
          <w:tcPr>
            <w:tcW w:w="34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355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107.6 %</w:t>
            </w:r>
          </w:p>
        </w:tc>
        <w:tc>
          <w:tcPr>
            <w:tcW w:w="0" w:type="dxa"/>
            <w:vAlign w:val="bottom"/>
          </w:tcPr>
          <w:p>
            <w:pPr>
              <w:spacing w:after="0"/>
              <w:rPr>
                <w:sz w:val="1"/>
                <w:szCs w:val="1"/>
                <w:color w:val="auto"/>
              </w:rPr>
            </w:pPr>
          </w:p>
        </w:tc>
      </w:tr>
      <w:tr>
        <w:trPr>
          <w:trHeight w:val="218"/>
        </w:trPr>
        <w:tc>
          <w:tcPr>
            <w:tcW w:w="2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Gain (loss) on sale of investment</w:t>
            </w:r>
          </w:p>
        </w:tc>
        <w:tc>
          <w:tcPr>
            <w:tcW w:w="300" w:type="dxa"/>
            <w:vAlign w:val="bottom"/>
            <w:shd w:val="clear" w:color="auto" w:fill="B6B6B6"/>
          </w:tcPr>
          <w:p>
            <w:pPr>
              <w:spacing w:after="0"/>
              <w:rPr>
                <w:sz w:val="18"/>
                <w:szCs w:val="18"/>
                <w:color w:val="auto"/>
              </w:rPr>
            </w:pPr>
          </w:p>
        </w:tc>
        <w:tc>
          <w:tcPr>
            <w:tcW w:w="106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shd w:val="clear" w:color="auto" w:fill="B6B6B6"/>
          </w:tcPr>
          <w:p>
            <w:pPr>
              <w:spacing w:after="0"/>
              <w:rPr>
                <w:sz w:val="18"/>
                <w:szCs w:val="18"/>
                <w:color w:val="auto"/>
              </w:rPr>
            </w:pPr>
          </w:p>
        </w:tc>
        <w:tc>
          <w:tcPr>
            <w:tcW w:w="1200" w:type="dxa"/>
            <w:vAlign w:val="bottom"/>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B6B6B6"/>
          </w:tcPr>
          <w:p>
            <w:pPr>
              <w:ind w:left="80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shd w:val="clear" w:color="auto" w:fill="B6B6B6"/>
          </w:tcPr>
          <w:p>
            <w:pPr>
              <w:spacing w:after="0"/>
              <w:rPr>
                <w:sz w:val="18"/>
                <w:szCs w:val="18"/>
                <w:color w:val="auto"/>
              </w:rPr>
            </w:pPr>
          </w:p>
        </w:tc>
        <w:tc>
          <w:tcPr>
            <w:tcW w:w="10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(3,572)</w:t>
            </w:r>
          </w:p>
        </w:tc>
        <w:tc>
          <w:tcPr>
            <w:tcW w:w="340" w:type="dxa"/>
            <w:vAlign w:val="bottom"/>
            <w:shd w:val="clear" w:color="auto" w:fill="B6B6B6"/>
          </w:tcPr>
          <w:p>
            <w:pPr>
              <w:spacing w:after="0"/>
              <w:rPr>
                <w:sz w:val="18"/>
                <w:szCs w:val="18"/>
                <w:color w:val="auto"/>
              </w:rPr>
            </w:pPr>
          </w:p>
        </w:tc>
        <w:tc>
          <w:tcPr>
            <w:tcW w:w="1220" w:type="dxa"/>
            <w:vAlign w:val="bottom"/>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rPr>
              <w:t>(13)</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29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shd w:val="clear" w:color="auto" w:fill="B6B6B6"/>
          </w:tcPr>
          <w:p>
            <w:pPr>
              <w:spacing w:after="0"/>
              <w:rPr>
                <w:sz w:val="21"/>
                <w:szCs w:val="21"/>
                <w:color w:val="auto"/>
              </w:rPr>
            </w:pPr>
          </w:p>
        </w:tc>
        <w:tc>
          <w:tcPr>
            <w:tcW w:w="1060" w:type="dxa"/>
            <w:vAlign w:val="bottom"/>
            <w:shd w:val="clear" w:color="auto" w:fill="B6B6B6"/>
          </w:tcPr>
          <w:p>
            <w:pPr>
              <w:spacing w:after="0"/>
              <w:rPr>
                <w:sz w:val="21"/>
                <w:szCs w:val="21"/>
                <w:color w:val="auto"/>
              </w:rPr>
            </w:pPr>
          </w:p>
        </w:tc>
        <w:tc>
          <w:tcPr>
            <w:tcW w:w="380" w:type="dxa"/>
            <w:vAlign w:val="bottom"/>
            <w:shd w:val="clear" w:color="auto" w:fill="B6B6B6"/>
          </w:tcPr>
          <w:p>
            <w:pPr>
              <w:spacing w:after="0"/>
              <w:rPr>
                <w:sz w:val="21"/>
                <w:szCs w:val="21"/>
                <w:color w:val="auto"/>
              </w:rPr>
            </w:pPr>
          </w:p>
        </w:tc>
        <w:tc>
          <w:tcPr>
            <w:tcW w:w="120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100" w:type="dxa"/>
            <w:vAlign w:val="bottom"/>
            <w:shd w:val="clear" w:color="auto" w:fill="B6B6B6"/>
          </w:tcPr>
          <w:p>
            <w:pPr>
              <w:spacing w:after="0"/>
              <w:rPr>
                <w:sz w:val="21"/>
                <w:szCs w:val="21"/>
                <w:color w:val="auto"/>
              </w:rPr>
            </w:pPr>
          </w:p>
        </w:tc>
        <w:tc>
          <w:tcPr>
            <w:tcW w:w="280" w:type="dxa"/>
            <w:vAlign w:val="bottom"/>
            <w:shd w:val="clear" w:color="auto" w:fill="B6B6B6"/>
          </w:tcPr>
          <w:p>
            <w:pPr>
              <w:spacing w:after="0"/>
              <w:rPr>
                <w:sz w:val="21"/>
                <w:szCs w:val="21"/>
                <w:color w:val="auto"/>
              </w:rPr>
            </w:pPr>
          </w:p>
        </w:tc>
        <w:tc>
          <w:tcPr>
            <w:tcW w:w="1060" w:type="dxa"/>
            <w:vAlign w:val="bottom"/>
            <w:shd w:val="clear" w:color="auto" w:fill="B6B6B6"/>
          </w:tcPr>
          <w:p>
            <w:pPr>
              <w:spacing w:after="0"/>
              <w:rPr>
                <w:sz w:val="21"/>
                <w:szCs w:val="21"/>
                <w:color w:val="auto"/>
              </w:rPr>
            </w:pPr>
          </w:p>
        </w:tc>
        <w:tc>
          <w:tcPr>
            <w:tcW w:w="340" w:type="dxa"/>
            <w:vAlign w:val="bottom"/>
            <w:shd w:val="clear" w:color="auto" w:fill="B6B6B6"/>
          </w:tcPr>
          <w:p>
            <w:pPr>
              <w:spacing w:after="0"/>
              <w:rPr>
                <w:sz w:val="21"/>
                <w:szCs w:val="21"/>
                <w:color w:val="auto"/>
              </w:rPr>
            </w:pPr>
          </w:p>
        </w:tc>
        <w:tc>
          <w:tcPr>
            <w:tcW w:w="1220" w:type="dxa"/>
            <w:vAlign w:val="bottom"/>
            <w:shd w:val="clear" w:color="auto" w:fill="B6B6B6"/>
          </w:tcPr>
          <w:p>
            <w:pPr>
              <w:spacing w:after="0"/>
              <w:rPr>
                <w:sz w:val="21"/>
                <w:szCs w:val="21"/>
                <w:color w:val="auto"/>
              </w:rPr>
            </w:pPr>
          </w:p>
        </w:tc>
        <w:tc>
          <w:tcPr>
            <w:tcW w:w="1160" w:type="dxa"/>
            <w:vAlign w:val="bottom"/>
            <w:shd w:val="clear" w:color="auto" w:fill="B6B6B6"/>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1,768</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1,060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4,657</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3,512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56"/>
        </w:trPr>
        <w:tc>
          <w:tcPr>
            <w:tcW w:w="2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50,056</w:t>
            </w:r>
          </w:p>
        </w:tc>
        <w:tc>
          <w:tcPr>
            <w:tcW w:w="38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46,521</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140,860</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135,603</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38,441</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42,757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112,090</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117,374</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57"/>
        </w:trPr>
        <w:tc>
          <w:tcPr>
            <w:tcW w:w="2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11,615</w:t>
            </w:r>
          </w:p>
        </w:tc>
        <w:tc>
          <w:tcPr>
            <w:tcW w:w="38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3,764</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208.6 %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28,770</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18,229</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57.8 %</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2,403</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736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226.5 %</w:t>
            </w:r>
          </w:p>
        </w:tc>
        <w:tc>
          <w:tcPr>
            <w:tcW w:w="100" w:type="dxa"/>
            <w:vAlign w:val="bottom"/>
            <w:tcBorders>
              <w:bottom w:val="single" w:sz="8" w:color="B6B6B6"/>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5,848</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3,829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9,212</w:t>
            </w:r>
          </w:p>
        </w:tc>
        <w:tc>
          <w:tcPr>
            <w:tcW w:w="3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3,028</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204.2 %</w:t>
            </w:r>
          </w:p>
        </w:tc>
        <w:tc>
          <w:tcPr>
            <w:tcW w:w="100" w:type="dxa"/>
            <w:vAlign w:val="bottom"/>
            <w:shd w:val="clear" w:color="auto" w:fill="B6B6B6"/>
          </w:tcPr>
          <w:p>
            <w:pPr>
              <w:spacing w:after="0"/>
              <w:rPr>
                <w:sz w:val="21"/>
                <w:szCs w:val="21"/>
                <w:color w:val="auto"/>
              </w:rPr>
            </w:pP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22,922</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14,400</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59.2 %</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4,005</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174</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1"/>
        </w:trPr>
        <w:tc>
          <w:tcPr>
            <w:tcW w:w="2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net of tax</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9,106</w:t>
            </w:r>
          </w:p>
        </w:tc>
        <w:tc>
          <w:tcPr>
            <w:tcW w:w="3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B6B6B6"/>
          </w:tcPr>
          <w:p>
            <w:pPr>
              <w:jc w:val="right"/>
              <w:ind w:right="330"/>
              <w:spacing w:after="0"/>
              <w:rPr>
                <w:sz w:val="20"/>
                <w:szCs w:val="20"/>
                <w:color w:val="auto"/>
              </w:rPr>
            </w:pPr>
            <w:r>
              <w:rPr>
                <w:rFonts w:ascii="Times New Roman" w:cs="Times New Roman" w:eastAsia="Times New Roman" w:hAnsi="Times New Roman"/>
                <w:sz w:val="18"/>
                <w:szCs w:val="18"/>
                <w:color w:val="auto"/>
              </w:rPr>
              <w:t>2,938</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209.9 %</w:t>
            </w:r>
          </w:p>
        </w:tc>
        <w:tc>
          <w:tcPr>
            <w:tcW w:w="100" w:type="dxa"/>
            <w:vAlign w:val="bottom"/>
            <w:shd w:val="clear" w:color="auto" w:fill="B6B6B6"/>
          </w:tcPr>
          <w:p>
            <w:pPr>
              <w:spacing w:after="0"/>
              <w:rPr>
                <w:sz w:val="21"/>
                <w:szCs w:val="21"/>
                <w:color w:val="auto"/>
              </w:rPr>
            </w:pPr>
          </w:p>
        </w:tc>
        <w:tc>
          <w:tcPr>
            <w:tcW w:w="28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26,927</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14,574</w:t>
            </w: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84.8 %</w:t>
            </w:r>
          </w:p>
        </w:tc>
        <w:tc>
          <w:tcPr>
            <w:tcW w:w="0" w:type="dxa"/>
            <w:vAlign w:val="bottom"/>
          </w:tcPr>
          <w:p>
            <w:pPr>
              <w:spacing w:after="0"/>
              <w:rPr>
                <w:sz w:val="1"/>
                <w:szCs w:val="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0.69</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0.22</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213.6 %</w:t>
            </w: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61.0 %</w:t>
            </w:r>
          </w:p>
        </w:tc>
        <w:tc>
          <w:tcPr>
            <w:tcW w:w="0" w:type="dxa"/>
            <w:vAlign w:val="bottom"/>
          </w:tcPr>
          <w:p>
            <w:pPr>
              <w:spacing w:after="0"/>
              <w:rPr>
                <w:sz w:val="1"/>
                <w:szCs w:val="1"/>
                <w:color w:val="auto"/>
              </w:rPr>
            </w:pPr>
          </w:p>
        </w:tc>
      </w:tr>
      <w:tr>
        <w:trPr>
          <w:trHeight w:val="241"/>
        </w:trPr>
        <w:tc>
          <w:tcPr>
            <w:tcW w:w="29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B6B6B6"/>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Diluted earnings per share from</w:t>
            </w:r>
          </w:p>
        </w:tc>
        <w:tc>
          <w:tcPr>
            <w:tcW w:w="3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290"/>
              <w:spacing w:after="0"/>
              <w:rPr>
                <w:sz w:val="20"/>
                <w:szCs w:val="20"/>
                <w:color w:val="auto"/>
              </w:rPr>
            </w:pPr>
            <w:r>
              <w:rPr>
                <w:rFonts w:ascii="Times New Roman" w:cs="Times New Roman" w:eastAsia="Times New Roman" w:hAnsi="Times New Roman"/>
                <w:sz w:val="18"/>
                <w:szCs w:val="18"/>
                <w:color w:val="auto"/>
              </w:rPr>
              <w:t>(0.01)</w:t>
            </w:r>
          </w:p>
        </w:tc>
        <w:tc>
          <w:tcPr>
            <w:tcW w:w="1260" w:type="dxa"/>
            <w:vAlign w:val="bottom"/>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0.30</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350"/>
              <w:spacing w:after="0"/>
              <w:rPr>
                <w:sz w:val="20"/>
                <w:szCs w:val="20"/>
                <w:color w:val="auto"/>
              </w:rPr>
            </w:pPr>
            <w:r>
              <w:rPr>
                <w:rFonts w:ascii="Times New Roman" w:cs="Times New Roman" w:eastAsia="Times New Roman" w:hAnsi="Times New Roman"/>
                <w:sz w:val="18"/>
                <w:szCs w:val="18"/>
                <w:color w:val="auto"/>
              </w:rPr>
              <w:t>0.01</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1"/>
        </w:trPr>
        <w:tc>
          <w:tcPr>
            <w:tcW w:w="298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300" w:type="dxa"/>
            <w:vAlign w:val="bottom"/>
            <w:tcBorders>
              <w:bottom w:val="single" w:sz="8" w:color="auto"/>
            </w:tcBorders>
            <w:shd w:val="clear" w:color="auto" w:fill="B6B6B6"/>
          </w:tcPr>
          <w:p>
            <w:pPr>
              <w:spacing w:after="0"/>
              <w:rPr>
                <w:sz w:val="20"/>
                <w:szCs w:val="20"/>
                <w:color w:val="auto"/>
              </w:rPr>
            </w:pPr>
          </w:p>
        </w:tc>
        <w:tc>
          <w:tcPr>
            <w:tcW w:w="1060" w:type="dxa"/>
            <w:vAlign w:val="bottom"/>
            <w:tcBorders>
              <w:bottom w:val="single" w:sz="8" w:color="auto"/>
            </w:tcBorders>
            <w:shd w:val="clear" w:color="auto" w:fill="B6B6B6"/>
          </w:tcPr>
          <w:p>
            <w:pPr>
              <w:spacing w:after="0"/>
              <w:rPr>
                <w:sz w:val="20"/>
                <w:szCs w:val="20"/>
                <w:color w:val="auto"/>
              </w:rPr>
            </w:pPr>
          </w:p>
        </w:tc>
        <w:tc>
          <w:tcPr>
            <w:tcW w:w="380" w:type="dxa"/>
            <w:vAlign w:val="bottom"/>
            <w:tcBorders>
              <w:bottom w:val="single" w:sz="8" w:color="auto"/>
            </w:tcBorders>
            <w:shd w:val="clear" w:color="auto" w:fill="B6B6B6"/>
          </w:tcPr>
          <w:p>
            <w:pPr>
              <w:spacing w:after="0"/>
              <w:rPr>
                <w:sz w:val="20"/>
                <w:szCs w:val="20"/>
                <w:color w:val="auto"/>
              </w:rPr>
            </w:pPr>
          </w:p>
        </w:tc>
        <w:tc>
          <w:tcPr>
            <w:tcW w:w="120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spacing w:after="0"/>
              <w:rPr>
                <w:sz w:val="20"/>
                <w:szCs w:val="20"/>
                <w:color w:val="auto"/>
              </w:rPr>
            </w:pPr>
          </w:p>
        </w:tc>
        <w:tc>
          <w:tcPr>
            <w:tcW w:w="100" w:type="dxa"/>
            <w:vAlign w:val="bottom"/>
            <w:shd w:val="clear" w:color="auto" w:fill="B6B6B6"/>
          </w:tcPr>
          <w:p>
            <w:pPr>
              <w:spacing w:after="0"/>
              <w:rPr>
                <w:sz w:val="20"/>
                <w:szCs w:val="20"/>
                <w:color w:val="auto"/>
              </w:rPr>
            </w:pPr>
          </w:p>
        </w:tc>
        <w:tc>
          <w:tcPr>
            <w:tcW w:w="280" w:type="dxa"/>
            <w:vAlign w:val="bottom"/>
            <w:tcBorders>
              <w:bottom w:val="single" w:sz="8" w:color="auto"/>
            </w:tcBorders>
            <w:shd w:val="clear" w:color="auto" w:fill="B6B6B6"/>
          </w:tcPr>
          <w:p>
            <w:pPr>
              <w:spacing w:after="0"/>
              <w:rPr>
                <w:sz w:val="20"/>
                <w:szCs w:val="20"/>
                <w:color w:val="auto"/>
              </w:rPr>
            </w:pPr>
          </w:p>
        </w:tc>
        <w:tc>
          <w:tcPr>
            <w:tcW w:w="1060" w:type="dxa"/>
            <w:vAlign w:val="bottom"/>
            <w:tcBorders>
              <w:bottom w:val="single" w:sz="8" w:color="auto"/>
            </w:tcBorders>
            <w:shd w:val="clear" w:color="auto" w:fill="B6B6B6"/>
          </w:tcPr>
          <w:p>
            <w:pPr>
              <w:spacing w:after="0"/>
              <w:rPr>
                <w:sz w:val="20"/>
                <w:szCs w:val="20"/>
                <w:color w:val="auto"/>
              </w:rPr>
            </w:pPr>
          </w:p>
        </w:tc>
        <w:tc>
          <w:tcPr>
            <w:tcW w:w="340" w:type="dxa"/>
            <w:vAlign w:val="bottom"/>
            <w:tcBorders>
              <w:bottom w:val="single" w:sz="8" w:color="auto"/>
            </w:tcBorders>
            <w:shd w:val="clear" w:color="auto" w:fill="B6B6B6"/>
          </w:tcPr>
          <w:p>
            <w:pPr>
              <w:spacing w:after="0"/>
              <w:rPr>
                <w:sz w:val="20"/>
                <w:szCs w:val="20"/>
                <w:color w:val="auto"/>
              </w:rPr>
            </w:pPr>
          </w:p>
        </w:tc>
        <w:tc>
          <w:tcPr>
            <w:tcW w:w="122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0.68</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0.21</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223.8 %</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1.99</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87.7 %</w:t>
            </w:r>
          </w:p>
        </w:tc>
        <w:tc>
          <w:tcPr>
            <w:tcW w:w="0" w:type="dxa"/>
            <w:vAlign w:val="bottom"/>
          </w:tcPr>
          <w:p>
            <w:pPr>
              <w:spacing w:after="0"/>
              <w:rPr>
                <w:sz w:val="1"/>
                <w:szCs w:val="1"/>
                <w:color w:val="auto"/>
              </w:rPr>
            </w:pPr>
          </w:p>
        </w:tc>
      </w:tr>
      <w:tr>
        <w:trPr>
          <w:trHeight w:val="263"/>
        </w:trPr>
        <w:tc>
          <w:tcPr>
            <w:tcW w:w="29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Return on average assets</w:t>
            </w:r>
          </w:p>
        </w:tc>
        <w:tc>
          <w:tcPr>
            <w:tcW w:w="30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380" w:type="dxa"/>
            <w:vAlign w:val="bottom"/>
            <w:shd w:val="clear" w:color="auto" w:fill="B6B6B6"/>
          </w:tcPr>
          <w:p>
            <w:pPr>
              <w:spacing w:after="0"/>
              <w:rPr>
                <w:sz w:val="22"/>
                <w:szCs w:val="22"/>
                <w:color w:val="auto"/>
              </w:rPr>
            </w:pPr>
          </w:p>
        </w:tc>
        <w:tc>
          <w:tcPr>
            <w:tcW w:w="120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0.50 %</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188.0 %</w:t>
            </w:r>
          </w:p>
        </w:tc>
        <w:tc>
          <w:tcPr>
            <w:tcW w:w="100" w:type="dxa"/>
            <w:vAlign w:val="bottom"/>
            <w:shd w:val="clear" w:color="auto" w:fill="B6B6B6"/>
          </w:tcPr>
          <w:p>
            <w:pPr>
              <w:spacing w:after="0"/>
              <w:rPr>
                <w:sz w:val="22"/>
                <w:szCs w:val="22"/>
                <w:color w:val="auto"/>
              </w:rPr>
            </w:pPr>
          </w:p>
        </w:tc>
        <w:tc>
          <w:tcPr>
            <w:tcW w:w="280" w:type="dxa"/>
            <w:vAlign w:val="bottom"/>
            <w:shd w:val="clear" w:color="auto" w:fill="B6B6B6"/>
          </w:tcPr>
          <w:p>
            <w:pPr>
              <w:spacing w:after="0"/>
              <w:rPr>
                <w:sz w:val="22"/>
                <w:szCs w:val="22"/>
                <w:color w:val="auto"/>
              </w:rPr>
            </w:pPr>
          </w:p>
        </w:tc>
        <w:tc>
          <w:tcPr>
            <w:tcW w:w="10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34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0.83 %</w:t>
            </w: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78.3 %</w:t>
            </w:r>
          </w:p>
        </w:tc>
        <w:tc>
          <w:tcPr>
            <w:tcW w:w="0" w:type="dxa"/>
            <w:vAlign w:val="bottom"/>
          </w:tcPr>
          <w:p>
            <w:pPr>
              <w:spacing w:after="0"/>
              <w:rPr>
                <w:sz w:val="1"/>
                <w:szCs w:val="1"/>
                <w:color w:val="auto"/>
              </w:rPr>
            </w:pPr>
          </w:p>
        </w:tc>
      </w:tr>
      <w:tr>
        <w:trPr>
          <w:trHeight w:val="250"/>
        </w:trPr>
        <w:tc>
          <w:tcPr>
            <w:tcW w:w="2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Return on average equity</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15.29 %</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5.04 %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203.4 %</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8.54 %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81.6 %</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2025 compared to third quarter of 2024:</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net revenue of $50.1 million during the third quarter of 2025, an increase of 7.6% from the third quarter of 2024, primarily driven by an increase in net interest income, partially offset by lower financial fees. Operating expense decreased 10.1% primarily driven by $6.6 million of bad debt expense in the third quarter of 2024, partially offset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by an increase in personnel expenses of $1.1 million. Net income was $9.1 million and diluted EPS was $0.68 per share, increases of 209.9% and 223.8% from the three months period ended September 30, 2024,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posted a 1.44% return on average assets and 15.29% return on average equity.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to nine months ended September 30, 2024:</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recorded net revenue of $140.9 million during the nine months ended September 30, 2025, an increase of 3.9% from the nine months ended September 30, 2024, primarily driven by an increase in net interest income, partially offset by a loss on the sale of investment securities and lower financial fees. Operating expense decreased 4.5% primarily driven by a $9.8 million change in bad debt expense (recovery), partially offset by an increase in personnel expenses of $3.0 million. Net income was $26.9 million and diluted EPS was $1.99 per share, increases of 84.8% and 87.7% from the nine months ended September 30, 2024,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posted a 1.48% return on average assets and 15.51% return on average equity.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Revenue and Other Income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fee revenue is derived mainly from transportation and facility processing and financial fees. As the Company provides its processing and payment services, it is compensated by service fees which are typically calculated on a per-item basis, discounts received for services provided to carriers and by the accounts and drafts payable balances generated in the payment process which can be used to generate interest income. Processing volumes, average payments in advance of funding, and fee revenue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96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76"/>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00" w:type="dxa"/>
            <w:vAlign w:val="bottom"/>
          </w:tcPr>
          <w:p>
            <w:pPr>
              <w:spacing w:after="0"/>
              <w:rPr>
                <w:sz w:val="15"/>
                <w:szCs w:val="15"/>
                <w:color w:val="auto"/>
              </w:rPr>
            </w:pPr>
          </w:p>
        </w:tc>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15"/>
                <w:szCs w:val="15"/>
                <w:color w:val="auto"/>
              </w:rPr>
            </w:pPr>
          </w:p>
        </w:tc>
        <w:tc>
          <w:tcPr>
            <w:tcW w:w="124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5"/>
                <w:szCs w:val="15"/>
                <w:color w:val="auto"/>
              </w:rPr>
            </w:pPr>
          </w:p>
        </w:tc>
        <w:tc>
          <w:tcPr>
            <w:tcW w:w="12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2800" w:type="dxa"/>
            <w:vAlign w:val="bottom"/>
            <w:tcBorders>
              <w:bottom w:val="single" w:sz="8" w:color="auto"/>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52"/>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Transportation invoice volume</w:t>
            </w:r>
          </w:p>
        </w:tc>
        <w:tc>
          <w:tcPr>
            <w:tcW w:w="300" w:type="dxa"/>
            <w:vAlign w:val="bottom"/>
            <w:shd w:val="clear" w:color="auto" w:fill="B6B6B6"/>
          </w:tcPr>
          <w:p>
            <w:pPr>
              <w:spacing w:after="0"/>
              <w:rPr>
                <w:sz w:val="21"/>
                <w:szCs w:val="21"/>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8,884</w:t>
            </w:r>
          </w:p>
        </w:tc>
        <w:tc>
          <w:tcPr>
            <w:tcW w:w="360" w:type="dxa"/>
            <w:vAlign w:val="bottom"/>
            <w:shd w:val="clear" w:color="auto" w:fill="B6B6B6"/>
          </w:tcPr>
          <w:p>
            <w:pPr>
              <w:spacing w:after="0"/>
              <w:rPr>
                <w:sz w:val="21"/>
                <w:szCs w:val="21"/>
                <w:color w:val="auto"/>
              </w:rPr>
            </w:pPr>
          </w:p>
        </w:tc>
        <w:tc>
          <w:tcPr>
            <w:tcW w:w="12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9,160</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26,075</w:t>
            </w:r>
          </w:p>
        </w:tc>
        <w:tc>
          <w:tcPr>
            <w:tcW w:w="340" w:type="dxa"/>
            <w:vAlign w:val="bottom"/>
            <w:shd w:val="clear" w:color="auto" w:fill="B6B6B6"/>
          </w:tcPr>
          <w:p>
            <w:pPr>
              <w:spacing w:after="0"/>
              <w:rPr>
                <w:sz w:val="21"/>
                <w:szCs w:val="21"/>
                <w:color w:val="auto"/>
              </w:rPr>
            </w:pPr>
          </w:p>
        </w:tc>
        <w:tc>
          <w:tcPr>
            <w:tcW w:w="12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26,810</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invoice dollar volume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9,277,722</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9,097,739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27,291,394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27,118,728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57"/>
        </w:trPr>
        <w:tc>
          <w:tcPr>
            <w:tcW w:w="2800" w:type="dxa"/>
            <w:vAlign w:val="bottom"/>
            <w:shd w:val="clear" w:color="auto" w:fill="B6B6B6"/>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Facility-related transaction volume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B6B6B6"/>
          </w:tcPr>
          <w:p>
            <w:pPr>
              <w:spacing w:after="0"/>
              <w:rPr>
                <w:sz w:val="22"/>
                <w:szCs w:val="22"/>
                <w:color w:val="auto"/>
              </w:rPr>
            </w:pP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360" w:type="dxa"/>
            <w:vAlign w:val="bottom"/>
            <w:shd w:val="clear" w:color="auto" w:fill="B6B6B6"/>
          </w:tcPr>
          <w:p>
            <w:pPr>
              <w:spacing w:after="0"/>
              <w:rPr>
                <w:sz w:val="22"/>
                <w:szCs w:val="22"/>
                <w:color w:val="auto"/>
              </w:rPr>
            </w:pPr>
          </w:p>
        </w:tc>
        <w:tc>
          <w:tcPr>
            <w:tcW w:w="12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4,176</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12,450</w:t>
            </w:r>
          </w:p>
        </w:tc>
        <w:tc>
          <w:tcPr>
            <w:tcW w:w="340" w:type="dxa"/>
            <w:vAlign w:val="bottom"/>
            <w:shd w:val="clear" w:color="auto" w:fill="B6B6B6"/>
          </w:tcPr>
          <w:p>
            <w:pPr>
              <w:spacing w:after="0"/>
              <w:rPr>
                <w:sz w:val="22"/>
                <w:szCs w:val="22"/>
                <w:color w:val="auto"/>
              </w:rPr>
            </w:pPr>
          </w:p>
        </w:tc>
        <w:tc>
          <w:tcPr>
            <w:tcW w:w="12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12,487</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6"/>
        </w:trPr>
        <w:tc>
          <w:tcPr>
            <w:tcW w:w="280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Facility-related dollar volume </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6,233,369</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5,473,113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17,569,447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15,239,831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0" w:type="dxa"/>
            <w:vAlign w:val="bottom"/>
          </w:tcPr>
          <w:p>
            <w:pPr>
              <w:spacing w:after="0"/>
              <w:rPr>
                <w:sz w:val="1"/>
                <w:szCs w:val="1"/>
                <w:color w:val="auto"/>
              </w:rPr>
            </w:pPr>
          </w:p>
        </w:tc>
      </w:tr>
      <w:tr>
        <w:trPr>
          <w:trHeight w:val="211"/>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payments in advance of</w:t>
            </w:r>
          </w:p>
        </w:tc>
        <w:tc>
          <w:tcPr>
            <w:tcW w:w="300" w:type="dxa"/>
            <w:vAlign w:val="bottom"/>
            <w:shd w:val="clear" w:color="auto" w:fill="B6B6B6"/>
          </w:tcPr>
          <w:p>
            <w:pPr>
              <w:spacing w:after="0"/>
              <w:rPr>
                <w:sz w:val="18"/>
                <w:szCs w:val="18"/>
                <w:color w:val="auto"/>
              </w:rPr>
            </w:pPr>
          </w:p>
        </w:tc>
        <w:tc>
          <w:tcPr>
            <w:tcW w:w="102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12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00" w:type="dxa"/>
            <w:vAlign w:val="bottom"/>
            <w:shd w:val="clear" w:color="auto" w:fill="B6B6B6"/>
          </w:tcPr>
          <w:p>
            <w:pPr>
              <w:ind w:left="200"/>
              <w:spacing w:after="0"/>
              <w:rPr>
                <w:sz w:val="20"/>
                <w:szCs w:val="20"/>
                <w:color w:val="auto"/>
              </w:rPr>
            </w:pPr>
            <w:r>
              <w:rPr>
                <w:rFonts w:ascii="Times New Roman" w:cs="Times New Roman" w:eastAsia="Times New Roman" w:hAnsi="Times New Roman"/>
                <w:sz w:val="18"/>
                <w:szCs w:val="18"/>
                <w:color w:val="auto"/>
              </w:rPr>
              <w:t>funding</w:t>
            </w:r>
          </w:p>
        </w:tc>
        <w:tc>
          <w:tcPr>
            <w:tcW w:w="30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175,705</w:t>
            </w:r>
          </w:p>
        </w:tc>
        <w:tc>
          <w:tcPr>
            <w:tcW w:w="360" w:type="dxa"/>
            <w:vAlign w:val="bottom"/>
            <w:shd w:val="clear" w:color="auto" w:fill="B6B6B6"/>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202,976</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B6B6B6"/>
          </w:tcPr>
          <w:p>
            <w:pPr>
              <w:spacing w:after="0"/>
              <w:rPr>
                <w:sz w:val="21"/>
                <w:szCs w:val="21"/>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175,170</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203,498</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5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16,686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50,206</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50,361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57"/>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30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360" w:type="dxa"/>
            <w:vAlign w:val="bottom"/>
            <w:shd w:val="clear" w:color="auto" w:fill="B6B6B6"/>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11,017</w:t>
            </w:r>
          </w:p>
        </w:tc>
        <w:tc>
          <w:tcPr>
            <w:tcW w:w="12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30,538</w:t>
            </w:r>
          </w:p>
        </w:tc>
        <w:tc>
          <w:tcPr>
            <w:tcW w:w="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B6B6B6"/>
          </w:tcPr>
          <w:p>
            <w:pPr>
              <w:jc w:val="right"/>
              <w:ind w:right="210"/>
              <w:spacing w:after="0"/>
              <w:rPr>
                <w:sz w:val="20"/>
                <w:szCs w:val="20"/>
                <w:color w:val="auto"/>
              </w:rPr>
            </w:pPr>
            <w:r>
              <w:rPr>
                <w:rFonts w:ascii="Times New Roman" w:cs="Times New Roman" w:eastAsia="Times New Roman" w:hAnsi="Times New Roman"/>
                <w:sz w:val="18"/>
                <w:szCs w:val="18"/>
                <w:color w:val="auto"/>
              </w:rPr>
              <w:t>32,075</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56"/>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66.8 %</w:t>
            </w:r>
          </w:p>
        </w:tc>
        <w:tc>
          <w:tcPr>
            <w:tcW w:w="10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4,657</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11"/>
        </w:trPr>
        <w:tc>
          <w:tcPr>
            <w:tcW w:w="280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Gain (loss) on sale of investment</w:t>
            </w:r>
          </w:p>
        </w:tc>
        <w:tc>
          <w:tcPr>
            <w:tcW w:w="300" w:type="dxa"/>
            <w:vAlign w:val="bottom"/>
            <w:shd w:val="clear" w:color="auto" w:fill="B6B6B6"/>
          </w:tcPr>
          <w:p>
            <w:pPr>
              <w:spacing w:after="0"/>
              <w:rPr>
                <w:sz w:val="18"/>
                <w:szCs w:val="18"/>
                <w:color w:val="auto"/>
              </w:rPr>
            </w:pPr>
          </w:p>
        </w:tc>
        <w:tc>
          <w:tcPr>
            <w:tcW w:w="102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120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1100" w:type="dxa"/>
            <w:vAlign w:val="bottom"/>
            <w:shd w:val="clear" w:color="auto" w:fill="B6B6B6"/>
          </w:tcPr>
          <w:p>
            <w:pPr>
              <w:spacing w:after="0"/>
              <w:rPr>
                <w:sz w:val="18"/>
                <w:szCs w:val="18"/>
                <w:color w:val="auto"/>
              </w:rPr>
            </w:pPr>
          </w:p>
        </w:tc>
        <w:tc>
          <w:tcPr>
            <w:tcW w:w="340" w:type="dxa"/>
            <w:vAlign w:val="bottom"/>
            <w:shd w:val="clear" w:color="auto" w:fill="B6B6B6"/>
          </w:tcPr>
          <w:p>
            <w:pPr>
              <w:spacing w:after="0"/>
              <w:rPr>
                <w:sz w:val="18"/>
                <w:szCs w:val="18"/>
                <w:color w:val="auto"/>
              </w:rPr>
            </w:pPr>
          </w:p>
        </w:tc>
        <w:tc>
          <w:tcPr>
            <w:tcW w:w="1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0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0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Borders>
              <w:bottom w:val="single" w:sz="8" w:color="auto"/>
            </w:tcBorders>
            <w:shd w:val="clear" w:color="auto" w:fill="B6B6B6"/>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shd w:val="clear" w:color="auto" w:fill="B6B6B6"/>
          </w:tcPr>
          <w:p>
            <w:pPr>
              <w:ind w:left="840"/>
              <w:spacing w:after="0"/>
              <w:rPr>
                <w:sz w:val="20"/>
                <w:szCs w:val="20"/>
                <w:color w:val="auto"/>
              </w:rPr>
            </w:pPr>
            <w:r>
              <w:rPr>
                <w:rFonts w:ascii="Times New Roman" w:cs="Times New Roman" w:eastAsia="Times New Roman" w:hAnsi="Times New Roman"/>
                <w:sz w:val="18"/>
                <w:szCs w:val="18"/>
                <w:color w:val="auto"/>
              </w:rPr>
              <w:t>N/M</w:t>
            </w:r>
          </w:p>
        </w:tc>
        <w:tc>
          <w:tcPr>
            <w:tcW w:w="260" w:type="dxa"/>
            <w:vAlign w:val="bottom"/>
            <w:tcBorders>
              <w:bottom w:val="single" w:sz="8" w:color="auto"/>
            </w:tcBorders>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34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utility and waste.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2025 compared to third quarter of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fees decreased $31,000, or 0.2% over the same period in the prior year reflecting lower transportation and facility transaction volumes.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fees decreased $601,000, or 5.5%, primarily attributable to a decline in average payments in advance of funding of 13.4%, in addition to changes in the manner whereby facility vendors receive payments.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to nine months ended September 30,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Processing fees decreased $155,000, or 0.3% over the same period in the prior year reflecting lower transportation and facility transaction volumes.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fees decreased $1.5 million, or 4.8%, primarily attributable to a decline in average payments in advance of funding of 13.9%, in addition to changes in the manner whereby facility vendors receive payments.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sold $34.0 million of corporate investment securities with a weighted-average yield of 2.29% at a loss of $3.6 million during June 2025. The proceeds from these sales were redeployed into higher yielding interest-earning assets during the third quarter of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earned on loans, investments, and other earning assets and interest expense on deposits and other interest-bearing liabilities. Net interest income is a significant source of the Company’s revenues. The following table summarizes the changes in tax-equivalent net interest income and related factors: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6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340" w:type="dxa"/>
            <w:vAlign w:val="bottom"/>
            <w:tcBorders>
              <w:bottom w:val="single" w:sz="8" w:color="auto"/>
            </w:tcBorders>
          </w:tcPr>
          <w:p>
            <w:pPr>
              <w:spacing w:after="0"/>
              <w:rPr>
                <w:sz w:val="22"/>
                <w:szCs w:val="22"/>
                <w:color w:val="auto"/>
              </w:rPr>
            </w:pPr>
          </w:p>
        </w:tc>
        <w:tc>
          <w:tcPr>
            <w:tcW w:w="30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4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Average earning assets</w:t>
            </w:r>
          </w:p>
        </w:tc>
        <w:tc>
          <w:tcPr>
            <w:tcW w:w="36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2,189,384</w:t>
            </w:r>
          </w:p>
        </w:tc>
        <w:tc>
          <w:tcPr>
            <w:tcW w:w="52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2,001,741</w:t>
            </w:r>
          </w:p>
        </w:tc>
        <w:tc>
          <w:tcPr>
            <w:tcW w:w="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2,128,428</w:t>
            </w:r>
          </w:p>
        </w:tc>
        <w:tc>
          <w:tcPr>
            <w:tcW w:w="50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2,007,780</w:t>
            </w:r>
          </w:p>
        </w:tc>
      </w:tr>
      <w:tr>
        <w:trPr>
          <w:trHeight w:val="25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interest-bearing liabilities</w:t>
            </w:r>
          </w:p>
        </w:tc>
        <w:tc>
          <w:tcPr>
            <w:tcW w:w="3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610,414</w:t>
            </w:r>
          </w:p>
        </w:tc>
        <w:tc>
          <w:tcPr>
            <w:tcW w:w="52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630,215</w:t>
            </w:r>
          </w:p>
        </w:tc>
        <w:tc>
          <w:tcPr>
            <w:tcW w:w="34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618,125</w:t>
            </w:r>
          </w:p>
        </w:tc>
        <w:tc>
          <w:tcPr>
            <w:tcW w:w="500" w:type="dxa"/>
            <w:vAlign w:val="bottom"/>
          </w:tcPr>
          <w:p>
            <w:pPr>
              <w:spacing w:after="0"/>
              <w:rPr>
                <w:sz w:val="21"/>
                <w:szCs w:val="21"/>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633,384</w:t>
            </w:r>
          </w:p>
        </w:tc>
      </w:tr>
      <w:tr>
        <w:trPr>
          <w:trHeight w:val="263"/>
        </w:trPr>
        <w:tc>
          <w:tcPr>
            <w:tcW w:w="46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21,336</w:t>
            </w:r>
          </w:p>
        </w:tc>
        <w:tc>
          <w:tcPr>
            <w:tcW w:w="52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17,856</w:t>
            </w:r>
          </w:p>
        </w:tc>
        <w:tc>
          <w:tcPr>
            <w:tcW w:w="3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60,467</w:t>
            </w:r>
          </w:p>
        </w:tc>
        <w:tc>
          <w:tcPr>
            <w:tcW w:w="500" w:type="dxa"/>
            <w:vAlign w:val="bottom"/>
            <w:shd w:val="clear" w:color="auto" w:fill="B6B6B6"/>
          </w:tcPr>
          <w:p>
            <w:pPr>
              <w:spacing w:after="0"/>
              <w:rPr>
                <w:sz w:val="22"/>
                <w:szCs w:val="22"/>
                <w:color w:val="auto"/>
              </w:rPr>
            </w:pPr>
          </w:p>
        </w:tc>
        <w:tc>
          <w:tcPr>
            <w:tcW w:w="122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50,744</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w:t>
            </w:r>
          </w:p>
        </w:tc>
        <w:tc>
          <w:tcPr>
            <w:tcW w:w="27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3.87 %</w:t>
            </w:r>
          </w:p>
        </w:tc>
        <w:tc>
          <w:tcPr>
            <w:tcW w:w="1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3.55 %</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3.80 %</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3.38 %</w:t>
            </w:r>
          </w:p>
        </w:tc>
      </w:tr>
      <w:tr>
        <w:trPr>
          <w:trHeight w:val="263"/>
        </w:trPr>
        <w:tc>
          <w:tcPr>
            <w:tcW w:w="4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Yield on earning assets*</w:t>
            </w:r>
          </w:p>
        </w:tc>
        <w:tc>
          <w:tcPr>
            <w:tcW w:w="272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4.62 %</w:t>
            </w:r>
          </w:p>
        </w:tc>
        <w:tc>
          <w:tcPr>
            <w:tcW w:w="168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4.57 %</w:t>
            </w:r>
          </w:p>
        </w:tc>
        <w:tc>
          <w:tcPr>
            <w:tcW w:w="1660" w:type="dxa"/>
            <w:vAlign w:val="bottom"/>
            <w:shd w:val="clear" w:color="auto" w:fill="B6B6B6"/>
          </w:tcPr>
          <w:p>
            <w:pPr>
              <w:jc w:val="right"/>
              <w:ind w:right="490"/>
              <w:spacing w:after="0"/>
              <w:rPr>
                <w:sz w:val="20"/>
                <w:szCs w:val="20"/>
                <w:color w:val="auto"/>
              </w:rPr>
            </w:pPr>
            <w:r>
              <w:rPr>
                <w:rFonts w:ascii="Times New Roman" w:cs="Times New Roman" w:eastAsia="Times New Roman" w:hAnsi="Times New Roman"/>
                <w:sz w:val="18"/>
                <w:szCs w:val="18"/>
                <w:color w:val="auto"/>
              </w:rPr>
              <w:t>4.58 %</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4.42 %</w:t>
            </w:r>
          </w:p>
        </w:tc>
      </w:tr>
      <w:tr>
        <w:trPr>
          <w:trHeight w:val="25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interest-bearing liabilities</w:t>
            </w:r>
          </w:p>
        </w:tc>
        <w:tc>
          <w:tcPr>
            <w:tcW w:w="27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2.70 %</w:t>
            </w:r>
          </w:p>
        </w:tc>
        <w:tc>
          <w:tcPr>
            <w:tcW w:w="1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3.25 %</w:t>
            </w:r>
          </w:p>
        </w:tc>
        <w:tc>
          <w:tcPr>
            <w:tcW w:w="16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2.69 %</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on a tax-equivalent basis assuming a tax rate of 21% for both 2025 and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2025 compared to third quarter of 2024:</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interest income is primarily attributable to the net interest margin improving to 3.87% as compared to 3.55% in the same period last year, in addition to an increase in average earning assets of $187.6 million, or 9.4%. The yield on interest-earning assets increased 5 basis points from 4.57% to 4.62% while the cost of interest-bearing liabilities decreased 55 basis points from 3.25% to 2.70%.</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loans increased $22.6 million, or 2.1%, to $1.10 billion. The average yield on loans increased 26 basis points to 5.66%, primarily due to loan growth at current market interest rates and continued maturing and re-pricing of existing fixed rate loans to current market interest rates.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investment securities increased $121.3 million, or 20.5%, to $711.7 million. The increase was driven by the utilization of available liquidity arising from an increase in average accounts and drafts payable to purchase investment securities. The average yield on taxable investment securities increased 44 basis points to 3.32% and the average yield on tax-exempt investment securities increased 59 basis points to 3.40%.</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short-term investments, consisting of interest-bearing deposits in other financial institutions and federal funds sold, increased $43.8 million, or 12.9%, to $382.3 million. The increase is primarily a result of the increase in average funding sources, partially offset by the increase in average loans and average investment securities. The average yield on short-term investments decreased 93 basis points to 4.01%, primarily due to the decrease in the Federal Funds rate that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occurred in the last four months of 2024 and then again in September 2025. The majority of these short-term investments are held at the Federal Reserve Bank.</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balance of interest-bearing deposits decreased $19.8 million, or 3.1%, to $610.4 million. Average non-interest-bearing demand deposits increased $1.9 million, or 0.5%, to $406.2 million. The Company has experienced deposit attrition due to a decrease in the overall level of some larger commercial deposits due to client funding needs for acquisitions and other purposes. The average rate paid on interest-bearing deposits decreased 55 basis points to 2.70% due to the reduction in short-term interest rates in the last four months of 2024 and then again in September 2025.</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increased $196.5 million, or 19.4%, to $1.21 billion. The increase in average accounts and drafts payable was primarily driven by the increase in facility dollar volumes of 13.9% as well as the increase in transportation dollar volumes of 2.0%.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to nine months ended September 30, 2024:</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interest income is primarily attributable to the net interest margin improving to 3.80% as compared to 3.38% in the same period last year, in addition to an increase in average earning assets of $120.6 million, or 6.0%. The yield on interest-earning assets increased 16 basis points from 4.42% to 4.58% while the cost of interest-bearing liabilities decreased 61 basis points from 3.30% to 2.69%.</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Average loans increased $67.3 million, or 6.5%, to $1.11 billion. The average yield on loans increased 40 basis points to 5.64%, primarily due to loan growth at current market interest rates and continued maturing and re-pricing of existing fixed rate loans to current market interest rates.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Average investment securities increased $17.1 million, or 2.6%, to $663.2 million. The increase was driven by the utilization of available liquidity arising from an increase in average accounts and drafts payable to purchase investment securities. The average yield on taxable investment securities increased 29 basis points to 3.11% and the average yield on tax-exempt investment securities increased 25 basis points to 3.00%.</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Average short-term investments, consisting of interest-bearing deposits in other financial institutions and federal funds sold, increased $36.3 million, or 11.4%, to $355.0 million. The increase is primarily a result of the increase in average funding sources, partially offset by the increase in average loans and average investment securities. The average yield on short-term investments decreased 94 basis points to 4.05%, primarily due to the decrease in the Federal Funds rate that occurred in the last four months of 2024 and again in September 2025. The majority of these short-term investments are held at the Federal Reserve Bank.</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average balance of interest-bearing deposits decreased $15.3 million, or 2.4%, to $618.1 million. Average non-interest-bearing demand deposits decreased $18.2 million, or 4.3%, to $401.5 million. The Company has experienced deposit attrition due to a decrease in the overall level of some larger commercial deposits due to client funding needs for acquisitions and other purposes. The average rate paid on interest-bearing deposits decreased 61 basis points to 2.69% due to the reduction in short-term interest rates in the last four months of 2024 and again in September 2025.</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Average accounts and drafts payable increased $140.7 million, or 14.1%, to $1.14 billion. The increase in average accounts and drafts payable was primarily driven by the increase in facility dollar volumes of 15.3%.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of Assets, Liabilities and Shareholders' Equity; Interest Rate and Interest Differential</w:t>
      </w:r>
    </w:p>
    <w:p>
      <w:pPr>
        <w:spacing w:after="0" w:line="189" w:lineRule="exact"/>
        <w:rPr>
          <w:sz w:val="20"/>
          <w:szCs w:val="20"/>
          <w:color w:val="auto"/>
        </w:rPr>
      </w:pPr>
    </w:p>
    <w:p>
      <w:pPr>
        <w:jc w:val="both"/>
        <w:ind w:firstLine="9"/>
        <w:spacing w:after="0" w:line="266" w:lineRule="auto"/>
        <w:rPr>
          <w:sz w:val="20"/>
          <w:szCs w:val="20"/>
          <w:color w:val="auto"/>
        </w:rPr>
      </w:pPr>
      <w:r>
        <w:rPr>
          <w:rFonts w:ascii="Times New Roman" w:cs="Times New Roman" w:eastAsia="Times New Roman" w:hAnsi="Times New Roman"/>
          <w:sz w:val="18"/>
          <w:szCs w:val="18"/>
          <w:color w:val="auto"/>
        </w:rPr>
        <w:t>The following tables show the condensed average balance sheets for each of the periods reported, the tax-equivalent interest income and expense for each category of interest-earning assets and interest-bearing liabilities, and the average yield on such categories of interest-earning assets and the average rates paid on such categories of interest-bearing liabilities for each of the periods reported.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Third Quarter of 2025</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Third Quarter of 2024</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40" w:type="dxa"/>
            <w:vAlign w:val="bottom"/>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6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color w:val="auto"/>
                <w:vertAlign w:val="superscript"/>
              </w:rPr>
              <w:t>1</w:t>
            </w: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spacing w:after="0"/>
              <w:rPr>
                <w:sz w:val="18"/>
                <w:szCs w:val="18"/>
                <w:color w:val="auto"/>
              </w:rPr>
            </w:pPr>
          </w:p>
        </w:tc>
        <w:tc>
          <w:tcPr>
            <w:tcW w:w="1040" w:type="dxa"/>
            <w:vAlign w:val="bottom"/>
            <w:shd w:val="clear" w:color="auto" w:fill="B6B6B6"/>
          </w:tcPr>
          <w:p>
            <w:pPr>
              <w:spacing w:after="0"/>
              <w:rPr>
                <w:sz w:val="18"/>
                <w:szCs w:val="18"/>
                <w:color w:val="auto"/>
              </w:rPr>
            </w:pPr>
          </w:p>
        </w:tc>
        <w:tc>
          <w:tcPr>
            <w:tcW w:w="280" w:type="dxa"/>
            <w:vAlign w:val="bottom"/>
            <w:shd w:val="clear" w:color="auto" w:fill="B6B6B6"/>
          </w:tcPr>
          <w:p>
            <w:pPr>
              <w:spacing w:after="0"/>
              <w:rPr>
                <w:sz w:val="18"/>
                <w:szCs w:val="18"/>
                <w:color w:val="auto"/>
              </w:rPr>
            </w:pPr>
          </w:p>
        </w:tc>
        <w:tc>
          <w:tcPr>
            <w:tcW w:w="1240" w:type="dxa"/>
            <w:vAlign w:val="bottom"/>
            <w:shd w:val="clear" w:color="auto" w:fill="B6B6B6"/>
          </w:tcPr>
          <w:p>
            <w:pPr>
              <w:spacing w:after="0"/>
              <w:rPr>
                <w:sz w:val="18"/>
                <w:szCs w:val="18"/>
                <w:color w:val="auto"/>
              </w:rPr>
            </w:pPr>
          </w:p>
        </w:tc>
        <w:tc>
          <w:tcPr>
            <w:tcW w:w="960" w:type="dxa"/>
            <w:vAlign w:val="bottom"/>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p>
        </w:tc>
        <w:tc>
          <w:tcPr>
            <w:tcW w:w="22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1,095,412</w:t>
            </w:r>
          </w:p>
        </w:tc>
        <w:tc>
          <w:tcPr>
            <w:tcW w:w="28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15,632</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5.66 %</w:t>
            </w:r>
          </w:p>
        </w:tc>
        <w:tc>
          <w:tcPr>
            <w:tcW w:w="100" w:type="dxa"/>
            <w:vAlign w:val="bottom"/>
            <w:shd w:val="clear" w:color="auto" w:fill="B6B6B6"/>
          </w:tcPr>
          <w:p>
            <w:pPr>
              <w:spacing w:after="0"/>
              <w:rPr>
                <w:sz w:val="18"/>
                <w:szCs w:val="18"/>
                <w:color w:val="auto"/>
              </w:rPr>
            </w:pPr>
          </w:p>
        </w:tc>
        <w:tc>
          <w:tcPr>
            <w:tcW w:w="220" w:type="dxa"/>
            <w:vAlign w:val="bottom"/>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1,072,824</w:t>
            </w:r>
          </w:p>
        </w:tc>
        <w:tc>
          <w:tcPr>
            <w:tcW w:w="280" w:type="dxa"/>
            <w:vAlign w:val="bottom"/>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14,567</w:t>
            </w:r>
          </w:p>
        </w:tc>
        <w:tc>
          <w:tcPr>
            <w:tcW w:w="9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5.40 %</w:t>
            </w:r>
          </w:p>
        </w:tc>
        <w:tc>
          <w:tcPr>
            <w:tcW w:w="0" w:type="dxa"/>
            <w:vAlign w:val="bottom"/>
          </w:tcPr>
          <w:p>
            <w:pPr>
              <w:spacing w:after="0"/>
              <w:rPr>
                <w:sz w:val="1"/>
                <w:szCs w:val="1"/>
                <w:color w:val="auto"/>
              </w:rPr>
            </w:pPr>
          </w:p>
        </w:tc>
      </w:tr>
      <w:tr>
        <w:trPr>
          <w:trHeight w:val="21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536,394</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4,491</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3.32 %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430,242</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3,114</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2.88 %</w:t>
            </w:r>
          </w:p>
        </w:tc>
        <w:tc>
          <w:tcPr>
            <w:tcW w:w="0" w:type="dxa"/>
            <w:vAlign w:val="bottom"/>
          </w:tcPr>
          <w:p>
            <w:pPr>
              <w:spacing w:after="0"/>
              <w:rPr>
                <w:sz w:val="1"/>
                <w:szCs w:val="1"/>
                <w:color w:val="auto"/>
              </w:rPr>
            </w:pP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18"/>
                <w:szCs w:val="18"/>
                <w:color w:val="auto"/>
                <w:vertAlign w:val="superscript"/>
              </w:rPr>
              <w:t>4</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175,328</w:t>
            </w:r>
          </w:p>
        </w:tc>
        <w:tc>
          <w:tcPr>
            <w:tcW w:w="280" w:type="dxa"/>
            <w:vAlign w:val="bottom"/>
          </w:tcPr>
          <w:p>
            <w:pPr>
              <w:spacing w:after="0"/>
              <w:rPr>
                <w:sz w:val="18"/>
                <w:szCs w:val="18"/>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1,504</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160,211</w:t>
            </w:r>
          </w:p>
        </w:tc>
        <w:tc>
          <w:tcPr>
            <w:tcW w:w="280" w:type="dxa"/>
            <w:vAlign w:val="bottom"/>
          </w:tcPr>
          <w:p>
            <w:pPr>
              <w:spacing w:after="0"/>
              <w:rPr>
                <w:sz w:val="18"/>
                <w:szCs w:val="18"/>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1,131</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0" w:type="dxa"/>
            <w:vAlign w:val="bottom"/>
          </w:tcPr>
          <w:p>
            <w:pPr>
              <w:spacing w:after="0"/>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382,250</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3,860</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4.01 %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338,464</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4,200</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4.94 %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2,189,384</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25,487</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2,001,741</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23,012</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4.57 %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24,106</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22,468</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30,648</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31,766</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51,415</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49,899</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20,343</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15,079</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175,705</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202,976</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(44,451)</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(55,029)</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67,057</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71,768</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(14,293)</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(13,632)</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of discontinued operations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13,834</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2,499,914</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2,340,870</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18"/>
                <w:szCs w:val="18"/>
                <w:b w:val="1"/>
                <w:bCs w:val="1"/>
                <w:color w:val="auto"/>
                <w:vertAlign w:val="superscript"/>
              </w:rPr>
              <w:t>1</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514,138</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3,345</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543,845</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4,314</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7,104</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24</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1.34 %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6,921</w:t>
            </w: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29</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1.67 %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27,868</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236</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27,884</w:t>
            </w:r>
          </w:p>
        </w:tc>
        <w:tc>
          <w:tcPr>
            <w:tcW w:w="280" w:type="dxa"/>
            <w:vAlign w:val="bottom"/>
          </w:tcPr>
          <w:p>
            <w:pPr>
              <w:spacing w:after="0"/>
              <w:rPr>
                <w:sz w:val="16"/>
                <w:szCs w:val="16"/>
                <w:color w:val="auto"/>
              </w:rPr>
            </w:pPr>
          </w:p>
        </w:tc>
        <w:tc>
          <w:tcPr>
            <w:tcW w:w="124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270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61,293</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546</w:t>
            </w: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3.53 %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51,554</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543</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4.19 %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610,403</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4,151</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630,204</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5,156</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B6B6B6"/>
            </w:tcBorders>
            <w:shd w:val="clear" w:color="auto" w:fill="B6B6B6"/>
          </w:tcPr>
          <w:p>
            <w:pPr>
              <w:spacing w:after="0"/>
              <w:rPr>
                <w:sz w:val="19"/>
                <w:szCs w:val="19"/>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B6B6B6"/>
            </w:tcBorders>
            <w:shd w:val="clear" w:color="auto" w:fill="B6B6B6"/>
          </w:tcPr>
          <w:p>
            <w:pPr>
              <w:spacing w:after="0"/>
              <w:rPr>
                <w:sz w:val="19"/>
                <w:szCs w:val="19"/>
                <w:color w:val="auto"/>
              </w:rPr>
            </w:pP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610,414</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4,151</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630,215</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5,156</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406,241</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404,364</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1,209,416</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1,012,922</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37,635</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38,598</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Liabilities of discontinued operations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22,986</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2,263,706</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2,109,085</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236,208</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4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231,785</w:t>
            </w:r>
          </w:p>
        </w:tc>
        <w:tc>
          <w:tcPr>
            <w:tcW w:w="280" w:type="dxa"/>
            <w:vAlign w:val="bottom"/>
            <w:tcBorders>
              <w:bottom w:val="single" w:sz="8" w:color="B6B6B6"/>
            </w:tcBorders>
            <w:shd w:val="clear" w:color="auto" w:fill="B6B6B6"/>
          </w:tcPr>
          <w:p>
            <w:pPr>
              <w:spacing w:after="0"/>
              <w:rPr>
                <w:sz w:val="18"/>
                <w:szCs w:val="18"/>
                <w:color w:val="auto"/>
              </w:rPr>
            </w:pPr>
          </w:p>
        </w:tc>
        <w:tc>
          <w:tcPr>
            <w:tcW w:w="1240" w:type="dxa"/>
            <w:vAlign w:val="bottom"/>
            <w:tcBorders>
              <w:bottom w:val="single" w:sz="8" w:color="B6B6B6"/>
            </w:tcBorders>
            <w:shd w:val="clear" w:color="auto" w:fill="B6B6B6"/>
          </w:tcPr>
          <w:p>
            <w:pPr>
              <w:spacing w:after="0"/>
              <w:rPr>
                <w:sz w:val="18"/>
                <w:szCs w:val="18"/>
                <w:color w:val="auto"/>
              </w:rPr>
            </w:pPr>
          </w:p>
        </w:tc>
        <w:tc>
          <w:tcPr>
            <w:tcW w:w="96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2,499,914</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2,340,870</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21,336</w:t>
            </w:r>
          </w:p>
        </w:tc>
        <w:tc>
          <w:tcPr>
            <w:tcW w:w="94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B6B6B6"/>
            </w:tcBorders>
            <w:shd w:val="clear" w:color="auto" w:fill="B6B6B6"/>
          </w:tcPr>
          <w:p>
            <w:pPr>
              <w:jc w:val="right"/>
              <w:ind w:right="248"/>
              <w:spacing w:after="0"/>
              <w:rPr>
                <w:sz w:val="20"/>
                <w:szCs w:val="20"/>
                <w:color w:val="auto"/>
              </w:rPr>
            </w:pPr>
            <w:r>
              <w:rPr>
                <w:rFonts w:ascii="Times New Roman" w:cs="Times New Roman" w:eastAsia="Times New Roman" w:hAnsi="Times New Roman"/>
                <w:sz w:val="14"/>
                <w:szCs w:val="14"/>
                <w:color w:val="auto"/>
              </w:rPr>
              <w:t>17,856</w:t>
            </w:r>
          </w:p>
        </w:tc>
        <w:tc>
          <w:tcPr>
            <w:tcW w:w="96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4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1.92 %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40" w:type="dxa"/>
            <w:vAlign w:val="bottom"/>
            <w:tcBorders>
              <w:bottom w:val="single" w:sz="8" w:color="B6B6B6"/>
            </w:tcBorders>
            <w:shd w:val="clear" w:color="auto" w:fill="B6B6B6"/>
          </w:tcPr>
          <w:p>
            <w:pPr>
              <w:spacing w:after="0"/>
              <w:rPr>
                <w:sz w:val="17"/>
                <w:szCs w:val="17"/>
                <w:color w:val="auto"/>
              </w:rPr>
            </w:pPr>
          </w:p>
        </w:tc>
        <w:tc>
          <w:tcPr>
            <w:tcW w:w="96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1.32 %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2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$114,000 and $154,000 for the third quarter of 2025 and 2024, respectively.</w:t>
      </w:r>
    </w:p>
    <w:p>
      <w:pPr>
        <w:spacing w:after="0" w:line="1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14" w:lineRule="exact"/>
        <w:rPr>
          <w:rFonts w:ascii="Times New Roman" w:cs="Times New Roman" w:eastAsia="Times New Roman" w:hAnsi="Times New Roman"/>
          <w:sz w:val="14"/>
          <w:szCs w:val="14"/>
          <w:color w:val="auto"/>
        </w:rPr>
      </w:pPr>
    </w:p>
    <w:p>
      <w:pPr>
        <w:ind w:left="340" w:right="100" w:hanging="332"/>
        <w:spacing w:after="0" w:line="283"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2025 and 2024. The tax-equivalent adjustment was approximately $316,000 and $237,000 for the third quarter of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20" w:type="dxa"/>
            <w:vAlign w:val="bottom"/>
          </w:tcPr>
          <w:p>
            <w:pPr>
              <w:spacing w:after="0"/>
              <w:rPr>
                <w:sz w:val="16"/>
                <w:szCs w:val="16"/>
                <w:color w:val="auto"/>
              </w:rPr>
            </w:pPr>
          </w:p>
        </w:tc>
        <w:tc>
          <w:tcPr>
            <w:tcW w:w="352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37"/>
        </w:trPr>
        <w:tc>
          <w:tcPr>
            <w:tcW w:w="36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18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20" w:type="dxa"/>
            <w:vAlign w:val="bottom"/>
          </w:tcPr>
          <w:p>
            <w:pPr>
              <w:spacing w:after="0"/>
              <w:rPr>
                <w:sz w:val="13"/>
                <w:szCs w:val="13"/>
                <w:color w:val="auto"/>
              </w:rPr>
            </w:pPr>
          </w:p>
        </w:tc>
        <w:tc>
          <w:tcPr>
            <w:tcW w:w="104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3"/>
                <w:szCs w:val="13"/>
                <w:color w:val="auto"/>
              </w:rPr>
            </w:pPr>
          </w:p>
        </w:tc>
        <w:tc>
          <w:tcPr>
            <w:tcW w:w="120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148"/>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10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201"/>
        </w:trPr>
        <w:tc>
          <w:tcPr>
            <w:tcW w:w="36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9"/>
                <w:szCs w:val="9"/>
                <w:color w:val="auto"/>
              </w:rPr>
              <w:t>1</w:t>
            </w:r>
          </w:p>
        </w:tc>
        <w:tc>
          <w:tcPr>
            <w:tcW w:w="220" w:type="dxa"/>
            <w:vAlign w:val="bottom"/>
            <w:shd w:val="clear" w:color="auto" w:fill="B6B6B6"/>
          </w:tcPr>
          <w:p>
            <w:pPr>
              <w:spacing w:after="0"/>
              <w:rPr>
                <w:sz w:val="17"/>
                <w:szCs w:val="17"/>
                <w:color w:val="auto"/>
              </w:rPr>
            </w:pPr>
          </w:p>
        </w:tc>
        <w:tc>
          <w:tcPr>
            <w:tcW w:w="104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180" w:type="dxa"/>
            <w:vAlign w:val="bottom"/>
            <w:shd w:val="clear" w:color="auto" w:fill="B6B6B6"/>
          </w:tcPr>
          <w:p>
            <w:pPr>
              <w:spacing w:after="0"/>
              <w:rPr>
                <w:sz w:val="17"/>
                <w:szCs w:val="17"/>
                <w:color w:val="auto"/>
              </w:rPr>
            </w:pPr>
          </w:p>
        </w:tc>
        <w:tc>
          <w:tcPr>
            <w:tcW w:w="1000" w:type="dxa"/>
            <w:vAlign w:val="bottom"/>
            <w:shd w:val="clear" w:color="auto" w:fill="B6B6B6"/>
          </w:tcPr>
          <w:p>
            <w:pPr>
              <w:spacing w:after="0"/>
              <w:rPr>
                <w:sz w:val="17"/>
                <w:szCs w:val="17"/>
                <w:color w:val="auto"/>
              </w:rPr>
            </w:pPr>
          </w:p>
        </w:tc>
        <w:tc>
          <w:tcPr>
            <w:tcW w:w="100" w:type="dxa"/>
            <w:vAlign w:val="bottom"/>
            <w:shd w:val="clear" w:color="auto" w:fill="B6B6B6"/>
          </w:tcPr>
          <w:p>
            <w:pPr>
              <w:spacing w:after="0"/>
              <w:rPr>
                <w:sz w:val="17"/>
                <w:szCs w:val="17"/>
                <w:color w:val="auto"/>
              </w:rPr>
            </w:pPr>
          </w:p>
        </w:tc>
        <w:tc>
          <w:tcPr>
            <w:tcW w:w="220" w:type="dxa"/>
            <w:vAlign w:val="bottom"/>
            <w:shd w:val="clear" w:color="auto" w:fill="B6B6B6"/>
          </w:tcPr>
          <w:p>
            <w:pPr>
              <w:spacing w:after="0"/>
              <w:rPr>
                <w:sz w:val="17"/>
                <w:szCs w:val="17"/>
                <w:color w:val="auto"/>
              </w:rPr>
            </w:pPr>
          </w:p>
        </w:tc>
        <w:tc>
          <w:tcPr>
            <w:tcW w:w="1040" w:type="dxa"/>
            <w:vAlign w:val="bottom"/>
            <w:shd w:val="clear" w:color="auto" w:fill="B6B6B6"/>
          </w:tcPr>
          <w:p>
            <w:pPr>
              <w:spacing w:after="0"/>
              <w:rPr>
                <w:sz w:val="17"/>
                <w:szCs w:val="17"/>
                <w:color w:val="auto"/>
              </w:rPr>
            </w:pPr>
          </w:p>
        </w:tc>
        <w:tc>
          <w:tcPr>
            <w:tcW w:w="280" w:type="dxa"/>
            <w:vAlign w:val="bottom"/>
            <w:shd w:val="clear" w:color="auto" w:fill="B6B6B6"/>
          </w:tcPr>
          <w:p>
            <w:pPr>
              <w:spacing w:after="0"/>
              <w:rPr>
                <w:sz w:val="17"/>
                <w:szCs w:val="17"/>
                <w:color w:val="auto"/>
              </w:rPr>
            </w:pPr>
          </w:p>
        </w:tc>
        <w:tc>
          <w:tcPr>
            <w:tcW w:w="1200" w:type="dxa"/>
            <w:vAlign w:val="bottom"/>
            <w:shd w:val="clear" w:color="auto" w:fill="B6B6B6"/>
          </w:tcPr>
          <w:p>
            <w:pPr>
              <w:spacing w:after="0"/>
              <w:rPr>
                <w:sz w:val="17"/>
                <w:szCs w:val="17"/>
                <w:color w:val="auto"/>
              </w:rPr>
            </w:pPr>
          </w:p>
        </w:tc>
        <w:tc>
          <w:tcPr>
            <w:tcW w:w="1000" w:type="dxa"/>
            <w:vAlign w:val="bottom"/>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Interest-earning assets</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Loans</w:t>
            </w: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1,110,227</w:t>
            </w: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46,819</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5.64 %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1,042,953</w:t>
            </w: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40,935</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5.24 %</w:t>
            </w: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securities</w:t>
            </w: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Taxable</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515,059</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11,996</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3.11 %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479,337</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10,118</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2.82 %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Tax-exempt</w:t>
            </w:r>
            <w:r>
              <w:rPr>
                <w:rFonts w:ascii="Times New Roman" w:cs="Times New Roman" w:eastAsia="Times New Roman" w:hAnsi="Times New Roman"/>
                <w:sz w:val="9"/>
                <w:szCs w:val="9"/>
                <w:color w:val="auto"/>
              </w:rPr>
              <w:t>4</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148,161</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3,328</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166,778</w:t>
            </w:r>
          </w:p>
        </w:tc>
        <w:tc>
          <w:tcPr>
            <w:tcW w:w="28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3,429</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354,981</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10,755</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4.05 %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318,712</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11,908</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2,128,428</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72,898</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2,007,780</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66,390</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due from banks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21,497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22,630</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31,143</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30,858</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50,949</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49,603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Goodwill and other intangibles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20,676</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15,251</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Payments in advance of funding</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175,170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203,498</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Unrealized loss on investment securities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(50,822)</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(59,528)</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64,470</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72,413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(13,998)</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8"/>
              <w:spacing w:after="0"/>
              <w:rPr>
                <w:sz w:val="20"/>
                <w:szCs w:val="20"/>
                <w:color w:val="auto"/>
              </w:rPr>
            </w:pPr>
            <w:r>
              <w:rPr>
                <w:rFonts w:ascii="Times New Roman" w:cs="Times New Roman" w:eastAsia="Times New Roman" w:hAnsi="Times New Roman"/>
                <w:sz w:val="14"/>
                <w:szCs w:val="14"/>
                <w:color w:val="auto"/>
              </w:rPr>
              <w:t>(13,343)</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Assets of discontinued operations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9,765</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14,327</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2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2,437,278</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2,343,489</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r>
              <w:rPr>
                <w:rFonts w:ascii="Times New Roman" w:cs="Times New Roman" w:eastAsia="Times New Roman" w:hAnsi="Times New Roman"/>
                <w:sz w:val="9"/>
                <w:szCs w:val="9"/>
                <w:b w:val="1"/>
                <w:bCs w:val="1"/>
                <w:color w:val="auto"/>
              </w:rPr>
              <w:t>1</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Interest-bearing demand deposits</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525,139</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10,112</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2.57 %</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548,891</w:t>
            </w:r>
          </w:p>
        </w:tc>
        <w:tc>
          <w:tcPr>
            <w:tcW w:w="2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13,244</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Savings deposits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7,249</w:t>
            </w: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72</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1.33 %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7,134</w:t>
            </w: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92</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1.72 %</w:t>
            </w: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Time deposits &gt;= $100</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26,359</w:t>
            </w:r>
          </w:p>
        </w:tc>
        <w:tc>
          <w:tcPr>
            <w:tcW w:w="2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657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27,492</w:t>
            </w:r>
          </w:p>
        </w:tc>
        <w:tc>
          <w:tcPr>
            <w:tcW w:w="280" w:type="dxa"/>
            <w:vAlign w:val="bottom"/>
          </w:tcPr>
          <w:p>
            <w:pPr>
              <w:spacing w:after="0"/>
              <w:rPr>
                <w:sz w:val="16"/>
                <w:szCs w:val="16"/>
                <w:color w:val="auto"/>
              </w:rPr>
            </w:pPr>
          </w:p>
        </w:tc>
        <w:tc>
          <w:tcPr>
            <w:tcW w:w="12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773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Other time deposits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59,367</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1,590</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3.58 %</w:t>
            </w: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49,856</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1,536</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4.12 %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618,114</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12,431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633,373</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15,645</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Short-term borrowings</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B6B6B6"/>
            </w:tcBorders>
            <w:shd w:val="clear" w:color="auto" w:fill="B6B6B6"/>
          </w:tcPr>
          <w:p>
            <w:pPr>
              <w:spacing w:after="0"/>
              <w:rPr>
                <w:sz w:val="19"/>
                <w:szCs w:val="19"/>
                <w:color w:val="auto"/>
              </w:rPr>
            </w:pP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B6B6B6"/>
            </w:tcBorders>
            <w:gridSpan w:val="2"/>
            <w:shd w:val="clear" w:color="auto" w:fill="B6B6B6"/>
          </w:tcPr>
          <w:p>
            <w:pPr>
              <w:jc w:val="right"/>
              <w:ind w:right="120"/>
              <w:spacing w:after="0"/>
              <w:rPr>
                <w:sz w:val="20"/>
                <w:szCs w:val="20"/>
                <w:color w:val="auto"/>
              </w:rPr>
            </w:pPr>
            <w:r>
              <w:rPr>
                <w:rFonts w:ascii="Times New Roman" w:cs="Times New Roman" w:eastAsia="Times New Roman" w:hAnsi="Times New Roman"/>
                <w:sz w:val="14"/>
                <w:szCs w:val="14"/>
                <w:color w:val="auto"/>
              </w:rPr>
              <w:t>— %</w:t>
            </w:r>
          </w:p>
        </w:tc>
        <w:tc>
          <w:tcPr>
            <w:tcW w:w="220" w:type="dxa"/>
            <w:vAlign w:val="bottom"/>
            <w:tcBorders>
              <w:bottom w:val="single" w:sz="8" w:color="B6B6B6"/>
            </w:tcBorders>
            <w:shd w:val="clear" w:color="auto" w:fill="B6B6B6"/>
          </w:tcPr>
          <w:p>
            <w:pPr>
              <w:spacing w:after="0"/>
              <w:rPr>
                <w:sz w:val="19"/>
                <w:szCs w:val="19"/>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w:t>
            </w:r>
          </w:p>
        </w:tc>
        <w:tc>
          <w:tcPr>
            <w:tcW w:w="280" w:type="dxa"/>
            <w:vAlign w:val="bottom"/>
            <w:tcBorders>
              <w:bottom w:val="single" w:sz="8" w:color="B6B6B6"/>
            </w:tcBorders>
            <w:shd w:val="clear" w:color="auto" w:fill="B6B6B6"/>
          </w:tcPr>
          <w:p>
            <w:pPr>
              <w:spacing w:after="0"/>
              <w:rPr>
                <w:sz w:val="19"/>
                <w:szCs w:val="19"/>
                <w:color w:val="auto"/>
              </w:rPr>
            </w:pP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1</w:t>
            </w: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12.14 %</w:t>
            </w: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618,125</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12,431</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633,384</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15,646</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Non-interest bearing liabilities:</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Demand deposits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401,497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419,724</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Accounts and drafts payable</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1,141,535</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1,000,874</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liabilities</w:t>
            </w: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42,287</w:t>
            </w: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37,627</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180"/>
              <w:spacing w:after="0"/>
              <w:rPr>
                <w:sz w:val="20"/>
                <w:szCs w:val="20"/>
                <w:color w:val="auto"/>
              </w:rPr>
            </w:pPr>
            <w:r>
              <w:rPr>
                <w:rFonts w:ascii="Times New Roman" w:cs="Times New Roman" w:eastAsia="Times New Roman" w:hAnsi="Times New Roman"/>
                <w:sz w:val="14"/>
                <w:szCs w:val="14"/>
                <w:color w:val="auto"/>
              </w:rPr>
              <w:t>Liabilities of discontinued operations</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1,727</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23,960</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2,205,171</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2,115,569</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232,107</w:t>
            </w:r>
          </w:p>
        </w:tc>
        <w:tc>
          <w:tcPr>
            <w:tcW w:w="280" w:type="dxa"/>
            <w:vAlign w:val="bottom"/>
            <w:tcBorders>
              <w:bottom w:val="single" w:sz="8" w:color="B6B6B6"/>
            </w:tcBorders>
            <w:shd w:val="clear" w:color="auto" w:fill="B6B6B6"/>
          </w:tcPr>
          <w:p>
            <w:pPr>
              <w:spacing w:after="0"/>
              <w:rPr>
                <w:sz w:val="18"/>
                <w:szCs w:val="18"/>
                <w:color w:val="auto"/>
              </w:rPr>
            </w:pPr>
          </w:p>
        </w:tc>
        <w:tc>
          <w:tcPr>
            <w:tcW w:w="118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100" w:type="dxa"/>
            <w:vAlign w:val="bottom"/>
            <w:tcBorders>
              <w:bottom w:val="single" w:sz="8" w:color="B6B6B6"/>
            </w:tcBorders>
            <w:shd w:val="clear" w:color="auto" w:fill="B6B6B6"/>
          </w:tcPr>
          <w:p>
            <w:pPr>
              <w:spacing w:after="0"/>
              <w:rPr>
                <w:sz w:val="18"/>
                <w:szCs w:val="18"/>
                <w:color w:val="auto"/>
              </w:rPr>
            </w:pPr>
          </w:p>
        </w:tc>
        <w:tc>
          <w:tcPr>
            <w:tcW w:w="220" w:type="dxa"/>
            <w:vAlign w:val="bottom"/>
            <w:tcBorders>
              <w:bottom w:val="single" w:sz="8" w:color="B6B6B6"/>
            </w:tcBorders>
            <w:shd w:val="clear" w:color="auto" w:fill="B6B6B6"/>
          </w:tcPr>
          <w:p>
            <w:pPr>
              <w:spacing w:after="0"/>
              <w:rPr>
                <w:sz w:val="18"/>
                <w:szCs w:val="18"/>
                <w:color w:val="auto"/>
              </w:rPr>
            </w:pPr>
          </w:p>
        </w:tc>
        <w:tc>
          <w:tcPr>
            <w:tcW w:w="1040" w:type="dxa"/>
            <w:vAlign w:val="bottom"/>
            <w:tcBorders>
              <w:bottom w:val="single" w:sz="8" w:color="B6B6B6"/>
            </w:tcBorders>
            <w:shd w:val="clear" w:color="auto" w:fill="B6B6B6"/>
          </w:tcPr>
          <w:p>
            <w:pPr>
              <w:jc w:val="right"/>
              <w:ind w:right="28"/>
              <w:spacing w:after="0"/>
              <w:rPr>
                <w:sz w:val="20"/>
                <w:szCs w:val="20"/>
                <w:color w:val="auto"/>
              </w:rPr>
            </w:pPr>
            <w:r>
              <w:rPr>
                <w:rFonts w:ascii="Times New Roman" w:cs="Times New Roman" w:eastAsia="Times New Roman" w:hAnsi="Times New Roman"/>
                <w:sz w:val="14"/>
                <w:szCs w:val="14"/>
                <w:color w:val="auto"/>
              </w:rPr>
              <w:t>227,920</w:t>
            </w:r>
          </w:p>
        </w:tc>
        <w:tc>
          <w:tcPr>
            <w:tcW w:w="280" w:type="dxa"/>
            <w:vAlign w:val="bottom"/>
            <w:tcBorders>
              <w:bottom w:val="single" w:sz="8" w:color="B6B6B6"/>
            </w:tcBorders>
            <w:shd w:val="clear" w:color="auto" w:fill="B6B6B6"/>
          </w:tcPr>
          <w:p>
            <w:pPr>
              <w:spacing w:after="0"/>
              <w:rPr>
                <w:sz w:val="18"/>
                <w:szCs w:val="18"/>
                <w:color w:val="auto"/>
              </w:rPr>
            </w:pPr>
          </w:p>
        </w:tc>
        <w:tc>
          <w:tcPr>
            <w:tcW w:w="1200" w:type="dxa"/>
            <w:vAlign w:val="bottom"/>
            <w:tcBorders>
              <w:bottom w:val="single" w:sz="8" w:color="B6B6B6"/>
            </w:tcBorders>
            <w:shd w:val="clear" w:color="auto" w:fill="B6B6B6"/>
          </w:tcPr>
          <w:p>
            <w:pPr>
              <w:spacing w:after="0"/>
              <w:rPr>
                <w:sz w:val="18"/>
                <w:szCs w:val="18"/>
                <w:color w:val="auto"/>
              </w:rPr>
            </w:pPr>
          </w:p>
        </w:tc>
        <w:tc>
          <w:tcPr>
            <w:tcW w:w="1000" w:type="dxa"/>
            <w:vAlign w:val="bottom"/>
            <w:tcBorders>
              <w:bottom w:val="single" w:sz="8" w:color="B6B6B6"/>
            </w:tcBorders>
            <w:shd w:val="clear" w:color="auto" w:fill="B6B6B6"/>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2,437,278</w:t>
            </w: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2,343,489</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Net interest income</w:t>
            </w: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B6B6B6"/>
            </w:tcBorders>
            <w:shd w:val="clear" w:color="auto" w:fill="B6B6B6"/>
          </w:tcPr>
          <w:p>
            <w:pPr>
              <w:jc w:val="right"/>
              <w:ind w:right="188"/>
              <w:spacing w:after="0"/>
              <w:rPr>
                <w:sz w:val="20"/>
                <w:szCs w:val="20"/>
                <w:color w:val="auto"/>
              </w:rPr>
            </w:pPr>
            <w:r>
              <w:rPr>
                <w:rFonts w:ascii="Times New Roman" w:cs="Times New Roman" w:eastAsia="Times New Roman" w:hAnsi="Times New Roman"/>
                <w:sz w:val="14"/>
                <w:szCs w:val="14"/>
                <w:color w:val="auto"/>
              </w:rPr>
              <w:t>60,467</w:t>
            </w:r>
          </w:p>
        </w:tc>
        <w:tc>
          <w:tcPr>
            <w:tcW w:w="1000" w:type="dxa"/>
            <w:vAlign w:val="bottom"/>
            <w:tcBorders>
              <w:bottom w:val="single" w:sz="8" w:color="B6B6B6"/>
            </w:tcBorders>
            <w:shd w:val="clear" w:color="auto" w:fill="B6B6B6"/>
          </w:tcPr>
          <w:p>
            <w:pPr>
              <w:spacing w:after="0"/>
              <w:rPr>
                <w:sz w:val="16"/>
                <w:szCs w:val="16"/>
                <w:color w:val="auto"/>
              </w:rPr>
            </w:pPr>
          </w:p>
        </w:tc>
        <w:tc>
          <w:tcPr>
            <w:tcW w:w="100" w:type="dxa"/>
            <w:vAlign w:val="bottom"/>
            <w:tcBorders>
              <w:bottom w:val="single" w:sz="8" w:color="B6B6B6"/>
            </w:tcBorders>
            <w:shd w:val="clear" w:color="auto" w:fill="B6B6B6"/>
          </w:tcPr>
          <w:p>
            <w:pPr>
              <w:spacing w:after="0"/>
              <w:rPr>
                <w:sz w:val="16"/>
                <w:szCs w:val="16"/>
                <w:color w:val="auto"/>
              </w:rPr>
            </w:pPr>
          </w:p>
        </w:tc>
        <w:tc>
          <w:tcPr>
            <w:tcW w:w="220" w:type="dxa"/>
            <w:vAlign w:val="bottom"/>
            <w:tcBorders>
              <w:bottom w:val="single" w:sz="8" w:color="B6B6B6"/>
            </w:tcBorders>
            <w:shd w:val="clear" w:color="auto" w:fill="B6B6B6"/>
          </w:tcPr>
          <w:p>
            <w:pPr>
              <w:spacing w:after="0"/>
              <w:rPr>
                <w:sz w:val="16"/>
                <w:szCs w:val="16"/>
                <w:color w:val="auto"/>
              </w:rPr>
            </w:pPr>
          </w:p>
        </w:tc>
        <w:tc>
          <w:tcPr>
            <w:tcW w:w="1040" w:type="dxa"/>
            <w:vAlign w:val="bottom"/>
            <w:tcBorders>
              <w:bottom w:val="single" w:sz="8" w:color="B6B6B6"/>
            </w:tcBorders>
            <w:shd w:val="clear" w:color="auto" w:fill="B6B6B6"/>
          </w:tcPr>
          <w:p>
            <w:pPr>
              <w:spacing w:after="0"/>
              <w:rPr>
                <w:sz w:val="16"/>
                <w:szCs w:val="16"/>
                <w:color w:val="auto"/>
              </w:rPr>
            </w:pPr>
          </w:p>
        </w:tc>
        <w:tc>
          <w:tcPr>
            <w:tcW w:w="280" w:type="dxa"/>
            <w:vAlign w:val="bottom"/>
            <w:tcBorders>
              <w:bottom w:val="single" w:sz="8" w:color="B6B6B6"/>
            </w:tcBorders>
            <w:shd w:val="clear" w:color="auto" w:fill="B6B6B6"/>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B6B6B6"/>
            </w:tcBorders>
            <w:shd w:val="clear" w:color="auto" w:fill="B6B6B6"/>
          </w:tcPr>
          <w:p>
            <w:pPr>
              <w:jc w:val="right"/>
              <w:ind w:right="208"/>
              <w:spacing w:after="0"/>
              <w:rPr>
                <w:sz w:val="20"/>
                <w:szCs w:val="20"/>
                <w:color w:val="auto"/>
              </w:rPr>
            </w:pPr>
            <w:r>
              <w:rPr>
                <w:rFonts w:ascii="Times New Roman" w:cs="Times New Roman" w:eastAsia="Times New Roman" w:hAnsi="Times New Roman"/>
                <w:sz w:val="14"/>
                <w:szCs w:val="14"/>
                <w:color w:val="auto"/>
              </w:rPr>
              <w:t>50,744</w:t>
            </w:r>
          </w:p>
        </w:tc>
        <w:tc>
          <w:tcPr>
            <w:tcW w:w="1000" w:type="dxa"/>
            <w:vAlign w:val="bottom"/>
            <w:tcBorders>
              <w:bottom w:val="single" w:sz="8" w:color="B6B6B6"/>
            </w:tcBorders>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interest margin</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Borders>
              <w:bottom w:val="single" w:sz="8" w:color="B6B6B6"/>
            </w:tcBorders>
            <w:shd w:val="clear" w:color="auto" w:fill="B6B6B6"/>
          </w:tcPr>
          <w:p>
            <w:pPr>
              <w:ind w:left="20"/>
              <w:spacing w:after="0"/>
              <w:rPr>
                <w:sz w:val="20"/>
                <w:szCs w:val="20"/>
                <w:color w:val="auto"/>
              </w:rPr>
            </w:pPr>
            <w:r>
              <w:rPr>
                <w:rFonts w:ascii="Times New Roman" w:cs="Times New Roman" w:eastAsia="Times New Roman" w:hAnsi="Times New Roman"/>
                <w:sz w:val="14"/>
                <w:szCs w:val="14"/>
                <w:color w:val="auto"/>
              </w:rPr>
              <w:t>Interest spread</w:t>
            </w: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18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100" w:type="dxa"/>
            <w:vAlign w:val="bottom"/>
            <w:tcBorders>
              <w:bottom w:val="single" w:sz="8" w:color="B6B6B6"/>
            </w:tcBorders>
            <w:shd w:val="clear" w:color="auto" w:fill="B6B6B6"/>
          </w:tcPr>
          <w:p>
            <w:pPr>
              <w:spacing w:after="0"/>
              <w:rPr>
                <w:sz w:val="17"/>
                <w:szCs w:val="17"/>
                <w:color w:val="auto"/>
              </w:rPr>
            </w:pPr>
          </w:p>
        </w:tc>
        <w:tc>
          <w:tcPr>
            <w:tcW w:w="220" w:type="dxa"/>
            <w:vAlign w:val="bottom"/>
            <w:tcBorders>
              <w:bottom w:val="single" w:sz="8" w:color="B6B6B6"/>
            </w:tcBorders>
            <w:shd w:val="clear" w:color="auto" w:fill="B6B6B6"/>
          </w:tcPr>
          <w:p>
            <w:pPr>
              <w:spacing w:after="0"/>
              <w:rPr>
                <w:sz w:val="17"/>
                <w:szCs w:val="17"/>
                <w:color w:val="auto"/>
              </w:rPr>
            </w:pPr>
          </w:p>
        </w:tc>
        <w:tc>
          <w:tcPr>
            <w:tcW w:w="1040" w:type="dxa"/>
            <w:vAlign w:val="bottom"/>
            <w:tcBorders>
              <w:bottom w:val="single" w:sz="8" w:color="B6B6B6"/>
            </w:tcBorders>
            <w:shd w:val="clear" w:color="auto" w:fill="B6B6B6"/>
          </w:tcPr>
          <w:p>
            <w:pPr>
              <w:spacing w:after="0"/>
              <w:rPr>
                <w:sz w:val="17"/>
                <w:szCs w:val="17"/>
                <w:color w:val="auto"/>
              </w:rPr>
            </w:pPr>
          </w:p>
        </w:tc>
        <w:tc>
          <w:tcPr>
            <w:tcW w:w="280" w:type="dxa"/>
            <w:vAlign w:val="bottom"/>
            <w:tcBorders>
              <w:bottom w:val="single" w:sz="8" w:color="B6B6B6"/>
            </w:tcBorders>
            <w:shd w:val="clear" w:color="auto" w:fill="B6B6B6"/>
          </w:tcPr>
          <w:p>
            <w:pPr>
              <w:spacing w:after="0"/>
              <w:rPr>
                <w:sz w:val="17"/>
                <w:szCs w:val="17"/>
                <w:color w:val="auto"/>
              </w:rPr>
            </w:pPr>
          </w:p>
        </w:tc>
        <w:tc>
          <w:tcPr>
            <w:tcW w:w="1200" w:type="dxa"/>
            <w:vAlign w:val="bottom"/>
            <w:tcBorders>
              <w:bottom w:val="single" w:sz="8" w:color="B6B6B6"/>
            </w:tcBorders>
            <w:shd w:val="clear" w:color="auto" w:fill="B6B6B6"/>
          </w:tcPr>
          <w:p>
            <w:pPr>
              <w:spacing w:after="0"/>
              <w:rPr>
                <w:sz w:val="17"/>
                <w:szCs w:val="17"/>
                <w:color w:val="auto"/>
              </w:rPr>
            </w:pPr>
          </w:p>
        </w:tc>
        <w:tc>
          <w:tcPr>
            <w:tcW w:w="1000" w:type="dxa"/>
            <w:vAlign w:val="bottom"/>
            <w:tcBorders>
              <w:bottom w:val="single" w:sz="8" w:color="B6B6B6"/>
            </w:tcBorders>
            <w:shd w:val="clear" w:color="auto" w:fill="B6B6B6"/>
          </w:tcPr>
          <w:p>
            <w:pPr>
              <w:jc w:val="right"/>
              <w:spacing w:after="0"/>
              <w:rPr>
                <w:sz w:val="20"/>
                <w:szCs w:val="20"/>
                <w:color w:val="auto"/>
              </w:rPr>
            </w:pPr>
            <w:r>
              <w:rPr>
                <w:rFonts w:ascii="Times New Roman" w:cs="Times New Roman" w:eastAsia="Times New Roman" w:hAnsi="Times New Roman"/>
                <w:sz w:val="14"/>
                <w:szCs w:val="14"/>
                <w:color w:val="auto"/>
              </w:rPr>
              <w:t>1.12 %</w:t>
            </w:r>
          </w:p>
        </w:tc>
        <w:tc>
          <w:tcPr>
            <w:tcW w:w="0" w:type="dxa"/>
            <w:vAlign w:val="bottom"/>
          </w:tcPr>
          <w:p>
            <w:pPr>
              <w:spacing w:after="0"/>
              <w:rPr>
                <w:sz w:val="1"/>
                <w:szCs w:val="1"/>
                <w:color w:val="auto"/>
              </w:rPr>
            </w:pPr>
          </w:p>
        </w:tc>
      </w:tr>
      <w:tr>
        <w:trPr>
          <w:trHeight w:val="20"/>
        </w:trPr>
        <w:tc>
          <w:tcPr>
            <w:tcW w:w="3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Balances shown are daily averages.</w:t>
      </w:r>
    </w:p>
    <w:p>
      <w:pPr>
        <w:spacing w:after="0" w:line="2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on loans includes net loan fees of $599,000 and $383,000 for the nine months ended September 30, 2025 and 2024, respectively.</w:t>
      </w:r>
    </w:p>
    <w:p>
      <w:pPr>
        <w:spacing w:after="0" w:line="14"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these computations, yields on investment securities are computed as interest income divided by the average amortized cost of the investments.</w:t>
      </w:r>
    </w:p>
    <w:p>
      <w:pPr>
        <w:spacing w:after="0" w:line="4" w:lineRule="exact"/>
        <w:rPr>
          <w:rFonts w:ascii="Times New Roman" w:cs="Times New Roman" w:eastAsia="Times New Roman" w:hAnsi="Times New Roman"/>
          <w:sz w:val="14"/>
          <w:szCs w:val="14"/>
          <w:color w:val="auto"/>
        </w:rPr>
      </w:pPr>
    </w:p>
    <w:p>
      <w:pPr>
        <w:ind w:left="340" w:right="560" w:hanging="332"/>
        <w:spacing w:after="0" w:line="278"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both the nine months ended September 30, 2025 and 2024. The tax-equivalent adjustment was approximately $699,000 and $720,000 for the nine months ended September 30, 2025 and 2024, respectively.</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Net Interest Income Changes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changes in interest income and expense between periods due to changes in volume and interest rates. That portion of the change in interest attributable to the combined rate/volume variance has been allocated to rate and volume changes in proportion to the absolute dollar amounts of the change in each.</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Third Quarter of 2025 Compared to Third Quarter of</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6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Rate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57"/>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0" w:type="dxa"/>
            <w:vAlign w:val="bottom"/>
          </w:tcPr>
          <w:p>
            <w:pPr>
              <w:spacing w:after="0"/>
              <w:rPr>
                <w:sz w:val="1"/>
                <w:szCs w:val="1"/>
                <w:color w:val="auto"/>
              </w:rPr>
            </w:pPr>
          </w:p>
        </w:tc>
      </w:tr>
      <w:tr>
        <w:trPr>
          <w:trHeight w:val="257"/>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842</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535</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360"/>
              <w:spacing w:after="0" w:line="263"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40" w:type="dxa"/>
            <w:vAlign w:val="bottom"/>
            <w:tcBorders>
              <w:bottom w:val="single" w:sz="8" w:color="auto"/>
            </w:tcBorders>
            <w:shd w:val="clear" w:color="auto" w:fill="B6B6B6"/>
          </w:tcPr>
          <w:p>
            <w:pPr>
              <w:spacing w:after="0"/>
              <w:rPr>
                <w:sz w:val="21"/>
                <w:szCs w:val="21"/>
                <w:color w:val="auto"/>
              </w:rPr>
            </w:pPr>
          </w:p>
        </w:tc>
        <w:tc>
          <w:tcPr>
            <w:tcW w:w="13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1,769</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706</w:t>
            </w:r>
          </w:p>
        </w:tc>
        <w:tc>
          <w:tcPr>
            <w:tcW w:w="36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0" w:type="dxa"/>
            <w:vAlign w:val="bottom"/>
          </w:tcPr>
          <w:p>
            <w:pPr>
              <w:spacing w:after="0"/>
              <w:rPr>
                <w:sz w:val="1"/>
                <w:szCs w:val="1"/>
                <w:color w:val="auto"/>
              </w:rPr>
            </w:pPr>
          </w:p>
        </w:tc>
      </w:tr>
      <w:tr>
        <w:trPr>
          <w:trHeight w:val="25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expense:</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tcBorders>
              <w:bottom w:val="single" w:sz="8" w:color="auto"/>
            </w:tcBorders>
            <w:shd w:val="clear" w:color="auto" w:fill="B6B6B6"/>
          </w:tcPr>
          <w:p>
            <w:pPr>
              <w:spacing w:after="0"/>
              <w:rPr>
                <w:sz w:val="22"/>
                <w:szCs w:val="22"/>
                <w:color w:val="auto"/>
              </w:rPr>
            </w:pPr>
          </w:p>
        </w:tc>
        <w:tc>
          <w:tcPr>
            <w:tcW w:w="13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1,900</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1,580</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three months ended September 30, 2025 and 2024.</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40" w:type="dxa"/>
            <w:vAlign w:val="bottom"/>
            <w:gridSpan w:val="5"/>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 30, 2025 Compared to</w:t>
            </w:r>
          </w:p>
        </w:tc>
      </w:tr>
      <w:tr>
        <w:trPr>
          <w:trHeight w:val="238"/>
        </w:trPr>
        <w:tc>
          <w:tcPr>
            <w:tcW w:w="6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5"/>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r>
      <w:tr>
        <w:trPr>
          <w:trHeight w:val="248"/>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67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r>
      <w:tr>
        <w:trPr>
          <w:trHeight w:val="256"/>
        </w:trPr>
        <w:tc>
          <w:tcPr>
            <w:tcW w:w="676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Loans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3,151</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w:t>
            </w:r>
          </w:p>
        </w:tc>
      </w:tr>
      <w:tr>
        <w:trPr>
          <w:trHeight w:val="257"/>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Investment securities:</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spacing w:after="0"/>
              <w:rPr>
                <w:sz w:val="22"/>
                <w:szCs w:val="22"/>
                <w:color w:val="auto"/>
              </w:rPr>
            </w:pP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spacing w:after="0"/>
              <w:rPr>
                <w:sz w:val="22"/>
                <w:szCs w:val="22"/>
                <w:color w:val="auto"/>
              </w:rPr>
            </w:pPr>
          </w:p>
        </w:tc>
      </w:tr>
      <w:tr>
        <w:trPr>
          <w:trHeight w:val="25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Taxable</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787</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1,092</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63"/>
        </w:trPr>
        <w:tc>
          <w:tcPr>
            <w:tcW w:w="6760" w:type="dxa"/>
            <w:vAlign w:val="bottom"/>
            <w:shd w:val="clear" w:color="auto" w:fill="B6B6B6"/>
          </w:tcPr>
          <w:p>
            <w:pPr>
              <w:ind w:left="360"/>
              <w:spacing w:after="0" w:line="263" w:lineRule="exact"/>
              <w:rPr>
                <w:sz w:val="20"/>
                <w:szCs w:val="20"/>
                <w:color w:val="auto"/>
              </w:rPr>
            </w:pPr>
            <w:r>
              <w:rPr>
                <w:rFonts w:ascii="Times New Roman" w:cs="Times New Roman" w:eastAsia="Times New Roman" w:hAnsi="Times New Roman"/>
                <w:sz w:val="18"/>
                <w:szCs w:val="18"/>
                <w:color w:val="auto"/>
              </w:rPr>
              <w:t>Tax-exempt</w:t>
            </w:r>
            <w:r>
              <w:rPr>
                <w:rFonts w:ascii="Times New Roman" w:cs="Times New Roman" w:eastAsia="Times New Roman" w:hAnsi="Times New Roman"/>
                <w:sz w:val="23"/>
                <w:szCs w:val="23"/>
                <w:color w:val="auto"/>
                <w:vertAlign w:val="superscript"/>
              </w:rPr>
              <w:t>2</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0"/>
        </w:trPr>
        <w:tc>
          <w:tcPr>
            <w:tcW w:w="6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1,259</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40" w:type="dxa"/>
            <w:vAlign w:val="bottom"/>
            <w:tcBorders>
              <w:bottom w:val="single" w:sz="8" w:color="auto"/>
            </w:tcBorders>
            <w:shd w:val="clear" w:color="auto" w:fill="B6B6B6"/>
          </w:tcPr>
          <w:p>
            <w:pPr>
              <w:spacing w:after="0"/>
              <w:rPr>
                <w:sz w:val="21"/>
                <w:szCs w:val="21"/>
                <w:color w:val="auto"/>
              </w:rPr>
            </w:pPr>
          </w:p>
        </w:tc>
        <w:tc>
          <w:tcPr>
            <w:tcW w:w="13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4,376</w:t>
            </w:r>
          </w:p>
        </w:tc>
        <w:tc>
          <w:tcPr>
            <w:tcW w:w="360" w:type="dxa"/>
            <w:vAlign w:val="bottom"/>
            <w:tcBorders>
              <w:bottom w:val="single" w:sz="8" w:color="auto"/>
            </w:tcBorders>
            <w:shd w:val="clear" w:color="auto" w:fill="B6B6B6"/>
          </w:tcPr>
          <w:p>
            <w:pPr>
              <w:spacing w:after="0"/>
              <w:rPr>
                <w:sz w:val="21"/>
                <w:szCs w:val="21"/>
                <w:color w:val="auto"/>
              </w:rPr>
            </w:pP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2,132</w:t>
            </w:r>
          </w:p>
        </w:tc>
        <w:tc>
          <w:tcPr>
            <w:tcW w:w="360" w:type="dxa"/>
            <w:vAlign w:val="bottom"/>
            <w:tcBorders>
              <w:bottom w:val="single" w:sz="8" w:color="auto"/>
            </w:tcBorders>
            <w:shd w:val="clear" w:color="auto" w:fill="B6B6B6"/>
          </w:tcPr>
          <w:p>
            <w:pPr>
              <w:spacing w:after="0"/>
              <w:rPr>
                <w:sz w:val="21"/>
                <w:szCs w:val="21"/>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6,508</w:t>
            </w:r>
          </w:p>
        </w:tc>
      </w:tr>
      <w:tr>
        <w:trPr>
          <w:trHeight w:val="25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on:</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Interest-bearing demand deposits</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(3,132)</w:t>
            </w: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6760" w:type="dxa"/>
            <w:vAlign w:val="bottom"/>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Time deposits &gt;=$100</w:t>
            </w:r>
          </w:p>
        </w:tc>
        <w:tc>
          <w:tcPr>
            <w:tcW w:w="140" w:type="dxa"/>
            <w:vAlign w:val="bottom"/>
            <w:shd w:val="clear" w:color="auto" w:fill="B6B6B6"/>
          </w:tcPr>
          <w:p>
            <w:pPr>
              <w:spacing w:after="0"/>
              <w:rPr>
                <w:sz w:val="22"/>
                <w:szCs w:val="22"/>
                <w:color w:val="auto"/>
              </w:rPr>
            </w:pPr>
          </w:p>
        </w:tc>
        <w:tc>
          <w:tcPr>
            <w:tcW w:w="13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B6B6B6"/>
          </w:tcPr>
          <w:p>
            <w:pPr>
              <w:spacing w:after="0"/>
              <w:rPr>
                <w:sz w:val="22"/>
                <w:szCs w:val="22"/>
                <w:color w:val="auto"/>
              </w:rPr>
            </w:pPr>
          </w:p>
        </w:tc>
        <w:tc>
          <w:tcPr>
            <w:tcW w:w="11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360" w:type="dxa"/>
            <w:vAlign w:val="bottom"/>
            <w:shd w:val="clear" w:color="auto" w:fill="B6B6B6"/>
          </w:tcPr>
          <w:p>
            <w:pPr>
              <w:spacing w:after="0"/>
              <w:rPr>
                <w:sz w:val="22"/>
                <w:szCs w:val="22"/>
                <w:color w:val="auto"/>
              </w:rPr>
            </w:pP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5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57"/>
        </w:trPr>
        <w:tc>
          <w:tcPr>
            <w:tcW w:w="6760" w:type="dxa"/>
            <w:vAlign w:val="bottom"/>
            <w:tcBorders>
              <w:bottom w:val="single" w:sz="8" w:color="auto"/>
            </w:tcBorders>
            <w:shd w:val="clear" w:color="auto" w:fill="B6B6B6"/>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tcBorders>
              <w:bottom w:val="single" w:sz="8" w:color="auto"/>
            </w:tcBorders>
            <w:shd w:val="clear" w:color="auto" w:fill="B6B6B6"/>
          </w:tcPr>
          <w:p>
            <w:pPr>
              <w:spacing w:after="0"/>
              <w:rPr>
                <w:sz w:val="22"/>
                <w:szCs w:val="22"/>
                <w:color w:val="auto"/>
              </w:rPr>
            </w:pPr>
          </w:p>
        </w:tc>
        <w:tc>
          <w:tcPr>
            <w:tcW w:w="13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Borders>
              <w:bottom w:val="single" w:sz="8" w:color="auto"/>
            </w:tcBorders>
            <w:shd w:val="clear" w:color="auto" w:fill="B6B6B6"/>
          </w:tcPr>
          <w:p>
            <w:pPr>
              <w:spacing w:after="0"/>
              <w:rPr>
                <w:sz w:val="22"/>
                <w:szCs w:val="22"/>
                <w:color w:val="auto"/>
              </w:rPr>
            </w:pP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50"/>
        </w:trPr>
        <w:tc>
          <w:tcPr>
            <w:tcW w:w="67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4,689</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B6B6B6"/>
          </w:tcPr>
          <w:p>
            <w:pPr>
              <w:jc w:val="right"/>
              <w:ind w:right="30"/>
              <w:spacing w:after="0"/>
              <w:rPr>
                <w:sz w:val="20"/>
                <w:szCs w:val="20"/>
                <w:color w:val="auto"/>
              </w:rPr>
            </w:pPr>
            <w:r>
              <w:rPr>
                <w:rFonts w:ascii="Times New Roman" w:cs="Times New Roman" w:eastAsia="Times New Roman" w:hAnsi="Times New Roman"/>
                <w:sz w:val="18"/>
                <w:szCs w:val="18"/>
                <w:color w:val="auto"/>
              </w:rPr>
              <w:t>5,034</w:t>
            </w:r>
          </w:p>
        </w:tc>
        <w:tc>
          <w:tcPr>
            <w:tcW w:w="36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9,723</w:t>
            </w:r>
          </w:p>
        </w:tc>
      </w:tr>
    </w:tbl>
    <w:p>
      <w:pPr>
        <w:spacing w:after="0" w:line="5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includes net loan fees.</w:t>
      </w:r>
    </w:p>
    <w:p>
      <w:pPr>
        <w:spacing w:after="0" w:line="2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is presented on a tax-equivalent basis assuming a tax rate of 21% for the nine months ended September 30, 2025 and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and Allowance for Credit Losses and Allowance for Unfunded Commitments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a release of credit losses and off-balance sheet credit exposures of $193,000 and $140,000 for the third quarter of 2025 and 2024, respectively. The Company recorded a provision for credit losses and off-balance sheet credit exposures of $737,000 and $355,000 for the nine months ended September 30, 2025 and 2024, respectively. The amount of the provision for (release of) credit losses is derived from the Company’s quarterly Current Expected Credit Loss (“CECL”) model. The amount of the provision for (release of) credit losses will fluctuate as determined by these quarterly analyses. The release of credit losses in the third quarter of 2025 was driven by the decrease in total loans of $28.7 million, or 2.6%, partially offset by the increase in nonaccrual loans of $3.7 million as compared to June 30, 2025.</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experienced no loan charge-offs in the third quarter of 2025 and 2024. The ACL was $14.1 million at September 30, 2025 and $13.4 million at December 31, 2024. The ACL represented 1.29% of outstanding loans at September 30, 2025 and 1.24% of outstanding loans at December 31, 2024. The allowance for unfunded commitments was $339,000 at September 30, 2025 and $273,000 at December 31, 2024. There were $7.1 million of nonperforming loans outstanding at September 30, 2025 and $0 at December 31, 2024. The Company has a specific allowance for credit losses of $141,000 allocated to its nonaccrual loans at September 30, 2025.</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has been established and is maintained to estimate the lifetime expected credit losses in the loan portfolio. An ongoing assessment is performed to determine if the balance is adequate. Charges or credits are made to expense based on changes in the economic forecast, qualitative risk factors, loan volume, and individual loans. For loans that are individually evaluated, the Company uses two impairment measurement methods: 1) the present value of expected future cash flows and 2) collateral value.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utilizes ratio analyses to evaluate the overall reasonableness of the ACL compared to its peers and required levels of regulatory capital. Federal and state regulatory agencies review the Company’s methodology for maintaining the ACL. These agencies may require the Company to adjust the ACL based on their judgments and interpretations about information available to them at the time of their examinations.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Credit Loss Experience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on the Company's provision for (release of) credit losses and analysis of the ACL:</w:t>
      </w:r>
    </w:p>
    <w:p>
      <w:pPr>
        <w:spacing w:after="0" w:line="241"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bl>
      <w:tblPr>
        <w:tblLayout w:type="fixed"/>
        <w:tblInd w:w="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4"/>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beginning of period</w:t>
            </w:r>
          </w:p>
        </w:tc>
        <w:tc>
          <w:tcPr>
            <w:tcW w:w="3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14,296</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13,634</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13,395</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13,089</w:t>
            </w: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(Release of) provision for credit losses</w:t>
            </w:r>
          </w:p>
        </w:tc>
        <w:tc>
          <w:tcPr>
            <w:tcW w:w="320" w:type="dxa"/>
            <w:vAlign w:val="bottom"/>
          </w:tcPr>
          <w:p>
            <w:pPr>
              <w:spacing w:after="0"/>
              <w:rPr>
                <w:sz w:val="21"/>
                <w:szCs w:val="21"/>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(230)</w:t>
            </w:r>
          </w:p>
        </w:tc>
        <w:tc>
          <w:tcPr>
            <w:tcW w:w="36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671</w:t>
            </w:r>
          </w:p>
        </w:tc>
        <w:tc>
          <w:tcPr>
            <w:tcW w:w="36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358</w:t>
            </w:r>
          </w:p>
        </w:tc>
      </w:tr>
      <w:tr>
        <w:trPr>
          <w:trHeight w:val="257"/>
        </w:trPr>
        <w:tc>
          <w:tcPr>
            <w:tcW w:w="5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recoveries</w:t>
            </w:r>
          </w:p>
        </w:tc>
        <w:tc>
          <w:tcPr>
            <w:tcW w:w="320" w:type="dxa"/>
            <w:vAlign w:val="bottom"/>
            <w:tcBorders>
              <w:bottom w:val="single" w:sz="8" w:color="auto"/>
            </w:tcBorders>
            <w:shd w:val="clear" w:color="auto" w:fill="B6B6B6"/>
          </w:tcPr>
          <w:p>
            <w:pPr>
              <w:spacing w:after="0"/>
              <w:rPr>
                <w:sz w:val="22"/>
                <w:szCs w:val="22"/>
                <w:color w:val="auto"/>
              </w:rPr>
            </w:pPr>
          </w:p>
        </w:tc>
        <w:tc>
          <w:tcPr>
            <w:tcW w:w="120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240" w:type="dxa"/>
            <w:vAlign w:val="bottom"/>
            <w:tcBorders>
              <w:bottom w:val="single" w:sz="8" w:color="auto"/>
            </w:tcBorders>
            <w:gridSpan w:val="2"/>
            <w:shd w:val="clear" w:color="auto" w:fill="B6B6B6"/>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B6B6B6"/>
          </w:tcPr>
          <w:p>
            <w:pPr>
              <w:spacing w:after="0"/>
              <w:rPr>
                <w:sz w:val="22"/>
                <w:szCs w:val="22"/>
                <w:color w:val="auto"/>
              </w:rPr>
            </w:pPr>
          </w:p>
        </w:tc>
        <w:tc>
          <w:tcPr>
            <w:tcW w:w="120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14,066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13,447</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14,066</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13,447</w:t>
            </w:r>
          </w:p>
        </w:tc>
      </w:tr>
      <w:tr>
        <w:trPr>
          <w:trHeight w:val="149"/>
        </w:trPr>
        <w:tc>
          <w:tcPr>
            <w:tcW w:w="5080" w:type="dxa"/>
            <w:vAlign w:val="bottom"/>
            <w:shd w:val="clear" w:color="auto" w:fill="B6B6B6"/>
          </w:tcPr>
          <w:p>
            <w:pPr>
              <w:spacing w:after="0"/>
              <w:rPr>
                <w:sz w:val="12"/>
                <w:szCs w:val="12"/>
                <w:color w:val="auto"/>
              </w:rPr>
            </w:pPr>
          </w:p>
        </w:tc>
        <w:tc>
          <w:tcPr>
            <w:tcW w:w="320" w:type="dxa"/>
            <w:vAlign w:val="bottom"/>
            <w:shd w:val="clear" w:color="auto" w:fill="B6B6B6"/>
          </w:tcPr>
          <w:p>
            <w:pPr>
              <w:spacing w:after="0"/>
              <w:rPr>
                <w:sz w:val="12"/>
                <w:szCs w:val="12"/>
                <w:color w:val="auto"/>
              </w:rPr>
            </w:pPr>
          </w:p>
        </w:tc>
        <w:tc>
          <w:tcPr>
            <w:tcW w:w="1200" w:type="dxa"/>
            <w:vAlign w:val="bottom"/>
            <w:shd w:val="clear" w:color="auto" w:fill="B6B6B6"/>
          </w:tcPr>
          <w:p>
            <w:pPr>
              <w:spacing w:after="0"/>
              <w:rPr>
                <w:sz w:val="12"/>
                <w:szCs w:val="12"/>
                <w:color w:val="auto"/>
              </w:rPr>
            </w:pPr>
          </w:p>
        </w:tc>
        <w:tc>
          <w:tcPr>
            <w:tcW w:w="360" w:type="dxa"/>
            <w:vAlign w:val="bottom"/>
            <w:shd w:val="clear" w:color="auto" w:fill="B6B6B6"/>
          </w:tcPr>
          <w:p>
            <w:pPr>
              <w:spacing w:after="0"/>
              <w:rPr>
                <w:sz w:val="12"/>
                <w:szCs w:val="12"/>
                <w:color w:val="auto"/>
              </w:rPr>
            </w:pPr>
          </w:p>
        </w:tc>
        <w:tc>
          <w:tcPr>
            <w:tcW w:w="1140" w:type="dxa"/>
            <w:vAlign w:val="bottom"/>
            <w:shd w:val="clear" w:color="auto" w:fill="B6B6B6"/>
          </w:tcPr>
          <w:p>
            <w:pPr>
              <w:spacing w:after="0"/>
              <w:rPr>
                <w:sz w:val="12"/>
                <w:szCs w:val="12"/>
                <w:color w:val="auto"/>
              </w:rPr>
            </w:pPr>
          </w:p>
        </w:tc>
        <w:tc>
          <w:tcPr>
            <w:tcW w:w="100" w:type="dxa"/>
            <w:vAlign w:val="bottom"/>
            <w:shd w:val="clear" w:color="auto" w:fill="B6B6B6"/>
          </w:tcPr>
          <w:p>
            <w:pPr>
              <w:spacing w:after="0"/>
              <w:rPr>
                <w:sz w:val="12"/>
                <w:szCs w:val="12"/>
                <w:color w:val="auto"/>
              </w:rPr>
            </w:pPr>
          </w:p>
        </w:tc>
        <w:tc>
          <w:tcPr>
            <w:tcW w:w="320" w:type="dxa"/>
            <w:vAlign w:val="bottom"/>
            <w:shd w:val="clear" w:color="auto" w:fill="B6B6B6"/>
          </w:tcPr>
          <w:p>
            <w:pPr>
              <w:spacing w:after="0"/>
              <w:rPr>
                <w:sz w:val="12"/>
                <w:szCs w:val="12"/>
                <w:color w:val="auto"/>
              </w:rPr>
            </w:pPr>
          </w:p>
        </w:tc>
        <w:tc>
          <w:tcPr>
            <w:tcW w:w="1200" w:type="dxa"/>
            <w:vAlign w:val="bottom"/>
            <w:shd w:val="clear" w:color="auto" w:fill="B6B6B6"/>
          </w:tcPr>
          <w:p>
            <w:pPr>
              <w:spacing w:after="0"/>
              <w:rPr>
                <w:sz w:val="12"/>
                <w:szCs w:val="12"/>
                <w:color w:val="auto"/>
              </w:rPr>
            </w:pPr>
          </w:p>
        </w:tc>
        <w:tc>
          <w:tcPr>
            <w:tcW w:w="360" w:type="dxa"/>
            <w:vAlign w:val="bottom"/>
            <w:shd w:val="clear" w:color="auto" w:fill="B6B6B6"/>
          </w:tcPr>
          <w:p>
            <w:pPr>
              <w:spacing w:after="0"/>
              <w:rPr>
                <w:sz w:val="12"/>
                <w:szCs w:val="12"/>
                <w:color w:val="auto"/>
              </w:rPr>
            </w:pPr>
          </w:p>
        </w:tc>
        <w:tc>
          <w:tcPr>
            <w:tcW w:w="1160" w:type="dxa"/>
            <w:vAlign w:val="bottom"/>
            <w:shd w:val="clear" w:color="auto" w:fill="B6B6B6"/>
          </w:tcPr>
          <w:p>
            <w:pPr>
              <w:spacing w:after="0"/>
              <w:rPr>
                <w:sz w:val="12"/>
                <w:szCs w:val="12"/>
                <w:color w:val="auto"/>
              </w:rPr>
            </w:pPr>
          </w:p>
        </w:tc>
      </w:tr>
      <w:tr>
        <w:trPr>
          <w:trHeight w:val="25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beginning of period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302</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273</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r>
      <w:tr>
        <w:trPr>
          <w:trHeight w:val="257"/>
        </w:trPr>
        <w:tc>
          <w:tcPr>
            <w:tcW w:w="5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Provision for (release of) credit losses</w:t>
            </w:r>
          </w:p>
        </w:tc>
        <w:tc>
          <w:tcPr>
            <w:tcW w:w="320" w:type="dxa"/>
            <w:vAlign w:val="bottom"/>
            <w:tcBorders>
              <w:bottom w:val="single" w:sz="8" w:color="auto"/>
            </w:tcBorders>
            <w:shd w:val="clear" w:color="auto" w:fill="B6B6B6"/>
          </w:tcPr>
          <w:p>
            <w:pPr>
              <w:spacing w:after="0"/>
              <w:rPr>
                <w:sz w:val="22"/>
                <w:szCs w:val="22"/>
                <w:color w:val="auto"/>
              </w:rPr>
            </w:pPr>
          </w:p>
        </w:tc>
        <w:tc>
          <w:tcPr>
            <w:tcW w:w="120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Borders>
              <w:bottom w:val="single" w:sz="8" w:color="auto"/>
            </w:tcBorders>
            <w:shd w:val="clear" w:color="auto" w:fill="B6B6B6"/>
          </w:tcPr>
          <w:p>
            <w:pPr>
              <w:spacing w:after="0"/>
              <w:rPr>
                <w:sz w:val="22"/>
                <w:szCs w:val="22"/>
                <w:color w:val="auto"/>
              </w:rPr>
            </w:pPr>
          </w:p>
        </w:tc>
        <w:tc>
          <w:tcPr>
            <w:tcW w:w="114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auto"/>
            </w:tcBorders>
            <w:shd w:val="clear" w:color="auto" w:fill="B6B6B6"/>
          </w:tcPr>
          <w:p>
            <w:pPr>
              <w:spacing w:after="0"/>
              <w:rPr>
                <w:sz w:val="22"/>
                <w:szCs w:val="22"/>
                <w:color w:val="auto"/>
              </w:rPr>
            </w:pPr>
          </w:p>
        </w:tc>
        <w:tc>
          <w:tcPr>
            <w:tcW w:w="320" w:type="dxa"/>
            <w:vAlign w:val="bottom"/>
            <w:tcBorders>
              <w:bottom w:val="single" w:sz="8" w:color="auto"/>
            </w:tcBorders>
            <w:shd w:val="clear" w:color="auto" w:fill="B6B6B6"/>
          </w:tcPr>
          <w:p>
            <w:pPr>
              <w:spacing w:after="0"/>
              <w:rPr>
                <w:sz w:val="22"/>
                <w:szCs w:val="22"/>
                <w:color w:val="auto"/>
              </w:rPr>
            </w:pPr>
          </w:p>
        </w:tc>
        <w:tc>
          <w:tcPr>
            <w:tcW w:w="120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360" w:type="dxa"/>
            <w:vAlign w:val="bottom"/>
            <w:tcBorders>
              <w:bottom w:val="single" w:sz="8" w:color="auto"/>
            </w:tcBorders>
            <w:shd w:val="clear" w:color="auto" w:fill="B6B6B6"/>
          </w:tcPr>
          <w:p>
            <w:pPr>
              <w:spacing w:after="0"/>
              <w:rPr>
                <w:sz w:val="22"/>
                <w:szCs w:val="22"/>
                <w:color w:val="auto"/>
              </w:rPr>
            </w:pPr>
          </w:p>
        </w:tc>
        <w:tc>
          <w:tcPr>
            <w:tcW w:w="11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unfunded commitments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339</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r>
      <w:tr>
        <w:trPr>
          <w:trHeight w:val="148"/>
        </w:trPr>
        <w:tc>
          <w:tcPr>
            <w:tcW w:w="5080" w:type="dxa"/>
            <w:vAlign w:val="bottom"/>
            <w:shd w:val="clear" w:color="auto" w:fill="B6B6B6"/>
          </w:tcPr>
          <w:p>
            <w:pPr>
              <w:spacing w:after="0"/>
              <w:rPr>
                <w:sz w:val="12"/>
                <w:szCs w:val="12"/>
                <w:color w:val="auto"/>
              </w:rPr>
            </w:pPr>
          </w:p>
        </w:tc>
        <w:tc>
          <w:tcPr>
            <w:tcW w:w="320" w:type="dxa"/>
            <w:vAlign w:val="bottom"/>
            <w:shd w:val="clear" w:color="auto" w:fill="B6B6B6"/>
          </w:tcPr>
          <w:p>
            <w:pPr>
              <w:spacing w:after="0"/>
              <w:rPr>
                <w:sz w:val="12"/>
                <w:szCs w:val="12"/>
                <w:color w:val="auto"/>
              </w:rPr>
            </w:pPr>
          </w:p>
        </w:tc>
        <w:tc>
          <w:tcPr>
            <w:tcW w:w="1200" w:type="dxa"/>
            <w:vAlign w:val="bottom"/>
            <w:shd w:val="clear" w:color="auto" w:fill="B6B6B6"/>
          </w:tcPr>
          <w:p>
            <w:pPr>
              <w:spacing w:after="0"/>
              <w:rPr>
                <w:sz w:val="12"/>
                <w:szCs w:val="12"/>
                <w:color w:val="auto"/>
              </w:rPr>
            </w:pPr>
          </w:p>
        </w:tc>
        <w:tc>
          <w:tcPr>
            <w:tcW w:w="360" w:type="dxa"/>
            <w:vAlign w:val="bottom"/>
            <w:shd w:val="clear" w:color="auto" w:fill="B6B6B6"/>
          </w:tcPr>
          <w:p>
            <w:pPr>
              <w:spacing w:after="0"/>
              <w:rPr>
                <w:sz w:val="12"/>
                <w:szCs w:val="12"/>
                <w:color w:val="auto"/>
              </w:rPr>
            </w:pPr>
          </w:p>
        </w:tc>
        <w:tc>
          <w:tcPr>
            <w:tcW w:w="1140" w:type="dxa"/>
            <w:vAlign w:val="bottom"/>
            <w:shd w:val="clear" w:color="auto" w:fill="B6B6B6"/>
          </w:tcPr>
          <w:p>
            <w:pPr>
              <w:spacing w:after="0"/>
              <w:rPr>
                <w:sz w:val="12"/>
                <w:szCs w:val="12"/>
                <w:color w:val="auto"/>
              </w:rPr>
            </w:pPr>
          </w:p>
        </w:tc>
        <w:tc>
          <w:tcPr>
            <w:tcW w:w="100" w:type="dxa"/>
            <w:vAlign w:val="bottom"/>
            <w:shd w:val="clear" w:color="auto" w:fill="B6B6B6"/>
          </w:tcPr>
          <w:p>
            <w:pPr>
              <w:spacing w:after="0"/>
              <w:rPr>
                <w:sz w:val="12"/>
                <w:szCs w:val="12"/>
                <w:color w:val="auto"/>
              </w:rPr>
            </w:pPr>
          </w:p>
        </w:tc>
        <w:tc>
          <w:tcPr>
            <w:tcW w:w="320" w:type="dxa"/>
            <w:vAlign w:val="bottom"/>
            <w:shd w:val="clear" w:color="auto" w:fill="B6B6B6"/>
          </w:tcPr>
          <w:p>
            <w:pPr>
              <w:spacing w:after="0"/>
              <w:rPr>
                <w:sz w:val="12"/>
                <w:szCs w:val="12"/>
                <w:color w:val="auto"/>
              </w:rPr>
            </w:pPr>
          </w:p>
        </w:tc>
        <w:tc>
          <w:tcPr>
            <w:tcW w:w="1200" w:type="dxa"/>
            <w:vAlign w:val="bottom"/>
            <w:shd w:val="clear" w:color="auto" w:fill="B6B6B6"/>
          </w:tcPr>
          <w:p>
            <w:pPr>
              <w:spacing w:after="0"/>
              <w:rPr>
                <w:sz w:val="12"/>
                <w:szCs w:val="12"/>
                <w:color w:val="auto"/>
              </w:rPr>
            </w:pPr>
          </w:p>
        </w:tc>
        <w:tc>
          <w:tcPr>
            <w:tcW w:w="360" w:type="dxa"/>
            <w:vAlign w:val="bottom"/>
            <w:shd w:val="clear" w:color="auto" w:fill="B6B6B6"/>
          </w:tcPr>
          <w:p>
            <w:pPr>
              <w:spacing w:after="0"/>
              <w:rPr>
                <w:sz w:val="12"/>
                <w:szCs w:val="12"/>
                <w:color w:val="auto"/>
              </w:rPr>
            </w:pPr>
          </w:p>
        </w:tc>
        <w:tc>
          <w:tcPr>
            <w:tcW w:w="1160" w:type="dxa"/>
            <w:vAlign w:val="bottom"/>
            <w:shd w:val="clear" w:color="auto" w:fill="B6B6B6"/>
          </w:tcPr>
          <w:p>
            <w:pPr>
              <w:spacing w:after="0"/>
              <w:rPr>
                <w:sz w:val="12"/>
                <w:szCs w:val="12"/>
                <w:color w:val="auto"/>
              </w:rPr>
            </w:pP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outstanding:</w:t>
            </w: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5080" w:type="dxa"/>
            <w:vAlign w:val="bottom"/>
            <w:shd w:val="clear" w:color="auto" w:fill="B6B6B6"/>
          </w:tcPr>
          <w:p>
            <w:pPr>
              <w:ind w:left="440"/>
              <w:spacing w:after="0"/>
              <w:rPr>
                <w:sz w:val="20"/>
                <w:szCs w:val="20"/>
                <w:color w:val="auto"/>
              </w:rPr>
            </w:pPr>
            <w:r>
              <w:rPr>
                <w:rFonts w:ascii="Times New Roman" w:cs="Times New Roman" w:eastAsia="Times New Roman" w:hAnsi="Times New Roman"/>
                <w:sz w:val="18"/>
                <w:szCs w:val="18"/>
                <w:color w:val="auto"/>
              </w:rPr>
              <w:t>Average</w:t>
            </w:r>
          </w:p>
        </w:tc>
        <w:tc>
          <w:tcPr>
            <w:tcW w:w="3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1,095,412</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1,072,824</w:t>
            </w:r>
          </w:p>
        </w:tc>
        <w:tc>
          <w:tcPr>
            <w:tcW w:w="100" w:type="dxa"/>
            <w:vAlign w:val="bottom"/>
            <w:shd w:val="clear" w:color="auto" w:fill="B6B6B6"/>
          </w:tcPr>
          <w:p>
            <w:pPr>
              <w:spacing w:after="0"/>
              <w:rPr>
                <w:sz w:val="22"/>
                <w:szCs w:val="22"/>
                <w:color w:val="auto"/>
              </w:rPr>
            </w:pPr>
          </w:p>
        </w:tc>
        <w:tc>
          <w:tcPr>
            <w:tcW w:w="32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1,110,227</w:t>
            </w:r>
          </w:p>
        </w:tc>
        <w:tc>
          <w:tcPr>
            <w:tcW w:w="36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1,042,953</w:t>
            </w:r>
          </w:p>
        </w:tc>
      </w:tr>
      <w:tr>
        <w:trPr>
          <w:trHeight w:val="250"/>
        </w:trPr>
        <w:tc>
          <w:tcPr>
            <w:tcW w:w="5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1,088,347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1,078,387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1,088,347</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1,078,387</w:t>
            </w:r>
          </w:p>
        </w:tc>
      </w:tr>
      <w:tr>
        <w:trPr>
          <w:trHeight w:val="218"/>
        </w:trPr>
        <w:tc>
          <w:tcPr>
            <w:tcW w:w="50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Ratio of allowance for credit losses to loans outstanding at</w:t>
            </w:r>
          </w:p>
        </w:tc>
        <w:tc>
          <w:tcPr>
            <w:tcW w:w="320" w:type="dxa"/>
            <w:vAlign w:val="bottom"/>
            <w:shd w:val="clear" w:color="auto" w:fill="B6B6B6"/>
          </w:tcPr>
          <w:p>
            <w:pPr>
              <w:spacing w:after="0"/>
              <w:rPr>
                <w:sz w:val="18"/>
                <w:szCs w:val="18"/>
                <w:color w:val="auto"/>
              </w:rPr>
            </w:pPr>
          </w:p>
        </w:tc>
        <w:tc>
          <w:tcPr>
            <w:tcW w:w="120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140" w:type="dxa"/>
            <w:vAlign w:val="bottom"/>
            <w:shd w:val="clear" w:color="auto" w:fill="B6B6B6"/>
          </w:tcPr>
          <w:p>
            <w:pPr>
              <w:spacing w:after="0"/>
              <w:rPr>
                <w:sz w:val="18"/>
                <w:szCs w:val="18"/>
                <w:color w:val="auto"/>
              </w:rPr>
            </w:pPr>
          </w:p>
        </w:tc>
        <w:tc>
          <w:tcPr>
            <w:tcW w:w="100" w:type="dxa"/>
            <w:vAlign w:val="bottom"/>
            <w:shd w:val="clear" w:color="auto" w:fill="B6B6B6"/>
          </w:tcPr>
          <w:p>
            <w:pPr>
              <w:spacing w:after="0"/>
              <w:rPr>
                <w:sz w:val="18"/>
                <w:szCs w:val="18"/>
                <w:color w:val="auto"/>
              </w:rPr>
            </w:pPr>
          </w:p>
        </w:tc>
        <w:tc>
          <w:tcPr>
            <w:tcW w:w="320" w:type="dxa"/>
            <w:vAlign w:val="bottom"/>
            <w:shd w:val="clear" w:color="auto" w:fill="B6B6B6"/>
          </w:tcPr>
          <w:p>
            <w:pPr>
              <w:spacing w:after="0"/>
              <w:rPr>
                <w:sz w:val="18"/>
                <w:szCs w:val="18"/>
                <w:color w:val="auto"/>
              </w:rPr>
            </w:pPr>
          </w:p>
        </w:tc>
        <w:tc>
          <w:tcPr>
            <w:tcW w:w="1200" w:type="dxa"/>
            <w:vAlign w:val="bottom"/>
            <w:shd w:val="clear" w:color="auto" w:fill="B6B6B6"/>
          </w:tcPr>
          <w:p>
            <w:pPr>
              <w:spacing w:after="0"/>
              <w:rPr>
                <w:sz w:val="18"/>
                <w:szCs w:val="18"/>
                <w:color w:val="auto"/>
              </w:rPr>
            </w:pPr>
          </w:p>
        </w:tc>
        <w:tc>
          <w:tcPr>
            <w:tcW w:w="360" w:type="dxa"/>
            <w:vAlign w:val="bottom"/>
            <w:shd w:val="clear" w:color="auto" w:fill="B6B6B6"/>
          </w:tcPr>
          <w:p>
            <w:pPr>
              <w:spacing w:after="0"/>
              <w:rPr>
                <w:sz w:val="18"/>
                <w:szCs w:val="18"/>
                <w:color w:val="auto"/>
              </w:rPr>
            </w:pPr>
          </w:p>
        </w:tc>
        <w:tc>
          <w:tcPr>
            <w:tcW w:w="1160" w:type="dxa"/>
            <w:vAlign w:val="bottom"/>
            <w:shd w:val="clear" w:color="auto" w:fill="B6B6B6"/>
          </w:tcPr>
          <w:p>
            <w:pPr>
              <w:spacing w:after="0"/>
              <w:rPr>
                <w:sz w:val="18"/>
                <w:szCs w:val="18"/>
                <w:color w:val="auto"/>
              </w:rPr>
            </w:pPr>
          </w:p>
        </w:tc>
      </w:tr>
      <w:tr>
        <w:trPr>
          <w:trHeight w:val="241"/>
        </w:trPr>
        <w:tc>
          <w:tcPr>
            <w:tcW w:w="50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Borders>
              <w:bottom w:val="single" w:sz="8" w:color="auto"/>
            </w:tcBorders>
            <w:shd w:val="clear" w:color="auto" w:fill="B6B6B6"/>
          </w:tcPr>
          <w:p>
            <w:pPr>
              <w:spacing w:after="0"/>
              <w:rPr>
                <w:sz w:val="20"/>
                <w:szCs w:val="20"/>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360" w:type="dxa"/>
            <w:vAlign w:val="bottom"/>
            <w:tcBorders>
              <w:bottom w:val="single" w:sz="8" w:color="auto"/>
            </w:tcBorders>
            <w:shd w:val="clear" w:color="auto" w:fill="B6B6B6"/>
          </w:tcPr>
          <w:p>
            <w:pPr>
              <w:spacing w:after="0"/>
              <w:rPr>
                <w:sz w:val="20"/>
                <w:szCs w:val="20"/>
                <w:color w:val="auto"/>
              </w:rPr>
            </w:pPr>
          </w:p>
        </w:tc>
        <w:tc>
          <w:tcPr>
            <w:tcW w:w="11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auto"/>
            </w:tcBorders>
            <w:shd w:val="clear" w:color="auto" w:fill="B6B6B6"/>
          </w:tcPr>
          <w:p>
            <w:pPr>
              <w:spacing w:after="0"/>
              <w:rPr>
                <w:sz w:val="20"/>
                <w:szCs w:val="20"/>
                <w:color w:val="auto"/>
              </w:rPr>
            </w:pPr>
          </w:p>
        </w:tc>
        <w:tc>
          <w:tcPr>
            <w:tcW w:w="320" w:type="dxa"/>
            <w:vAlign w:val="bottom"/>
            <w:tcBorders>
              <w:bottom w:val="single" w:sz="8" w:color="auto"/>
            </w:tcBorders>
            <w:shd w:val="clear" w:color="auto" w:fill="B6B6B6"/>
          </w:tcPr>
          <w:p>
            <w:pPr>
              <w:spacing w:after="0"/>
              <w:rPr>
                <w:sz w:val="20"/>
                <w:szCs w:val="20"/>
                <w:color w:val="auto"/>
              </w:rPr>
            </w:pPr>
          </w:p>
        </w:tc>
        <w:tc>
          <w:tcPr>
            <w:tcW w:w="12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360" w:type="dxa"/>
            <w:vAlign w:val="bottom"/>
            <w:tcBorders>
              <w:bottom w:val="single" w:sz="8" w:color="auto"/>
            </w:tcBorders>
            <w:shd w:val="clear" w:color="auto" w:fill="B6B6B6"/>
          </w:tcPr>
          <w:p>
            <w:pPr>
              <w:spacing w:after="0"/>
              <w:rPr>
                <w:sz w:val="20"/>
                <w:szCs w:val="20"/>
                <w:color w:val="auto"/>
              </w:rPr>
            </w:pPr>
          </w:p>
        </w:tc>
        <w:tc>
          <w:tcPr>
            <w:tcW w:w="11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1.25 %</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operating expenses for the third quarter of 2025 decreased $4.3 million, or 10.1%, as compared to the third quarter of 2024. Total operating expenses for the nine months ended 2025 decreased $5.3 million, or 4.5%, as compared to the nine months ended 2024. The following table details the components of operating expenses: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0" w:type="dxa"/>
            <w:vAlign w:val="bottom"/>
            <w:gridSpan w:val="5"/>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25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0" w:type="dxa"/>
            <w:vAlign w:val="bottom"/>
            <w:gridSpan w:val="5"/>
            <w:vMerge w:val="continue"/>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B6B6B6"/>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Salaries and commissions</w:t>
            </w:r>
          </w:p>
        </w:tc>
        <w:tc>
          <w:tcPr>
            <w:tcW w:w="28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20,105</w:t>
            </w:r>
          </w:p>
        </w:tc>
        <w:tc>
          <w:tcPr>
            <w:tcW w:w="100" w:type="dxa"/>
            <w:vAlign w:val="bottom"/>
            <w:shd w:val="clear" w:color="auto" w:fill="B6B6B6"/>
          </w:tcPr>
          <w:p>
            <w:pPr>
              <w:spacing w:after="0"/>
              <w:rPr>
                <w:sz w:val="19"/>
                <w:szCs w:val="19"/>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20,530</w:t>
            </w:r>
          </w:p>
        </w:tc>
        <w:tc>
          <w:tcPr>
            <w:tcW w:w="160" w:type="dxa"/>
            <w:vAlign w:val="bottom"/>
            <w:shd w:val="clear" w:color="auto" w:fill="B6B6B6"/>
          </w:tcPr>
          <w:p>
            <w:pPr>
              <w:spacing w:after="0"/>
              <w:rPr>
                <w:sz w:val="19"/>
                <w:szCs w:val="19"/>
                <w:color w:val="auto"/>
              </w:rPr>
            </w:pPr>
          </w:p>
        </w:tc>
        <w:tc>
          <w:tcPr>
            <w:tcW w:w="26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60,406</w:t>
            </w:r>
          </w:p>
        </w:tc>
        <w:tc>
          <w:tcPr>
            <w:tcW w:w="440" w:type="dxa"/>
            <w:vAlign w:val="bottom"/>
            <w:shd w:val="clear" w:color="auto" w:fill="B6B6B6"/>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60,445</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29"/>
        </w:trPr>
        <w:tc>
          <w:tcPr>
            <w:tcW w:w="6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Employee profit sharing</w:t>
            </w:r>
          </w:p>
        </w:tc>
        <w:tc>
          <w:tcPr>
            <w:tcW w:w="28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6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44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benefits</w:t>
            </w:r>
          </w:p>
        </w:tc>
        <w:tc>
          <w:tcPr>
            <w:tcW w:w="28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4,307</w:t>
            </w:r>
          </w:p>
        </w:tc>
        <w:tc>
          <w:tcPr>
            <w:tcW w:w="16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8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14,284</w:t>
            </w:r>
          </w:p>
        </w:tc>
        <w:tc>
          <w:tcPr>
            <w:tcW w:w="44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0" w:type="dxa"/>
            <w:vAlign w:val="bottom"/>
          </w:tcPr>
          <w:p>
            <w:pPr>
              <w:spacing w:after="0"/>
              <w:rPr>
                <w:sz w:val="1"/>
                <w:szCs w:val="1"/>
                <w:color w:val="auto"/>
              </w:rPr>
            </w:pPr>
          </w:p>
        </w:tc>
      </w:tr>
      <w:tr>
        <w:trPr>
          <w:trHeight w:val="223"/>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Personnel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16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82,637</w:t>
            </w:r>
          </w:p>
        </w:tc>
        <w:tc>
          <w:tcPr>
            <w:tcW w:w="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79,673</w:t>
            </w:r>
          </w:p>
        </w:tc>
        <w:tc>
          <w:tcPr>
            <w:tcW w:w="0" w:type="dxa"/>
            <w:vAlign w:val="bottom"/>
          </w:tcPr>
          <w:p>
            <w:pPr>
              <w:spacing w:after="0"/>
              <w:rPr>
                <w:sz w:val="1"/>
                <w:szCs w:val="1"/>
                <w:color w:val="auto"/>
              </w:rPr>
            </w:pPr>
          </w:p>
        </w:tc>
      </w:tr>
      <w:tr>
        <w:trPr>
          <w:trHeight w:val="229"/>
        </w:trPr>
        <w:tc>
          <w:tcPr>
            <w:tcW w:w="6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Occupancy</w:t>
            </w:r>
          </w:p>
        </w:tc>
        <w:tc>
          <w:tcPr>
            <w:tcW w:w="28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6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44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c>
          <w:tcPr>
            <w:tcW w:w="0" w:type="dxa"/>
            <w:vAlign w:val="bottom"/>
          </w:tcPr>
          <w:p>
            <w:pPr>
              <w:spacing w:after="0"/>
              <w:rPr>
                <w:sz w:val="1"/>
                <w:szCs w:val="1"/>
                <w:color w:val="auto"/>
              </w:rPr>
            </w:pPr>
          </w:p>
        </w:tc>
      </w:tr>
      <w:tr>
        <w:trPr>
          <w:trHeight w:val="230"/>
        </w:trPr>
        <w:tc>
          <w:tcPr>
            <w:tcW w:w="604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280" w:type="dxa"/>
            <w:vAlign w:val="bottom"/>
            <w:shd w:val="clear" w:color="auto" w:fill="B6B6B6"/>
          </w:tcPr>
          <w:p>
            <w:pPr>
              <w:spacing w:after="0"/>
              <w:rPr>
                <w:sz w:val="19"/>
                <w:szCs w:val="19"/>
                <w:color w:val="auto"/>
              </w:rPr>
            </w:pPr>
          </w:p>
        </w:tc>
        <w:tc>
          <w:tcPr>
            <w:tcW w:w="1040" w:type="dxa"/>
            <w:vAlign w:val="bottom"/>
            <w:gridSpan w:val="2"/>
            <w:shd w:val="clear" w:color="auto" w:fill="B6B6B6"/>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B6B6B6"/>
          </w:tcPr>
          <w:p>
            <w:pPr>
              <w:spacing w:after="0"/>
              <w:rPr>
                <w:sz w:val="19"/>
                <w:szCs w:val="19"/>
                <w:color w:val="auto"/>
              </w:rPr>
            </w:pP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6,559</w:t>
            </w:r>
          </w:p>
        </w:tc>
        <w:tc>
          <w:tcPr>
            <w:tcW w:w="160" w:type="dxa"/>
            <w:vAlign w:val="bottom"/>
            <w:shd w:val="clear" w:color="auto" w:fill="B6B6B6"/>
          </w:tcPr>
          <w:p>
            <w:pPr>
              <w:spacing w:after="0"/>
              <w:rPr>
                <w:sz w:val="19"/>
                <w:szCs w:val="19"/>
                <w:color w:val="auto"/>
              </w:rPr>
            </w:pPr>
          </w:p>
        </w:tc>
        <w:tc>
          <w:tcPr>
            <w:tcW w:w="260" w:type="dxa"/>
            <w:vAlign w:val="bottom"/>
            <w:shd w:val="clear" w:color="auto" w:fill="B6B6B6"/>
          </w:tcPr>
          <w:p>
            <w:pPr>
              <w:spacing w:after="0"/>
              <w:rPr>
                <w:sz w:val="19"/>
                <w:szCs w:val="19"/>
                <w:color w:val="auto"/>
              </w:rPr>
            </w:pPr>
          </w:p>
        </w:tc>
        <w:tc>
          <w:tcPr>
            <w:tcW w:w="1320" w:type="dxa"/>
            <w:vAlign w:val="bottom"/>
            <w:gridSpan w:val="2"/>
            <w:shd w:val="clear" w:color="auto" w:fill="B6B6B6"/>
          </w:tcPr>
          <w:p>
            <w:pPr>
              <w:jc w:val="right"/>
              <w:ind w:right="310"/>
              <w:spacing w:after="0"/>
              <w:rPr>
                <w:sz w:val="20"/>
                <w:szCs w:val="20"/>
                <w:color w:val="auto"/>
              </w:rPr>
            </w:pPr>
            <w:r>
              <w:rPr>
                <w:rFonts w:ascii="Times New Roman" w:cs="Times New Roman" w:eastAsia="Times New Roman" w:hAnsi="Times New Roman"/>
                <w:sz w:val="18"/>
                <w:szCs w:val="18"/>
                <w:color w:val="auto"/>
              </w:rPr>
              <w:t>(2,000)</w:t>
            </w:r>
          </w:p>
        </w:tc>
        <w:tc>
          <w:tcPr>
            <w:tcW w:w="9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operating expense</w:t>
            </w:r>
          </w:p>
        </w:tc>
        <w:tc>
          <w:tcPr>
            <w:tcW w:w="28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100" w:type="dxa"/>
            <w:vAlign w:val="bottom"/>
            <w:tcBorders>
              <w:bottom w:val="single" w:sz="8" w:color="auto"/>
            </w:tcBorders>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60" w:type="dxa"/>
            <w:vAlign w:val="bottom"/>
            <w:shd w:val="clear" w:color="auto" w:fill="B6B6B6"/>
          </w:tcPr>
          <w:p>
            <w:pPr>
              <w:spacing w:after="0"/>
              <w:rPr>
                <w:sz w:val="19"/>
                <w:szCs w:val="19"/>
                <w:color w:val="auto"/>
              </w:rPr>
            </w:pPr>
          </w:p>
        </w:tc>
        <w:tc>
          <w:tcPr>
            <w:tcW w:w="260" w:type="dxa"/>
            <w:vAlign w:val="bottom"/>
            <w:tcBorders>
              <w:bottom w:val="single" w:sz="8" w:color="auto"/>
            </w:tcBorders>
            <w:shd w:val="clear" w:color="auto" w:fill="B6B6B6"/>
          </w:tcPr>
          <w:p>
            <w:pPr>
              <w:spacing w:after="0"/>
              <w:rPr>
                <w:sz w:val="19"/>
                <w:szCs w:val="19"/>
                <w:color w:val="auto"/>
              </w:rPr>
            </w:pPr>
          </w:p>
        </w:tc>
        <w:tc>
          <w:tcPr>
            <w:tcW w:w="8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440" w:type="dxa"/>
            <w:vAlign w:val="bottom"/>
            <w:tcBorders>
              <w:bottom w:val="single" w:sz="8" w:color="auto"/>
            </w:tcBorders>
            <w:shd w:val="clear" w:color="auto" w:fill="B6B6B6"/>
          </w:tcPr>
          <w:p>
            <w:pPr>
              <w:spacing w:after="0"/>
              <w:rPr>
                <w:sz w:val="19"/>
                <w:szCs w:val="19"/>
                <w:color w:val="auto"/>
              </w:rPr>
            </w:pPr>
          </w:p>
        </w:tc>
        <w:tc>
          <w:tcPr>
            <w:tcW w:w="9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0" w:type="dxa"/>
            <w:vAlign w:val="bottom"/>
          </w:tcPr>
          <w:p>
            <w:pPr>
              <w:spacing w:after="0"/>
              <w:rPr>
                <w:sz w:val="1"/>
                <w:szCs w:val="1"/>
                <w:color w:val="auto"/>
              </w:rPr>
            </w:pPr>
          </w:p>
        </w:tc>
      </w:tr>
      <w:tr>
        <w:trPr>
          <w:trHeight w:val="223"/>
        </w:trPr>
        <w:tc>
          <w:tcPr>
            <w:tcW w:w="6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38,441</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42,757</w:t>
            </w: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112,090</w:t>
            </w:r>
          </w:p>
        </w:tc>
        <w:tc>
          <w:tcPr>
            <w:tcW w:w="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117,374</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2025 compared to third quarter of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Personnel expenses increased $1.1 million, or 4.1%. Salaries and commissions decreased $425,000, or 2.1%, as a result of a decrease in average full-time equivalent employees ("FTEs") of 6.9% due to strategic investments in various technology initiatives. Share-based compensation and employee profit sharing increased $155,000 and $1.1 million, respectively, due to the improvement in earnings. Other benefits increased $491,000, or 11.4%, due to higher health insurance costs, partially offset by the decline in average FTEs.</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Equipment expense increased $455,000, primarily due to an increase in depreciation expense on software related to recently completed technology initiatives.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bad debt expense of $6.6 million during the third quarter of 2024 and $0 in the third quarter of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to nine months ended September 30, 2024:</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Personnel expenses increased $3.0 million, or 3.7%. Salaries and commissions decreased $39,000, or 0.1%, as a result of a decrease in average full-time equivalent employees ("FTEs") of 5.1% due to strategic investments in various technology initiatives Share-based compensation and employee profit sharing increased $669,000 and $1.8 million, respectively, due to the improvement in earnings. Other benefits increased $1.1 million, or 8.5%, due to higher health insurance costs, partially offset by the decline in average FTEs.</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Equipment expense increased $1.5 million primarily due to an increase in depreciation expense on software related to recently completed technology initiatives.</w:t>
      </w:r>
    </w:p>
    <w:p>
      <w:pPr>
        <w:spacing w:after="0" w:line="13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Company recorded a bad debt recovery during the nine months ended 2025 of $2.0 million related to partial consideration received in a litigation settlement as more fully described in Note 8 to the consolidated financial statements. The Company incurred $7.8 million of bad debt expense in the nine months ended 2024 related to the same matter.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Discontinued Operations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2"/>
        </w:trPr>
        <w:tc>
          <w:tcPr>
            <w:tcW w:w="3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 of</w:t>
            </w:r>
          </w:p>
        </w:tc>
        <w:tc>
          <w:tcPr>
            <w:tcW w:w="1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24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21"/>
                <w:szCs w:val="21"/>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6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1"/>
                <w:szCs w:val="21"/>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57"/>
        </w:trPr>
        <w:tc>
          <w:tcPr>
            <w:tcW w:w="3660" w:type="dxa"/>
            <w:vAlign w:val="bottom"/>
            <w:tcBorders>
              <w:top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Processing fees</w:t>
            </w:r>
          </w:p>
        </w:tc>
        <w:tc>
          <w:tcPr>
            <w:tcW w:w="240" w:type="dxa"/>
            <w:vAlign w:val="bottom"/>
            <w:tcBorders>
              <w:top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3,849</w:t>
            </w:r>
          </w:p>
        </w:tc>
        <w:tc>
          <w:tcPr>
            <w:tcW w:w="112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Borders>
              <w:top w:val="single" w:sz="8" w:color="B6B6B6"/>
            </w:tcBorders>
            <w:shd w:val="clear" w:color="auto" w:fill="B6B6B6"/>
          </w:tcPr>
          <w:p>
            <w:pPr>
              <w:spacing w:after="0"/>
              <w:rPr>
                <w:sz w:val="22"/>
                <w:szCs w:val="22"/>
                <w:color w:val="auto"/>
              </w:rPr>
            </w:pPr>
          </w:p>
        </w:tc>
        <w:tc>
          <w:tcPr>
            <w:tcW w:w="260" w:type="dxa"/>
            <w:vAlign w:val="bottom"/>
            <w:tcBorders>
              <w:top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8,367</w:t>
            </w:r>
          </w:p>
        </w:tc>
        <w:tc>
          <w:tcPr>
            <w:tcW w:w="360" w:type="dxa"/>
            <w:vAlign w:val="bottom"/>
            <w:tcBorders>
              <w:top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12,027</w:t>
            </w:r>
          </w:p>
        </w:tc>
        <w:tc>
          <w:tcPr>
            <w:tcW w:w="1240" w:type="dxa"/>
            <w:vAlign w:val="bottom"/>
            <w:tcBorders>
              <w:top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5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fees</w:t>
            </w:r>
          </w:p>
        </w:tc>
        <w:tc>
          <w:tcPr>
            <w:tcW w:w="24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360" w:type="dxa"/>
            <w:vAlign w:val="bottom"/>
          </w:tcPr>
          <w:p>
            <w:pPr>
              <w:spacing w:after="0"/>
              <w:rPr>
                <w:sz w:val="22"/>
                <w:szCs w:val="22"/>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0" w:type="dxa"/>
            <w:vAlign w:val="bottom"/>
          </w:tcPr>
          <w:p>
            <w:pPr>
              <w:spacing w:after="0"/>
              <w:rPr>
                <w:sz w:val="1"/>
                <w:szCs w:val="1"/>
                <w:color w:val="auto"/>
              </w:rPr>
            </w:pPr>
          </w:p>
        </w:tc>
      </w:tr>
      <w:tr>
        <w:trPr>
          <w:trHeight w:val="257"/>
        </w:trPr>
        <w:tc>
          <w:tcPr>
            <w:tcW w:w="3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Other fees</w:t>
            </w:r>
          </w:p>
        </w:tc>
        <w:tc>
          <w:tcPr>
            <w:tcW w:w="240" w:type="dxa"/>
            <w:vAlign w:val="bottom"/>
            <w:shd w:val="clear" w:color="auto" w:fill="B6B6B6"/>
          </w:tcPr>
          <w:p>
            <w:pPr>
              <w:spacing w:after="0"/>
              <w:rPr>
                <w:sz w:val="22"/>
                <w:szCs w:val="22"/>
                <w:color w:val="auto"/>
              </w:rPr>
            </w:pPr>
          </w:p>
        </w:tc>
        <w:tc>
          <w:tcPr>
            <w:tcW w:w="8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300" w:type="dxa"/>
            <w:vAlign w:val="bottom"/>
            <w:shd w:val="clear" w:color="auto" w:fill="B6B6B6"/>
          </w:tcPr>
          <w:p>
            <w:pPr>
              <w:spacing w:after="0"/>
              <w:rPr>
                <w:sz w:val="22"/>
                <w:szCs w:val="22"/>
                <w:color w:val="auto"/>
              </w:rPr>
            </w:pPr>
          </w:p>
        </w:tc>
        <w:tc>
          <w:tcPr>
            <w:tcW w:w="11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3760.0 %</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spacing w:after="0"/>
              <w:rPr>
                <w:sz w:val="22"/>
                <w:szCs w:val="22"/>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360" w:type="dxa"/>
            <w:vAlign w:val="bottom"/>
            <w:shd w:val="clear" w:color="auto" w:fill="B6B6B6"/>
          </w:tcPr>
          <w:p>
            <w:pPr>
              <w:spacing w:after="0"/>
              <w:rPr>
                <w:sz w:val="22"/>
                <w:szCs w:val="22"/>
                <w:color w:val="auto"/>
              </w:rPr>
            </w:pPr>
          </w:p>
        </w:tc>
        <w:tc>
          <w:tcPr>
            <w:tcW w:w="11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680</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175.1 %</w:t>
            </w:r>
          </w:p>
        </w:tc>
        <w:tc>
          <w:tcPr>
            <w:tcW w:w="0" w:type="dxa"/>
            <w:vAlign w:val="bottom"/>
          </w:tcPr>
          <w:p>
            <w:pPr>
              <w:spacing w:after="0"/>
              <w:rPr>
                <w:sz w:val="1"/>
                <w:szCs w:val="1"/>
                <w:color w:val="auto"/>
              </w:rPr>
            </w:pPr>
          </w:p>
        </w:tc>
      </w:tr>
      <w:tr>
        <w:trPr>
          <w:trHeight w:val="256"/>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TEM business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50"/>
        </w:trPr>
        <w:tc>
          <w:tcPr>
            <w:tcW w:w="3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B6B6B6"/>
          </w:tcPr>
          <w:p>
            <w:pPr>
              <w:spacing w:after="0"/>
              <w:rPr>
                <w:sz w:val="21"/>
                <w:szCs w:val="21"/>
                <w:color w:val="auto"/>
              </w:rPr>
            </w:pPr>
          </w:p>
        </w:tc>
        <w:tc>
          <w:tcPr>
            <w:tcW w:w="8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300" w:type="dxa"/>
            <w:vAlign w:val="bottom"/>
            <w:shd w:val="clear" w:color="auto" w:fill="B6B6B6"/>
          </w:tcPr>
          <w:p>
            <w:pPr>
              <w:spacing w:after="0"/>
              <w:rPr>
                <w:sz w:val="21"/>
                <w:szCs w:val="21"/>
                <w:color w:val="auto"/>
              </w:rPr>
            </w:pPr>
          </w:p>
        </w:tc>
        <w:tc>
          <w:tcPr>
            <w:tcW w:w="11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4,030</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B6B6B6"/>
          </w:tcPr>
          <w:p>
            <w:pPr>
              <w:spacing w:after="0"/>
              <w:rPr>
                <w:sz w:val="21"/>
                <w:szCs w:val="21"/>
                <w:color w:val="auto"/>
              </w:rPr>
            </w:pPr>
          </w:p>
        </w:tc>
        <w:tc>
          <w:tcPr>
            <w:tcW w:w="260" w:type="dxa"/>
            <w:vAlign w:val="bottom"/>
            <w:shd w:val="clear" w:color="auto" w:fill="B6B6B6"/>
          </w:tcPr>
          <w:p>
            <w:pPr>
              <w:spacing w:after="0"/>
              <w:rPr>
                <w:sz w:val="21"/>
                <w:szCs w:val="21"/>
                <w:color w:val="auto"/>
              </w:rPr>
            </w:pP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360" w:type="dxa"/>
            <w:vAlign w:val="bottom"/>
            <w:shd w:val="clear" w:color="auto" w:fill="B6B6B6"/>
          </w:tcPr>
          <w:p>
            <w:pPr>
              <w:spacing w:after="0"/>
              <w:rPr>
                <w:sz w:val="21"/>
                <w:szCs w:val="21"/>
                <w:color w:val="auto"/>
              </w:rPr>
            </w:pPr>
          </w:p>
        </w:tc>
        <w:tc>
          <w:tcPr>
            <w:tcW w:w="11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13,215</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5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Operating expense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913</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4,142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B6B6B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12,989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18"/>
        </w:trPr>
        <w:tc>
          <w:tcPr>
            <w:tcW w:w="3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(benefit)</w:t>
            </w:r>
          </w:p>
        </w:tc>
        <w:tc>
          <w:tcPr>
            <w:tcW w:w="240" w:type="dxa"/>
            <w:vAlign w:val="bottom"/>
            <w:shd w:val="clear" w:color="auto" w:fill="B6B6B6"/>
          </w:tcPr>
          <w:p>
            <w:pPr>
              <w:spacing w:after="0"/>
              <w:rPr>
                <w:sz w:val="18"/>
                <w:szCs w:val="18"/>
                <w:color w:val="auto"/>
              </w:rPr>
            </w:pPr>
          </w:p>
        </w:tc>
        <w:tc>
          <w:tcPr>
            <w:tcW w:w="8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shd w:val="clear" w:color="auto" w:fill="B6B6B6"/>
          </w:tcPr>
          <w:p>
            <w:pPr>
              <w:spacing w:after="0"/>
              <w:rPr>
                <w:sz w:val="18"/>
                <w:szCs w:val="18"/>
                <w:color w:val="auto"/>
              </w:rPr>
            </w:pPr>
          </w:p>
        </w:tc>
        <w:tc>
          <w:tcPr>
            <w:tcW w:w="1120" w:type="dxa"/>
            <w:vAlign w:val="bottom"/>
            <w:vMerge w:val="restart"/>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(112)</w:t>
            </w:r>
          </w:p>
        </w:tc>
        <w:tc>
          <w:tcPr>
            <w:tcW w:w="112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80" w:type="dxa"/>
            <w:vAlign w:val="bottom"/>
            <w:shd w:val="clear" w:color="auto" w:fill="B6B6B6"/>
          </w:tcPr>
          <w:p>
            <w:pPr>
              <w:spacing w:after="0"/>
              <w:rPr>
                <w:sz w:val="18"/>
                <w:szCs w:val="18"/>
                <w:color w:val="auto"/>
              </w:rPr>
            </w:pPr>
          </w:p>
        </w:tc>
        <w:tc>
          <w:tcPr>
            <w:tcW w:w="260" w:type="dxa"/>
            <w:vAlign w:val="bottom"/>
            <w:shd w:val="clear" w:color="auto" w:fill="B6B6B6"/>
          </w:tcPr>
          <w:p>
            <w:pPr>
              <w:spacing w:after="0"/>
              <w:rPr>
                <w:sz w:val="18"/>
                <w:szCs w:val="18"/>
                <w:color w:val="auto"/>
              </w:rPr>
            </w:pPr>
          </w:p>
        </w:tc>
        <w:tc>
          <w:tcPr>
            <w:tcW w:w="88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5,314</w:t>
            </w:r>
          </w:p>
        </w:tc>
        <w:tc>
          <w:tcPr>
            <w:tcW w:w="360" w:type="dxa"/>
            <w:vAlign w:val="bottom"/>
            <w:shd w:val="clear" w:color="auto" w:fill="B6B6B6"/>
          </w:tcPr>
          <w:p>
            <w:pPr>
              <w:spacing w:after="0"/>
              <w:rPr>
                <w:sz w:val="18"/>
                <w:szCs w:val="18"/>
                <w:color w:val="auto"/>
              </w:rPr>
            </w:pPr>
          </w:p>
        </w:tc>
        <w:tc>
          <w:tcPr>
            <w:tcW w:w="1100" w:type="dxa"/>
            <w:vAlign w:val="bottom"/>
            <w:vMerge w:val="restart"/>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226</w:t>
            </w:r>
          </w:p>
        </w:tc>
        <w:tc>
          <w:tcPr>
            <w:tcW w:w="1240" w:type="dxa"/>
            <w:vAlign w:val="bottom"/>
            <w:vMerge w:val="restart"/>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2251.3 %</w:t>
            </w:r>
          </w:p>
        </w:tc>
        <w:tc>
          <w:tcPr>
            <w:tcW w:w="0" w:type="dxa"/>
            <w:vAlign w:val="bottom"/>
          </w:tcPr>
          <w:p>
            <w:pPr>
              <w:spacing w:after="0"/>
              <w:rPr>
                <w:sz w:val="1"/>
                <w:szCs w:val="1"/>
                <w:color w:val="auto"/>
              </w:rPr>
            </w:pPr>
          </w:p>
        </w:tc>
      </w:tr>
      <w:tr>
        <w:trPr>
          <w:trHeight w:val="234"/>
        </w:trPr>
        <w:tc>
          <w:tcPr>
            <w:tcW w:w="3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240" w:type="dxa"/>
            <w:vAlign w:val="bottom"/>
            <w:shd w:val="clear" w:color="auto" w:fill="B6B6B6"/>
          </w:tcPr>
          <w:p>
            <w:pPr>
              <w:spacing w:after="0"/>
              <w:rPr>
                <w:sz w:val="20"/>
                <w:szCs w:val="20"/>
                <w:color w:val="auto"/>
              </w:rPr>
            </w:pPr>
          </w:p>
        </w:tc>
        <w:tc>
          <w:tcPr>
            <w:tcW w:w="880" w:type="dxa"/>
            <w:vAlign w:val="bottom"/>
            <w:vMerge w:val="continue"/>
            <w:shd w:val="clear" w:color="auto" w:fill="B6B6B6"/>
          </w:tcPr>
          <w:p>
            <w:pPr>
              <w:spacing w:after="0"/>
              <w:rPr>
                <w:sz w:val="20"/>
                <w:szCs w:val="20"/>
                <w:color w:val="auto"/>
              </w:rPr>
            </w:pPr>
          </w:p>
        </w:tc>
        <w:tc>
          <w:tcPr>
            <w:tcW w:w="300" w:type="dxa"/>
            <w:vAlign w:val="bottom"/>
            <w:shd w:val="clear" w:color="auto" w:fill="B6B6B6"/>
          </w:tcPr>
          <w:p>
            <w:pPr>
              <w:spacing w:after="0"/>
              <w:rPr>
                <w:sz w:val="20"/>
                <w:szCs w:val="20"/>
                <w:color w:val="auto"/>
              </w:rPr>
            </w:pPr>
          </w:p>
        </w:tc>
        <w:tc>
          <w:tcPr>
            <w:tcW w:w="1120" w:type="dxa"/>
            <w:vAlign w:val="bottom"/>
            <w:vMerge w:val="continue"/>
            <w:shd w:val="clear" w:color="auto" w:fill="B6B6B6"/>
          </w:tcPr>
          <w:p>
            <w:pPr>
              <w:spacing w:after="0"/>
              <w:rPr>
                <w:sz w:val="20"/>
                <w:szCs w:val="20"/>
                <w:color w:val="auto"/>
              </w:rPr>
            </w:pPr>
          </w:p>
        </w:tc>
        <w:tc>
          <w:tcPr>
            <w:tcW w:w="1120" w:type="dxa"/>
            <w:vAlign w:val="bottom"/>
            <w:vMerge w:val="continue"/>
            <w:shd w:val="clear" w:color="auto" w:fill="B6B6B6"/>
          </w:tcPr>
          <w:p>
            <w:pPr>
              <w:spacing w:after="0"/>
              <w:rPr>
                <w:sz w:val="20"/>
                <w:szCs w:val="20"/>
                <w:color w:val="auto"/>
              </w:rPr>
            </w:pPr>
          </w:p>
        </w:tc>
        <w:tc>
          <w:tcPr>
            <w:tcW w:w="80" w:type="dxa"/>
            <w:vAlign w:val="bottom"/>
            <w:shd w:val="clear" w:color="auto" w:fill="B6B6B6"/>
          </w:tcPr>
          <w:p>
            <w:pPr>
              <w:spacing w:after="0"/>
              <w:rPr>
                <w:sz w:val="20"/>
                <w:szCs w:val="20"/>
                <w:color w:val="auto"/>
              </w:rPr>
            </w:pPr>
          </w:p>
        </w:tc>
        <w:tc>
          <w:tcPr>
            <w:tcW w:w="260" w:type="dxa"/>
            <w:vAlign w:val="bottom"/>
            <w:shd w:val="clear" w:color="auto" w:fill="B6B6B6"/>
          </w:tcPr>
          <w:p>
            <w:pPr>
              <w:spacing w:after="0"/>
              <w:rPr>
                <w:sz w:val="20"/>
                <w:szCs w:val="20"/>
                <w:color w:val="auto"/>
              </w:rPr>
            </w:pPr>
          </w:p>
        </w:tc>
        <w:tc>
          <w:tcPr>
            <w:tcW w:w="880" w:type="dxa"/>
            <w:vAlign w:val="bottom"/>
            <w:vMerge w:val="continue"/>
            <w:shd w:val="clear" w:color="auto" w:fill="B6B6B6"/>
          </w:tcPr>
          <w:p>
            <w:pPr>
              <w:spacing w:after="0"/>
              <w:rPr>
                <w:sz w:val="20"/>
                <w:szCs w:val="20"/>
                <w:color w:val="auto"/>
              </w:rPr>
            </w:pPr>
          </w:p>
        </w:tc>
        <w:tc>
          <w:tcPr>
            <w:tcW w:w="360" w:type="dxa"/>
            <w:vAlign w:val="bottom"/>
            <w:shd w:val="clear" w:color="auto" w:fill="B6B6B6"/>
          </w:tcPr>
          <w:p>
            <w:pPr>
              <w:spacing w:after="0"/>
              <w:rPr>
                <w:sz w:val="20"/>
                <w:szCs w:val="20"/>
                <w:color w:val="auto"/>
              </w:rPr>
            </w:pPr>
          </w:p>
        </w:tc>
        <w:tc>
          <w:tcPr>
            <w:tcW w:w="1100" w:type="dxa"/>
            <w:vAlign w:val="bottom"/>
            <w:vMerge w:val="continue"/>
            <w:shd w:val="clear" w:color="auto" w:fill="B6B6B6"/>
          </w:tcPr>
          <w:p>
            <w:pPr>
              <w:spacing w:after="0"/>
              <w:rPr>
                <w:sz w:val="20"/>
                <w:szCs w:val="20"/>
                <w:color w:val="auto"/>
              </w:rPr>
            </w:pPr>
          </w:p>
        </w:tc>
        <w:tc>
          <w:tcPr>
            <w:tcW w:w="1240" w:type="dxa"/>
            <w:vAlign w:val="bottom"/>
            <w:vMerge w:val="continue"/>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80" w:type="dxa"/>
            <w:vAlign w:val="bottom"/>
            <w:tcBorders>
              <w:bottom w:val="single" w:sz="8" w:color="B6B6B6"/>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2417.3 %</w:t>
            </w:r>
          </w:p>
        </w:tc>
        <w:tc>
          <w:tcPr>
            <w:tcW w:w="0" w:type="dxa"/>
            <w:vAlign w:val="bottom"/>
          </w:tcPr>
          <w:p>
            <w:pPr>
              <w:spacing w:after="0"/>
              <w:rPr>
                <w:sz w:val="1"/>
                <w:szCs w:val="1"/>
                <w:color w:val="auto"/>
              </w:rPr>
            </w:pPr>
          </w:p>
        </w:tc>
      </w:tr>
      <w:tr>
        <w:trPr>
          <w:trHeight w:val="243"/>
        </w:trPr>
        <w:tc>
          <w:tcPr>
            <w:tcW w:w="36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24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B6B6B6"/>
          </w:tcPr>
          <w:p>
            <w:pPr>
              <w:jc w:val="right"/>
              <w:ind w:right="170"/>
              <w:spacing w:after="0"/>
              <w:rPr>
                <w:sz w:val="20"/>
                <w:szCs w:val="20"/>
                <w:color w:val="auto"/>
              </w:rPr>
            </w:pPr>
            <w:r>
              <w:rPr>
                <w:rFonts w:ascii="Times New Roman" w:cs="Times New Roman" w:eastAsia="Times New Roman" w:hAnsi="Times New Roman"/>
                <w:sz w:val="18"/>
                <w:szCs w:val="18"/>
                <w:color w:val="auto"/>
              </w:rPr>
              <w:t>(90)</w:t>
            </w:r>
          </w:p>
        </w:tc>
        <w:tc>
          <w:tcPr>
            <w:tcW w:w="11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80" w:type="dxa"/>
            <w:vAlign w:val="bottom"/>
            <w:shd w:val="clear" w:color="auto" w:fill="B6B6B6"/>
          </w:tcPr>
          <w:p>
            <w:pPr>
              <w:spacing w:after="0"/>
              <w:rPr>
                <w:sz w:val="21"/>
                <w:szCs w:val="21"/>
                <w:color w:val="auto"/>
              </w:rPr>
            </w:pPr>
          </w:p>
        </w:tc>
        <w:tc>
          <w:tcPr>
            <w:tcW w:w="260" w:type="dxa"/>
            <w:vAlign w:val="bottom"/>
            <w:tcBorders>
              <w:bottom w:val="single" w:sz="8" w:color="auto"/>
            </w:tcBorders>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360" w:type="dxa"/>
            <w:vAlign w:val="bottom"/>
            <w:tcBorders>
              <w:bottom w:val="single" w:sz="8" w:color="auto"/>
            </w:tcBorders>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174</w:t>
            </w:r>
          </w:p>
        </w:tc>
        <w:tc>
          <w:tcPr>
            <w:tcW w:w="124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2201.7 %</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transaction volume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6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63"/>
        </w:trPr>
        <w:tc>
          <w:tcPr>
            <w:tcW w:w="36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Facility dollar volume</w:t>
            </w:r>
          </w:p>
        </w:tc>
        <w:tc>
          <w:tcPr>
            <w:tcW w:w="24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B6B6B6"/>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B6B6B6"/>
          </w:tcPr>
          <w:p>
            <w:pPr>
              <w:jc w:val="right"/>
              <w:ind w:right="230"/>
              <w:spacing w:after="0"/>
              <w:rPr>
                <w:sz w:val="20"/>
                <w:szCs w:val="20"/>
                <w:color w:val="auto"/>
              </w:rPr>
            </w:pPr>
            <w:r>
              <w:rPr>
                <w:rFonts w:ascii="Times New Roman" w:cs="Times New Roman" w:eastAsia="Times New Roman" w:hAnsi="Times New Roman"/>
                <w:sz w:val="18"/>
                <w:szCs w:val="18"/>
                <w:color w:val="auto"/>
              </w:rPr>
              <w:t>305,178</w:t>
            </w:r>
          </w:p>
        </w:tc>
        <w:tc>
          <w:tcPr>
            <w:tcW w:w="11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B6B6B6"/>
          </w:tcPr>
          <w:p>
            <w:pPr>
              <w:spacing w:after="0"/>
              <w:rPr>
                <w:sz w:val="22"/>
                <w:szCs w:val="22"/>
                <w:color w:val="auto"/>
              </w:rPr>
            </w:pPr>
          </w:p>
        </w:tc>
        <w:tc>
          <w:tcPr>
            <w:tcW w:w="260" w:type="dxa"/>
            <w:vAlign w:val="bottom"/>
            <w:shd w:val="clear" w:color="auto" w:fill="B6B6B6"/>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501,626</w:t>
            </w:r>
          </w:p>
        </w:tc>
        <w:tc>
          <w:tcPr>
            <w:tcW w:w="360" w:type="dxa"/>
            <w:vAlign w:val="bottom"/>
            <w:shd w:val="clear" w:color="auto" w:fill="B6B6B6"/>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6B6B6"/>
          </w:tcPr>
          <w:p>
            <w:pPr>
              <w:jc w:val="right"/>
              <w:ind w:right="110"/>
              <w:spacing w:after="0"/>
              <w:rPr>
                <w:sz w:val="20"/>
                <w:szCs w:val="20"/>
                <w:color w:val="auto"/>
              </w:rPr>
            </w:pPr>
            <w:r>
              <w:rPr>
                <w:rFonts w:ascii="Times New Roman" w:cs="Times New Roman" w:eastAsia="Times New Roman" w:hAnsi="Times New Roman"/>
                <w:sz w:val="18"/>
                <w:szCs w:val="18"/>
                <w:color w:val="auto"/>
              </w:rPr>
              <w:t>907,308</w:t>
            </w:r>
          </w:p>
        </w:tc>
        <w:tc>
          <w:tcPr>
            <w:tcW w:w="124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full-time equivalent employees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3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of 2025 compared to third quarter of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from discontinued operations was $106,000, as compared to $90,000 during the same period in the prior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2025 compared to nine months ended September 30, 2024:</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from discontinued operations was $4.0 million, an increase of $3.8 million over the same period in the prior year. The increase is primarily due to the gain on sale of the TEM Business Unit of $3.6 million in the second quarter of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 at September 30, 2025 were $2.45 billion, an increase of $58.5 million, or 2.4%, from December 31, 2024.</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experienced a decrease in cash and cash equivalents of $91.1 million, or 26.0%, during the nine months ended 2025. The change in cash and cash equivalents reflects the Company’s daily liquidity position and is primarily affected by changes in funding sources, mainly accounts and drafts payable and deposits, cash flows in and out of loans, investment securities and payments in advance of funding.</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investment securities portfolio increased $189.3 million, or 35.9%, during the nine months ended 2025. The increase is due to purchases of $354.8 million and a decrease in unrealized losses of $20.7 million, partially offset by sales of $125.8 million and maturities of $55.8 million.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Loans increased $6.4 million, or 0.6%, from December 31, 2024. The Company experienced growth in its commercial and industrial and faith-based loan portfolios during the nine months ended 2025.</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Payments in advance of funding decreased $20.5 million, or 9.8%, primarily due to the continued consolidation of freight carriers, partially offset by the 2.0% increase in transportation dollar volumes.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and drafts receivable from customers decreased $6.1 million, or 10.9%, from December 31, 2024. The decrease is solely due to timing of customer funding.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of discontinued operations declined $14.4 million due to the sale of the TEM business on June 30, 2025.</w:t>
      </w:r>
    </w:p>
    <w:p>
      <w:pPr>
        <w:spacing w:after="0" w:line="18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Total deposits at September 30, 2025 were $1.03 billion, an increase of $66.7 million, or 6.9%, from December 31, 2024. Given the nature of the Company's deposit base being larger commercial clients, the ending balance of deposits will fluctuate from period end to period end due to liquidity needs of these clients. Average balances are generally a more meaningful measure of deposits.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and drafts payable at September 30, 2025 were $1.13 billion, an increase of $761,000, or 0.1%, from December 31, 2024. Accounts and drafts payable are a stable source of funding generated by payment float from transportation and facility clients. The ending balance of accounts and drafts payable will fluctuate from period to period due to the payment processing cycle, which results in lower balances on days when payments clear and higher balances on days when payments are issued. For this reason, average balances are generally a more meaningful measure of accounts and drafts payable.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of discontinued operations declined $22.3 million due to the sale of the TEM business on June 30, 2025.</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liabilities at September 30, 2025 were $2.21 billion, an increase of $44.1 million, or 2.0%, from December 31, 2024, reflective of the increase in accounts and drafts payable and in total deposits.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shareholders’ equity at September 30, 2025 was $243.4 million, a $14.4 million increase from December 31, 2024. The increase in shareholders’ equity is a result of net income of $26.9 million, and a decrease in accumulated other comprehensive loss of $15.8 million primarily related to the fair value of available-for-sale investment securities, partially offset by the repurchase of Company stock of $17.7 million, and dividends paid of $12.4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discipline of liquidity management as practiced by the Company seeks to ensure that funds are available to fulfill all payment obligations relating to invoices processed as they become due and meet depositor withdrawal requests and borrower credit demands while at the same time maximizing profitability. This is accomplished by balancing changes in demand for funds with changes in supply of funds. Primary liquidity to meet demand is provided by short-term liquid assets that can be converted to cash, maturing investment securities and the ability to obtain funds from external sources. The Company's Asset/Liability Committee has direct oversight responsibility for the Company's liquidity position and profile. Management considers both on-balance sheet and off-balance sheet items in its evaluation of liquidity.</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balance of liquid assets consists of cash and cash equivalents, which include cash and due from banks, interest-bearing deposits in other financial institutions, federal funds sold and money market funds. Cash and cash equivalents totaled $258.6 million at September 30, 2025, a decrease of $91.1 million, or 26.0%, from December 31, 2024. At September 30, 2025, these assets represented 10.5% of total assets and are the Company’s and its subsidiaries’ primary source of liquidity to meet future expected and unexpected loan demand, depositor withdrawals or reductions in accounts and drafts payable.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Secondary sources of liquidity include the investment portfolio and borrowing lines. Total investment securities were $717.4 million at September 30, 2025, an increase of $189.3 million from December 31, 2024. These assets represented 29.2% of total assets at September 30, 2025. Of the total portfolio, 1.6% mature in one year, 10.1% mature in one to five years, and 88.3% mature in five or more years</w:t>
      </w:r>
      <w:r>
        <w:rPr>
          <w:rFonts w:ascii="Times New Roman" w:cs="Times New Roman" w:eastAsia="Times New Roman" w:hAnsi="Times New Roman"/>
          <w:sz w:val="18"/>
          <w:szCs w:val="18"/>
          <w:i w:val="1"/>
          <w:iCs w:val="1"/>
          <w:color w:val="auto"/>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has unsecured lines of credit at six correspondent banks to purchase federal funds up to a maximum of $83.0 million in aggregate. As of September 30, 2025, the Bank also has secured lines of credit with the Federal Home Loan Bank of $220.7 million collateralized by mortgage loans. The Company also has secured lines of credit from three banks up to a maximum of $225.0 million in aggregate collateralized by investment securities. There were no amounts outstanding under any line of credit as of September 30, 2025 or December 31, 2024.</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Company's banking subsidiary have historically been stable, consisting of a sizable volume of core deposits related to customers that utilize other commercial products of the Bank, including CassPay and faith-based customers. The accounts and drafts payable generated by the Company has also historically been a stable source of funds. The Company is part of the Certificate of Deposit Account Registry Service (“CDARS”) and Insured Cash Sweep (“ICS”) deposit placement programs. Time deposits include $62.4 million of CDARS deposits and interest-bearing demand deposits include $135.3 million of ICS deposits. These programs offer the Bank’s customers the ability to maximize Federal Deposit Insurance Corporation (“FDIC”) insurance coverage. The Company uses these programs to retain or attract deposits from existing customers.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flows provided by operating activities were $32.6 million for the nine months ended September 30, 2025, compared to $20.3 million for the nine months ended September 30, 2024, an increase of $12.3 million. Net cash flows from investing and financing activities fluctuate greatly as the Company actively manages its investment and loan portfolios and customer activity influences changes in deposit and accounts and drafts payable balances. Other causes for the changes in these account balances are discussed earlier in this report. Due to the daily fluctuations in these account balances, the analysis of changes in average balances, also discussed earlier in this report, can be more indicative of underlying activity than the period-end balances used in the statements of cash flows. Management anticipates that cash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cash equivalents, maturing investments and cash from operations will continue to be sufficient to fund the Company’s operations and capital expenditures in 2025, which are estimated to range from $6 million to $8 million.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income plus amortization of intangible assets, net amortization of premium/discount on investment securities and depreciation of premises and equipment was $33.3 million and $21.5 million for the nine months ended 2025 and 2024, respectively. The nine months ended September 30, 2025 reflected higher net income of $12.4 million and higher depreciation of $988,000, partially offset by a decrease in net amortization of premium/discount on investment securities of $1.9 million. The net amortization of premium/discount on investment securities is dependent on the type of securities purchased and changes in the prevailing market interest rate environment.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factors impacting the $12.3 million increase in net cash provided by operating activities include:</w:t>
      </w:r>
    </w:p>
    <w:p>
      <w:pPr>
        <w:spacing w:after="0" w:line="25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on sale of investment securities of $3.6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accounts receivable of $3.7 million;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income tax liabilities of $2.1 million.</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were partially offset by a decrease in net cash (used in) provided by discontinued operations of $3.1 million and a change in other operating activities, net of $3.0 million, primarily due to changes in various other assets and liabilities related to client funding and reimbursements.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faces market risk to the extent that its net interest income and fair market value of equity are affected by changes in market interest rates. For information regarding the market risk of the Company’s financial instruments, see Item 3, “Quantitative and Qualitative Disclosures about 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trends and uncertainties that may impact the Company’s ability to generate revenues and income at the levels that it has in the past. Those that could significantly impact the Company include the general levels of interest rates, business activity, inflation, and energy costs as well as new business opportunities available to the Company. For more detailed information on these trends and uncertainties and how they can generally affect the Company’s available liquidity, see Item 7, “Management’s Discussion and Analysis of Financial Condition and Results of Operations—Liquidity” in the Company’s 2024 Form 10-K.</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bank holding company, the Company and the Bank are subject to capital requirements administered by state and federal banking agencies. Capital adequacy guidelines, and, for banks, prompt corrective action regulations, involve quantitative measures of assets, liabilities, and certain off-balance sheet items calculated under regulatory accounting practices. Capital amounts and classifications are subject to qualitative judgments by regulators about components, risk weighting, and other factors. In addition, the calculation of all types of regulatory capital is subject to deductions and adjustments specified in the regulations. For example, as allowed under the Basel III Capital Rules, the Company has elected to opt-out of the requirement to include most components of accumulated other comprehensive income in common equity Tier 1 capital. For more information on these regulatory requirements, including the Basel III Capital Rules and capital classifications, see Item 1, "Business-Supervision and Regulation" and Item 8, Note 2, "Financial Statements and Supplementary Data" of the Company's 2024 Form 10-K.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and the Bank continue to exceed all regulatory capital requirements, as evidenced by the following capital amounts and ratios: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7"/>
              </w:rPr>
              <w:t>Requirement to be</w:t>
            </w:r>
          </w:p>
        </w:tc>
        <w:tc>
          <w:tcPr>
            <w:tcW w:w="0" w:type="dxa"/>
            <w:vAlign w:val="bottom"/>
          </w:tcPr>
          <w:p>
            <w:pPr>
              <w:spacing w:after="0"/>
              <w:rPr>
                <w:sz w:val="1"/>
                <w:szCs w:val="1"/>
                <w:color w:val="auto"/>
              </w:rPr>
            </w:pPr>
          </w:p>
        </w:tc>
      </w:tr>
      <w:tr>
        <w:trPr>
          <w:trHeight w:val="238"/>
        </w:trPr>
        <w:tc>
          <w:tcPr>
            <w:tcW w:w="3780" w:type="dxa"/>
            <w:vAlign w:val="bottom"/>
            <w:tcBorders>
              <w:bottom w:val="single" w:sz="8" w:color="B6B6B6"/>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Requirements</w:t>
            </w: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Well-Capitalized</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shd w:val="clear" w:color="auto" w:fill="B6B6B6"/>
          </w:tcPr>
          <w:p>
            <w:pPr>
              <w:spacing w:after="0"/>
              <w:rPr>
                <w:sz w:val="19"/>
                <w:szCs w:val="19"/>
                <w:color w:val="auto"/>
              </w:rPr>
            </w:pPr>
          </w:p>
        </w:tc>
        <w:tc>
          <w:tcPr>
            <w:tcW w:w="1380" w:type="dxa"/>
            <w:vAlign w:val="bottom"/>
            <w:tcBorders>
              <w:bottom w:val="single" w:sz="8" w:color="auto"/>
            </w:tcBorders>
            <w:shd w:val="clear" w:color="auto" w:fill="B6B6B6"/>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tcBorders>
              <w:bottom w:val="single" w:sz="8" w:color="auto"/>
            </w:tcBorders>
            <w:shd w:val="clear" w:color="auto" w:fill="B6B6B6"/>
          </w:tcPr>
          <w:p>
            <w:pPr>
              <w:ind w:left="8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20" w:type="dxa"/>
            <w:vAlign w:val="bottom"/>
            <w:tcBorders>
              <w:bottom w:val="single" w:sz="8" w:color="auto"/>
            </w:tcBorders>
            <w:shd w:val="clear" w:color="auto" w:fill="B6B6B6"/>
          </w:tcPr>
          <w:p>
            <w:pPr>
              <w:spacing w:after="0"/>
              <w:rPr>
                <w:sz w:val="19"/>
                <w:szCs w:val="19"/>
                <w:color w:val="auto"/>
              </w:rPr>
            </w:pPr>
          </w:p>
        </w:tc>
        <w:tc>
          <w:tcPr>
            <w:tcW w:w="1400" w:type="dxa"/>
            <w:vAlign w:val="bottom"/>
            <w:tcBorders>
              <w:bottom w:val="single" w:sz="8" w:color="auto"/>
            </w:tcBorders>
            <w:shd w:val="clear" w:color="auto" w:fill="B6B6B6"/>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bottom w:val="single" w:sz="8" w:color="auto"/>
            </w:tcBorders>
            <w:shd w:val="clear" w:color="auto" w:fill="B6B6B6"/>
          </w:tcPr>
          <w:p>
            <w:pPr>
              <w:ind w:left="6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60" w:type="dxa"/>
            <w:vAlign w:val="bottom"/>
            <w:tcBorders>
              <w:bottom w:val="single" w:sz="8" w:color="auto"/>
            </w:tcBorders>
            <w:gridSpan w:val="2"/>
            <w:shd w:val="clear" w:color="auto" w:fill="B6B6B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tcBorders>
              <w:bottom w:val="single" w:sz="8" w:color="auto"/>
            </w:tcBorders>
            <w:shd w:val="clear" w:color="auto" w:fill="B6B6B6"/>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 September 30, 2025</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266,552</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15.90 %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134,115</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220,318</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19.63</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89,780</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w w:val="99"/>
              </w:rPr>
              <w:t>112,225</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252,147</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75,440</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206,584</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50,501</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72,946</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252,147</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100,587</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206,584</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18.41</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67,335</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89,780</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252,147</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99,189</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206,584</w:t>
            </w: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14.16</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58,351</w:t>
            </w:r>
          </w:p>
        </w:tc>
        <w:tc>
          <w:tcPr>
            <w:tcW w:w="10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72,938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261,021</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14.61 %</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142,969</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8.00 %</w:t>
            </w:r>
          </w:p>
        </w:tc>
        <w:tc>
          <w:tcPr>
            <w:tcW w:w="3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 %</w:t>
            </w:r>
          </w:p>
        </w:tc>
        <w:tc>
          <w:tcPr>
            <w:tcW w:w="0" w:type="dxa"/>
            <w:vAlign w:val="bottom"/>
          </w:tcPr>
          <w:p>
            <w:pPr>
              <w:spacing w:after="0"/>
              <w:rPr>
                <w:sz w:val="1"/>
                <w:szCs w:val="1"/>
                <w:color w:val="auto"/>
              </w:rPr>
            </w:pPr>
          </w:p>
        </w:tc>
      </w:tr>
      <w:tr>
        <w:trPr>
          <w:trHeight w:val="229"/>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207,519</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17.68</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93,911</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117,389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84"/>
        </w:trPr>
        <w:tc>
          <w:tcPr>
            <w:tcW w:w="3780" w:type="dxa"/>
            <w:vAlign w:val="bottom"/>
            <w:shd w:val="clear" w:color="auto" w:fill="B6B6B6"/>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Equity Tier I Capital (to risk-weighted</w:t>
            </w:r>
          </w:p>
        </w:tc>
        <w:tc>
          <w:tcPr>
            <w:tcW w:w="180" w:type="dxa"/>
            <w:vAlign w:val="bottom"/>
            <w:shd w:val="clear" w:color="auto" w:fill="B6B6B6"/>
          </w:tcPr>
          <w:p>
            <w:pPr>
              <w:spacing w:after="0"/>
              <w:rPr>
                <w:sz w:val="16"/>
                <w:szCs w:val="16"/>
                <w:color w:val="auto"/>
              </w:rPr>
            </w:pPr>
          </w:p>
        </w:tc>
        <w:tc>
          <w:tcPr>
            <w:tcW w:w="1380" w:type="dxa"/>
            <w:vAlign w:val="bottom"/>
            <w:shd w:val="clear" w:color="auto" w:fill="B6B6B6"/>
          </w:tcPr>
          <w:p>
            <w:pPr>
              <w:spacing w:after="0"/>
              <w:rPr>
                <w:sz w:val="16"/>
                <w:szCs w:val="16"/>
                <w:color w:val="auto"/>
              </w:rPr>
            </w:pPr>
          </w:p>
        </w:tc>
        <w:tc>
          <w:tcPr>
            <w:tcW w:w="960" w:type="dxa"/>
            <w:vAlign w:val="bottom"/>
            <w:shd w:val="clear" w:color="auto" w:fill="B6B6B6"/>
          </w:tcPr>
          <w:p>
            <w:pPr>
              <w:spacing w:after="0"/>
              <w:rPr>
                <w:sz w:val="16"/>
                <w:szCs w:val="16"/>
                <w:color w:val="auto"/>
              </w:rPr>
            </w:pPr>
          </w:p>
        </w:tc>
        <w:tc>
          <w:tcPr>
            <w:tcW w:w="220" w:type="dxa"/>
            <w:vAlign w:val="bottom"/>
            <w:shd w:val="clear" w:color="auto" w:fill="B6B6B6"/>
          </w:tcPr>
          <w:p>
            <w:pPr>
              <w:spacing w:after="0"/>
              <w:rPr>
                <w:sz w:val="16"/>
                <w:szCs w:val="16"/>
                <w:color w:val="auto"/>
              </w:rPr>
            </w:pPr>
          </w:p>
        </w:tc>
        <w:tc>
          <w:tcPr>
            <w:tcW w:w="1400" w:type="dxa"/>
            <w:vAlign w:val="bottom"/>
            <w:shd w:val="clear" w:color="auto" w:fill="B6B6B6"/>
          </w:tcPr>
          <w:p>
            <w:pPr>
              <w:spacing w:after="0"/>
              <w:rPr>
                <w:sz w:val="16"/>
                <w:szCs w:val="16"/>
                <w:color w:val="auto"/>
              </w:rPr>
            </w:pPr>
          </w:p>
        </w:tc>
        <w:tc>
          <w:tcPr>
            <w:tcW w:w="1060" w:type="dxa"/>
            <w:vAlign w:val="bottom"/>
            <w:shd w:val="clear" w:color="auto" w:fill="B6B6B6"/>
          </w:tcPr>
          <w:p>
            <w:pPr>
              <w:spacing w:after="0"/>
              <w:rPr>
                <w:sz w:val="16"/>
                <w:szCs w:val="16"/>
                <w:color w:val="auto"/>
              </w:rPr>
            </w:pPr>
          </w:p>
        </w:tc>
        <w:tc>
          <w:tcPr>
            <w:tcW w:w="380" w:type="dxa"/>
            <w:vAlign w:val="bottom"/>
            <w:shd w:val="clear" w:color="auto" w:fill="B6B6B6"/>
          </w:tcPr>
          <w:p>
            <w:pPr>
              <w:spacing w:after="0"/>
              <w:rPr>
                <w:sz w:val="16"/>
                <w:szCs w:val="16"/>
                <w:color w:val="auto"/>
              </w:rPr>
            </w:pPr>
          </w:p>
        </w:tc>
        <w:tc>
          <w:tcPr>
            <w:tcW w:w="880" w:type="dxa"/>
            <w:vAlign w:val="bottom"/>
            <w:shd w:val="clear" w:color="auto" w:fill="B6B6B6"/>
          </w:tcPr>
          <w:p>
            <w:pPr>
              <w:spacing w:after="0"/>
              <w:rPr>
                <w:sz w:val="16"/>
                <w:szCs w:val="16"/>
                <w:color w:val="auto"/>
              </w:rPr>
            </w:pPr>
          </w:p>
        </w:tc>
        <w:tc>
          <w:tcPr>
            <w:tcW w:w="1000" w:type="dxa"/>
            <w:vAlign w:val="bottom"/>
            <w:shd w:val="clear" w:color="auto" w:fill="B6B6B6"/>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B6B6B6"/>
          </w:tcPr>
          <w:p>
            <w:pPr>
              <w:spacing w:after="0"/>
              <w:rPr>
                <w:sz w:val="20"/>
                <w:szCs w:val="20"/>
                <w:color w:val="auto"/>
              </w:rPr>
            </w:pPr>
          </w:p>
        </w:tc>
        <w:tc>
          <w:tcPr>
            <w:tcW w:w="1380" w:type="dxa"/>
            <w:vAlign w:val="bottom"/>
            <w:shd w:val="clear" w:color="auto" w:fill="B6B6B6"/>
          </w:tcPr>
          <w:p>
            <w:pPr>
              <w:spacing w:after="0"/>
              <w:rPr>
                <w:sz w:val="20"/>
                <w:szCs w:val="20"/>
                <w:color w:val="auto"/>
              </w:rPr>
            </w:pPr>
          </w:p>
        </w:tc>
        <w:tc>
          <w:tcPr>
            <w:tcW w:w="960" w:type="dxa"/>
            <w:vAlign w:val="bottom"/>
            <w:shd w:val="clear" w:color="auto" w:fill="B6B6B6"/>
          </w:tcPr>
          <w:p>
            <w:pPr>
              <w:spacing w:after="0"/>
              <w:rPr>
                <w:sz w:val="20"/>
                <w:szCs w:val="20"/>
                <w:color w:val="auto"/>
              </w:rPr>
            </w:pPr>
          </w:p>
        </w:tc>
        <w:tc>
          <w:tcPr>
            <w:tcW w:w="220" w:type="dxa"/>
            <w:vAlign w:val="bottom"/>
            <w:shd w:val="clear" w:color="auto" w:fill="B6B6B6"/>
          </w:tcPr>
          <w:p>
            <w:pPr>
              <w:spacing w:after="0"/>
              <w:rPr>
                <w:sz w:val="20"/>
                <w:szCs w:val="20"/>
                <w:color w:val="auto"/>
              </w:rPr>
            </w:pPr>
          </w:p>
        </w:tc>
        <w:tc>
          <w:tcPr>
            <w:tcW w:w="1400" w:type="dxa"/>
            <w:vAlign w:val="bottom"/>
            <w:shd w:val="clear" w:color="auto" w:fill="B6B6B6"/>
          </w:tcPr>
          <w:p>
            <w:pPr>
              <w:spacing w:after="0"/>
              <w:rPr>
                <w:sz w:val="20"/>
                <w:szCs w:val="20"/>
                <w:color w:val="auto"/>
              </w:rPr>
            </w:pPr>
          </w:p>
        </w:tc>
        <w:tc>
          <w:tcPr>
            <w:tcW w:w="1060" w:type="dxa"/>
            <w:vAlign w:val="bottom"/>
            <w:shd w:val="clear" w:color="auto" w:fill="B6B6B6"/>
          </w:tcPr>
          <w:p>
            <w:pPr>
              <w:spacing w:after="0"/>
              <w:rPr>
                <w:sz w:val="20"/>
                <w:szCs w:val="20"/>
                <w:color w:val="auto"/>
              </w:rPr>
            </w:pPr>
          </w:p>
        </w:tc>
        <w:tc>
          <w:tcPr>
            <w:tcW w:w="380" w:type="dxa"/>
            <w:vAlign w:val="bottom"/>
            <w:shd w:val="clear" w:color="auto" w:fill="B6B6B6"/>
          </w:tcPr>
          <w:p>
            <w:pPr>
              <w:spacing w:after="0"/>
              <w:rPr>
                <w:sz w:val="20"/>
                <w:szCs w:val="20"/>
                <w:color w:val="auto"/>
              </w:rPr>
            </w:pPr>
          </w:p>
        </w:tc>
        <w:tc>
          <w:tcPr>
            <w:tcW w:w="880" w:type="dxa"/>
            <w:vAlign w:val="bottom"/>
            <w:shd w:val="clear" w:color="auto" w:fill="B6B6B6"/>
          </w:tcPr>
          <w:p>
            <w:pPr>
              <w:spacing w:after="0"/>
              <w:rPr>
                <w:sz w:val="20"/>
                <w:szCs w:val="20"/>
                <w:color w:val="auto"/>
              </w:rPr>
            </w:pPr>
          </w:p>
        </w:tc>
        <w:tc>
          <w:tcPr>
            <w:tcW w:w="1000" w:type="dxa"/>
            <w:vAlign w:val="bottom"/>
            <w:shd w:val="clear" w:color="auto" w:fill="B6B6B6"/>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247,354</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80,420</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194,446</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52,825</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4.50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76,303</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capital (to risk-weighted assets)</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247,354</w:t>
            </w:r>
          </w:p>
        </w:tc>
        <w:tc>
          <w:tcPr>
            <w:tcW w:w="960" w:type="dxa"/>
            <w:vAlign w:val="bottom"/>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107,226</w:t>
            </w:r>
          </w:p>
        </w:tc>
        <w:tc>
          <w:tcPr>
            <w:tcW w:w="1060" w:type="dxa"/>
            <w:vAlign w:val="bottom"/>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194,446</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70,433</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6.00</w:t>
            </w:r>
          </w:p>
        </w:tc>
        <w:tc>
          <w:tcPr>
            <w:tcW w:w="380" w:type="dxa"/>
            <w:vAlign w:val="bottom"/>
          </w:tcPr>
          <w:p>
            <w:pPr>
              <w:spacing w:after="0"/>
              <w:rPr>
                <w:sz w:val="19"/>
                <w:szCs w:val="19"/>
                <w:color w:val="auto"/>
              </w:rPr>
            </w:pP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93,911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378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Tier I capital (to average assets)</w:t>
            </w:r>
          </w:p>
        </w:tc>
        <w:tc>
          <w:tcPr>
            <w:tcW w:w="180" w:type="dxa"/>
            <w:vAlign w:val="bottom"/>
            <w:shd w:val="clear" w:color="auto" w:fill="B6B6B6"/>
          </w:tcPr>
          <w:p>
            <w:pPr>
              <w:spacing w:after="0"/>
              <w:rPr>
                <w:sz w:val="19"/>
                <w:szCs w:val="19"/>
                <w:color w:val="auto"/>
              </w:rPr>
            </w:pPr>
          </w:p>
        </w:tc>
        <w:tc>
          <w:tcPr>
            <w:tcW w:w="1380" w:type="dxa"/>
            <w:vAlign w:val="bottom"/>
            <w:shd w:val="clear" w:color="auto" w:fill="B6B6B6"/>
          </w:tcPr>
          <w:p>
            <w:pPr>
              <w:spacing w:after="0"/>
              <w:rPr>
                <w:sz w:val="19"/>
                <w:szCs w:val="19"/>
                <w:color w:val="auto"/>
              </w:rPr>
            </w:pPr>
          </w:p>
        </w:tc>
        <w:tc>
          <w:tcPr>
            <w:tcW w:w="960" w:type="dxa"/>
            <w:vAlign w:val="bottom"/>
            <w:shd w:val="clear" w:color="auto" w:fill="B6B6B6"/>
          </w:tcPr>
          <w:p>
            <w:pPr>
              <w:spacing w:after="0"/>
              <w:rPr>
                <w:sz w:val="19"/>
                <w:szCs w:val="19"/>
                <w:color w:val="auto"/>
              </w:rPr>
            </w:pPr>
          </w:p>
        </w:tc>
        <w:tc>
          <w:tcPr>
            <w:tcW w:w="220" w:type="dxa"/>
            <w:vAlign w:val="bottom"/>
            <w:shd w:val="clear" w:color="auto" w:fill="B6B6B6"/>
          </w:tcPr>
          <w:p>
            <w:pPr>
              <w:spacing w:after="0"/>
              <w:rPr>
                <w:sz w:val="19"/>
                <w:szCs w:val="19"/>
                <w:color w:val="auto"/>
              </w:rPr>
            </w:pPr>
          </w:p>
        </w:tc>
        <w:tc>
          <w:tcPr>
            <w:tcW w:w="1400" w:type="dxa"/>
            <w:vAlign w:val="bottom"/>
            <w:shd w:val="clear" w:color="auto" w:fill="B6B6B6"/>
          </w:tcPr>
          <w:p>
            <w:pPr>
              <w:spacing w:after="0"/>
              <w:rPr>
                <w:sz w:val="19"/>
                <w:szCs w:val="19"/>
                <w:color w:val="auto"/>
              </w:rPr>
            </w:pPr>
          </w:p>
        </w:tc>
        <w:tc>
          <w:tcPr>
            <w:tcW w:w="1060" w:type="dxa"/>
            <w:vAlign w:val="bottom"/>
            <w:shd w:val="clear" w:color="auto" w:fill="B6B6B6"/>
          </w:tcPr>
          <w:p>
            <w:pPr>
              <w:spacing w:after="0"/>
              <w:rPr>
                <w:sz w:val="19"/>
                <w:szCs w:val="19"/>
                <w:color w:val="auto"/>
              </w:rPr>
            </w:pPr>
          </w:p>
        </w:tc>
        <w:tc>
          <w:tcPr>
            <w:tcW w:w="380" w:type="dxa"/>
            <w:vAlign w:val="bottom"/>
            <w:shd w:val="clear" w:color="auto" w:fill="B6B6B6"/>
          </w:tcPr>
          <w:p>
            <w:pPr>
              <w:spacing w:after="0"/>
              <w:rPr>
                <w:sz w:val="19"/>
                <w:szCs w:val="19"/>
                <w:color w:val="auto"/>
              </w:rPr>
            </w:pPr>
          </w:p>
        </w:tc>
        <w:tc>
          <w:tcPr>
            <w:tcW w:w="880" w:type="dxa"/>
            <w:vAlign w:val="bottom"/>
            <w:shd w:val="clear" w:color="auto" w:fill="B6B6B6"/>
          </w:tcPr>
          <w:p>
            <w:pPr>
              <w:spacing w:after="0"/>
              <w:rPr>
                <w:sz w:val="19"/>
                <w:szCs w:val="19"/>
                <w:color w:val="auto"/>
              </w:rPr>
            </w:pPr>
          </w:p>
        </w:tc>
        <w:tc>
          <w:tcPr>
            <w:tcW w:w="1000" w:type="dxa"/>
            <w:vAlign w:val="bottom"/>
            <w:shd w:val="clear" w:color="auto" w:fill="B6B6B6"/>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Cass Information Systems, Inc.</w:t>
            </w:r>
          </w:p>
        </w:tc>
        <w:tc>
          <w:tcPr>
            <w:tcW w:w="180" w:type="dxa"/>
            <w:vAlign w:val="bottom"/>
          </w:tcPr>
          <w:p>
            <w:pPr>
              <w:spacing w:after="0"/>
              <w:rPr>
                <w:sz w:val="19"/>
                <w:szCs w:val="19"/>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247,354</w:t>
            </w:r>
          </w:p>
        </w:tc>
        <w:tc>
          <w:tcPr>
            <w:tcW w:w="9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10.57</w:t>
            </w:r>
          </w:p>
        </w:tc>
        <w:tc>
          <w:tcPr>
            <w:tcW w:w="22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93,625</w:t>
            </w:r>
          </w:p>
        </w:tc>
        <w:tc>
          <w:tcPr>
            <w:tcW w:w="1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378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Cass Commercial Bank</w:t>
            </w:r>
          </w:p>
        </w:tc>
        <w:tc>
          <w:tcPr>
            <w:tcW w:w="180" w:type="dxa"/>
            <w:vAlign w:val="bottom"/>
            <w:tcBorders>
              <w:bottom w:val="single" w:sz="8" w:color="auto"/>
            </w:tcBorders>
            <w:shd w:val="clear" w:color="auto" w:fill="B6B6B6"/>
          </w:tcPr>
          <w:p>
            <w:pPr>
              <w:spacing w:after="0"/>
              <w:rPr>
                <w:sz w:val="19"/>
                <w:szCs w:val="19"/>
                <w:color w:val="auto"/>
              </w:rPr>
            </w:pPr>
          </w:p>
        </w:tc>
        <w:tc>
          <w:tcPr>
            <w:tcW w:w="1380" w:type="dxa"/>
            <w:vAlign w:val="bottom"/>
            <w:tcBorders>
              <w:bottom w:val="single" w:sz="8" w:color="auto"/>
            </w:tcBorders>
            <w:shd w:val="clear" w:color="auto" w:fill="B6B6B6"/>
          </w:tcPr>
          <w:p>
            <w:pPr>
              <w:jc w:val="right"/>
              <w:ind w:right="410"/>
              <w:spacing w:after="0"/>
              <w:rPr>
                <w:sz w:val="20"/>
                <w:szCs w:val="20"/>
                <w:color w:val="auto"/>
              </w:rPr>
            </w:pPr>
            <w:r>
              <w:rPr>
                <w:rFonts w:ascii="Times New Roman" w:cs="Times New Roman" w:eastAsia="Times New Roman" w:hAnsi="Times New Roman"/>
                <w:sz w:val="18"/>
                <w:szCs w:val="18"/>
                <w:color w:val="auto"/>
              </w:rPr>
              <w:t>194,446</w:t>
            </w:r>
          </w:p>
        </w:tc>
        <w:tc>
          <w:tcPr>
            <w:tcW w:w="960" w:type="dxa"/>
            <w:vAlign w:val="bottom"/>
            <w:tcBorders>
              <w:bottom w:val="single" w:sz="8" w:color="auto"/>
            </w:tcBorders>
            <w:shd w:val="clear" w:color="auto" w:fill="B6B6B6"/>
          </w:tcPr>
          <w:p>
            <w:pPr>
              <w:ind w:left="300"/>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tcBorders>
              <w:bottom w:val="single" w:sz="8" w:color="auto"/>
            </w:tcBorders>
            <w:shd w:val="clear" w:color="auto" w:fill="B6B6B6"/>
          </w:tcPr>
          <w:p>
            <w:pPr>
              <w:spacing w:after="0"/>
              <w:rPr>
                <w:sz w:val="19"/>
                <w:szCs w:val="19"/>
                <w:color w:val="auto"/>
              </w:rPr>
            </w:pPr>
          </w:p>
        </w:tc>
        <w:tc>
          <w:tcPr>
            <w:tcW w:w="1400" w:type="dxa"/>
            <w:vAlign w:val="bottom"/>
            <w:tcBorders>
              <w:bottom w:val="single" w:sz="8" w:color="auto"/>
            </w:tcBorders>
            <w:shd w:val="clear" w:color="auto" w:fill="B6B6B6"/>
          </w:tcPr>
          <w:p>
            <w:pPr>
              <w:jc w:val="right"/>
              <w:ind w:right="430"/>
              <w:spacing w:after="0"/>
              <w:rPr>
                <w:sz w:val="20"/>
                <w:szCs w:val="20"/>
                <w:color w:val="auto"/>
              </w:rPr>
            </w:pPr>
            <w:r>
              <w:rPr>
                <w:rFonts w:ascii="Times New Roman" w:cs="Times New Roman" w:eastAsia="Times New Roman" w:hAnsi="Times New Roman"/>
                <w:sz w:val="18"/>
                <w:szCs w:val="18"/>
                <w:color w:val="auto"/>
              </w:rPr>
              <w:t>57,620</w:t>
            </w:r>
          </w:p>
        </w:tc>
        <w:tc>
          <w:tcPr>
            <w:tcW w:w="1060" w:type="dxa"/>
            <w:vAlign w:val="bottom"/>
            <w:tcBorders>
              <w:bottom w:val="single" w:sz="8" w:color="auto"/>
            </w:tcBorders>
            <w:shd w:val="clear" w:color="auto" w:fill="B6B6B6"/>
          </w:tcPr>
          <w:p>
            <w:pPr>
              <w:ind w:left="360"/>
              <w:spacing w:after="0"/>
              <w:rPr>
                <w:sz w:val="20"/>
                <w:szCs w:val="20"/>
                <w:color w:val="auto"/>
              </w:rPr>
            </w:pPr>
            <w:r>
              <w:rPr>
                <w:rFonts w:ascii="Times New Roman" w:cs="Times New Roman" w:eastAsia="Times New Roman" w:hAnsi="Times New Roman"/>
                <w:sz w:val="18"/>
                <w:szCs w:val="18"/>
                <w:color w:val="auto"/>
              </w:rPr>
              <w:t>4.00</w:t>
            </w:r>
          </w:p>
        </w:tc>
        <w:tc>
          <w:tcPr>
            <w:tcW w:w="380" w:type="dxa"/>
            <w:vAlign w:val="bottom"/>
            <w:tcBorders>
              <w:bottom w:val="single" w:sz="8" w:color="auto"/>
            </w:tcBorders>
            <w:shd w:val="clear" w:color="auto" w:fill="B6B6B6"/>
          </w:tcPr>
          <w:p>
            <w:pPr>
              <w:spacing w:after="0"/>
              <w:rPr>
                <w:sz w:val="19"/>
                <w:szCs w:val="19"/>
                <w:color w:val="auto"/>
              </w:rPr>
            </w:pPr>
          </w:p>
        </w:tc>
        <w:tc>
          <w:tcPr>
            <w:tcW w:w="880" w:type="dxa"/>
            <w:vAlign w:val="bottom"/>
            <w:tcBorders>
              <w:bottom w:val="single" w:sz="8" w:color="auto"/>
            </w:tcBorders>
            <w:shd w:val="clear" w:color="auto" w:fill="B6B6B6"/>
          </w:tcPr>
          <w:p>
            <w:pPr>
              <w:jc w:val="right"/>
              <w:ind w:right="190"/>
              <w:spacing w:after="0"/>
              <w:rPr>
                <w:sz w:val="20"/>
                <w:szCs w:val="20"/>
                <w:color w:val="auto"/>
              </w:rPr>
            </w:pPr>
            <w:r>
              <w:rPr>
                <w:rFonts w:ascii="Times New Roman" w:cs="Times New Roman" w:eastAsia="Times New Roman" w:hAnsi="Times New Roman"/>
                <w:sz w:val="18"/>
                <w:szCs w:val="18"/>
                <w:color w:val="auto"/>
              </w:rPr>
              <w:t>72,026</w:t>
            </w:r>
          </w:p>
        </w:tc>
        <w:tc>
          <w:tcPr>
            <w:tcW w:w="100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New or Not Yet Adopted Accounting Pronouncements</w:t>
      </w:r>
    </w:p>
    <w:p>
      <w:pPr>
        <w:spacing w:after="0" w:line="2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This ASU requires public business entities to disclose in their rate reconciliation table additional categories of information about federal, state, and foreign income taxes and to provide more details about the reconciling items in some categories if items meet a quantitative threshold. It also requires all entities to disclose income taxes paid, net of refunds, disaggregated by federal, state, and foreign taxes for annual periods and to disaggregate the information by jurisdiction based on a quantitative threshold, among other things. ASU 2023-09 is effective for annual periods beginning after December 15, 2024, though early adoption is permitted. ASU 2023-09 is not expected to have a significant impact on the Company's financial statements.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July 2025, the FASB issued Accounting Standards Update 2025-05, </w:t>
      </w:r>
      <w:r>
        <w:rPr>
          <w:rFonts w:ascii="Times New Roman" w:cs="Times New Roman" w:eastAsia="Times New Roman" w:hAnsi="Times New Roman"/>
          <w:sz w:val="18"/>
          <w:szCs w:val="18"/>
          <w:i w:val="1"/>
          <w:iCs w:val="1"/>
          <w:color w:val="auto"/>
        </w:rPr>
        <w:t>Financial Instruments - Credit Losses (Topic 326): Measurement of Credit Losses</w:t>
      </w:r>
    </w:p>
    <w:p>
      <w:pPr>
        <w:spacing w:after="0" w:line="2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for Accounts Receivable and Contract Asset</w:t>
      </w:r>
      <w:r>
        <w:rPr>
          <w:rFonts w:ascii="Times New Roman" w:cs="Times New Roman" w:eastAsia="Times New Roman" w:hAnsi="Times New Roman"/>
          <w:sz w:val="18"/>
          <w:szCs w:val="18"/>
          <w:color w:val="auto"/>
        </w:rPr>
        <w:t>s ("ASU 2025-05"). ASU 2025-05 provides the option to elect a practical expedient to assume that the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as of the balance sheet date will remain unchanged for the remaining life of the asset when developing a reasonable and supportable forecast as part of estimating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expected credit losses on these assets. ASU 2025-05 is effective for the Company for fiscal years beginning after December 15, 2025 and interim periods within those fiscal years. The Company does not expect adoption of ASU 2025-05 to have a material impact on its consolidated financial statements.</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2025-06,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Targeted Improvements to the Accounting for Internal-Use Software </w:t>
      </w:r>
      <w:r>
        <w:rPr>
          <w:rFonts w:ascii="Times New Roman" w:cs="Times New Roman" w:eastAsia="Times New Roman" w:hAnsi="Times New Roman"/>
          <w:sz w:val="18"/>
          <w:szCs w:val="18"/>
          <w:color w:val="auto"/>
        </w:rPr>
        <w:t>("ASU 2025-06"). ASU 2025-06 clarified and modernizes the accounting for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internal-use software. The amendments in ASU 2025-06 remove all references to project stages throughout Subtopic 350-40 and clarify the threshold entities apply to begin capitalizing costs. ASU 2025-06 is effective for the Company for fiscal years beginning after December 15, 2027 and interim periods within those fiscal years. The Company is currently evaluating the impact of adoption of ASU 2025-06 on its consolidated financial statements.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prepared the consolidated financial statements in this report in accordance with the Financial Accounting Standards Board Accounting Standards Codification. In preparing the consolidated financial statements, management makes estimates and assumptions that affect the reported amount of assets and liabilities, disclosure of contingent assets and liabilities at the date of the financial statements, and the reported amounts of revenue and expenses during the reporting period. These estimates have been generally accurate in the past, have been consistent and have not required any material changes. There can be no assurances that actual results will not differ from those estimates. The accounting policy that requires significant management estimates and is deemed critical to the Company’s results of operations or financial position has been discussed with the Audit and Risk Committee of the Board of Directors and is described below.</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Allowance for Credit Losses. </w:t>
      </w:r>
      <w:r>
        <w:rPr>
          <w:rFonts w:ascii="Times New Roman" w:cs="Times New Roman" w:eastAsia="Times New Roman" w:hAnsi="Times New Roman"/>
          <w:sz w:val="18"/>
          <w:szCs w:val="18"/>
          <w:color w:val="auto"/>
        </w:rPr>
        <w:t>The Company performs periodic and systematic detailed reviews of its loan portfolio to determine management’s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lifetime expected credit losses. Although these estimates are based on established methodologies for determining allowance requirements, actual results can differ significantly from estimated results. These policies affect both segments of the Company. The impact and associated risks related to these policies on the Company’s business operations are discussed in the “Provision and Allowance for Credit Losses and Allowance for Unfunded Commitments” section of this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2024 Form 10-K for the year ended December 31, 2024, the Company manages its interest rate risk through measurement techniques that include gap analysis and a simulation model. As part of the risk management process, asset/liability management policies are established and monitored by management.</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simulated changes in net interest income versus unchanged rates over the next 12 months as of September 30, 2025 and December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4"/>
          </w:tcPr>
          <w:p>
            <w:pPr>
              <w:ind w:left="2040"/>
              <w:spacing w:after="0"/>
              <w:rPr>
                <w:sz w:val="20"/>
                <w:szCs w:val="20"/>
                <w:color w:val="auto"/>
              </w:rPr>
            </w:pPr>
            <w:r>
              <w:rPr>
                <w:rFonts w:ascii="Times New Roman" w:cs="Times New Roman" w:eastAsia="Times New Roman" w:hAnsi="Times New Roman"/>
                <w:sz w:val="18"/>
                <w:szCs w:val="18"/>
                <w:b w:val="1"/>
                <w:bCs w:val="1"/>
                <w:color w:val="auto"/>
              </w:rPr>
              <w:t>% change in projected net interest income</w:t>
            </w:r>
          </w:p>
        </w:tc>
        <w:tc>
          <w:tcPr>
            <w:tcW w:w="820" w:type="dxa"/>
            <w:vAlign w:val="bottom"/>
            <w:tcBorders>
              <w:bottom w:val="single" w:sz="8" w:color="auto"/>
            </w:tcBorders>
          </w:tcPr>
          <w:p>
            <w:pPr>
              <w:spacing w:after="0"/>
              <w:rPr>
                <w:sz w:val="20"/>
                <w:szCs w:val="20"/>
                <w:color w:val="auto"/>
              </w:rPr>
            </w:pPr>
          </w:p>
        </w:tc>
      </w:tr>
      <w:tr>
        <w:trPr>
          <w:trHeight w:val="223"/>
        </w:trPr>
        <w:tc>
          <w:tcPr>
            <w:tcW w:w="3400" w:type="dxa"/>
            <w:vAlign w:val="bottom"/>
            <w:tcBorders>
              <w:bottom w:val="single" w:sz="8" w:color="B6B6B6"/>
            </w:tcBorders>
          </w:tcPr>
          <w:p>
            <w:pPr>
              <w:spacing w:after="0"/>
              <w:rPr>
                <w:sz w:val="19"/>
                <w:szCs w:val="19"/>
                <w:color w:val="auto"/>
              </w:rPr>
            </w:pPr>
          </w:p>
        </w:tc>
        <w:tc>
          <w:tcPr>
            <w:tcW w:w="100" w:type="dxa"/>
            <w:vAlign w:val="bottom"/>
            <w:tcBorders>
              <w:bottom w:val="single" w:sz="8" w:color="B6B6B6"/>
            </w:tcBorders>
          </w:tcPr>
          <w:p>
            <w:pPr>
              <w:spacing w:after="0"/>
              <w:rPr>
                <w:sz w:val="19"/>
                <w:szCs w:val="19"/>
                <w:color w:val="auto"/>
              </w:rPr>
            </w:pPr>
          </w:p>
        </w:tc>
        <w:tc>
          <w:tcPr>
            <w:tcW w:w="28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780" w:type="dxa"/>
            <w:vAlign w:val="bottom"/>
            <w:tcBorders>
              <w:bottom w:val="single" w:sz="8" w:color="auto"/>
            </w:tcBorders>
          </w:tcPr>
          <w:p>
            <w:pPr>
              <w:spacing w:after="0"/>
              <w:rPr>
                <w:sz w:val="19"/>
                <w:szCs w:val="19"/>
                <w:color w:val="auto"/>
              </w:rPr>
            </w:pPr>
          </w:p>
        </w:tc>
        <w:tc>
          <w:tcPr>
            <w:tcW w:w="160" w:type="dxa"/>
            <w:vAlign w:val="bottom"/>
            <w:tcBorders>
              <w:bottom w:val="single" w:sz="8" w:color="B6B6B6"/>
            </w:tcBorders>
          </w:tcPr>
          <w:p>
            <w:pPr>
              <w:spacing w:after="0"/>
              <w:rPr>
                <w:sz w:val="19"/>
                <w:szCs w:val="19"/>
                <w:color w:val="auto"/>
              </w:rPr>
            </w:pPr>
          </w:p>
        </w:tc>
        <w:tc>
          <w:tcPr>
            <w:tcW w:w="28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820" w:type="dxa"/>
            <w:vAlign w:val="bottom"/>
            <w:tcBorders>
              <w:bottom w:val="single" w:sz="8" w:color="auto"/>
            </w:tcBorders>
          </w:tcPr>
          <w:p>
            <w:pPr>
              <w:spacing w:after="0"/>
              <w:rPr>
                <w:sz w:val="19"/>
                <w:szCs w:val="19"/>
                <w:color w:val="auto"/>
              </w:rPr>
            </w:pPr>
          </w:p>
        </w:tc>
      </w:tr>
      <w:tr>
        <w:trPr>
          <w:trHeight w:val="223"/>
        </w:trPr>
        <w:tc>
          <w:tcPr>
            <w:tcW w:w="3500" w:type="dxa"/>
            <w:vAlign w:val="bottom"/>
            <w:gridSpan w:val="2"/>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2840" w:type="dxa"/>
            <w:vAlign w:val="bottom"/>
            <w:shd w:val="clear" w:color="auto" w:fill="B6B6B6"/>
          </w:tcPr>
          <w:p>
            <w:pPr>
              <w:spacing w:after="0"/>
              <w:rPr>
                <w:sz w:val="19"/>
                <w:szCs w:val="19"/>
                <w:color w:val="auto"/>
              </w:rPr>
            </w:pP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6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29"/>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30"/>
        </w:trPr>
        <w:tc>
          <w:tcPr>
            <w:tcW w:w="63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30"/>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Flat rates</w:t>
            </w:r>
          </w:p>
        </w:tc>
        <w:tc>
          <w:tcPr>
            <w:tcW w:w="3760" w:type="dxa"/>
            <w:vAlign w:val="bottom"/>
            <w:gridSpan w:val="3"/>
          </w:tcPr>
          <w:p>
            <w:pPr>
              <w:jc w:val="right"/>
              <w:ind w:right="291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3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9"/>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340" w:type="dxa"/>
            <w:vAlign w:val="bottom"/>
            <w:gridSpan w:val="3"/>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78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B6B6B6"/>
          </w:tcPr>
          <w:p>
            <w:pPr>
              <w:spacing w:after="0"/>
              <w:rPr>
                <w:sz w:val="19"/>
                <w:szCs w:val="19"/>
                <w:color w:val="auto"/>
              </w:rPr>
            </w:pPr>
          </w:p>
        </w:tc>
        <w:tc>
          <w:tcPr>
            <w:tcW w:w="2820" w:type="dxa"/>
            <w:vAlign w:val="bottom"/>
            <w:shd w:val="clear" w:color="auto" w:fill="B6B6B6"/>
          </w:tcPr>
          <w:p>
            <w:pPr>
              <w:spacing w:after="0"/>
              <w:rPr>
                <w:sz w:val="19"/>
                <w:szCs w:val="19"/>
                <w:color w:val="auto"/>
              </w:rPr>
            </w:pPr>
          </w:p>
        </w:tc>
        <w:tc>
          <w:tcPr>
            <w:tcW w:w="8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generally asset sensitive as average interest-earning assets of $2.19 billion for the third quarter of 2025 greatly exceeded average interest-bearing liabilities of $610.4 million. The table above on the projected impact of interest rate shocks results from a static balance sheet at September 30,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management, under the supervision and with the participation of the principal executive officer and the principal financial officer, evaluated the effectiveness of the Company’s disclosure controls and procedures (as defined in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Rules 13a-15(e) and 15d-15(e) under the Securities Exchange Act of 1934, as amended) as of the end of the period covered by this report and concluded that, as of such date, these controls and procedures were effective.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third quarter of 2025 in the Company's internal control over financial reporting identified by the Company’s principal executive officer and principal financial officer in connection with their evaluation that materially affected or are reasonably likely to materially affect the Company’s internal control over financial reporting (as defined in Rules 13a-15(f) and 15d-15(f) under the Securities Exchange Act of 1934, as amended).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the subject of various pending or threatened legal actions and proceedings, including those that arise in the ordinary course of business. Management believes the outcome of all such proceedings will not have a material effect on the businesses or financial conditions of the Company or its subsidiaries.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Part I, Item 1A of its 2024 Form 10-K, a description of certain risks and uncertainties that could affect the Company’s business, future performance or financial condition (the “Risk Factors”). There are no material changes to the Risk Factors as disclosed in the Company’s 2024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September 30, 2025, the Company repurchased shares of its common stock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700" w:type="dxa"/>
            <w:vAlign w:val="bottom"/>
          </w:tcPr>
          <w:p>
            <w:pPr>
              <w:jc w:val="center"/>
              <w:ind w:right="70"/>
              <w:spacing w:after="0" w:line="184"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1420" w:type="dxa"/>
            <w:vAlign w:val="bottom"/>
          </w:tcPr>
          <w:p>
            <w:pPr>
              <w:jc w:val="right"/>
              <w:ind w:right="270"/>
              <w:spacing w:after="0" w:line="184" w:lineRule="exact"/>
              <w:rPr>
                <w:sz w:val="20"/>
                <w:szCs w:val="20"/>
                <w:color w:val="auto"/>
              </w:rPr>
            </w:pPr>
            <w:r>
              <w:rPr>
                <w:rFonts w:ascii="Times New Roman" w:cs="Times New Roman" w:eastAsia="Times New Roman" w:hAnsi="Times New Roman"/>
                <w:sz w:val="18"/>
                <w:szCs w:val="18"/>
                <w:b w:val="1"/>
                <w:bCs w:val="1"/>
                <w:color w:val="auto"/>
              </w:rPr>
              <w:t>Maximum</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Purchased as</w:t>
            </w:r>
          </w:p>
        </w:tc>
        <w:tc>
          <w:tcPr>
            <w:tcW w:w="1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7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420" w:type="dxa"/>
            <w:vAlign w:val="bottom"/>
          </w:tcPr>
          <w:p>
            <w:pPr>
              <w:jc w:val="center"/>
              <w:spacing w:after="0" w:line="154" w:lineRule="exact"/>
              <w:rPr>
                <w:sz w:val="20"/>
                <w:szCs w:val="20"/>
                <w:color w:val="auto"/>
              </w:rPr>
            </w:pPr>
            <w:r>
              <w:rPr>
                <w:rFonts w:ascii="Times New Roman" w:cs="Times New Roman" w:eastAsia="Times New Roman" w:hAnsi="Times New Roman"/>
                <w:sz w:val="17"/>
                <w:szCs w:val="17"/>
                <w:b w:val="1"/>
                <w:bCs w:val="1"/>
                <w:color w:val="auto"/>
              </w:rPr>
              <w:t>Shares that</w:t>
            </w:r>
          </w:p>
        </w:tc>
        <w:tc>
          <w:tcPr>
            <w:tcW w:w="0" w:type="dxa"/>
            <w:vAlign w:val="bottom"/>
          </w:tcPr>
          <w:p>
            <w:pPr>
              <w:spacing w:after="0"/>
              <w:rPr>
                <w:sz w:val="1"/>
                <w:szCs w:val="1"/>
                <w:color w:val="auto"/>
              </w:rPr>
            </w:pPr>
          </w:p>
        </w:tc>
      </w:tr>
      <w:tr>
        <w:trPr>
          <w:trHeight w:val="81"/>
        </w:trPr>
        <w:tc>
          <w:tcPr>
            <w:tcW w:w="4060" w:type="dxa"/>
            <w:vAlign w:val="bottom"/>
          </w:tcPr>
          <w:p>
            <w:pPr>
              <w:spacing w:after="0"/>
              <w:rPr>
                <w:sz w:val="7"/>
                <w:szCs w:val="7"/>
                <w:color w:val="auto"/>
              </w:rPr>
            </w:pPr>
          </w:p>
        </w:tc>
        <w:tc>
          <w:tcPr>
            <w:tcW w:w="2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1420" w:type="dxa"/>
            <w:vAlign w:val="bottom"/>
            <w:vMerge w:val="restart"/>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6"/>
              </w:rPr>
              <w:t>May Yet Be</w:t>
            </w:r>
          </w:p>
        </w:tc>
        <w:tc>
          <w:tcPr>
            <w:tcW w:w="0" w:type="dxa"/>
            <w:vAlign w:val="bottom"/>
          </w:tcPr>
          <w:p>
            <w:pPr>
              <w:spacing w:after="0"/>
              <w:rPr>
                <w:sz w:val="1"/>
                <w:szCs w:val="1"/>
                <w:color w:val="auto"/>
              </w:rPr>
            </w:pPr>
          </w:p>
        </w:tc>
      </w:tr>
      <w:tr>
        <w:trPr>
          <w:trHeight w:val="103"/>
        </w:trPr>
        <w:tc>
          <w:tcPr>
            <w:tcW w:w="40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restart"/>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060" w:type="dxa"/>
            <w:vAlign w:val="bottom"/>
          </w:tcPr>
          <w:p>
            <w:pPr>
              <w:spacing w:after="0"/>
              <w:rPr>
                <w:sz w:val="8"/>
                <w:szCs w:val="8"/>
                <w:color w:val="auto"/>
              </w:rPr>
            </w:pPr>
          </w:p>
        </w:tc>
        <w:tc>
          <w:tcPr>
            <w:tcW w:w="2360" w:type="dxa"/>
            <w:vAlign w:val="bottom"/>
            <w:vMerge w:val="restart"/>
          </w:tcPr>
          <w:p>
            <w:pPr>
              <w:jc w:val="center"/>
              <w:ind w:left="7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42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Purchased</w:t>
            </w:r>
          </w:p>
        </w:tc>
        <w:tc>
          <w:tcPr>
            <w:tcW w:w="0" w:type="dxa"/>
            <w:vAlign w:val="bottom"/>
          </w:tcPr>
          <w:p>
            <w:pPr>
              <w:spacing w:after="0"/>
              <w:rPr>
                <w:sz w:val="1"/>
                <w:szCs w:val="1"/>
                <w:color w:val="auto"/>
              </w:rPr>
            </w:pPr>
          </w:p>
        </w:tc>
      </w:tr>
      <w:tr>
        <w:trPr>
          <w:trHeight w:val="90"/>
        </w:trPr>
        <w:tc>
          <w:tcPr>
            <w:tcW w:w="406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4060" w:type="dxa"/>
            <w:vAlign w:val="bottom"/>
          </w:tcPr>
          <w:p>
            <w:pPr>
              <w:spacing w:after="0"/>
              <w:rPr>
                <w:sz w:val="10"/>
                <w:szCs w:val="10"/>
                <w:color w:val="auto"/>
              </w:rPr>
            </w:pPr>
          </w:p>
        </w:tc>
        <w:tc>
          <w:tcPr>
            <w:tcW w:w="2360" w:type="dxa"/>
            <w:vAlign w:val="bottom"/>
            <w:vMerge w:val="restart"/>
          </w:tcPr>
          <w:p>
            <w:pPr>
              <w:jc w:val="center"/>
              <w:ind w:left="79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420" w:type="dxa"/>
            <w:vAlign w:val="bottom"/>
            <w:vMerge w:val="restart"/>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Under the</w:t>
            </w:r>
          </w:p>
        </w:tc>
        <w:tc>
          <w:tcPr>
            <w:tcW w:w="0" w:type="dxa"/>
            <w:vAlign w:val="bottom"/>
          </w:tcPr>
          <w:p>
            <w:pPr>
              <w:spacing w:after="0"/>
              <w:rPr>
                <w:sz w:val="1"/>
                <w:szCs w:val="1"/>
                <w:color w:val="auto"/>
              </w:rPr>
            </w:pPr>
          </w:p>
        </w:tc>
      </w:tr>
      <w:tr>
        <w:trPr>
          <w:trHeight w:val="49"/>
        </w:trPr>
        <w:tc>
          <w:tcPr>
            <w:tcW w:w="406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Plans or</w:t>
            </w: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60" w:type="dxa"/>
            <w:vAlign w:val="bottom"/>
            <w:vMerge w:val="restart"/>
          </w:tcPr>
          <w:p>
            <w:pPr>
              <w:ind w:left="2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60" w:type="dxa"/>
            <w:vAlign w:val="bottom"/>
          </w:tcPr>
          <w:p>
            <w:pPr>
              <w:jc w:val="center"/>
              <w:ind w:left="7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auto"/>
            </w:tcBorders>
            <w:vMerge w:val="continue"/>
          </w:tcPr>
          <w:p>
            <w:pPr>
              <w:spacing w:after="0"/>
              <w:rPr>
                <w:sz w:val="21"/>
                <w:szCs w:val="21"/>
                <w:color w:val="auto"/>
              </w:rPr>
            </w:pPr>
          </w:p>
        </w:tc>
        <w:tc>
          <w:tcPr>
            <w:tcW w:w="2360" w:type="dxa"/>
            <w:vAlign w:val="bottom"/>
            <w:tcBorders>
              <w:bottom w:val="single" w:sz="8" w:color="auto"/>
            </w:tcBorders>
          </w:tcPr>
          <w:p>
            <w:pPr>
              <w:jc w:val="center"/>
              <w:ind w:left="81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Purchased</w:t>
            </w:r>
            <w:r>
              <w:rPr>
                <w:rFonts w:ascii="Times New Roman" w:cs="Times New Roman" w:eastAsia="Times New Roman" w:hAnsi="Times New Roman"/>
                <w:sz w:val="23"/>
                <w:szCs w:val="23"/>
                <w:b w:val="1"/>
                <w:bCs w:val="1"/>
                <w:color w:val="auto"/>
                <w:w w:val="95"/>
                <w:vertAlign w:val="superscript"/>
              </w:rPr>
              <w:t>(1)</w:t>
            </w: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700" w:type="dxa"/>
            <w:vAlign w:val="bottom"/>
            <w:tcBorders>
              <w:bottom w:val="single" w:sz="8" w:color="auto"/>
            </w:tcBorders>
          </w:tcPr>
          <w:p>
            <w:pPr>
              <w:jc w:val="center"/>
              <w:ind w:right="70"/>
              <w:spacing w:after="0" w:line="243" w:lineRule="exact"/>
              <w:rPr>
                <w:sz w:val="20"/>
                <w:szCs w:val="20"/>
                <w:color w:val="auto"/>
              </w:rPr>
            </w:pPr>
            <w:r>
              <w:rPr>
                <w:rFonts w:ascii="Times New Roman" w:cs="Times New Roman" w:eastAsia="Times New Roman" w:hAnsi="Times New Roman"/>
                <w:sz w:val="18"/>
                <w:szCs w:val="18"/>
                <w:b w:val="1"/>
                <w:bCs w:val="1"/>
                <w:color w:val="auto"/>
                <w:w w:val="95"/>
              </w:rPr>
              <w:t>Programs</w:t>
            </w:r>
            <w:r>
              <w:rPr>
                <w:rFonts w:ascii="Times New Roman" w:cs="Times New Roman" w:eastAsia="Times New Roman" w:hAnsi="Times New Roman"/>
                <w:sz w:val="23"/>
                <w:szCs w:val="23"/>
                <w:b w:val="1"/>
                <w:bCs w:val="1"/>
                <w:color w:val="auto"/>
                <w:w w:val="95"/>
                <w:vertAlign w:val="superscript"/>
              </w:rPr>
              <w:t>(2)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50"/>
        </w:trPr>
        <w:tc>
          <w:tcPr>
            <w:tcW w:w="4060" w:type="dxa"/>
            <w:vAlign w:val="bottom"/>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July 1, 2025–July 31, 2025</w:t>
            </w:r>
          </w:p>
        </w:tc>
        <w:tc>
          <w:tcPr>
            <w:tcW w:w="236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54,869</w:t>
            </w:r>
          </w:p>
        </w:tc>
        <w:tc>
          <w:tcPr>
            <w:tcW w:w="2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42.94</w:t>
            </w:r>
          </w:p>
        </w:tc>
        <w:tc>
          <w:tcPr>
            <w:tcW w:w="1700" w:type="dxa"/>
            <w:vAlign w:val="bottom"/>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54,869</w:t>
            </w:r>
          </w:p>
        </w:tc>
        <w:tc>
          <w:tcPr>
            <w:tcW w:w="1420" w:type="dxa"/>
            <w:vAlign w:val="bottom"/>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445,131</w:t>
            </w:r>
          </w:p>
        </w:tc>
        <w:tc>
          <w:tcPr>
            <w:tcW w:w="0" w:type="dxa"/>
            <w:vAlign w:val="bottom"/>
          </w:tcPr>
          <w:p>
            <w:pPr>
              <w:spacing w:after="0"/>
              <w:rPr>
                <w:sz w:val="1"/>
                <w:szCs w:val="1"/>
                <w:color w:val="auto"/>
              </w:rPr>
            </w:pPr>
          </w:p>
        </w:tc>
      </w:tr>
      <w:tr>
        <w:trPr>
          <w:trHeight w:val="25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2025–August 31, 2025</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80,600</w:t>
            </w:r>
          </w:p>
        </w:tc>
        <w:tc>
          <w:tcPr>
            <w:tcW w:w="220" w:type="dxa"/>
            <w:vAlign w:val="bottom"/>
          </w:tcPr>
          <w:p>
            <w:pPr>
              <w:spacing w:after="0"/>
              <w:rPr>
                <w:sz w:val="21"/>
                <w:szCs w:val="21"/>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42.19</w:t>
            </w:r>
          </w:p>
        </w:tc>
        <w:tc>
          <w:tcPr>
            <w:tcW w:w="1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80,600</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364,531</w:t>
            </w:r>
          </w:p>
        </w:tc>
        <w:tc>
          <w:tcPr>
            <w:tcW w:w="0" w:type="dxa"/>
            <w:vAlign w:val="bottom"/>
          </w:tcPr>
          <w:p>
            <w:pPr>
              <w:spacing w:after="0"/>
              <w:rPr>
                <w:sz w:val="1"/>
                <w:szCs w:val="1"/>
                <w:color w:val="auto"/>
              </w:rPr>
            </w:pPr>
          </w:p>
        </w:tc>
      </w:tr>
      <w:tr>
        <w:trPr>
          <w:trHeight w:val="257"/>
        </w:trPr>
        <w:tc>
          <w:tcPr>
            <w:tcW w:w="4060" w:type="dxa"/>
            <w:vAlign w:val="bottom"/>
            <w:tcBorders>
              <w:bottom w:val="single" w:sz="8" w:color="auto"/>
            </w:tcBorders>
            <w:shd w:val="clear" w:color="auto" w:fill="B6B6B6"/>
          </w:tcPr>
          <w:p>
            <w:pPr>
              <w:ind w:left="20"/>
              <w:spacing w:after="0"/>
              <w:rPr>
                <w:sz w:val="20"/>
                <w:szCs w:val="20"/>
                <w:color w:val="auto"/>
              </w:rPr>
            </w:pPr>
            <w:r>
              <w:rPr>
                <w:rFonts w:ascii="Times New Roman" w:cs="Times New Roman" w:eastAsia="Times New Roman" w:hAnsi="Times New Roman"/>
                <w:sz w:val="18"/>
                <w:szCs w:val="18"/>
                <w:color w:val="auto"/>
              </w:rPr>
              <w:t>September 1, 2025–September 30, 2025</w:t>
            </w:r>
          </w:p>
        </w:tc>
        <w:tc>
          <w:tcPr>
            <w:tcW w:w="236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220" w:type="dxa"/>
            <w:vAlign w:val="bottom"/>
            <w:tcBorders>
              <w:bottom w:val="single" w:sz="8" w:color="auto"/>
            </w:tcBorders>
            <w:shd w:val="clear" w:color="auto" w:fill="B6B6B6"/>
          </w:tcPr>
          <w:p>
            <w:pPr>
              <w:spacing w:after="0"/>
              <w:rPr>
                <w:sz w:val="22"/>
                <w:szCs w:val="22"/>
                <w:color w:val="auto"/>
              </w:rPr>
            </w:pPr>
          </w:p>
        </w:tc>
        <w:tc>
          <w:tcPr>
            <w:tcW w:w="1480" w:type="dxa"/>
            <w:vAlign w:val="bottom"/>
            <w:tcBorders>
              <w:bottom w:val="single" w:sz="8" w:color="auto"/>
            </w:tcBorders>
            <w:shd w:val="clear" w:color="auto" w:fill="B6B6B6"/>
          </w:tcPr>
          <w:p>
            <w:pPr>
              <w:jc w:val="right"/>
              <w:ind w:right="130"/>
              <w:spacing w:after="0"/>
              <w:rPr>
                <w:sz w:val="20"/>
                <w:szCs w:val="20"/>
                <w:color w:val="auto"/>
              </w:rPr>
            </w:pPr>
            <w:r>
              <w:rPr>
                <w:rFonts w:ascii="Times New Roman" w:cs="Times New Roman" w:eastAsia="Times New Roman" w:hAnsi="Times New Roman"/>
                <w:sz w:val="18"/>
                <w:szCs w:val="18"/>
                <w:color w:val="auto"/>
              </w:rPr>
              <w:t>43.41</w:t>
            </w:r>
          </w:p>
        </w:tc>
        <w:tc>
          <w:tcPr>
            <w:tcW w:w="1700" w:type="dxa"/>
            <w:vAlign w:val="bottom"/>
            <w:tcBorders>
              <w:bottom w:val="single" w:sz="8" w:color="auto"/>
            </w:tcBorders>
            <w:shd w:val="clear" w:color="auto" w:fill="B6B6B6"/>
          </w:tcPr>
          <w:p>
            <w:pPr>
              <w:jc w:val="right"/>
              <w:ind w:right="150"/>
              <w:spacing w:after="0"/>
              <w:rPr>
                <w:sz w:val="20"/>
                <w:szCs w:val="20"/>
                <w:color w:val="auto"/>
              </w:rPr>
            </w:pPr>
            <w:r>
              <w:rPr>
                <w:rFonts w:ascii="Times New Roman" w:cs="Times New Roman" w:eastAsia="Times New Roman" w:hAnsi="Times New Roman"/>
                <w:sz w:val="18"/>
                <w:szCs w:val="18"/>
                <w:color w:val="auto"/>
              </w:rPr>
              <w:t>24,118</w:t>
            </w:r>
          </w:p>
        </w:tc>
        <w:tc>
          <w:tcPr>
            <w:tcW w:w="1420" w:type="dxa"/>
            <w:vAlign w:val="bottom"/>
            <w:tcBorders>
              <w:bottom w:val="single" w:sz="8" w:color="auto"/>
            </w:tcBorders>
            <w:shd w:val="clear" w:color="auto" w:fill="B6B6B6"/>
          </w:tcPr>
          <w:p>
            <w:pPr>
              <w:jc w:val="right"/>
              <w:spacing w:after="0"/>
              <w:rPr>
                <w:sz w:val="20"/>
                <w:szCs w:val="20"/>
                <w:color w:val="auto"/>
              </w:rPr>
            </w:pPr>
            <w:r>
              <w:rPr>
                <w:rFonts w:ascii="Times New Roman" w:cs="Times New Roman" w:eastAsia="Times New Roman" w:hAnsi="Times New Roman"/>
                <w:sz w:val="18"/>
                <w:szCs w:val="18"/>
                <w:color w:val="auto"/>
              </w:rPr>
              <w:t>340,413</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159,587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42.63</w:t>
            </w:r>
          </w:p>
        </w:tc>
        <w:tc>
          <w:tcPr>
            <w:tcW w:w="1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159,587</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340,413</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20" w:hanging="332"/>
        <w:spacing w:after="0" w:line="261"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ended September 30, 2025, there were 159,587 shares repurchased pursuant to the Company's publicly announced treasury stock buyback program and no shares transferred from employees in satisfaction of tax withholding obligations upon the vesting of restricted stock.</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15, 2025, the Board of Directors authorized the repurchase of up to 500,000 shares of the Company's common stock with no expiration date.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rFonts w:ascii="Times New Roman" w:cs="Times New Roman" w:eastAsia="Times New Roman" w:hAnsi="Times New Roman"/>
          <w:sz w:val="18"/>
          <w:szCs w:val="18"/>
          <w:color w:val="auto"/>
        </w:rPr>
      </w:pPr>
    </w:p>
    <w:p>
      <w:pPr>
        <w:ind w:left="660" w:right="40" w:hanging="652"/>
        <w:spacing w:after="0" w:line="282"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changes to the procedures by which security holders may recommend nominees to the Company’s Board of Directors implemented in the third quarter of 2025.</w:t>
      </w:r>
    </w:p>
    <w:p>
      <w:pPr>
        <w:spacing w:after="0" w:line="121"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5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none of the Company's officers or directors adopted or terminated any "Rule 10b5-1 trading arrangement" or any “non-Rule 10b5-1 trading arrangement,” as such terms are defined under Item 408 of Regulation S-K.</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31.1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31.2 Certification Pursuant to Section 302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32.1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Exhibit 32.2 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p>
      <w:pPr>
        <w:spacing w:after="0" w:line="77"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Exhibit 101.INS XBRL Instance Document. The instance document does not appear in the Interactive Data File because its XBRL tags are embedded within the Inline XBRL document.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101.SCH Inline XBRL Taxonomy Extension Schema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101.CAL Inline XBRL Taxonomy Extension Calculation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101.LAB Inline XBRL Taxonomy Extension Label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101.PRE Inline XBRL Taxonomy Extension Presentation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101.DEF Inline XBRL Taxonomy Extension Definition Linkbase Document.</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Exhibit 104 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CASS INFORMATION SYSTEMS, INC.</w:t>
      </w:r>
    </w:p>
    <w:p>
      <w:pPr>
        <w:sectPr>
          <w:pgSz w:w="11900" w:h="16838" w:orient="portrait"/>
          <w:cols w:equalWidth="0" w:num="1">
            <w:col w:w="11240"/>
          </w:cols>
          <w:pgMar w:left="320" w:top="117" w:right="339" w:bottom="1440" w:gutter="0" w:footer="0" w:header="0"/>
        </w:sect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November 4, 2025</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278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-1764665</wp:posOffset>
            </wp:positionH>
            <wp:positionV relativeFrom="paragraph">
              <wp:posOffset>26035</wp:posOffset>
            </wp:positionV>
            <wp:extent cx="4431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3">
            <w:col w:w="3160" w:space="720"/>
            <w:col w:w="2440" w:space="720"/>
            <w:col w:w="4200"/>
          </w:cols>
          <w:pgMar w:left="320" w:top="117" w:right="339" w:bottom="1440" w:gutter="0" w:footer="0" w:header="0"/>
          <w:type w:val="continuous"/>
        </w:sectPr>
      </w:pPr>
    </w:p>
    <w:p>
      <w:pPr>
        <w:jc w:val="center"/>
        <w:ind w:left="4240"/>
        <w:spacing w:after="0"/>
        <w:rPr>
          <w:sz w:val="20"/>
          <w:szCs w:val="20"/>
          <w:color w:val="auto"/>
        </w:rPr>
      </w:pPr>
      <w:r>
        <w:rPr>
          <w:rFonts w:ascii="Times New Roman" w:cs="Times New Roman" w:eastAsia="Times New Roman" w:hAnsi="Times New Roman"/>
          <w:sz w:val="18"/>
          <w:szCs w:val="18"/>
          <w:color w:val="auto"/>
        </w:rPr>
        <w:t>Martin H. Resch</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50"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2025</w:t>
            </w:r>
          </w:p>
        </w:tc>
        <w:tc>
          <w:tcPr>
            <w:tcW w:w="1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By</w:t>
            </w:r>
          </w:p>
        </w:tc>
        <w:tc>
          <w:tcPr>
            <w:tcW w:w="6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Michael J. Normile</w:t>
            </w:r>
          </w:p>
        </w:tc>
      </w:tr>
      <w:tr>
        <w:trPr>
          <w:trHeight w:val="243"/>
        </w:trPr>
        <w:tc>
          <w:tcPr>
            <w:tcW w:w="28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J. Normile</w:t>
            </w:r>
          </w:p>
        </w:tc>
      </w:tr>
      <w:tr>
        <w:trPr>
          <w:trHeight w:val="257"/>
        </w:trPr>
        <w:tc>
          <w:tcPr>
            <w:tcW w:w="2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56"/>
        </w:trPr>
        <w:tc>
          <w:tcPr>
            <w:tcW w:w="28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r>
        <w:trPr>
          <w:trHeight w:val="918"/>
        </w:trPr>
        <w:tc>
          <w:tcPr>
            <w:tcW w:w="2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980" w:type="dxa"/>
            <w:vAlign w:val="bottom"/>
          </w:tcPr>
          <w:p>
            <w:pPr>
              <w:jc w:val="right"/>
              <w:ind w:right="5370"/>
              <w:spacing w:after="0"/>
              <w:rPr>
                <w:sz w:val="20"/>
                <w:szCs w:val="20"/>
                <w:color w:val="auto"/>
              </w:rPr>
            </w:pPr>
            <w:r>
              <w:rPr>
                <w:rFonts w:ascii="Times New Roman" w:cs="Times New Roman" w:eastAsia="Times New Roman" w:hAnsi="Times New Roman"/>
                <w:sz w:val="18"/>
                <w:szCs w:val="18"/>
                <w:color w:val="auto"/>
              </w:rPr>
              <w:t>-45-</w:t>
            </w:r>
          </w:p>
        </w:tc>
      </w:tr>
    </w:tbl>
    <w:p>
      <w:pPr>
        <w:sectPr>
          <w:pgSz w:w="11900" w:h="16838" w:orient="portrait"/>
          <w:cols w:equalWidth="0" w:num="1">
            <w:col w:w="11240"/>
          </w:cols>
          <w:pgMar w:left="320" w:top="117" w:right="339" w:bottom="1440" w:gutter="0" w:footer="0" w:header="0"/>
          <w:type w:val="continuous"/>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H. Resch,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14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Normile,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Cass Information Systems,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4, 2025</w:t>
      </w:r>
    </w:p>
    <w:p>
      <w:pPr>
        <w:spacing w:after="0" w:line="5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14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September 30, 2025 as filed with the Securities and Exchange Commission on the date hereof (the “Report”), I, Martin H. Resch, President and Chief Executive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Martin H. 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Martin H. Resch</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4, 2025</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92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Cass Information Systems, Inc. (“the Company”) on Form 10-Q for the period ended September 30, 2025 as filed with the Securities and Exchange Commission on the date hereof (the “Report”), I, Michael J. Normile, Executive Vice President and Chief Financial Officer of the Company, certify, pursuant to 18 U.S.C. § 1350, as adopted pursuant to §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Michael J. Normile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J. Normile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November 4, 2025</w:t>
      </w:r>
    </w:p>
    <w:p>
      <w:pPr>
        <w:spacing w:after="0" w:line="3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Cass Information Systems, Inc. and will be retained by Cass Information Systems, Inc. and furnished to the Securities and Exchange Commission or its staff upon request.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1"/>
      <w:numFmt w:val="bullet"/>
      <w:start w:val="1"/>
    </w:lvl>
  </w:abstractNum>
  <w:abstractNum w:abstractNumId="3">
    <w:nsid w:val="216231B"/>
    <w:multiLevelType w:val="hybridMultilevel"/>
    <w:lvl w:ilvl="0">
      <w:lvlJc w:val="left"/>
      <w:lvlText w:val="2"/>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2025-11-04T09:06:04Z</dcterms:created>
  <dcterms:modified xsi:type="dcterms:W3CDTF">2025-11-04T09:06:04Z</dcterms:modified>
</cp:coreProperties>
</file>