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_________________</w:t>
      </w: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ind w:left="220"/>
        <w:spacing w:after="0"/>
        <w:tabs>
          <w:tab w:leader="none" w:pos="26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March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1528445</wp:posOffset>
            </wp:positionH>
            <wp:positionV relativeFrom="paragraph">
              <wp:posOffset>-13970</wp:posOffset>
            </wp:positionV>
            <wp:extent cx="1322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66" w:lineRule="exact"/>
        <w:rPr>
          <w:sz w:val="24"/>
          <w:szCs w:val="24"/>
          <w:color w:val="auto"/>
        </w:rPr>
      </w:pPr>
    </w:p>
    <w:p>
      <w:pPr>
        <w:ind w:left="220" w:right="2680" w:hanging="212"/>
        <w:spacing w:after="0" w:line="474" w:lineRule="auto"/>
        <w:tabs>
          <w:tab w:leader="none" w:pos="244"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 to 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000-20827</w:t>
      </w:r>
    </w:p>
    <w:p>
      <w:pPr>
        <w:spacing w:after="0" w:line="8"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________________</w:t>
      </w:r>
    </w:p>
    <w:p>
      <w:pPr>
        <w:jc w:val="center"/>
        <w:ind w:right="60"/>
        <w:spacing w:after="0"/>
        <w:rPr>
          <w:sz w:val="20"/>
          <w:szCs w:val="20"/>
          <w:color w:val="auto"/>
        </w:rPr>
      </w:pPr>
      <w:r>
        <w:rPr>
          <w:rFonts w:ascii="Arial" w:cs="Arial" w:eastAsia="Arial" w:hAnsi="Arial"/>
          <w:sz w:val="22"/>
          <w:szCs w:val="22"/>
          <w:b w:val="1"/>
          <w:bCs w:val="1"/>
          <w:color w:val="auto"/>
        </w:rPr>
        <w:t>CASS INFORMATION SYSTEMS, INC.</w:t>
      </w:r>
    </w:p>
    <w:tbl>
      <w:tblPr>
        <w:tblLayout w:type="fixed"/>
        <w:tblInd w:w="1420" w:type="dxa"/>
        <w:tblCellMar>
          <w:top w:w="0" w:type="dxa"/>
          <w:left w:w="0" w:type="dxa"/>
          <w:bottom w:w="0" w:type="dxa"/>
          <w:right w:w="0" w:type="dxa"/>
        </w:tblCellMar>
      </w:tblPr>
      <w:tr>
        <w:trPr>
          <w:trHeight w:val="222"/>
        </w:trPr>
        <w:tc>
          <w:tcPr>
            <w:tcW w:w="6120" w:type="dxa"/>
            <w:vAlign w:val="bottom"/>
          </w:tcPr>
          <w:p>
            <w:pPr>
              <w:ind w:left="2480"/>
              <w:spacing w:after="0"/>
              <w:rPr>
                <w:sz w:val="20"/>
                <w:szCs w:val="20"/>
                <w:color w:val="auto"/>
              </w:rPr>
            </w:pPr>
            <w:r>
              <w:rPr>
                <w:rFonts w:ascii="Arial" w:cs="Arial" w:eastAsia="Arial" w:hAnsi="Arial"/>
                <w:sz w:val="18"/>
                <w:szCs w:val="18"/>
                <w:color w:val="auto"/>
                <w:w w:val="88"/>
              </w:rPr>
              <w:t>(Exact name of registrant as specified in its charter)</w:t>
            </w:r>
          </w:p>
        </w:tc>
        <w:tc>
          <w:tcPr>
            <w:tcW w:w="2560" w:type="dxa"/>
            <w:vAlign w:val="bottom"/>
          </w:tcPr>
          <w:p>
            <w:pPr>
              <w:spacing w:after="0"/>
              <w:rPr>
                <w:sz w:val="19"/>
                <w:szCs w:val="19"/>
                <w:color w:val="auto"/>
              </w:rPr>
            </w:pPr>
          </w:p>
        </w:tc>
      </w:tr>
      <w:tr>
        <w:trPr>
          <w:trHeight w:val="432"/>
        </w:trPr>
        <w:tc>
          <w:tcPr>
            <w:tcW w:w="6120" w:type="dxa"/>
            <w:vAlign w:val="bottom"/>
          </w:tcPr>
          <w:p>
            <w:pPr>
              <w:jc w:val="center"/>
              <w:ind w:right="2812"/>
              <w:spacing w:after="0"/>
              <w:rPr>
                <w:sz w:val="20"/>
                <w:szCs w:val="20"/>
                <w:color w:val="auto"/>
              </w:rPr>
            </w:pPr>
            <w:r>
              <w:rPr>
                <w:rFonts w:ascii="Arial" w:cs="Arial" w:eastAsia="Arial" w:hAnsi="Arial"/>
                <w:sz w:val="18"/>
                <w:szCs w:val="18"/>
                <w:b w:val="1"/>
                <w:bCs w:val="1"/>
                <w:color w:val="auto"/>
                <w:w w:val="89"/>
              </w:rPr>
              <w:t>Missouri</w:t>
            </w:r>
          </w:p>
        </w:tc>
        <w:tc>
          <w:tcPr>
            <w:tcW w:w="2560" w:type="dxa"/>
            <w:vAlign w:val="bottom"/>
          </w:tcPr>
          <w:p>
            <w:pPr>
              <w:jc w:val="right"/>
              <w:ind w:right="752"/>
              <w:spacing w:after="0"/>
              <w:rPr>
                <w:sz w:val="20"/>
                <w:szCs w:val="20"/>
                <w:color w:val="auto"/>
              </w:rPr>
            </w:pPr>
            <w:r>
              <w:rPr>
                <w:rFonts w:ascii="Arial" w:cs="Arial" w:eastAsia="Arial" w:hAnsi="Arial"/>
                <w:sz w:val="18"/>
                <w:szCs w:val="18"/>
                <w:b w:val="1"/>
                <w:bCs w:val="1"/>
                <w:color w:val="auto"/>
              </w:rPr>
              <w:t>43-1265338</w:t>
            </w:r>
          </w:p>
        </w:tc>
      </w:tr>
      <w:tr>
        <w:trPr>
          <w:trHeight w:val="243"/>
        </w:trPr>
        <w:tc>
          <w:tcPr>
            <w:tcW w:w="6120" w:type="dxa"/>
            <w:vAlign w:val="bottom"/>
          </w:tcPr>
          <w:p>
            <w:pPr>
              <w:jc w:val="center"/>
              <w:ind w:right="2812"/>
              <w:spacing w:after="0"/>
              <w:rPr>
                <w:sz w:val="20"/>
                <w:szCs w:val="20"/>
                <w:color w:val="auto"/>
              </w:rPr>
            </w:pPr>
            <w:r>
              <w:rPr>
                <w:rFonts w:ascii="Arial" w:cs="Arial" w:eastAsia="Arial" w:hAnsi="Arial"/>
                <w:sz w:val="18"/>
                <w:szCs w:val="18"/>
                <w:color w:val="auto"/>
                <w:w w:val="90"/>
              </w:rPr>
              <w:t>(State or other jurisdiction of incorporation or</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243"/>
        </w:trPr>
        <w:tc>
          <w:tcPr>
            <w:tcW w:w="6120" w:type="dxa"/>
            <w:vAlign w:val="bottom"/>
          </w:tcPr>
          <w:p>
            <w:pPr>
              <w:jc w:val="center"/>
              <w:ind w:right="2812"/>
              <w:spacing w:after="0"/>
              <w:rPr>
                <w:sz w:val="20"/>
                <w:szCs w:val="20"/>
                <w:color w:val="auto"/>
              </w:rPr>
            </w:pPr>
            <w:r>
              <w:rPr>
                <w:rFonts w:ascii="Arial" w:cs="Arial" w:eastAsia="Arial" w:hAnsi="Arial"/>
                <w:sz w:val="18"/>
                <w:szCs w:val="18"/>
                <w:color w:val="auto"/>
                <w:w w:val="90"/>
              </w:rPr>
              <w:t>organization)</w:t>
            </w:r>
          </w:p>
        </w:tc>
        <w:tc>
          <w:tcPr>
            <w:tcW w:w="2560" w:type="dxa"/>
            <w:vAlign w:val="bottom"/>
          </w:tcPr>
          <w:p>
            <w:pPr>
              <w:spacing w:after="0"/>
              <w:rPr>
                <w:sz w:val="21"/>
                <w:szCs w:val="21"/>
                <w:color w:val="auto"/>
              </w:rPr>
            </w:pPr>
          </w:p>
        </w:tc>
      </w:tr>
      <w:tr>
        <w:trPr>
          <w:trHeight w:val="243"/>
        </w:trPr>
        <w:tc>
          <w:tcPr>
            <w:tcW w:w="6120" w:type="dxa"/>
            <w:vAlign w:val="bottom"/>
          </w:tcPr>
          <w:p>
            <w:pPr>
              <w:jc w:val="center"/>
              <w:ind w:right="2812"/>
              <w:spacing w:after="0"/>
              <w:rPr>
                <w:sz w:val="20"/>
                <w:szCs w:val="20"/>
                <w:color w:val="auto"/>
              </w:rPr>
            </w:pPr>
            <w:r>
              <w:rPr>
                <w:rFonts w:ascii="Arial" w:cs="Arial" w:eastAsia="Arial" w:hAnsi="Arial"/>
                <w:sz w:val="18"/>
                <w:szCs w:val="18"/>
                <w:b w:val="1"/>
                <w:bCs w:val="1"/>
                <w:color w:val="auto"/>
                <w:w w:val="87"/>
              </w:rPr>
              <w:t>12444 Powerscourt Drive, Suite 550</w:t>
            </w:r>
          </w:p>
        </w:tc>
        <w:tc>
          <w:tcPr>
            <w:tcW w:w="2560" w:type="dxa"/>
            <w:vAlign w:val="bottom"/>
          </w:tcPr>
          <w:p>
            <w:pPr>
              <w:spacing w:after="0"/>
              <w:rPr>
                <w:sz w:val="21"/>
                <w:szCs w:val="21"/>
                <w:color w:val="auto"/>
              </w:rPr>
            </w:pPr>
          </w:p>
        </w:tc>
      </w:tr>
      <w:tr>
        <w:trPr>
          <w:trHeight w:val="243"/>
        </w:trPr>
        <w:tc>
          <w:tcPr>
            <w:tcW w:w="6120" w:type="dxa"/>
            <w:vAlign w:val="bottom"/>
          </w:tcPr>
          <w:p>
            <w:pPr>
              <w:jc w:val="center"/>
              <w:ind w:right="2812"/>
              <w:spacing w:after="0"/>
              <w:rPr>
                <w:sz w:val="20"/>
                <w:szCs w:val="20"/>
                <w:color w:val="auto"/>
              </w:rPr>
            </w:pPr>
            <w:r>
              <w:rPr>
                <w:rFonts w:ascii="Arial" w:cs="Arial" w:eastAsia="Arial" w:hAnsi="Arial"/>
                <w:sz w:val="18"/>
                <w:szCs w:val="18"/>
                <w:b w:val="1"/>
                <w:bCs w:val="1"/>
                <w:color w:val="auto"/>
                <w:w w:val="88"/>
              </w:rPr>
              <w:t>St. Louis, Missouri</w:t>
            </w:r>
          </w:p>
        </w:tc>
        <w:tc>
          <w:tcPr>
            <w:tcW w:w="2560" w:type="dxa"/>
            <w:vAlign w:val="bottom"/>
          </w:tcPr>
          <w:p>
            <w:pPr>
              <w:jc w:val="right"/>
              <w:ind w:right="972"/>
              <w:spacing w:after="0"/>
              <w:rPr>
                <w:sz w:val="20"/>
                <w:szCs w:val="20"/>
                <w:color w:val="auto"/>
              </w:rPr>
            </w:pPr>
            <w:r>
              <w:rPr>
                <w:rFonts w:ascii="Arial" w:cs="Arial" w:eastAsia="Arial" w:hAnsi="Arial"/>
                <w:sz w:val="18"/>
                <w:szCs w:val="18"/>
                <w:b w:val="1"/>
                <w:bCs w:val="1"/>
                <w:color w:val="auto"/>
              </w:rPr>
              <w:t>63131</w:t>
            </w:r>
          </w:p>
        </w:tc>
      </w:tr>
      <w:tr>
        <w:trPr>
          <w:trHeight w:val="243"/>
        </w:trPr>
        <w:tc>
          <w:tcPr>
            <w:tcW w:w="6120" w:type="dxa"/>
            <w:vAlign w:val="bottom"/>
          </w:tcPr>
          <w:p>
            <w:pPr>
              <w:jc w:val="center"/>
              <w:ind w:right="2812"/>
              <w:spacing w:after="0"/>
              <w:rPr>
                <w:sz w:val="20"/>
                <w:szCs w:val="20"/>
                <w:color w:val="auto"/>
              </w:rPr>
            </w:pPr>
            <w:r>
              <w:rPr>
                <w:rFonts w:ascii="Arial" w:cs="Arial" w:eastAsia="Arial" w:hAnsi="Arial"/>
                <w:sz w:val="18"/>
                <w:szCs w:val="18"/>
                <w:color w:val="auto"/>
                <w:w w:val="90"/>
              </w:rPr>
              <w:t>(Address of principal executive offices)</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506-5500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________________</w:t>
      </w:r>
    </w:p>
    <w:p>
      <w:pPr>
        <w:spacing w:after="0" w:line="197"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460"/>
        <w:spacing w:after="0"/>
        <w:tabs>
          <w:tab w:leader="none" w:pos="5160" w:val="left"/>
          <w:tab w:leader="none" w:pos="6000" w:val="left"/>
          <w:tab w:leader="none" w:pos="6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5"/>
          <w:szCs w:val="15"/>
          <w:color w:val="auto"/>
        </w:rPr>
        <w:t>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3183255</wp:posOffset>
            </wp:positionH>
            <wp:positionV relativeFrom="paragraph">
              <wp:posOffset>-17780</wp:posOffset>
            </wp:positionV>
            <wp:extent cx="303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ind w:left="4460"/>
        <w:spacing w:after="0"/>
        <w:tabs>
          <w:tab w:leader="none" w:pos="5160" w:val="left"/>
          <w:tab w:leader="none" w:pos="6000" w:val="left"/>
          <w:tab w:leader="none" w:pos="6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5"/>
          <w:szCs w:val="15"/>
          <w:color w:val="auto"/>
        </w:rPr>
        <w:t>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3183255</wp:posOffset>
            </wp:positionH>
            <wp:positionV relativeFrom="paragraph">
              <wp:posOffset>-17780</wp:posOffset>
            </wp:positionV>
            <wp:extent cx="303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jc w:val="both"/>
        <w:ind w:firstLine="27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3460" w:type="dxa"/>
            <w:vAlign w:val="bottom"/>
          </w:tcPr>
          <w:p>
            <w:pPr>
              <w:spacing w:after="0"/>
              <w:rPr>
                <w:sz w:val="20"/>
                <w:szCs w:val="20"/>
                <w:color w:val="auto"/>
              </w:rPr>
            </w:pPr>
            <w:r>
              <w:rPr>
                <w:rFonts w:ascii="Arial" w:cs="Arial" w:eastAsia="Arial" w:hAnsi="Arial"/>
                <w:sz w:val="18"/>
                <w:szCs w:val="18"/>
                <w:color w:val="auto"/>
              </w:rPr>
              <w:t>Large Accelerated Filer _____</w:t>
            </w:r>
          </w:p>
        </w:tc>
        <w:tc>
          <w:tcPr>
            <w:tcW w:w="3300" w:type="dxa"/>
            <w:vAlign w:val="bottom"/>
            <w:gridSpan w:val="3"/>
          </w:tcPr>
          <w:p>
            <w:pPr>
              <w:ind w:left="200"/>
              <w:spacing w:after="0"/>
              <w:rPr>
                <w:sz w:val="20"/>
                <w:szCs w:val="20"/>
                <w:color w:val="auto"/>
              </w:rPr>
            </w:pPr>
            <w:r>
              <w:rPr>
                <w:rFonts w:ascii="Arial" w:cs="Arial" w:eastAsia="Arial" w:hAnsi="Arial"/>
                <w:sz w:val="18"/>
                <w:szCs w:val="18"/>
                <w:color w:val="auto"/>
              </w:rPr>
              <w:t>Accelerated Filer   X</w:t>
            </w:r>
          </w:p>
        </w:tc>
        <w:tc>
          <w:tcPr>
            <w:tcW w:w="310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505"/>
        </w:trPr>
        <w:tc>
          <w:tcPr>
            <w:tcW w:w="3460" w:type="dxa"/>
            <w:vAlign w:val="bottom"/>
          </w:tcPr>
          <w:p>
            <w:pPr>
              <w:spacing w:after="0"/>
              <w:rPr>
                <w:sz w:val="20"/>
                <w:szCs w:val="20"/>
                <w:color w:val="auto"/>
              </w:rPr>
            </w:pPr>
            <w:r>
              <w:rPr>
                <w:rFonts w:ascii="Arial" w:cs="Arial" w:eastAsia="Arial" w:hAnsi="Arial"/>
                <w:sz w:val="18"/>
                <w:szCs w:val="18"/>
                <w:color w:val="auto"/>
              </w:rPr>
              <w:t>Non-Accelerated Filer _____</w:t>
            </w:r>
          </w:p>
        </w:tc>
        <w:tc>
          <w:tcPr>
            <w:tcW w:w="3300" w:type="dxa"/>
            <w:vAlign w:val="bottom"/>
            <w:gridSpan w:val="3"/>
          </w:tcPr>
          <w:p>
            <w:pPr>
              <w:ind w:left="200"/>
              <w:spacing w:after="0"/>
              <w:rPr>
                <w:sz w:val="20"/>
                <w:szCs w:val="20"/>
                <w:color w:val="auto"/>
              </w:rPr>
            </w:pPr>
            <w:r>
              <w:rPr>
                <w:rFonts w:ascii="Arial" w:cs="Arial" w:eastAsia="Arial" w:hAnsi="Arial"/>
                <w:sz w:val="18"/>
                <w:szCs w:val="18"/>
                <w:color w:val="auto"/>
              </w:rPr>
              <w:t>Smaller Reporting Company _____</w:t>
            </w:r>
          </w:p>
        </w:tc>
        <w:tc>
          <w:tcPr>
            <w:tcW w:w="3100" w:type="dxa"/>
            <w:vAlign w:val="bottom"/>
          </w:tcPr>
          <w:p>
            <w:pPr>
              <w:ind w:left="620"/>
              <w:spacing w:after="0"/>
              <w:rPr>
                <w:sz w:val="20"/>
                <w:szCs w:val="20"/>
                <w:color w:val="auto"/>
              </w:rPr>
            </w:pPr>
            <w:r>
              <w:rPr>
                <w:rFonts w:ascii="Arial" w:cs="Arial" w:eastAsia="Arial" w:hAnsi="Arial"/>
                <w:sz w:val="18"/>
                <w:szCs w:val="18"/>
                <w:color w:val="auto"/>
                <w:w w:val="88"/>
              </w:rPr>
              <w:t>Emerging Growth Company _____</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w w:val="94"/>
              </w:rPr>
              <w:t>(Do not check if a smaller reporting company)</w:t>
            </w: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100" w:type="dxa"/>
            <w:vAlign w:val="bottom"/>
          </w:tcPr>
          <w:p>
            <w:pPr>
              <w:spacing w:after="0"/>
              <w:rPr>
                <w:sz w:val="21"/>
                <w:szCs w:val="21"/>
                <w:color w:val="auto"/>
              </w:rPr>
            </w:pPr>
          </w:p>
        </w:tc>
      </w:tr>
    </w:tbl>
    <w:p>
      <w:pPr>
        <w:spacing w:after="0" w:line="223"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_____</w:t>
      </w:r>
    </w:p>
    <w:p>
      <w:pPr>
        <w:spacing w:after="0" w:line="186"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4480"/>
        <w:spacing w:after="0"/>
        <w:tabs>
          <w:tab w:leader="none" w:pos="4980" w:val="left"/>
          <w:tab w:leader="none" w:pos="5940" w:val="left"/>
          <w:tab w:leader="none" w:pos="66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_____</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4113530</wp:posOffset>
            </wp:positionH>
            <wp:positionV relativeFrom="paragraph">
              <wp:posOffset>-17780</wp:posOffset>
            </wp:positionV>
            <wp:extent cx="303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The number of shares outstanding of the registrant's only class of common stock as of April 26, 2017: Common stock, par value $.50 per share – 11,195,785 shares outstanding.</w:t>
      </w:r>
    </w:p>
    <w:p>
      <w:pPr>
        <w:spacing w:after="0" w:line="186" w:lineRule="exact"/>
        <w:rPr>
          <w:sz w:val="24"/>
          <w:szCs w:val="24"/>
          <w:color w:val="auto"/>
        </w:rPr>
      </w:pPr>
    </w:p>
    <w:p>
      <w:pPr>
        <w:jc w:val="center"/>
        <w:ind w:left="28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rPr>
              <w:t>Item 1.</w:t>
            </w:r>
          </w:p>
        </w:tc>
        <w:tc>
          <w:tcPr>
            <w:tcW w:w="828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8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Consolidated Balance Sheets</w:t>
            </w:r>
          </w:p>
        </w:tc>
        <w:tc>
          <w:tcPr>
            <w:tcW w:w="22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8280" w:type="dxa"/>
            <w:vAlign w:val="bottom"/>
            <w:shd w:val="clear" w:color="auto" w:fill="C0C0C0"/>
          </w:tcPr>
          <w:p>
            <w:pPr>
              <w:ind w:left="460"/>
              <w:spacing w:after="0"/>
              <w:rPr>
                <w:sz w:val="20"/>
                <w:szCs w:val="20"/>
                <w:color w:val="auto"/>
              </w:rPr>
            </w:pPr>
            <w:r>
              <w:rPr>
                <w:rFonts w:ascii="Arial" w:cs="Arial" w:eastAsia="Arial" w:hAnsi="Arial"/>
                <w:sz w:val="18"/>
                <w:szCs w:val="18"/>
                <w:color w:val="auto"/>
              </w:rPr>
              <w:t>March 31, 2017 (unaudited) and December 31, 2016</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8280" w:type="dxa"/>
            <w:vAlign w:val="bottom"/>
            <w:shd w:val="clear" w:color="auto" w:fill="C0C0C0"/>
          </w:tcPr>
          <w:p>
            <w:pPr>
              <w:spacing w:after="0"/>
              <w:rPr>
                <w:sz w:val="22"/>
                <w:szCs w:val="22"/>
                <w:color w:val="auto"/>
              </w:rPr>
            </w:pPr>
          </w:p>
        </w:tc>
        <w:tc>
          <w:tcPr>
            <w:tcW w:w="22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80" w:type="dxa"/>
            <w:vAlign w:val="bottom"/>
          </w:tcPr>
          <w:p>
            <w:pPr>
              <w:ind w:left="140"/>
              <w:spacing w:after="0"/>
              <w:rPr>
                <w:sz w:val="20"/>
                <w:szCs w:val="20"/>
                <w:color w:val="auto"/>
              </w:rPr>
            </w:pPr>
            <w:r>
              <w:rPr>
                <w:rFonts w:ascii="Arial" w:cs="Arial" w:eastAsia="Arial" w:hAnsi="Arial"/>
                <w:sz w:val="18"/>
                <w:szCs w:val="18"/>
                <w:color w:val="auto"/>
              </w:rPr>
              <w:t>Consolidated Statements of Income</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80" w:type="dxa"/>
            <w:vAlign w:val="bottom"/>
          </w:tcPr>
          <w:p>
            <w:pPr>
              <w:ind w:left="460"/>
              <w:spacing w:after="0"/>
              <w:rPr>
                <w:sz w:val="20"/>
                <w:szCs w:val="20"/>
                <w:color w:val="auto"/>
              </w:rPr>
            </w:pPr>
            <w:r>
              <w:rPr>
                <w:rFonts w:ascii="Arial" w:cs="Arial" w:eastAsia="Arial" w:hAnsi="Arial"/>
                <w:sz w:val="18"/>
                <w:szCs w:val="18"/>
                <w:color w:val="auto"/>
              </w:rPr>
              <w:t>Three months ended March 31, 2017 and 2016 (unaudited)</w:t>
            </w:r>
          </w:p>
        </w:tc>
        <w:tc>
          <w:tcPr>
            <w:tcW w:w="2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8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Consolidated Statements of Comprehensive Income</w:t>
            </w:r>
          </w:p>
        </w:tc>
        <w:tc>
          <w:tcPr>
            <w:tcW w:w="22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8280" w:type="dxa"/>
            <w:vAlign w:val="bottom"/>
            <w:shd w:val="clear" w:color="auto" w:fill="C0C0C0"/>
          </w:tcPr>
          <w:p>
            <w:pPr>
              <w:ind w:left="460"/>
              <w:spacing w:after="0"/>
              <w:rPr>
                <w:sz w:val="20"/>
                <w:szCs w:val="20"/>
                <w:color w:val="auto"/>
              </w:rPr>
            </w:pPr>
            <w:r>
              <w:rPr>
                <w:rFonts w:ascii="Arial" w:cs="Arial" w:eastAsia="Arial" w:hAnsi="Arial"/>
                <w:sz w:val="18"/>
                <w:szCs w:val="18"/>
                <w:color w:val="auto"/>
              </w:rPr>
              <w:t>Three months ended March 31, 2017 and 2016 (unaudited)</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8280" w:type="dxa"/>
            <w:vAlign w:val="bottom"/>
            <w:shd w:val="clear" w:color="auto" w:fill="C0C0C0"/>
          </w:tcPr>
          <w:p>
            <w:pPr>
              <w:spacing w:after="0"/>
              <w:rPr>
                <w:sz w:val="22"/>
                <w:szCs w:val="22"/>
                <w:color w:val="auto"/>
              </w:rPr>
            </w:pPr>
          </w:p>
        </w:tc>
        <w:tc>
          <w:tcPr>
            <w:tcW w:w="22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80" w:type="dxa"/>
            <w:vAlign w:val="bottom"/>
          </w:tcPr>
          <w:p>
            <w:pPr>
              <w:ind w:left="140"/>
              <w:spacing w:after="0"/>
              <w:rPr>
                <w:sz w:val="20"/>
                <w:szCs w:val="20"/>
                <w:color w:val="auto"/>
              </w:rPr>
            </w:pPr>
            <w:r>
              <w:rPr>
                <w:rFonts w:ascii="Arial" w:cs="Arial" w:eastAsia="Arial" w:hAnsi="Arial"/>
                <w:sz w:val="18"/>
                <w:szCs w:val="18"/>
                <w:color w:val="auto"/>
              </w:rPr>
              <w:t>Consolidated Statements of Cash Flows</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80" w:type="dxa"/>
            <w:vAlign w:val="bottom"/>
          </w:tcPr>
          <w:p>
            <w:pPr>
              <w:ind w:left="460"/>
              <w:spacing w:after="0"/>
              <w:rPr>
                <w:sz w:val="20"/>
                <w:szCs w:val="20"/>
                <w:color w:val="auto"/>
              </w:rPr>
            </w:pPr>
            <w:r>
              <w:rPr>
                <w:rFonts w:ascii="Arial" w:cs="Arial" w:eastAsia="Arial" w:hAnsi="Arial"/>
                <w:sz w:val="18"/>
                <w:szCs w:val="18"/>
                <w:color w:val="auto"/>
              </w:rPr>
              <w:t>Three months ended March 31, 2017 and 2016 (unaudited)</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8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8280" w:type="dxa"/>
            <w:vAlign w:val="bottom"/>
            <w:shd w:val="clear" w:color="auto" w:fill="C0C0C0"/>
          </w:tcPr>
          <w:p>
            <w:pPr>
              <w:spacing w:after="0"/>
              <w:rPr>
                <w:sz w:val="22"/>
                <w:szCs w:val="22"/>
                <w:color w:val="auto"/>
              </w:rPr>
            </w:pPr>
          </w:p>
        </w:tc>
        <w:tc>
          <w:tcPr>
            <w:tcW w:w="22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rPr>
              <w:t>Item 2.</w:t>
            </w:r>
          </w:p>
        </w:tc>
        <w:tc>
          <w:tcPr>
            <w:tcW w:w="82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80" w:type="dxa"/>
            <w:vAlign w:val="bottom"/>
          </w:tcPr>
          <w:p>
            <w:pPr>
              <w:ind w:left="460"/>
              <w:spacing w:after="0"/>
              <w:rPr>
                <w:sz w:val="20"/>
                <w:szCs w:val="20"/>
                <w:color w:val="auto"/>
              </w:rPr>
            </w:pPr>
            <w:r>
              <w:rPr>
                <w:rFonts w:ascii="Arial" w:cs="Arial" w:eastAsia="Arial" w:hAnsi="Arial"/>
                <w:sz w:val="18"/>
                <w:szCs w:val="18"/>
                <w:color w:val="auto"/>
              </w:rPr>
              <w:t>AND RESULTS OF OPERATIONS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Item 3.</w:t>
            </w:r>
          </w:p>
        </w:tc>
        <w:tc>
          <w:tcPr>
            <w:tcW w:w="8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8280" w:type="dxa"/>
            <w:vAlign w:val="bottom"/>
            <w:shd w:val="clear" w:color="auto" w:fill="C0C0C0"/>
          </w:tcPr>
          <w:p>
            <w:pPr>
              <w:spacing w:after="0"/>
              <w:rPr>
                <w:sz w:val="22"/>
                <w:szCs w:val="22"/>
                <w:color w:val="auto"/>
              </w:rPr>
            </w:pPr>
          </w:p>
        </w:tc>
        <w:tc>
          <w:tcPr>
            <w:tcW w:w="22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rPr>
              <w:t>Item 4.</w:t>
            </w:r>
          </w:p>
        </w:tc>
        <w:tc>
          <w:tcPr>
            <w:tcW w:w="828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9200" w:type="dxa"/>
            <w:vAlign w:val="bottom"/>
            <w:gridSpan w:val="2"/>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20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 xml:space="preserve">PART II – Other Information </w:t>
            </w:r>
            <w:r>
              <w:rPr>
                <w:rFonts w:ascii="Arial" w:cs="Arial" w:eastAsia="Arial" w:hAnsi="Arial"/>
                <w:sz w:val="18"/>
                <w:szCs w:val="18"/>
                <w:color w:val="auto"/>
              </w:rPr>
              <w:t>– Items 1. – 6.</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200" w:type="dxa"/>
            <w:vAlign w:val="bottom"/>
            <w:gridSpan w:val="2"/>
            <w:shd w:val="clear" w:color="auto" w:fill="C0C0C0"/>
          </w:tcPr>
          <w:p>
            <w:pPr>
              <w:spacing w:after="0"/>
              <w:rPr>
                <w:sz w:val="22"/>
                <w:szCs w:val="22"/>
                <w:color w:val="auto"/>
              </w:rPr>
            </w:pPr>
          </w:p>
        </w:tc>
        <w:tc>
          <w:tcPr>
            <w:tcW w:w="22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gridSpan w:val="2"/>
          </w:tcPr>
          <w:p>
            <w:pPr>
              <w:ind w:left="260"/>
              <w:spacing w:after="0"/>
              <w:rPr>
                <w:sz w:val="20"/>
                <w:szCs w:val="20"/>
                <w:color w:val="auto"/>
              </w:rPr>
            </w:pPr>
            <w:r>
              <w:rPr>
                <w:rFonts w:ascii="Arial" w:cs="Arial" w:eastAsia="Arial" w:hAnsi="Arial"/>
                <w:sz w:val="18"/>
                <w:szCs w:val="18"/>
                <w:color w:val="auto"/>
              </w:rPr>
              <w:t>SIGNATURES</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2016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r>
        <w:rPr>
          <w:rFonts w:ascii="Arial" w:cs="Arial" w:eastAsia="Arial" w:hAnsi="Arial"/>
          <w:sz w:val="12"/>
          <w:szCs w:val="12"/>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March 31,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center"/>
              <w:ind w:left="112"/>
              <w:spacing w:after="0"/>
              <w:rPr>
                <w:sz w:val="20"/>
                <w:szCs w:val="20"/>
                <w:color w:val="auto"/>
              </w:rPr>
            </w:pPr>
            <w:r>
              <w:rPr>
                <w:rFonts w:ascii="Arial" w:cs="Arial" w:eastAsia="Arial" w:hAnsi="Arial"/>
                <w:sz w:val="18"/>
                <w:szCs w:val="18"/>
                <w:b w:val="1"/>
                <w:bCs w:val="1"/>
                <w:color w:val="auto"/>
                <w:w w:val="84"/>
              </w:rPr>
              <w:t>2017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340" w:type="dxa"/>
            <w:vAlign w:val="bottom"/>
            <w:gridSpan w:val="4"/>
          </w:tcPr>
          <w:p>
            <w:pPr>
              <w:spacing w:after="0"/>
              <w:rPr>
                <w:sz w:val="20"/>
                <w:szCs w:val="20"/>
                <w:color w:val="auto"/>
              </w:rPr>
            </w:pPr>
            <w:r>
              <w:rPr>
                <w:rFonts w:ascii="Arial" w:cs="Arial" w:eastAsia="Arial" w:hAnsi="Arial"/>
                <w:sz w:val="18"/>
                <w:szCs w:val="18"/>
                <w:color w:val="auto"/>
              </w:rPr>
              <w:t>Cash and due from banks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11,505</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11,814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4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80,590</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136,852</w:t>
            </w:r>
          </w:p>
        </w:tc>
        <w:tc>
          <w:tcPr>
            <w:tcW w:w="0" w:type="dxa"/>
            <w:vAlign w:val="bottom"/>
          </w:tcPr>
          <w:p>
            <w:pPr>
              <w:spacing w:after="0"/>
              <w:rPr>
                <w:sz w:val="1"/>
                <w:szCs w:val="1"/>
                <w:color w:val="auto"/>
              </w:rPr>
            </w:pPr>
          </w:p>
        </w:tc>
      </w:tr>
      <w:tr>
        <w:trPr>
          <w:trHeight w:val="237"/>
        </w:trPr>
        <w:tc>
          <w:tcPr>
            <w:tcW w:w="8340" w:type="dxa"/>
            <w:vAlign w:val="bottom"/>
            <w:gridSpan w:val="4"/>
          </w:tcPr>
          <w:p>
            <w:pPr>
              <w:spacing w:after="0"/>
              <w:rPr>
                <w:sz w:val="20"/>
                <w:szCs w:val="20"/>
                <w:color w:val="auto"/>
              </w:rPr>
            </w:pPr>
            <w:r>
              <w:rPr>
                <w:rFonts w:ascii="Arial" w:cs="Arial" w:eastAsia="Arial" w:hAnsi="Arial"/>
                <w:sz w:val="18"/>
                <w:szCs w:val="18"/>
                <w:color w:val="auto"/>
              </w:rPr>
              <w:t>Federal funds sold and other short-term investments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51,475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118,077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Borders>
              <w:top w:val="single" w:sz="8" w:color="C0C0C0"/>
            </w:tcBorders>
            <w:gridSpan w:val="3"/>
            <w:shd w:val="clear" w:color="auto" w:fill="C0C0C0"/>
          </w:tcPr>
          <w:p>
            <w:pPr>
              <w:ind w:left="60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bottom w:val="single" w:sz="8" w:color="auto"/>
            </w:tcBorders>
            <w:shd w:val="clear" w:color="auto" w:fill="C0C0C0"/>
          </w:tcPr>
          <w:p>
            <w:pPr>
              <w:spacing w:after="0"/>
              <w:rPr>
                <w:sz w:val="21"/>
                <w:szCs w:val="21"/>
                <w:color w:val="auto"/>
              </w:rPr>
            </w:pPr>
          </w:p>
        </w:tc>
        <w:tc>
          <w:tcPr>
            <w:tcW w:w="1140" w:type="dxa"/>
            <w:vAlign w:val="bottom"/>
            <w:tcBorders>
              <w:top w:val="single" w:sz="8" w:color="auto"/>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143,570</w:t>
            </w:r>
          </w:p>
        </w:tc>
        <w:tc>
          <w:tcPr>
            <w:tcW w:w="2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bottom w:val="single" w:sz="8" w:color="auto"/>
            </w:tcBorders>
            <w:shd w:val="clear" w:color="auto" w:fill="C0C0C0"/>
          </w:tcPr>
          <w:p>
            <w:pPr>
              <w:spacing w:after="0"/>
              <w:rPr>
                <w:sz w:val="21"/>
                <w:szCs w:val="21"/>
                <w:color w:val="auto"/>
              </w:rPr>
            </w:pPr>
          </w:p>
        </w:tc>
        <w:tc>
          <w:tcPr>
            <w:tcW w:w="1160" w:type="dxa"/>
            <w:vAlign w:val="bottom"/>
            <w:tcBorders>
              <w:top w:val="single" w:sz="8" w:color="auto"/>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266,743</w:t>
            </w:r>
          </w:p>
        </w:tc>
        <w:tc>
          <w:tcPr>
            <w:tcW w:w="0" w:type="dxa"/>
            <w:vAlign w:val="bottom"/>
          </w:tcPr>
          <w:p>
            <w:pPr>
              <w:spacing w:after="0"/>
              <w:rPr>
                <w:sz w:val="1"/>
                <w:szCs w:val="1"/>
                <w:color w:val="auto"/>
              </w:rPr>
            </w:pPr>
          </w:p>
        </w:tc>
      </w:tr>
      <w:tr>
        <w:trPr>
          <w:trHeight w:val="221"/>
        </w:trPr>
        <w:tc>
          <w:tcPr>
            <w:tcW w:w="8340" w:type="dxa"/>
            <w:vAlign w:val="bottom"/>
            <w:gridSpan w:val="4"/>
          </w:tcPr>
          <w:p>
            <w:pPr>
              <w:spacing w:after="0"/>
              <w:rPr>
                <w:sz w:val="20"/>
                <w:szCs w:val="20"/>
                <w:color w:val="auto"/>
              </w:rPr>
            </w:pPr>
            <w:r>
              <w:rPr>
                <w:rFonts w:ascii="Arial" w:cs="Arial" w:eastAsia="Arial" w:hAnsi="Arial"/>
                <w:sz w:val="18"/>
                <w:szCs w:val="18"/>
                <w:color w:val="auto"/>
              </w:rPr>
              <w:t>Securities available-for-sale, at fair value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426,315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390,552</w:t>
            </w:r>
          </w:p>
        </w:tc>
        <w:tc>
          <w:tcPr>
            <w:tcW w:w="0" w:type="dxa"/>
            <w:vAlign w:val="bottom"/>
          </w:tcPr>
          <w:p>
            <w:pPr>
              <w:spacing w:after="0"/>
              <w:rPr>
                <w:sz w:val="1"/>
                <w:szCs w:val="1"/>
                <w:color w:val="auto"/>
              </w:rPr>
            </w:pPr>
          </w:p>
        </w:tc>
      </w:tr>
      <w:tr>
        <w:trPr>
          <w:trHeight w:val="259"/>
        </w:trPr>
        <w:tc>
          <w:tcPr>
            <w:tcW w:w="76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Loans</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4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675,380</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664,866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0C0C0"/>
            </w:tcBorders>
            <w:gridSpan w:val="3"/>
          </w:tcPr>
          <w:p>
            <w:pPr>
              <w:ind w:left="600"/>
              <w:spacing w:after="0"/>
              <w:rPr>
                <w:sz w:val="20"/>
                <w:szCs w:val="20"/>
                <w:color w:val="auto"/>
              </w:rPr>
            </w:pPr>
            <w:r>
              <w:rPr>
                <w:rFonts w:ascii="Arial" w:cs="Arial" w:eastAsia="Arial" w:hAnsi="Arial"/>
                <w:sz w:val="18"/>
                <w:szCs w:val="18"/>
                <w:color w:val="auto"/>
              </w:rPr>
              <w:t>Less: Allowance for loan losses</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10,191</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758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Loans, net</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140" w:type="dxa"/>
            <w:vAlign w:val="bottom"/>
            <w:tcBorders>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665,189</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160" w:type="dxa"/>
            <w:vAlign w:val="bottom"/>
            <w:tcBorders>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654,691</w:t>
            </w:r>
          </w:p>
        </w:tc>
        <w:tc>
          <w:tcPr>
            <w:tcW w:w="0" w:type="dxa"/>
            <w:vAlign w:val="bottom"/>
          </w:tcPr>
          <w:p>
            <w:pPr>
              <w:spacing w:after="0"/>
              <w:rPr>
                <w:sz w:val="1"/>
                <w:szCs w:val="1"/>
                <w:color w:val="auto"/>
              </w:rPr>
            </w:pPr>
          </w:p>
        </w:tc>
      </w:tr>
      <w:tr>
        <w:trPr>
          <w:trHeight w:val="229"/>
        </w:trPr>
        <w:tc>
          <w:tcPr>
            <w:tcW w:w="8340" w:type="dxa"/>
            <w:vAlign w:val="bottom"/>
            <w:gridSpan w:val="4"/>
          </w:tcPr>
          <w:p>
            <w:pPr>
              <w:spacing w:after="0"/>
              <w:rPr>
                <w:sz w:val="20"/>
                <w:szCs w:val="20"/>
                <w:color w:val="auto"/>
              </w:rPr>
            </w:pPr>
            <w:r>
              <w:rPr>
                <w:rFonts w:ascii="Arial" w:cs="Arial" w:eastAsia="Arial" w:hAnsi="Arial"/>
                <w:sz w:val="18"/>
                <w:szCs w:val="18"/>
                <w:color w:val="auto"/>
              </w:rPr>
              <w:t>Premises and equipment, net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21,094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21,086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Investment in bank-owned life insurance</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4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16,568</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16,445</w:t>
            </w:r>
          </w:p>
        </w:tc>
        <w:tc>
          <w:tcPr>
            <w:tcW w:w="0" w:type="dxa"/>
            <w:vAlign w:val="bottom"/>
          </w:tcPr>
          <w:p>
            <w:pPr>
              <w:spacing w:after="0"/>
              <w:rPr>
                <w:sz w:val="1"/>
                <w:szCs w:val="1"/>
                <w:color w:val="auto"/>
              </w:rPr>
            </w:pPr>
          </w:p>
        </w:tc>
      </w:tr>
      <w:tr>
        <w:trPr>
          <w:trHeight w:val="235"/>
        </w:trPr>
        <w:tc>
          <w:tcPr>
            <w:tcW w:w="8340" w:type="dxa"/>
            <w:vAlign w:val="bottom"/>
            <w:gridSpan w:val="4"/>
          </w:tcPr>
          <w:p>
            <w:pPr>
              <w:spacing w:after="0"/>
              <w:rPr>
                <w:sz w:val="20"/>
                <w:szCs w:val="20"/>
                <w:color w:val="auto"/>
              </w:rPr>
            </w:pPr>
            <w:r>
              <w:rPr>
                <w:rFonts w:ascii="Arial" w:cs="Arial" w:eastAsia="Arial" w:hAnsi="Arial"/>
                <w:sz w:val="18"/>
                <w:szCs w:val="18"/>
                <w:color w:val="auto"/>
              </w:rPr>
              <w:t>Payments in excess of funding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121,775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105,347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4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11,590</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35"/>
        </w:trPr>
        <w:tc>
          <w:tcPr>
            <w:tcW w:w="8340" w:type="dxa"/>
            <w:vAlign w:val="bottom"/>
            <w:gridSpan w:val="4"/>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2,971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140" w:type="dxa"/>
            <w:vAlign w:val="bottom"/>
            <w:tcBorders>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37,934</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160" w:type="dxa"/>
            <w:vAlign w:val="bottom"/>
            <w:tcBorders>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36,388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gridSpan w:val="3"/>
          </w:tcPr>
          <w:p>
            <w:pPr>
              <w:ind w:left="600"/>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1,447,006</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1,504,839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340" w:type="dxa"/>
            <w:vAlign w:val="bottom"/>
            <w:gridSpan w:val="4"/>
          </w:tcPr>
          <w:p>
            <w:pPr>
              <w:spacing w:after="0" w:line="189" w:lineRule="exact"/>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3"/>
            <w:shd w:val="clear" w:color="auto" w:fill="C0C0C0"/>
          </w:tcPr>
          <w:p>
            <w:pPr>
              <w:ind w:left="300"/>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320" w:type="dxa"/>
            <w:vAlign w:val="bottom"/>
            <w:gridSpan w:val="3"/>
          </w:tcPr>
          <w:p>
            <w:pPr>
              <w:ind w:left="600"/>
              <w:spacing w:after="0"/>
              <w:rPr>
                <w:sz w:val="20"/>
                <w:szCs w:val="20"/>
                <w:color w:val="auto"/>
              </w:rPr>
            </w:pPr>
            <w:r>
              <w:rPr>
                <w:rFonts w:ascii="Arial" w:cs="Arial" w:eastAsia="Arial" w:hAnsi="Arial"/>
                <w:sz w:val="18"/>
                <w:szCs w:val="18"/>
                <w:color w:val="auto"/>
              </w:rPr>
              <w:t>Noninterest-bearing</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195,860</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214,656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320" w:type="dxa"/>
            <w:vAlign w:val="bottom"/>
            <w:gridSpan w:val="3"/>
            <w:shd w:val="clear" w:color="auto" w:fill="C0C0C0"/>
          </w:tcPr>
          <w:p>
            <w:pPr>
              <w:ind w:left="600"/>
              <w:spacing w:after="0"/>
              <w:rPr>
                <w:sz w:val="20"/>
                <w:szCs w:val="20"/>
                <w:color w:val="auto"/>
              </w:rPr>
            </w:pPr>
            <w:r>
              <w:rPr>
                <w:rFonts w:ascii="Arial" w:cs="Arial" w:eastAsia="Arial" w:hAnsi="Arial"/>
                <w:sz w:val="18"/>
                <w:szCs w:val="18"/>
                <w:color w:val="auto"/>
              </w:rPr>
              <w:t>Interest-bearing</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140" w:type="dxa"/>
            <w:vAlign w:val="bottom"/>
            <w:tcBorders>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382,496</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160" w:type="dxa"/>
            <w:vAlign w:val="bottom"/>
            <w:tcBorders>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407,305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7580" w:type="dxa"/>
            <w:vAlign w:val="bottom"/>
            <w:tcBorders>
              <w:bottom w:val="single" w:sz="8" w:color="C0C0C0"/>
            </w:tcBorders>
            <w:gridSpan w:val="2"/>
          </w:tcPr>
          <w:p>
            <w:pPr>
              <w:ind w:left="160"/>
              <w:spacing w:after="0"/>
              <w:rPr>
                <w:sz w:val="20"/>
                <w:szCs w:val="20"/>
                <w:color w:val="auto"/>
              </w:rPr>
            </w:pPr>
            <w:r>
              <w:rPr>
                <w:rFonts w:ascii="Arial" w:cs="Arial" w:eastAsia="Arial" w:hAnsi="Arial"/>
                <w:sz w:val="18"/>
                <w:szCs w:val="18"/>
                <w:color w:val="auto"/>
              </w:rPr>
              <w:t>Total deposits</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578,356</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621,961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Accounts and drafts payable</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4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623,223</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642,287</w:t>
            </w:r>
          </w:p>
        </w:tc>
        <w:tc>
          <w:tcPr>
            <w:tcW w:w="0" w:type="dxa"/>
            <w:vAlign w:val="bottom"/>
          </w:tcPr>
          <w:p>
            <w:pPr>
              <w:spacing w:after="0"/>
              <w:rPr>
                <w:sz w:val="1"/>
                <w:szCs w:val="1"/>
                <w:color w:val="auto"/>
              </w:rPr>
            </w:pPr>
          </w:p>
        </w:tc>
      </w:tr>
      <w:tr>
        <w:trPr>
          <w:trHeight w:val="237"/>
        </w:trPr>
        <w:tc>
          <w:tcPr>
            <w:tcW w:w="834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32,297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32,556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Borders>
              <w:top w:val="single" w:sz="8" w:color="C0C0C0"/>
              <w:bottom w:val="single" w:sz="8" w:color="C0C0C0"/>
            </w:tcBorders>
            <w:shd w:val="clear" w:color="auto" w:fill="C0C0C0"/>
          </w:tcPr>
          <w:p>
            <w:pPr>
              <w:spacing w:after="0"/>
              <w:rPr>
                <w:sz w:val="20"/>
                <w:szCs w:val="20"/>
                <w:color w:val="auto"/>
              </w:rPr>
            </w:pPr>
          </w:p>
        </w:tc>
        <w:tc>
          <w:tcPr>
            <w:tcW w:w="7580" w:type="dxa"/>
            <w:vAlign w:val="bottom"/>
            <w:tcBorders>
              <w:top w:val="single" w:sz="8" w:color="C0C0C0"/>
              <w:bottom w:val="single" w:sz="8" w:color="C0C0C0"/>
            </w:tcBorders>
            <w:gridSpan w:val="2"/>
            <w:shd w:val="clear" w:color="auto" w:fill="C0C0C0"/>
          </w:tcPr>
          <w:p>
            <w:pPr>
              <w:ind w:left="1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1140" w:type="dxa"/>
            <w:vAlign w:val="bottom"/>
            <w:tcBorders>
              <w:top w:val="single" w:sz="8" w:color="auto"/>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1,233,876</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spacing w:after="0"/>
              <w:rPr>
                <w:sz w:val="20"/>
                <w:szCs w:val="20"/>
                <w:color w:val="auto"/>
              </w:rPr>
            </w:pPr>
          </w:p>
        </w:tc>
        <w:tc>
          <w:tcPr>
            <w:tcW w:w="1160" w:type="dxa"/>
            <w:vAlign w:val="bottom"/>
            <w:tcBorders>
              <w:top w:val="single" w:sz="8" w:color="auto"/>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1,296,804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68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340" w:type="dxa"/>
            <w:vAlign w:val="bottom"/>
            <w:gridSpan w:val="4"/>
          </w:tcPr>
          <w:p>
            <w:pPr>
              <w:spacing w:after="0" w:line="189" w:lineRule="exact"/>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Preferred stock, par value $.50 per share; 2,000,000</w:t>
            </w:r>
          </w:p>
        </w:tc>
        <w:tc>
          <w:tcPr>
            <w:tcW w:w="2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220" w:type="dxa"/>
            <w:vAlign w:val="bottom"/>
            <w:vMerge w:val="restart"/>
            <w:shd w:val="clear" w:color="auto" w:fill="C0C0C0"/>
          </w:tcPr>
          <w:p>
            <w:pPr>
              <w:jc w:val="right"/>
              <w:spacing w:after="0"/>
              <w:rPr>
                <w:sz w:val="20"/>
                <w:szCs w:val="20"/>
                <w:color w:val="auto"/>
              </w:rPr>
            </w:pPr>
            <w:r>
              <w:rPr>
                <w:rFonts w:ascii="Arial" w:cs="Arial" w:eastAsia="Arial" w:hAnsi="Arial"/>
                <w:sz w:val="22"/>
                <w:szCs w:val="22"/>
                <w:color w:val="auto"/>
                <w:highlight w:val="lightGray"/>
                <w:w w:val="90"/>
              </w:rPr>
              <w:t>—</w:t>
            </w:r>
          </w:p>
        </w:tc>
        <w:tc>
          <w:tcPr>
            <w:tcW w:w="1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20" w:type="dxa"/>
            <w:vAlign w:val="bottom"/>
            <w:vMerge w:val="restart"/>
            <w:shd w:val="clear" w:color="auto" w:fill="C0C0C0"/>
          </w:tcPr>
          <w:p>
            <w:pPr>
              <w:jc w:val="right"/>
              <w:spacing w:after="0"/>
              <w:rPr>
                <w:sz w:val="20"/>
                <w:szCs w:val="20"/>
                <w:color w:val="auto"/>
              </w:rPr>
            </w:pPr>
            <w:r>
              <w:rPr>
                <w:rFonts w:ascii="Arial" w:cs="Arial" w:eastAsia="Arial" w:hAnsi="Arial"/>
                <w:sz w:val="22"/>
                <w:szCs w:val="22"/>
                <w:color w:val="auto"/>
                <w:highlight w:val="lightGray"/>
                <w:w w:val="90"/>
              </w:rPr>
              <w:t>—</w:t>
            </w: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20" w:type="dxa"/>
            <w:vAlign w:val="bottom"/>
            <w:gridSpan w:val="3"/>
            <w:shd w:val="clear" w:color="auto" w:fill="C0C0C0"/>
          </w:tcPr>
          <w:p>
            <w:pPr>
              <w:ind w:left="300"/>
              <w:spacing w:after="0"/>
              <w:rPr>
                <w:sz w:val="20"/>
                <w:szCs w:val="20"/>
                <w:color w:val="auto"/>
              </w:rPr>
            </w:pPr>
            <w:r>
              <w:rPr>
                <w:rFonts w:ascii="Arial" w:cs="Arial" w:eastAsia="Arial" w:hAnsi="Arial"/>
                <w:sz w:val="18"/>
                <w:szCs w:val="18"/>
                <w:color w:val="auto"/>
              </w:rPr>
              <w:t>shares authorized and no shares issued</w:t>
            </w:r>
          </w:p>
        </w:tc>
        <w:tc>
          <w:tcPr>
            <w:tcW w:w="2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220" w:type="dxa"/>
            <w:vAlign w:val="bottom"/>
            <w:vMerge w:val="continue"/>
            <w:shd w:val="clear" w:color="auto" w:fill="C0C0C0"/>
          </w:tcPr>
          <w:p>
            <w:pPr>
              <w:spacing w:after="0"/>
              <w:rPr>
                <w:sz w:val="22"/>
                <w:szCs w:val="22"/>
                <w:color w:val="auto"/>
              </w:rPr>
            </w:pPr>
          </w:p>
        </w:tc>
        <w:tc>
          <w:tcPr>
            <w:tcW w:w="380" w:type="dxa"/>
            <w:vAlign w:val="bottom"/>
            <w:gridSpan w:val="2"/>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40" w:type="dxa"/>
            <w:vAlign w:val="bottom"/>
            <w:shd w:val="clear" w:color="auto" w:fill="C0C0C0"/>
          </w:tcPr>
          <w:p>
            <w:pPr>
              <w:spacing w:after="0"/>
              <w:rPr>
                <w:sz w:val="22"/>
                <w:szCs w:val="22"/>
                <w:color w:val="auto"/>
              </w:rPr>
            </w:pPr>
          </w:p>
        </w:tc>
        <w:tc>
          <w:tcPr>
            <w:tcW w:w="220" w:type="dxa"/>
            <w:vAlign w:val="bottom"/>
            <w:vMerge w:val="continue"/>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340" w:type="dxa"/>
            <w:vAlign w:val="bottom"/>
            <w:gridSpan w:val="4"/>
          </w:tcPr>
          <w:p>
            <w:pPr>
              <w:spacing w:after="0"/>
              <w:rPr>
                <w:sz w:val="20"/>
                <w:szCs w:val="20"/>
                <w:color w:val="auto"/>
              </w:rPr>
            </w:pPr>
            <w:r>
              <w:rPr>
                <w:rFonts w:ascii="Arial" w:cs="Arial" w:eastAsia="Arial" w:hAnsi="Arial"/>
                <w:sz w:val="18"/>
                <w:szCs w:val="18"/>
                <w:color w:val="auto"/>
              </w:rPr>
              <w:t>Common stock, par value $.50 per share; 40,000,000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3"/>
          </w:tcPr>
          <w:p>
            <w:pPr>
              <w:ind w:left="300"/>
              <w:spacing w:after="0"/>
              <w:rPr>
                <w:sz w:val="20"/>
                <w:szCs w:val="20"/>
                <w:color w:val="auto"/>
              </w:rPr>
            </w:pPr>
            <w:r>
              <w:rPr>
                <w:rFonts w:ascii="Arial" w:cs="Arial" w:eastAsia="Arial" w:hAnsi="Arial"/>
                <w:sz w:val="18"/>
                <w:szCs w:val="18"/>
                <w:color w:val="auto"/>
              </w:rPr>
              <w:t>shares authorized and 11,931,147 shares issued at March 31, 2017</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320" w:type="dxa"/>
            <w:vAlign w:val="bottom"/>
            <w:gridSpan w:val="3"/>
          </w:tcPr>
          <w:p>
            <w:pPr>
              <w:ind w:left="300"/>
              <w:spacing w:after="0"/>
              <w:rPr>
                <w:sz w:val="20"/>
                <w:szCs w:val="20"/>
                <w:color w:val="auto"/>
              </w:rPr>
            </w:pPr>
            <w:r>
              <w:rPr>
                <w:rFonts w:ascii="Arial" w:cs="Arial" w:eastAsia="Arial" w:hAnsi="Arial"/>
                <w:sz w:val="18"/>
                <w:szCs w:val="18"/>
                <w:color w:val="auto"/>
              </w:rPr>
              <w:t>and December 31, 2016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5,966</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4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128,209</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128,455</w:t>
            </w:r>
          </w:p>
        </w:tc>
        <w:tc>
          <w:tcPr>
            <w:tcW w:w="0" w:type="dxa"/>
            <w:vAlign w:val="bottom"/>
          </w:tcPr>
          <w:p>
            <w:pPr>
              <w:spacing w:after="0"/>
              <w:rPr>
                <w:sz w:val="1"/>
                <w:szCs w:val="1"/>
                <w:color w:val="auto"/>
              </w:rPr>
            </w:pPr>
          </w:p>
        </w:tc>
      </w:tr>
      <w:tr>
        <w:trPr>
          <w:trHeight w:val="235"/>
        </w:trPr>
        <w:tc>
          <w:tcPr>
            <w:tcW w:w="834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122,095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118,363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3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Common shares in treasury, at cost (734,906 shares at March 31,</w:t>
            </w:r>
          </w:p>
        </w:tc>
        <w:tc>
          <w:tcPr>
            <w:tcW w:w="2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20" w:type="dxa"/>
            <w:vAlign w:val="bottom"/>
            <w:gridSpan w:val="3"/>
            <w:shd w:val="clear" w:color="auto" w:fill="C0C0C0"/>
          </w:tcPr>
          <w:p>
            <w:pPr>
              <w:ind w:left="300"/>
              <w:spacing w:after="0"/>
              <w:rPr>
                <w:sz w:val="20"/>
                <w:szCs w:val="20"/>
                <w:color w:val="auto"/>
              </w:rPr>
            </w:pPr>
            <w:r>
              <w:rPr>
                <w:rFonts w:ascii="Arial" w:cs="Arial" w:eastAsia="Arial" w:hAnsi="Arial"/>
                <w:sz w:val="18"/>
                <w:szCs w:val="18"/>
                <w:color w:val="auto"/>
              </w:rPr>
              <w:t>2017 and 742,681 shares at December 31, 2016)</w:t>
            </w:r>
          </w:p>
        </w:tc>
        <w:tc>
          <w:tcPr>
            <w:tcW w:w="2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140" w:type="dxa"/>
            <w:vAlign w:val="bottom"/>
            <w:gridSpan w:val="3"/>
            <w:shd w:val="clear" w:color="auto" w:fill="C0C0C0"/>
          </w:tcPr>
          <w:p>
            <w:pPr>
              <w:jc w:val="right"/>
              <w:ind w:right="40"/>
              <w:spacing w:after="0"/>
              <w:rPr>
                <w:sz w:val="20"/>
                <w:szCs w:val="20"/>
                <w:color w:val="auto"/>
              </w:rPr>
            </w:pPr>
            <w:r>
              <w:rPr>
                <w:rFonts w:ascii="Arial" w:cs="Arial" w:eastAsia="Arial" w:hAnsi="Arial"/>
                <w:sz w:val="18"/>
                <w:szCs w:val="18"/>
                <w:color w:val="auto"/>
              </w:rPr>
              <w:t>(30,184)</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160" w:type="dxa"/>
            <w:vAlign w:val="bottom"/>
            <w:gridSpan w:val="3"/>
            <w:shd w:val="clear" w:color="auto" w:fill="C0C0C0"/>
          </w:tcPr>
          <w:p>
            <w:pPr>
              <w:jc w:val="right"/>
              <w:ind w:right="40"/>
              <w:spacing w:after="0"/>
              <w:rPr>
                <w:sz w:val="20"/>
                <w:szCs w:val="20"/>
                <w:color w:val="auto"/>
              </w:rPr>
            </w:pPr>
            <w:r>
              <w:rPr>
                <w:rFonts w:ascii="Arial" w:cs="Arial" w:eastAsia="Arial" w:hAnsi="Arial"/>
                <w:sz w:val="18"/>
                <w:szCs w:val="18"/>
                <w:color w:val="auto"/>
              </w:rPr>
              <w:t>(30,206)</w:t>
            </w:r>
          </w:p>
        </w:tc>
        <w:tc>
          <w:tcPr>
            <w:tcW w:w="0" w:type="dxa"/>
            <w:vAlign w:val="bottom"/>
          </w:tcPr>
          <w:p>
            <w:pPr>
              <w:spacing w:after="0"/>
              <w:rPr>
                <w:sz w:val="1"/>
                <w:szCs w:val="1"/>
                <w:color w:val="auto"/>
              </w:rPr>
            </w:pPr>
          </w:p>
        </w:tc>
      </w:tr>
      <w:tr>
        <w:trPr>
          <w:trHeight w:val="237"/>
        </w:trPr>
        <w:tc>
          <w:tcPr>
            <w:tcW w:w="834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(12,956)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(14,543)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0C0C0"/>
            </w:tcBorders>
            <w:gridSpan w:val="3"/>
            <w:shd w:val="clear" w:color="auto" w:fill="C0C0C0"/>
          </w:tcPr>
          <w:p>
            <w:pPr>
              <w:ind w:left="60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1140" w:type="dxa"/>
            <w:vAlign w:val="bottom"/>
            <w:tcBorders>
              <w:top w:val="single" w:sz="8" w:color="auto"/>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213,130</w:t>
            </w:r>
          </w:p>
        </w:tc>
        <w:tc>
          <w:tcPr>
            <w:tcW w:w="28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spacing w:after="0"/>
              <w:rPr>
                <w:sz w:val="20"/>
                <w:szCs w:val="20"/>
                <w:color w:val="auto"/>
              </w:rPr>
            </w:pPr>
          </w:p>
        </w:tc>
        <w:tc>
          <w:tcPr>
            <w:tcW w:w="1160" w:type="dxa"/>
            <w:vAlign w:val="bottom"/>
            <w:tcBorders>
              <w:top w:val="single" w:sz="8" w:color="auto"/>
              <w:bottom w:val="single" w:sz="8" w:color="auto"/>
            </w:tcBorders>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208,035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58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1,447,006</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1,504,839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5"/>
          </w:tcPr>
          <w:p>
            <w:pPr>
              <w:jc w:val="right"/>
              <w:ind w:right="59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Fee Revenue and Other Income:</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12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26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22,289</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19,545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Bank service fees</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6120" w:type="dxa"/>
            <w:vAlign w:val="bottom"/>
            <w:gridSpan w:val="2"/>
          </w:tcPr>
          <w:p>
            <w:pPr>
              <w:spacing w:after="0"/>
              <w:rPr>
                <w:sz w:val="20"/>
                <w:szCs w:val="20"/>
                <w:color w:val="auto"/>
              </w:rPr>
            </w:pPr>
            <w:r>
              <w:rPr>
                <w:rFonts w:ascii="Arial" w:cs="Arial" w:eastAsia="Arial" w:hAnsi="Arial"/>
                <w:sz w:val="18"/>
                <w:szCs w:val="18"/>
                <w:color w:val="auto"/>
              </w:rPr>
              <w:t>Gains on sales of securities</w:t>
            </w: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600"/>
              <w:spacing w:after="0"/>
              <w:rPr>
                <w:sz w:val="20"/>
                <w:szCs w:val="20"/>
                <w:color w:val="auto"/>
              </w:rPr>
            </w:pPr>
            <w:r>
              <w:rPr>
                <w:rFonts w:ascii="Arial" w:cs="Arial" w:eastAsia="Arial" w:hAnsi="Arial"/>
                <w:sz w:val="18"/>
                <w:szCs w:val="18"/>
                <w:color w:val="auto"/>
              </w:rPr>
              <w:t>Total fee revenue and other income</w:t>
            </w: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22,771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20,505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Interest Income:</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12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6,953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Interest and dividends on securities:</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100" w:type="dxa"/>
            <w:vAlign w:val="bottom"/>
          </w:tcPr>
          <w:p>
            <w:pPr>
              <w:ind w:left="600"/>
              <w:spacing w:after="0"/>
              <w:rPr>
                <w:sz w:val="20"/>
                <w:szCs w:val="20"/>
                <w:color w:val="auto"/>
              </w:rPr>
            </w:pPr>
            <w:r>
              <w:rPr>
                <w:rFonts w:ascii="Arial" w:cs="Arial" w:eastAsia="Arial" w:hAnsi="Arial"/>
                <w:sz w:val="18"/>
                <w:szCs w:val="18"/>
                <w:color w:val="auto"/>
              </w:rPr>
              <w:t>Taxable</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00" w:type="dxa"/>
            <w:vAlign w:val="bottom"/>
            <w:shd w:val="clear" w:color="auto" w:fill="C0C0C0"/>
          </w:tcPr>
          <w:p>
            <w:pPr>
              <w:ind w:left="600"/>
              <w:spacing w:after="0"/>
              <w:rPr>
                <w:sz w:val="20"/>
                <w:szCs w:val="20"/>
                <w:color w:val="auto"/>
              </w:rPr>
            </w:pPr>
            <w:r>
              <w:rPr>
                <w:rFonts w:ascii="Arial" w:cs="Arial" w:eastAsia="Arial" w:hAnsi="Arial"/>
                <w:sz w:val="18"/>
                <w:szCs w:val="18"/>
                <w:color w:val="auto"/>
              </w:rPr>
              <w:t>Exempt from federal income taxes</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2,601</w:t>
            </w: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28"/>
        </w:trPr>
        <w:tc>
          <w:tcPr>
            <w:tcW w:w="6120" w:type="dxa"/>
            <w:vAlign w:val="bottom"/>
            <w:gridSpan w:val="2"/>
          </w:tcPr>
          <w:p>
            <w:pPr>
              <w:spacing w:after="0"/>
              <w:rPr>
                <w:sz w:val="20"/>
                <w:szCs w:val="20"/>
                <w:color w:val="auto"/>
              </w:rPr>
            </w:pPr>
            <w:r>
              <w:rPr>
                <w:rFonts w:ascii="Arial" w:cs="Arial" w:eastAsia="Arial" w:hAnsi="Arial"/>
                <w:sz w:val="18"/>
                <w:szCs w:val="18"/>
                <w:color w:val="auto"/>
              </w:rPr>
              <w:t>Interest on federal funds sold and</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00" w:type="dxa"/>
            <w:vAlign w:val="bottom"/>
          </w:tcPr>
          <w:p>
            <w:pPr>
              <w:ind w:left="300"/>
              <w:spacing w:after="0"/>
              <w:rPr>
                <w:sz w:val="20"/>
                <w:szCs w:val="20"/>
                <w:color w:val="auto"/>
              </w:rPr>
            </w:pPr>
            <w:r>
              <w:rPr>
                <w:rFonts w:ascii="Arial" w:cs="Arial" w:eastAsia="Arial" w:hAnsi="Arial"/>
                <w:sz w:val="18"/>
                <w:szCs w:val="18"/>
                <w:color w:val="auto"/>
              </w:rPr>
              <w:t>other short-term investments</w:t>
            </w: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00" w:type="dxa"/>
            <w:vAlign w:val="bottom"/>
            <w:vMerge w:val="restart"/>
            <w:shd w:val="clear" w:color="auto" w:fill="C0C0C0"/>
          </w:tcPr>
          <w:p>
            <w:pPr>
              <w:ind w:left="600"/>
              <w:spacing w:after="0"/>
              <w:rPr>
                <w:sz w:val="20"/>
                <w:szCs w:val="20"/>
                <w:color w:val="auto"/>
              </w:rPr>
            </w:pPr>
            <w:r>
              <w:rPr>
                <w:rFonts w:ascii="Arial" w:cs="Arial" w:eastAsia="Arial" w:hAnsi="Arial"/>
                <w:sz w:val="18"/>
                <w:szCs w:val="18"/>
                <w:color w:val="auto"/>
              </w:rPr>
              <w:t>Total interest income</w:t>
            </w:r>
          </w:p>
        </w:tc>
        <w:tc>
          <w:tcPr>
            <w:tcW w:w="2320" w:type="dxa"/>
            <w:vAlign w:val="bottom"/>
            <w:shd w:val="clear" w:color="auto" w:fill="C0C0C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100" w:type="dxa"/>
            <w:vAlign w:val="bottom"/>
            <w:vMerge w:val="continue"/>
            <w:shd w:val="clear" w:color="auto" w:fill="C0C0C0"/>
          </w:tcPr>
          <w:p>
            <w:pPr>
              <w:spacing w:after="0"/>
              <w:rPr>
                <w:sz w:val="20"/>
                <w:szCs w:val="20"/>
                <w:color w:val="auto"/>
              </w:rPr>
            </w:pPr>
          </w:p>
        </w:tc>
        <w:tc>
          <w:tcPr>
            <w:tcW w:w="23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9,999</w:t>
            </w:r>
          </w:p>
        </w:tc>
        <w:tc>
          <w:tcPr>
            <w:tcW w:w="14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9,777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00" w:type="dxa"/>
            <w:vAlign w:val="bottom"/>
            <w:tcBorders>
              <w:top w:val="single" w:sz="8" w:color="C0C0C0"/>
            </w:tcBorders>
            <w:shd w:val="clear" w:color="auto" w:fill="C0C0C0"/>
          </w:tcPr>
          <w:p>
            <w:pPr>
              <w:spacing w:after="0"/>
              <w:rPr>
                <w:sz w:val="19"/>
                <w:szCs w:val="19"/>
                <w:color w:val="auto"/>
              </w:rPr>
            </w:pPr>
          </w:p>
        </w:tc>
        <w:tc>
          <w:tcPr>
            <w:tcW w:w="2320" w:type="dxa"/>
            <w:vAlign w:val="bottom"/>
            <w:tcBorders>
              <w:top w:val="single" w:sz="8" w:color="C0C0C0"/>
            </w:tcBorders>
            <w:shd w:val="clear" w:color="auto" w:fill="C0C0C0"/>
          </w:tcPr>
          <w:p>
            <w:pPr>
              <w:spacing w:after="0"/>
              <w:rPr>
                <w:sz w:val="19"/>
                <w:szCs w:val="19"/>
                <w:color w:val="auto"/>
              </w:rPr>
            </w:pPr>
          </w:p>
        </w:tc>
        <w:tc>
          <w:tcPr>
            <w:tcW w:w="280" w:type="dxa"/>
            <w:vAlign w:val="bottom"/>
            <w:tcBorders>
              <w:top w:val="single" w:sz="8" w:color="auto"/>
            </w:tcBorders>
            <w:shd w:val="clear" w:color="auto" w:fill="C0C0C0"/>
          </w:tcPr>
          <w:p>
            <w:pPr>
              <w:spacing w:after="0"/>
              <w:rPr>
                <w:sz w:val="19"/>
                <w:szCs w:val="19"/>
                <w:color w:val="auto"/>
              </w:rPr>
            </w:pPr>
          </w:p>
        </w:tc>
        <w:tc>
          <w:tcPr>
            <w:tcW w:w="102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420" w:type="dxa"/>
            <w:vAlign w:val="bottom"/>
            <w:tcBorders>
              <w:top w:val="single" w:sz="8" w:color="auto"/>
            </w:tcBorders>
            <w:shd w:val="clear" w:color="auto" w:fill="C0C0C0"/>
          </w:tcPr>
          <w:p>
            <w:pPr>
              <w:spacing w:after="0"/>
              <w:rPr>
                <w:sz w:val="19"/>
                <w:szCs w:val="19"/>
                <w:color w:val="auto"/>
              </w:rPr>
            </w:pPr>
          </w:p>
        </w:tc>
        <w:tc>
          <w:tcPr>
            <w:tcW w:w="98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Interest on deposits</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600"/>
              <w:spacing w:after="0"/>
              <w:rPr>
                <w:sz w:val="20"/>
                <w:szCs w:val="20"/>
                <w:color w:val="auto"/>
              </w:rPr>
            </w:pPr>
            <w:r>
              <w:rPr>
                <w:rFonts w:ascii="Arial" w:cs="Arial" w:eastAsia="Arial" w:hAnsi="Arial"/>
                <w:sz w:val="18"/>
                <w:szCs w:val="18"/>
                <w:color w:val="auto"/>
              </w:rPr>
              <w:t>Net interest income</w:t>
            </w: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9,519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9,264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Provision for loan losses</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40"/>
              <w:spacing w:after="0" w:line="250" w:lineRule="exact"/>
              <w:rPr>
                <w:sz w:val="20"/>
                <w:szCs w:val="20"/>
                <w:color w:val="auto"/>
              </w:rPr>
            </w:pPr>
            <w:r>
              <w:rPr>
                <w:rFonts w:ascii="Arial" w:cs="Arial" w:eastAsia="Arial" w:hAnsi="Arial"/>
                <w:sz w:val="22"/>
                <w:szCs w:val="22"/>
                <w:color w:val="auto"/>
              </w:rPr>
              <w:t>—</w:t>
            </w: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ind w:left="600"/>
              <w:spacing w:after="0"/>
              <w:rPr>
                <w:sz w:val="20"/>
                <w:szCs w:val="20"/>
                <w:color w:val="auto"/>
              </w:rPr>
            </w:pPr>
            <w:r>
              <w:rPr>
                <w:rFonts w:ascii="Arial" w:cs="Arial" w:eastAsia="Arial" w:hAnsi="Arial"/>
                <w:sz w:val="18"/>
                <w:szCs w:val="18"/>
                <w:color w:val="auto"/>
              </w:rPr>
              <w:t>Net interest income after provision for loan</w:t>
            </w:r>
          </w:p>
        </w:tc>
        <w:tc>
          <w:tcPr>
            <w:tcW w:w="2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00" w:type="dxa"/>
            <w:vAlign w:val="bottom"/>
            <w:shd w:val="clear" w:color="auto" w:fill="C0C0C0"/>
          </w:tcPr>
          <w:p>
            <w:pPr>
              <w:ind w:left="900"/>
              <w:spacing w:after="0"/>
              <w:rPr>
                <w:sz w:val="20"/>
                <w:szCs w:val="20"/>
                <w:color w:val="auto"/>
              </w:rPr>
            </w:pPr>
            <w:r>
              <w:rPr>
                <w:rFonts w:ascii="Arial" w:cs="Arial" w:eastAsia="Arial" w:hAnsi="Arial"/>
                <w:sz w:val="18"/>
                <w:szCs w:val="18"/>
                <w:color w:val="auto"/>
              </w:rPr>
              <w:t>losses</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9,519</w:t>
            </w: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600"/>
              <w:spacing w:after="0"/>
              <w:rPr>
                <w:sz w:val="20"/>
                <w:szCs w:val="20"/>
                <w:color w:val="auto"/>
              </w:rPr>
            </w:pPr>
            <w:r>
              <w:rPr>
                <w:rFonts w:ascii="Arial" w:cs="Arial" w:eastAsia="Arial" w:hAnsi="Arial"/>
                <w:sz w:val="18"/>
                <w:szCs w:val="18"/>
                <w:color w:val="auto"/>
              </w:rPr>
              <w:t>Total net revenue</w:t>
            </w: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32,290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30,769</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61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Operating Expense:</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120" w:type="dxa"/>
            <w:vAlign w:val="bottom"/>
            <w:gridSpan w:val="2"/>
          </w:tcPr>
          <w:p>
            <w:pPr>
              <w:spacing w:after="0"/>
              <w:rPr>
                <w:sz w:val="20"/>
                <w:szCs w:val="20"/>
                <w:color w:val="auto"/>
              </w:rPr>
            </w:pPr>
            <w:r>
              <w:rPr>
                <w:rFonts w:ascii="Arial" w:cs="Arial" w:eastAsia="Arial" w:hAnsi="Arial"/>
                <w:sz w:val="18"/>
                <w:szCs w:val="18"/>
                <w:color w:val="auto"/>
              </w:rPr>
              <w:t>Salaries and employee benefits</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18,799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17,846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Occupancy</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5"/>
        </w:trPr>
        <w:tc>
          <w:tcPr>
            <w:tcW w:w="61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Amortization of intangible assets</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5"/>
        </w:trPr>
        <w:tc>
          <w:tcPr>
            <w:tcW w:w="6120" w:type="dxa"/>
            <w:vAlign w:val="bottom"/>
            <w:gridSpan w:val="2"/>
          </w:tcPr>
          <w:p>
            <w:pPr>
              <w:spacing w:after="0"/>
              <w:rPr>
                <w:sz w:val="20"/>
                <w:szCs w:val="20"/>
                <w:color w:val="auto"/>
              </w:rPr>
            </w:pPr>
            <w:r>
              <w:rPr>
                <w:rFonts w:ascii="Arial" w:cs="Arial" w:eastAsia="Arial" w:hAnsi="Arial"/>
                <w:sz w:val="18"/>
                <w:szCs w:val="18"/>
                <w:color w:val="auto"/>
              </w:rPr>
              <w:t>Other operating expense</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3,274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00" w:type="dxa"/>
            <w:vAlign w:val="bottom"/>
            <w:vMerge w:val="restart"/>
            <w:shd w:val="clear" w:color="auto" w:fill="C0C0C0"/>
          </w:tcPr>
          <w:p>
            <w:pPr>
              <w:ind w:left="600"/>
              <w:spacing w:after="0"/>
              <w:rPr>
                <w:sz w:val="20"/>
                <w:szCs w:val="20"/>
                <w:color w:val="auto"/>
              </w:rPr>
            </w:pPr>
            <w:r>
              <w:rPr>
                <w:rFonts w:ascii="Arial" w:cs="Arial" w:eastAsia="Arial" w:hAnsi="Arial"/>
                <w:sz w:val="18"/>
                <w:szCs w:val="18"/>
                <w:color w:val="auto"/>
              </w:rPr>
              <w:t>Total operating expense</w:t>
            </w:r>
          </w:p>
        </w:tc>
        <w:tc>
          <w:tcPr>
            <w:tcW w:w="2320" w:type="dxa"/>
            <w:vAlign w:val="bottom"/>
            <w:shd w:val="clear" w:color="auto" w:fill="C0C0C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100" w:type="dxa"/>
            <w:vAlign w:val="bottom"/>
            <w:vMerge w:val="continue"/>
            <w:shd w:val="clear" w:color="auto" w:fill="C0C0C0"/>
          </w:tcPr>
          <w:p>
            <w:pPr>
              <w:spacing w:after="0"/>
              <w:rPr>
                <w:sz w:val="21"/>
                <w:szCs w:val="21"/>
                <w:color w:val="auto"/>
              </w:rPr>
            </w:pP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24,318</w:t>
            </w: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900"/>
              <w:spacing w:after="0"/>
              <w:rPr>
                <w:sz w:val="20"/>
                <w:szCs w:val="20"/>
                <w:color w:val="auto"/>
              </w:rPr>
            </w:pPr>
            <w:r>
              <w:rPr>
                <w:rFonts w:ascii="Arial" w:cs="Arial" w:eastAsia="Arial" w:hAnsi="Arial"/>
                <w:sz w:val="18"/>
                <w:szCs w:val="18"/>
                <w:color w:val="auto"/>
              </w:rPr>
              <w:t>Income before income tax expense</w:t>
            </w: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7,972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2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1,665</w:t>
            </w: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00" w:type="dxa"/>
            <w:vAlign w:val="bottom"/>
          </w:tcPr>
          <w:p>
            <w:pPr>
              <w:ind w:left="600"/>
              <w:spacing w:after="0"/>
              <w:rPr>
                <w:sz w:val="20"/>
                <w:szCs w:val="20"/>
                <w:color w:val="auto"/>
              </w:rPr>
            </w:pPr>
            <w:r>
              <w:rPr>
                <w:rFonts w:ascii="Arial" w:cs="Arial" w:eastAsia="Arial" w:hAnsi="Arial"/>
                <w:sz w:val="18"/>
                <w:szCs w:val="18"/>
                <w:color w:val="auto"/>
              </w:rPr>
              <w:t>Net income</w:t>
            </w:r>
          </w:p>
        </w:tc>
        <w:tc>
          <w:tcPr>
            <w:tcW w:w="232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6,307</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Basic earnings per share</w:t>
            </w:r>
          </w:p>
        </w:tc>
        <w:tc>
          <w:tcPr>
            <w:tcW w:w="260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.57</w:t>
            </w:r>
          </w:p>
        </w:tc>
        <w:tc>
          <w:tcPr>
            <w:tcW w:w="560" w:type="dxa"/>
            <w:vAlign w:val="bottom"/>
            <w:gridSpan w:val="2"/>
            <w:shd w:val="clear" w:color="auto" w:fill="C0C0C0"/>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8"/>
        </w:trPr>
        <w:tc>
          <w:tcPr>
            <w:tcW w:w="61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4"/>
          </w:tcPr>
          <w:p>
            <w:pPr>
              <w:jc w:val="right"/>
              <w:ind w:right="392"/>
              <w:spacing w:after="0"/>
              <w:rPr>
                <w:sz w:val="20"/>
                <w:szCs w:val="20"/>
                <w:color w:val="auto"/>
              </w:rPr>
            </w:pPr>
            <w:r>
              <w:rPr>
                <w:rFonts w:ascii="Arial" w:cs="Arial" w:eastAsia="Arial" w:hAnsi="Arial"/>
                <w:sz w:val="18"/>
                <w:szCs w:val="18"/>
                <w:b w:val="1"/>
                <w:bCs w:val="1"/>
                <w:color w:val="auto"/>
              </w:rPr>
              <w:t>Three Months Ended</w:t>
            </w:r>
          </w:p>
        </w:tc>
      </w:tr>
      <w:tr>
        <w:trPr>
          <w:trHeight w:val="252"/>
        </w:trPr>
        <w:tc>
          <w:tcPr>
            <w:tcW w:w="88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r>
      <w:tr>
        <w:trPr>
          <w:trHeight w:val="237"/>
        </w:trPr>
        <w:tc>
          <w:tcPr>
            <w:tcW w:w="8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2016</w:t>
            </w:r>
          </w:p>
        </w:tc>
      </w:tr>
      <w:tr>
        <w:trPr>
          <w:trHeight w:val="243"/>
        </w:trPr>
        <w:tc>
          <w:tcPr>
            <w:tcW w:w="88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88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6,307</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5,833</w:t>
            </w:r>
          </w:p>
        </w:tc>
      </w:tr>
      <w:tr>
        <w:trPr>
          <w:trHeight w:val="251"/>
        </w:trPr>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8860" w:type="dxa"/>
            <w:vAlign w:val="bottom"/>
          </w:tcPr>
          <w:p>
            <w:pPr>
              <w:ind w:left="320"/>
              <w:spacing w:after="0"/>
              <w:rPr>
                <w:sz w:val="20"/>
                <w:szCs w:val="20"/>
                <w:color w:val="auto"/>
              </w:rPr>
            </w:pPr>
            <w:r>
              <w:rPr>
                <w:rFonts w:ascii="Arial" w:cs="Arial" w:eastAsia="Arial" w:hAnsi="Arial"/>
                <w:sz w:val="18"/>
                <w:szCs w:val="18"/>
                <w:color w:val="auto"/>
              </w:rPr>
              <w:t>Net unrealized gain on securities available-for-sale</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2,513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3,674</w:t>
            </w:r>
          </w:p>
        </w:tc>
      </w:tr>
      <w:tr>
        <w:trPr>
          <w:trHeight w:val="251"/>
        </w:trPr>
        <w:tc>
          <w:tcPr>
            <w:tcW w:w="88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Tax effect</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(933)</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(1,365)</w:t>
            </w:r>
          </w:p>
        </w:tc>
      </w:tr>
      <w:tr>
        <w:trPr>
          <w:trHeight w:val="235"/>
        </w:trPr>
        <w:tc>
          <w:tcPr>
            <w:tcW w:w="8860" w:type="dxa"/>
            <w:vAlign w:val="bottom"/>
          </w:tcPr>
          <w:p>
            <w:pPr>
              <w:ind w:left="320"/>
              <w:spacing w:after="0"/>
              <w:rPr>
                <w:sz w:val="20"/>
                <w:szCs w:val="20"/>
                <w:color w:val="auto"/>
              </w:rPr>
            </w:pPr>
            <w:r>
              <w:rPr>
                <w:rFonts w:ascii="Arial" w:cs="Arial" w:eastAsia="Arial" w:hAnsi="Arial"/>
                <w:sz w:val="18"/>
                <w:szCs w:val="18"/>
                <w:color w:val="auto"/>
              </w:rPr>
              <w:t>Reclassification adjustments for gains included in net income</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51"/>
        </w:trPr>
        <w:tc>
          <w:tcPr>
            <w:tcW w:w="88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Tax effect</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114</w:t>
            </w:r>
          </w:p>
        </w:tc>
      </w:tr>
      <w:tr>
        <w:trPr>
          <w:trHeight w:val="237"/>
        </w:trPr>
        <w:tc>
          <w:tcPr>
            <w:tcW w:w="88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0C0C0"/>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r>
      <w:tr>
        <w:trPr>
          <w:trHeight w:val="242"/>
        </w:trPr>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240" w:type="dxa"/>
            <w:vAlign w:val="bottom"/>
            <w:shd w:val="clear" w:color="auto" w:fill="C0C0C0"/>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7,895</w:t>
            </w:r>
          </w:p>
        </w:tc>
        <w:tc>
          <w:tcPr>
            <w:tcW w:w="60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7,994</w:t>
            </w:r>
          </w:p>
        </w:tc>
      </w:tr>
      <w:tr>
        <w:trPr>
          <w:trHeight w:val="28"/>
        </w:trPr>
        <w:tc>
          <w:tcPr>
            <w:tcW w:w="8860" w:type="dxa"/>
            <w:vAlign w:val="bottom"/>
            <w:shd w:val="clear" w:color="auto" w:fill="C0C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6,307</w:t>
            </w:r>
          </w:p>
        </w:tc>
        <w:tc>
          <w:tcPr>
            <w:tcW w:w="280" w:type="dxa"/>
            <w:vAlign w:val="bottom"/>
          </w:tcPr>
          <w:p>
            <w:pPr>
              <w:spacing w:after="0"/>
              <w:rPr>
                <w:sz w:val="20"/>
                <w:szCs w:val="20"/>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540" w:type="dxa"/>
            <w:vAlign w:val="bottom"/>
            <w:shd w:val="clear" w:color="auto" w:fill="C0C0C0"/>
          </w:tcPr>
          <w:p>
            <w:pPr>
              <w:spacing w:after="0"/>
              <w:rPr>
                <w:sz w:val="20"/>
                <w:szCs w:val="20"/>
                <w:color w:val="auto"/>
              </w:rPr>
            </w:pPr>
            <w:r>
              <w:rPr>
                <w:rFonts w:ascii="Arial" w:cs="Arial" w:eastAsia="Arial" w:hAnsi="Arial"/>
                <w:sz w:val="18"/>
                <w:szCs w:val="18"/>
                <w:color w:val="auto"/>
              </w:rPr>
              <w:t>Adjustments to reconcile net income to net cash provided</w:t>
            </w: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40" w:type="dxa"/>
            <w:vAlign w:val="bottom"/>
            <w:shd w:val="clear" w:color="auto" w:fill="C0C0C0"/>
          </w:tcPr>
          <w:p>
            <w:pPr>
              <w:ind w:left="300"/>
              <w:spacing w:after="0"/>
              <w:rPr>
                <w:sz w:val="20"/>
                <w:szCs w:val="20"/>
                <w:color w:val="auto"/>
              </w:rPr>
            </w:pPr>
            <w:r>
              <w:rPr>
                <w:rFonts w:ascii="Arial" w:cs="Arial" w:eastAsia="Arial" w:hAnsi="Arial"/>
                <w:sz w:val="18"/>
                <w:szCs w:val="18"/>
                <w:color w:val="auto"/>
              </w:rPr>
              <w:t>by operating activities:</w:t>
            </w:r>
          </w:p>
        </w:tc>
        <w:tc>
          <w:tcPr>
            <w:tcW w:w="26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9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320" w:type="dxa"/>
            <w:vAlign w:val="bottom"/>
            <w:shd w:val="clear" w:color="auto" w:fill="C0C0C0"/>
          </w:tcPr>
          <w:p>
            <w:pPr>
              <w:spacing w:after="0"/>
              <w:rPr>
                <w:sz w:val="22"/>
                <w:szCs w:val="22"/>
                <w:color w:val="auto"/>
              </w:rPr>
            </w:pPr>
          </w:p>
        </w:tc>
        <w:tc>
          <w:tcPr>
            <w:tcW w:w="84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54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2,704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Net gains on sales of securities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540" w:type="dxa"/>
            <w:vAlign w:val="bottom"/>
          </w:tcPr>
          <w:p>
            <w:pPr>
              <w:ind w:left="6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540" w:type="dxa"/>
            <w:vAlign w:val="bottom"/>
          </w:tcPr>
          <w:p>
            <w:pPr>
              <w:ind w:left="600"/>
              <w:spacing w:after="0"/>
              <w:rPr>
                <w:sz w:val="20"/>
                <w:szCs w:val="20"/>
                <w:color w:val="auto"/>
              </w:rPr>
            </w:pPr>
            <w:r>
              <w:rPr>
                <w:rFonts w:ascii="Arial" w:cs="Arial" w:eastAsia="Arial" w:hAnsi="Arial"/>
                <w:sz w:val="18"/>
                <w:szCs w:val="18"/>
                <w:color w:val="auto"/>
              </w:rPr>
              <w:t>Increase in income tax liability</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Increase in pension liability</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1,155</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Borders>
              <w:bottom w:val="single" w:sz="8" w:color="C0C0C0"/>
            </w:tcBorders>
          </w:tcPr>
          <w:p>
            <w:pPr>
              <w:ind w:left="600"/>
              <w:spacing w:after="0"/>
              <w:rPr>
                <w:sz w:val="20"/>
                <w:szCs w:val="20"/>
                <w:color w:val="auto"/>
              </w:rPr>
            </w:pPr>
            <w:r>
              <w:rPr>
                <w:rFonts w:ascii="Arial" w:cs="Arial" w:eastAsia="Arial" w:hAnsi="Arial"/>
                <w:sz w:val="18"/>
                <w:szCs w:val="18"/>
                <w:color w:val="auto"/>
              </w:rPr>
              <w:t>Other operating activities, net</w:t>
            </w: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280" w:type="dxa"/>
            <w:vAlign w:val="bottom"/>
            <w:tcBorders>
              <w:bottom w:val="single" w:sz="8" w:color="C0C0C0"/>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Borders>
              <w:bottom w:val="single" w:sz="8" w:color="C0C0C0"/>
            </w:tcBorders>
            <w:shd w:val="clear" w:color="auto" w:fill="C0C0C0"/>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0C0C0"/>
            </w:tcBorders>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5,621</w:t>
            </w:r>
          </w:p>
        </w:tc>
        <w:tc>
          <w:tcPr>
            <w:tcW w:w="280" w:type="dxa"/>
            <w:vAlign w:val="bottom"/>
            <w:tcBorders>
              <w:bottom w:val="single" w:sz="8" w:color="C0C0C0"/>
            </w:tcBorders>
            <w:shd w:val="clear" w:color="auto" w:fill="C0C0C0"/>
          </w:tcPr>
          <w:p>
            <w:pPr>
              <w:spacing w:after="0"/>
              <w:rPr>
                <w:sz w:val="20"/>
                <w:szCs w:val="20"/>
                <w:color w:val="auto"/>
              </w:rPr>
            </w:pPr>
          </w:p>
        </w:tc>
        <w:tc>
          <w:tcPr>
            <w:tcW w:w="32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5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40" w:type="dxa"/>
            <w:vAlign w:val="bottom"/>
            <w:shd w:val="clear" w:color="auto" w:fill="C0C0C0"/>
          </w:tcPr>
          <w:p>
            <w:pPr>
              <w:spacing w:after="0"/>
              <w:rPr>
                <w:sz w:val="20"/>
                <w:szCs w:val="20"/>
                <w:color w:val="auto"/>
              </w:rPr>
            </w:pPr>
            <w:r>
              <w:rPr>
                <w:rFonts w:ascii="Arial" w:cs="Arial" w:eastAsia="Arial" w:hAnsi="Arial"/>
                <w:sz w:val="18"/>
                <w:szCs w:val="18"/>
                <w:color w:val="auto"/>
              </w:rPr>
              <w:t>Proceeds from sales of securities available-for-sale</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19,039</w:t>
            </w:r>
          </w:p>
        </w:tc>
        <w:tc>
          <w:tcPr>
            <w:tcW w:w="0" w:type="dxa"/>
            <w:vAlign w:val="bottom"/>
          </w:tcPr>
          <w:p>
            <w:pPr>
              <w:spacing w:after="0"/>
              <w:rPr>
                <w:sz w:val="1"/>
                <w:szCs w:val="1"/>
                <w:color w:val="auto"/>
              </w:rPr>
            </w:pPr>
          </w:p>
        </w:tc>
      </w:tr>
      <w:tr>
        <w:trPr>
          <w:trHeight w:val="235"/>
        </w:trPr>
        <w:tc>
          <w:tcPr>
            <w:tcW w:w="8560" w:type="dxa"/>
            <w:vAlign w:val="bottom"/>
            <w:gridSpan w:val="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17,623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shd w:val="clear" w:color="auto" w:fill="C0C0C0"/>
          </w:tcPr>
          <w:p>
            <w:pPr>
              <w:spacing w:after="0"/>
              <w:rPr>
                <w:sz w:val="20"/>
                <w:szCs w:val="20"/>
                <w:color w:val="auto"/>
              </w:rPr>
            </w:pPr>
            <w:r>
              <w:rPr>
                <w:rFonts w:ascii="Arial" w:cs="Arial" w:eastAsia="Arial" w:hAnsi="Arial"/>
                <w:sz w:val="18"/>
                <w:szCs w:val="18"/>
                <w:color w:val="auto"/>
              </w:rPr>
              <w:t>Purchase of securities available-for-sale</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(52,599)</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35"/>
        </w:trPr>
        <w:tc>
          <w:tcPr>
            <w:tcW w:w="8560" w:type="dxa"/>
            <w:vAlign w:val="bottom"/>
            <w:gridSpan w:val="2"/>
          </w:tcPr>
          <w:p>
            <w:pPr>
              <w:spacing w:after="0"/>
              <w:rPr>
                <w:sz w:val="20"/>
                <w:szCs w:val="20"/>
                <w:color w:val="auto"/>
              </w:rPr>
            </w:pPr>
            <w:r>
              <w:rPr>
                <w:rFonts w:ascii="Arial" w:cs="Arial" w:eastAsia="Arial" w:hAnsi="Arial"/>
                <w:sz w:val="18"/>
                <w:szCs w:val="18"/>
                <w:color w:val="auto"/>
              </w:rPr>
              <w:t>Net increase in loans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(25,560)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shd w:val="clear" w:color="auto" w:fill="C0C0C0"/>
          </w:tcPr>
          <w:p>
            <w:pPr>
              <w:spacing w:after="0"/>
              <w:rPr>
                <w:sz w:val="20"/>
                <w:szCs w:val="20"/>
                <w:color w:val="auto"/>
              </w:rPr>
            </w:pPr>
            <w:r>
              <w:rPr>
                <w:rFonts w:ascii="Arial" w:cs="Arial" w:eastAsia="Arial" w:hAnsi="Arial"/>
                <w:sz w:val="18"/>
                <w:szCs w:val="18"/>
                <w:color w:val="auto"/>
              </w:rPr>
              <w:t>Increase in payments in excess of funding</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(16,428)</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37"/>
        </w:trPr>
        <w:tc>
          <w:tcPr>
            <w:tcW w:w="856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Borders>
              <w:top w:val="single" w:sz="8" w:color="C0C0C0"/>
              <w:bottom w:val="single" w:sz="8" w:color="C0C0C0"/>
            </w:tcBorders>
            <w:shd w:val="clear" w:color="auto" w:fill="C0C0C0"/>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260" w:type="dxa"/>
            <w:vAlign w:val="bottom"/>
            <w:tcBorders>
              <w:top w:val="single" w:sz="8" w:color="auto"/>
              <w:bottom w:val="single" w:sz="8" w:color="auto"/>
            </w:tcBorders>
            <w:shd w:val="clear" w:color="auto" w:fill="C0C0C0"/>
          </w:tcPr>
          <w:p>
            <w:pPr>
              <w:spacing w:after="0"/>
              <w:rPr>
                <w:sz w:val="20"/>
                <w:szCs w:val="20"/>
                <w:color w:val="auto"/>
              </w:rPr>
            </w:pPr>
          </w:p>
        </w:tc>
        <w:tc>
          <w:tcPr>
            <w:tcW w:w="9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(62,789)</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320" w:type="dxa"/>
            <w:vAlign w:val="bottom"/>
            <w:tcBorders>
              <w:top w:val="single" w:sz="8" w:color="auto"/>
              <w:bottom w:val="single" w:sz="8" w:color="auto"/>
            </w:tcBorders>
            <w:shd w:val="clear" w:color="auto" w:fill="C0C0C0"/>
          </w:tcPr>
          <w:p>
            <w:pPr>
              <w:spacing w:after="0"/>
              <w:rPr>
                <w:sz w:val="20"/>
                <w:szCs w:val="20"/>
                <w:color w:val="auto"/>
              </w:rPr>
            </w:pPr>
          </w:p>
        </w:tc>
        <w:tc>
          <w:tcPr>
            <w:tcW w:w="8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(26,979)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5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4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increase in noninterest-bearing demand deposits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(18,796)</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35"/>
        </w:trPr>
        <w:tc>
          <w:tcPr>
            <w:tcW w:w="8560" w:type="dxa"/>
            <w:vAlign w:val="bottom"/>
            <w:gridSpan w:val="2"/>
          </w:tcPr>
          <w:p>
            <w:pPr>
              <w:spacing w:after="0"/>
              <w:rPr>
                <w:sz w:val="20"/>
                <w:szCs w:val="20"/>
                <w:color w:val="auto"/>
              </w:rPr>
            </w:pPr>
            <w:r>
              <w:rPr>
                <w:rFonts w:ascii="Arial" w:cs="Arial" w:eastAsia="Arial" w:hAnsi="Arial"/>
                <w:sz w:val="18"/>
                <w:szCs w:val="18"/>
                <w:color w:val="auto"/>
              </w:rPr>
              <w:t>Net decrease in interest-bearing demand and savings deposits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(24,994)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(44,046)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shd w:val="clear" w:color="auto" w:fill="C0C0C0"/>
          </w:tcPr>
          <w:p>
            <w:pPr>
              <w:spacing w:after="0"/>
              <w:rPr>
                <w:sz w:val="20"/>
                <w:szCs w:val="20"/>
                <w:color w:val="auto"/>
              </w:rPr>
            </w:pPr>
            <w:r>
              <w:rPr>
                <w:rFonts w:ascii="Arial" w:cs="Arial" w:eastAsia="Arial" w:hAnsi="Arial"/>
                <w:sz w:val="18"/>
                <w:szCs w:val="18"/>
                <w:color w:val="auto"/>
              </w:rPr>
              <w:t>Net increase in time deposits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5"/>
        </w:trPr>
        <w:tc>
          <w:tcPr>
            <w:tcW w:w="8560" w:type="dxa"/>
            <w:vAlign w:val="bottom"/>
            <w:gridSpan w:val="2"/>
          </w:tcPr>
          <w:p>
            <w:pPr>
              <w:spacing w:after="0"/>
              <w:rPr>
                <w:sz w:val="20"/>
                <w:szCs w:val="20"/>
                <w:color w:val="auto"/>
              </w:rPr>
            </w:pPr>
            <w:r>
              <w:rPr>
                <w:rFonts w:ascii="Arial" w:cs="Arial" w:eastAsia="Arial" w:hAnsi="Arial"/>
                <w:sz w:val="18"/>
                <w:szCs w:val="18"/>
                <w:color w:val="auto"/>
              </w:rPr>
              <w:t>Net decrease in accounts and drafts payable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(19,064)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(40,534)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shd w:val="clear" w:color="auto" w:fill="C0C0C0"/>
          </w:tcPr>
          <w:p>
            <w:pPr>
              <w:spacing w:after="0"/>
              <w:rPr>
                <w:sz w:val="20"/>
                <w:szCs w:val="20"/>
                <w:color w:val="auto"/>
              </w:rPr>
            </w:pPr>
            <w:r>
              <w:rPr>
                <w:rFonts w:ascii="Arial" w:cs="Arial" w:eastAsia="Arial" w:hAnsi="Arial"/>
                <w:sz w:val="18"/>
                <w:szCs w:val="18"/>
                <w:color w:val="auto"/>
              </w:rPr>
              <w:t>Cash dividends paid</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(2,575)</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35"/>
        </w:trPr>
        <w:tc>
          <w:tcPr>
            <w:tcW w:w="8560" w:type="dxa"/>
            <w:vAlign w:val="bottom"/>
            <w:gridSpan w:val="2"/>
          </w:tcPr>
          <w:p>
            <w:pPr>
              <w:spacing w:after="0"/>
              <w:rPr>
                <w:sz w:val="20"/>
                <w:szCs w:val="20"/>
                <w:color w:val="auto"/>
              </w:rPr>
            </w:pPr>
            <w:r>
              <w:rPr>
                <w:rFonts w:ascii="Arial" w:cs="Arial" w:eastAsia="Arial" w:hAnsi="Arial"/>
                <w:sz w:val="18"/>
                <w:szCs w:val="18"/>
                <w:color w:val="auto"/>
              </w:rPr>
              <w:t>Purchase of common shares for treasury</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shd w:val="clear" w:color="auto" w:fill="C0C0C0"/>
          </w:tcPr>
          <w:p>
            <w:pPr>
              <w:spacing w:after="0"/>
              <w:rPr>
                <w:sz w:val="20"/>
                <w:szCs w:val="20"/>
                <w:color w:val="auto"/>
              </w:rPr>
            </w:pPr>
            <w:r>
              <w:rPr>
                <w:rFonts w:ascii="Arial" w:cs="Arial" w:eastAsia="Arial" w:hAnsi="Arial"/>
                <w:sz w:val="18"/>
                <w:szCs w:val="18"/>
                <w:color w:val="auto"/>
              </w:rPr>
              <w:t>Other financing activities, net</w:t>
            </w:r>
          </w:p>
        </w:tc>
        <w:tc>
          <w:tcPr>
            <w:tcW w:w="26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(761)</w:t>
            </w:r>
          </w:p>
        </w:tc>
        <w:tc>
          <w:tcPr>
            <w:tcW w:w="280" w:type="dxa"/>
            <w:vAlign w:val="bottom"/>
            <w:shd w:val="clear" w:color="auto" w:fill="C0C0C0"/>
          </w:tcPr>
          <w:p>
            <w:pPr>
              <w:spacing w:after="0"/>
              <w:rPr>
                <w:sz w:val="21"/>
                <w:szCs w:val="21"/>
                <w:color w:val="auto"/>
              </w:rPr>
            </w:pPr>
          </w:p>
        </w:tc>
        <w:tc>
          <w:tcPr>
            <w:tcW w:w="3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Borders>
              <w:bottom w:val="single" w:sz="8" w:color="C0C0C0"/>
            </w:tcBorders>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(66,005)</w:t>
            </w:r>
          </w:p>
        </w:tc>
        <w:tc>
          <w:tcPr>
            <w:tcW w:w="280" w:type="dxa"/>
            <w:vAlign w:val="bottom"/>
            <w:tcBorders>
              <w:bottom w:val="single" w:sz="8" w:color="C0C0C0"/>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(123,173)</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(107,826)</w:t>
            </w:r>
          </w:p>
        </w:tc>
        <w:tc>
          <w:tcPr>
            <w:tcW w:w="0" w:type="dxa"/>
            <w:vAlign w:val="bottom"/>
          </w:tcPr>
          <w:p>
            <w:pPr>
              <w:spacing w:after="0"/>
              <w:rPr>
                <w:sz w:val="1"/>
                <w:szCs w:val="1"/>
                <w:color w:val="auto"/>
              </w:rPr>
            </w:pPr>
          </w:p>
        </w:tc>
      </w:tr>
      <w:tr>
        <w:trPr>
          <w:trHeight w:val="237"/>
        </w:trPr>
        <w:tc>
          <w:tcPr>
            <w:tcW w:w="85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266,743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253,172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40" w:type="dxa"/>
            <w:vAlign w:val="bottom"/>
            <w:tcBorders>
              <w:top w:val="single" w:sz="8" w:color="C0C0C0"/>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C0C0C0"/>
              <w:bottom w:val="single" w:sz="8" w:color="C0C0C0"/>
            </w:tcBorders>
            <w:shd w:val="clear" w:color="auto" w:fill="C0C0C0"/>
          </w:tcPr>
          <w:p>
            <w:pPr>
              <w:spacing w:after="0"/>
              <w:rPr>
                <w:sz w:val="21"/>
                <w:szCs w:val="21"/>
                <w:color w:val="auto"/>
              </w:rPr>
            </w:pPr>
          </w:p>
        </w:tc>
        <w:tc>
          <w:tcPr>
            <w:tcW w:w="26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143,570</w:t>
            </w:r>
          </w:p>
        </w:tc>
        <w:tc>
          <w:tcPr>
            <w:tcW w:w="280" w:type="dxa"/>
            <w:vAlign w:val="bottom"/>
            <w:tcBorders>
              <w:top w:val="single" w:sz="8" w:color="C0C0C0"/>
              <w:bottom w:val="single" w:sz="8" w:color="C0C0C0"/>
            </w:tcBorders>
            <w:shd w:val="clear" w:color="auto" w:fill="C0C0C0"/>
          </w:tcPr>
          <w:p>
            <w:pPr>
              <w:spacing w:after="0"/>
              <w:rPr>
                <w:sz w:val="21"/>
                <w:szCs w:val="21"/>
                <w:color w:val="auto"/>
              </w:rPr>
            </w:pPr>
          </w:p>
        </w:tc>
        <w:tc>
          <w:tcPr>
            <w:tcW w:w="320" w:type="dxa"/>
            <w:vAlign w:val="bottom"/>
            <w:tcBorders>
              <w:top w:val="single" w:sz="8" w:color="auto"/>
              <w:bottom w:val="single" w:sz="8" w:color="auto"/>
            </w:tcBorders>
            <w:shd w:val="clear" w:color="auto" w:fill="C0C0C0"/>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145,346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560" w:type="dxa"/>
            <w:vAlign w:val="bottom"/>
            <w:gridSpan w:val="2"/>
          </w:tcPr>
          <w:p>
            <w:pPr>
              <w:spacing w:after="0"/>
              <w:rPr>
                <w:sz w:val="20"/>
                <w:szCs w:val="20"/>
                <w:color w:val="auto"/>
              </w:rPr>
            </w:pPr>
            <w:r>
              <w:rPr>
                <w:rFonts w:ascii="Arial" w:cs="Arial" w:eastAsia="Arial" w:hAnsi="Arial"/>
                <w:sz w:val="18"/>
                <w:szCs w:val="18"/>
                <w:color w:val="auto"/>
              </w:rPr>
              <w:t>Supplemental information:</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Cash paid for interest</w:t>
            </w:r>
          </w:p>
        </w:tc>
        <w:tc>
          <w:tcPr>
            <w:tcW w:w="52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476</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tcPr>
          <w:p>
            <w:pPr>
              <w:ind w:left="60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1,198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audited consolidated financial statements and related footnotes included in Cass Information System, Inc.’s (the “Company” or “Cass”) Annual Report on Form 10-K for the year ended December 31, 2016</w:t>
      </w:r>
      <w:r>
        <w:rPr>
          <w:rFonts w:ascii="Arial" w:cs="Arial" w:eastAsia="Arial" w:hAnsi="Arial"/>
          <w:sz w:val="13"/>
          <w:szCs w:val="13"/>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intangible assets in accordance with Financial Accounting Standards Board (“FASB”) Accounting Standards Codification (“ASC”) 350, “Goodwill and Other Intangible Assets,” (“FASB ASC 350”), which requires that intangibles with indefinite useful lives be tested annually for impairment and those with finite useful lives be amortized over their useful lives.</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March 2017, the Company acquired Efftel Telecoms Ltd. (“Efftel”) and recorded intangible assets of $1,074,000. Those intangible assets were estimated as $974,000 for the customer list and $100,000 for non-compete agreements. The amounts will be adjusted upon the completion of a valuation.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55"/>
        </w:trPr>
        <w:tc>
          <w:tcPr>
            <w:tcW w:w="6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2017</w:t>
            </w: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auto"/>
              </w:rPr>
              <w:t>December 31, 2016</w:t>
            </w:r>
          </w:p>
        </w:tc>
      </w:tr>
      <w:tr>
        <w:trPr>
          <w:trHeight w:val="228"/>
        </w:trPr>
        <w:tc>
          <w:tcPr>
            <w:tcW w:w="61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7"/>
              </w:rPr>
              <w:t>Gross Carrying</w:t>
            </w:r>
          </w:p>
        </w:tc>
        <w:tc>
          <w:tcPr>
            <w:tcW w:w="13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Accumulated</w:t>
            </w: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w w:val="97"/>
              </w:rPr>
              <w:t>Gross Carrying</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Accumulated</w:t>
            </w:r>
          </w:p>
        </w:tc>
      </w:tr>
      <w:tr>
        <w:trPr>
          <w:trHeight w:val="251"/>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9"/>
              </w:rPr>
              <w:t>Amount</w:t>
            </w:r>
          </w:p>
        </w:tc>
        <w:tc>
          <w:tcPr>
            <w:tcW w:w="13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9"/>
              </w:rPr>
              <w:t>Amount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Amortization</w:t>
            </w:r>
          </w:p>
        </w:tc>
      </w:tr>
      <w:tr>
        <w:trPr>
          <w:trHeight w:val="243"/>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Assets eligible for amortization:</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6180" w:type="dxa"/>
            <w:vAlign w:val="bottom"/>
          </w:tcPr>
          <w:p>
            <w:pPr>
              <w:ind w:left="320"/>
              <w:spacing w:after="0"/>
              <w:rPr>
                <w:sz w:val="20"/>
                <w:szCs w:val="20"/>
                <w:color w:val="auto"/>
              </w:rPr>
            </w:pPr>
            <w:r>
              <w:rPr>
                <w:rFonts w:ascii="Arial" w:cs="Arial" w:eastAsia="Arial" w:hAnsi="Arial"/>
                <w:sz w:val="18"/>
                <w:szCs w:val="18"/>
                <w:color w:val="auto"/>
              </w:rPr>
              <w:t>Customer lists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4,907</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w w:val="94"/>
              </w:rPr>
              <w:t>(2,429)</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3,933</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(2,342)</w:t>
            </w:r>
          </w:p>
        </w:tc>
      </w:tr>
      <w:tr>
        <w:trPr>
          <w:trHeight w:val="251"/>
        </w:trPr>
        <w:tc>
          <w:tcPr>
            <w:tcW w:w="61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Patent</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5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(9)</w:t>
            </w:r>
          </w:p>
        </w:tc>
        <w:tc>
          <w:tcPr>
            <w:tcW w:w="3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w:t>
            </w:r>
          </w:p>
        </w:tc>
      </w:tr>
      <w:tr>
        <w:trPr>
          <w:trHeight w:val="235"/>
        </w:trPr>
        <w:tc>
          <w:tcPr>
            <w:tcW w:w="6180" w:type="dxa"/>
            <w:vAlign w:val="bottom"/>
          </w:tcPr>
          <w:p>
            <w:pPr>
              <w:ind w:left="32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361</w:t>
            </w:r>
          </w:p>
        </w:tc>
        <w:tc>
          <w:tcPr>
            <w:tcW w:w="58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(263)</w:t>
            </w:r>
          </w:p>
        </w:tc>
        <w:tc>
          <w:tcPr>
            <w:tcW w:w="34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261</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51"/>
        </w:trPr>
        <w:tc>
          <w:tcPr>
            <w:tcW w:w="61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5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w:t>
            </w:r>
          </w:p>
        </w:tc>
      </w:tr>
      <w:tr>
        <w:trPr>
          <w:trHeight w:val="235"/>
        </w:trPr>
        <w:tc>
          <w:tcPr>
            <w:tcW w:w="6180" w:type="dxa"/>
            <w:vAlign w:val="bottom"/>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58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51"/>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Unamortized intangible assets:</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311"/>
        </w:trPr>
        <w:tc>
          <w:tcPr>
            <w:tcW w:w="6180" w:type="dxa"/>
            <w:vAlign w:val="bottom"/>
            <w:tcBorders>
              <w:bottom w:val="single" w:sz="8" w:color="auto"/>
            </w:tcBorders>
          </w:tcPr>
          <w:p>
            <w:pPr>
              <w:ind w:left="320"/>
              <w:spacing w:after="0" w:line="310"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11,817</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11,817</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37"/>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17,891</w:t>
            </w:r>
          </w:p>
        </w:tc>
        <w:tc>
          <w:tcPr>
            <w:tcW w:w="5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4"/>
              </w:rPr>
              <w:t>(3,329)</w:t>
            </w:r>
          </w:p>
        </w:tc>
        <w:tc>
          <w:tcPr>
            <w:tcW w:w="340" w:type="dxa"/>
            <w:vAlign w:val="bottom"/>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16,817</w:t>
            </w:r>
          </w:p>
        </w:tc>
        <w:tc>
          <w:tcPr>
            <w:tcW w:w="42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Amortization through December 31, 2001 prior to adoption of FASB ASC 350.</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customer lists are amortized over seven and ten years; the patents over 18 years; the non-compete agreements over five years; software over three years; and other intangible assets over fifteen years. Amortization of intangible assets amounted to $99,000 and $102,000 for the three-month periods ended March 31, 2017 and 2016, respectively. Estimated annual amortization of intangibles is as follows: $456,000 in 2017, and $476,000 in each of 2018, 2019, 2020 and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3 – Earnings Per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There were no anti-dilutive shares in the three months ended March 31, 2017 and 2016. The calculations of basic and diluted earnings per share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3"/>
          </w:tcPr>
          <w:p>
            <w:pPr>
              <w:jc w:val="right"/>
              <w:ind w:right="432"/>
              <w:spacing w:after="0"/>
              <w:rPr>
                <w:sz w:val="20"/>
                <w:szCs w:val="20"/>
                <w:color w:val="auto"/>
              </w:rPr>
            </w:pPr>
            <w:r>
              <w:rPr>
                <w:rFonts w:ascii="Arial" w:cs="Arial" w:eastAsia="Arial" w:hAnsi="Arial"/>
                <w:sz w:val="18"/>
                <w:szCs w:val="18"/>
                <w:b w:val="1"/>
                <w:bCs w:val="1"/>
                <w:color w:val="auto"/>
              </w:rPr>
              <w:t>Three Months Ended</w:t>
            </w:r>
          </w:p>
        </w:tc>
      </w:tr>
      <w:tr>
        <w:trPr>
          <w:trHeight w:val="252"/>
        </w:trPr>
        <w:tc>
          <w:tcPr>
            <w:tcW w:w="68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1"/>
                <w:szCs w:val="21"/>
                <w:color w:val="auto"/>
              </w:rPr>
            </w:pPr>
          </w:p>
        </w:tc>
      </w:tr>
      <w:tr>
        <w:trPr>
          <w:trHeight w:val="237"/>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1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2016</w:t>
            </w:r>
          </w:p>
        </w:tc>
      </w:tr>
      <w:tr>
        <w:trPr>
          <w:trHeight w:val="243"/>
        </w:trPr>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Basic</w:t>
            </w:r>
          </w:p>
        </w:tc>
        <w:tc>
          <w:tcPr>
            <w:tcW w:w="1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35"/>
        </w:trPr>
        <w:tc>
          <w:tcPr>
            <w:tcW w:w="68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6,307</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5,833</w:t>
            </w:r>
          </w:p>
        </w:tc>
      </w:tr>
      <w:tr>
        <w:trPr>
          <w:trHeight w:val="251"/>
        </w:trPr>
        <w:tc>
          <w:tcPr>
            <w:tcW w:w="68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11,124,250</w:t>
            </w:r>
          </w:p>
        </w:tc>
        <w:tc>
          <w:tcPr>
            <w:tcW w:w="4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11,233,558</w:t>
            </w:r>
          </w:p>
        </w:tc>
      </w:tr>
      <w:tr>
        <w:trPr>
          <w:trHeight w:val="237"/>
        </w:trPr>
        <w:tc>
          <w:tcPr>
            <w:tcW w:w="68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Basic earnings per share</w:t>
            </w:r>
          </w:p>
        </w:tc>
        <w:tc>
          <w:tcPr>
            <w:tcW w:w="2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w:t>
            </w:r>
          </w:p>
        </w:tc>
        <w:tc>
          <w:tcPr>
            <w:tcW w:w="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8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37"/>
        </w:trPr>
        <w:tc>
          <w:tcPr>
            <w:tcW w:w="6840" w:type="dxa"/>
            <w:vAlign w:val="bottom"/>
            <w:shd w:val="clear" w:color="auto" w:fill="C0C0C0"/>
          </w:tcPr>
          <w:p>
            <w:pPr>
              <w:spacing w:after="0"/>
              <w:rPr>
                <w:sz w:val="20"/>
                <w:szCs w:val="20"/>
                <w:color w:val="auto"/>
              </w:rPr>
            </w:pPr>
            <w:r>
              <w:rPr>
                <w:rFonts w:ascii="Arial" w:cs="Arial" w:eastAsia="Arial" w:hAnsi="Arial"/>
                <w:sz w:val="18"/>
                <w:szCs w:val="18"/>
                <w:color w:val="auto"/>
              </w:rPr>
              <w:t>Diluted</w:t>
            </w:r>
          </w:p>
        </w:tc>
        <w:tc>
          <w:tcPr>
            <w:tcW w:w="19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r>
      <w:tr>
        <w:trPr>
          <w:trHeight w:val="235"/>
        </w:trPr>
        <w:tc>
          <w:tcPr>
            <w:tcW w:w="68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6,307</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5,833</w:t>
            </w:r>
          </w:p>
        </w:tc>
      </w:tr>
      <w:tr>
        <w:trPr>
          <w:trHeight w:val="251"/>
        </w:trPr>
        <w:tc>
          <w:tcPr>
            <w:tcW w:w="68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11,124,250</w:t>
            </w:r>
          </w:p>
        </w:tc>
        <w:tc>
          <w:tcPr>
            <w:tcW w:w="4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11,233,558</w:t>
            </w:r>
          </w:p>
        </w:tc>
      </w:tr>
      <w:tr>
        <w:trPr>
          <w:trHeight w:val="237"/>
        </w:trPr>
        <w:tc>
          <w:tcPr>
            <w:tcW w:w="68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Effect of dilutive restricted stock and stock appreciation rights</w:t>
            </w:r>
          </w:p>
        </w:tc>
        <w:tc>
          <w:tcPr>
            <w:tcW w:w="1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166,671</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153,299</w:t>
            </w:r>
          </w:p>
        </w:tc>
      </w:tr>
      <w:tr>
        <w:trPr>
          <w:trHeight w:val="243"/>
        </w:trPr>
        <w:tc>
          <w:tcPr>
            <w:tcW w:w="68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Weighted-average common shares outstanding assuming dilution</w:t>
            </w:r>
          </w:p>
        </w:tc>
        <w:tc>
          <w:tcPr>
            <w:tcW w:w="1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11,290,921</w:t>
            </w:r>
          </w:p>
        </w:tc>
        <w:tc>
          <w:tcPr>
            <w:tcW w:w="4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11,386,857</w:t>
            </w:r>
          </w:p>
        </w:tc>
      </w:tr>
      <w:tr>
        <w:trPr>
          <w:trHeight w:val="237"/>
        </w:trPr>
        <w:tc>
          <w:tcPr>
            <w:tcW w:w="68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Diluted earnings per share</w:t>
            </w:r>
          </w:p>
        </w:tc>
        <w:tc>
          <w:tcPr>
            <w:tcW w:w="2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.56</w:t>
            </w:r>
          </w:p>
        </w:tc>
        <w:tc>
          <w:tcPr>
            <w:tcW w:w="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maintains a treasury stock buyback program pursuant to which the Board of Directors has authorized the repurchase of up to 500,000 shares of the Company’s common stock. As restored by the Board of Directors on October 17, 2016, the program provides that the Company may repurchase up to an aggregate of 500,000 shares of common stock and has no expiration date. The Company repurchased 0 and 75,882 shares during the three-month periods ended March 31, 2017 and 2016, respectively. As of March 31, 2017, 500,000 shares remained available for repurchase under the program. Repurchases may be made in the open market or through negotiated transactions from time to time depending on market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225"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processing and capital requirements.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churches.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accounting policies for segments are the same as those described in the summary of significant accounting policies in the Company’s Annual Report on Form 10-K for the year ended December 31, 2016. Management evaluates segment performance based on net income after allocations for corporate expenses and income taxes. Transactions between segments are accounted for at what management believes to be fair value.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represent actual assets owned by Information Services and Banking Services and there is no allocation methodology used. Segment interest from customers is the actual interest earned on the loans owned by Information Services and Banking Services,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Corporate,</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360" w:type="dxa"/>
            <w:vAlign w:val="bottom"/>
          </w:tcPr>
          <w:p>
            <w:pPr>
              <w:spacing w:after="0"/>
              <w:rPr>
                <w:sz w:val="21"/>
                <w:szCs w:val="21"/>
                <w:color w:val="auto"/>
              </w:rPr>
            </w:pPr>
          </w:p>
        </w:tc>
        <w:tc>
          <w:tcPr>
            <w:tcW w:w="32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Information</w:t>
            </w:r>
          </w:p>
        </w:tc>
        <w:tc>
          <w:tcPr>
            <w:tcW w:w="28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w w:val="90"/>
              </w:rPr>
              <w:t>Banking</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Eliminations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4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w w:val="86"/>
              </w:rPr>
              <w:t>Services</w:t>
            </w:r>
          </w:p>
        </w:tc>
        <w:tc>
          <w:tcPr>
            <w:tcW w:w="28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w w:val="86"/>
              </w:rPr>
              <w:t>Services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and Other</w:t>
            </w:r>
          </w:p>
        </w:tc>
        <w:tc>
          <w:tcPr>
            <w:tcW w:w="360" w:type="dxa"/>
            <w:vAlign w:val="bottom"/>
          </w:tcPr>
          <w:p>
            <w:pPr>
              <w:spacing w:after="0"/>
              <w:rPr>
                <w:sz w:val="21"/>
                <w:szCs w:val="21"/>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43"/>
        </w:trPr>
        <w:tc>
          <w:tcPr>
            <w:tcW w:w="43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Three Months Ended March 31, 2017</w:t>
            </w:r>
          </w:p>
        </w:tc>
        <w:tc>
          <w:tcPr>
            <w:tcW w:w="2240" w:type="dxa"/>
            <w:vAlign w:val="bottom"/>
            <w:tcBorders>
              <w:top w:val="single" w:sz="8" w:color="auto"/>
            </w:tcBorders>
            <w:shd w:val="clear" w:color="auto" w:fill="C0C0C0"/>
          </w:tcPr>
          <w:p>
            <w:pPr>
              <w:spacing w:after="0"/>
              <w:rPr>
                <w:sz w:val="21"/>
                <w:szCs w:val="21"/>
                <w:color w:val="auto"/>
              </w:rPr>
            </w:pPr>
          </w:p>
        </w:tc>
        <w:tc>
          <w:tcPr>
            <w:tcW w:w="98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98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1040" w:type="dxa"/>
            <w:vAlign w:val="bottom"/>
            <w:tcBorders>
              <w:top w:val="single" w:sz="8" w:color="auto"/>
            </w:tcBorders>
            <w:shd w:val="clear" w:color="auto" w:fill="C0C0C0"/>
          </w:tcPr>
          <w:p>
            <w:pPr>
              <w:spacing w:after="0"/>
              <w:rPr>
                <w:sz w:val="21"/>
                <w:szCs w:val="21"/>
                <w:color w:val="auto"/>
              </w:rPr>
            </w:pPr>
          </w:p>
        </w:tc>
        <w:tc>
          <w:tcPr>
            <w:tcW w:w="360" w:type="dxa"/>
            <w:vAlign w:val="bottom"/>
            <w:tcBorders>
              <w:top w:val="single" w:sz="8" w:color="auto"/>
            </w:tcBorders>
            <w:shd w:val="clear" w:color="auto" w:fill="C0C0C0"/>
          </w:tcPr>
          <w:p>
            <w:pPr>
              <w:spacing w:after="0"/>
              <w:rPr>
                <w:sz w:val="21"/>
                <w:szCs w:val="21"/>
                <w:color w:val="auto"/>
              </w:rPr>
            </w:pPr>
          </w:p>
        </w:tc>
        <w:tc>
          <w:tcPr>
            <w:tcW w:w="90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60" w:type="dxa"/>
            <w:vAlign w:val="bottom"/>
          </w:tcPr>
          <w:p>
            <w:pPr>
              <w:ind w:left="320"/>
              <w:spacing w:after="0"/>
              <w:rPr>
                <w:sz w:val="20"/>
                <w:szCs w:val="20"/>
                <w:color w:val="auto"/>
              </w:rPr>
            </w:pPr>
            <w:r>
              <w:rPr>
                <w:rFonts w:ascii="Arial" w:cs="Arial" w:eastAsia="Arial" w:hAnsi="Arial"/>
                <w:sz w:val="18"/>
                <w:szCs w:val="18"/>
                <w:color w:val="auto"/>
              </w:rPr>
              <w:t>Fee revenue and other income:</w:t>
            </w: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Income from customers</w:t>
            </w:r>
          </w:p>
        </w:tc>
        <w:tc>
          <w:tcPr>
            <w:tcW w:w="2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23,646</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6,644</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30,290</w:t>
            </w:r>
          </w:p>
        </w:tc>
        <w:tc>
          <w:tcPr>
            <w:tcW w:w="20" w:type="dxa"/>
            <w:vAlign w:val="bottom"/>
          </w:tcPr>
          <w:p>
            <w:pPr>
              <w:spacing w:after="0"/>
              <w:rPr>
                <w:sz w:val="21"/>
                <w:szCs w:val="21"/>
                <w:color w:val="auto"/>
              </w:rPr>
            </w:pPr>
          </w:p>
        </w:tc>
      </w:tr>
      <w:tr>
        <w:trPr>
          <w:trHeight w:val="235"/>
        </w:trPr>
        <w:tc>
          <w:tcPr>
            <w:tcW w:w="4360" w:type="dxa"/>
            <w:vAlign w:val="bottom"/>
          </w:tcPr>
          <w:p>
            <w:pPr>
              <w:ind w:left="620"/>
              <w:spacing w:after="0"/>
              <w:rPr>
                <w:sz w:val="20"/>
                <w:szCs w:val="20"/>
                <w:color w:val="auto"/>
              </w:rPr>
            </w:pPr>
            <w:r>
              <w:rPr>
                <w:rFonts w:ascii="Arial" w:cs="Arial" w:eastAsia="Arial" w:hAnsi="Arial"/>
                <w:sz w:val="18"/>
                <w:szCs w:val="18"/>
                <w:color w:val="auto"/>
              </w:rPr>
              <w:t>Intersegment income (expense)</w:t>
            </w:r>
          </w:p>
        </w:tc>
        <w:tc>
          <w:tcPr>
            <w:tcW w:w="22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2,964</w:t>
            </w:r>
          </w:p>
        </w:tc>
        <w:tc>
          <w:tcPr>
            <w:tcW w:w="2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(3,325)</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4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income</w:t>
            </w:r>
          </w:p>
        </w:tc>
        <w:tc>
          <w:tcPr>
            <w:tcW w:w="22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3,824</w:t>
            </w: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2,483</w:t>
            </w: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6,307</w:t>
            </w:r>
          </w:p>
        </w:tc>
        <w:tc>
          <w:tcPr>
            <w:tcW w:w="20" w:type="dxa"/>
            <w:vAlign w:val="bottom"/>
          </w:tcPr>
          <w:p>
            <w:pPr>
              <w:spacing w:after="0"/>
              <w:rPr>
                <w:sz w:val="21"/>
                <w:szCs w:val="21"/>
                <w:color w:val="auto"/>
              </w:rPr>
            </w:pPr>
          </w:p>
        </w:tc>
      </w:tr>
      <w:tr>
        <w:trPr>
          <w:trHeight w:val="235"/>
        </w:trPr>
        <w:tc>
          <w:tcPr>
            <w:tcW w:w="436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2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11,454</w:t>
            </w:r>
          </w:p>
        </w:tc>
        <w:tc>
          <w:tcPr>
            <w:tcW w:w="2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11,590</w:t>
            </w:r>
          </w:p>
        </w:tc>
      </w:tr>
      <w:tr>
        <w:trPr>
          <w:trHeight w:val="251"/>
        </w:trPr>
        <w:tc>
          <w:tcPr>
            <w:tcW w:w="4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intangible assets, net</w:t>
            </w:r>
          </w:p>
        </w:tc>
        <w:tc>
          <w:tcPr>
            <w:tcW w:w="22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2,971</w:t>
            </w: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2,971</w:t>
            </w:r>
          </w:p>
        </w:tc>
        <w:tc>
          <w:tcPr>
            <w:tcW w:w="20" w:type="dxa"/>
            <w:vAlign w:val="bottom"/>
          </w:tcPr>
          <w:p>
            <w:pPr>
              <w:spacing w:after="0"/>
              <w:rPr>
                <w:sz w:val="21"/>
                <w:szCs w:val="21"/>
                <w:color w:val="auto"/>
              </w:rPr>
            </w:pPr>
          </w:p>
        </w:tc>
      </w:tr>
      <w:tr>
        <w:trPr>
          <w:trHeight w:val="235"/>
        </w:trPr>
        <w:tc>
          <w:tcPr>
            <w:tcW w:w="43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2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747,301</w:t>
            </w:r>
          </w:p>
        </w:tc>
        <w:tc>
          <w:tcPr>
            <w:tcW w:w="2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715,753</w:t>
            </w:r>
          </w:p>
        </w:tc>
        <w:tc>
          <w:tcPr>
            <w:tcW w:w="2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(16,048)</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1,447,006</w:t>
            </w:r>
          </w:p>
        </w:tc>
      </w:tr>
      <w:tr>
        <w:trPr>
          <w:trHeight w:val="251"/>
        </w:trPr>
        <w:tc>
          <w:tcPr>
            <w:tcW w:w="436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Three Months Ended March 31, 2016</w:t>
            </w:r>
          </w:p>
        </w:tc>
        <w:tc>
          <w:tcPr>
            <w:tcW w:w="2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60" w:type="dxa"/>
            <w:vAlign w:val="bottom"/>
          </w:tcPr>
          <w:p>
            <w:pPr>
              <w:ind w:left="320"/>
              <w:spacing w:after="0"/>
              <w:rPr>
                <w:sz w:val="20"/>
                <w:szCs w:val="20"/>
                <w:color w:val="auto"/>
              </w:rPr>
            </w:pPr>
            <w:r>
              <w:rPr>
                <w:rFonts w:ascii="Arial" w:cs="Arial" w:eastAsia="Arial" w:hAnsi="Arial"/>
                <w:sz w:val="18"/>
                <w:szCs w:val="18"/>
                <w:color w:val="auto"/>
              </w:rPr>
              <w:t>Fee revenue and other income:</w:t>
            </w: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Income from customers</w:t>
            </w:r>
          </w:p>
        </w:tc>
        <w:tc>
          <w:tcPr>
            <w:tcW w:w="2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23,558</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7,211</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30,769</w:t>
            </w:r>
          </w:p>
        </w:tc>
        <w:tc>
          <w:tcPr>
            <w:tcW w:w="20" w:type="dxa"/>
            <w:vAlign w:val="bottom"/>
          </w:tcPr>
          <w:p>
            <w:pPr>
              <w:spacing w:after="0"/>
              <w:rPr>
                <w:sz w:val="21"/>
                <w:szCs w:val="21"/>
                <w:color w:val="auto"/>
              </w:rPr>
            </w:pPr>
          </w:p>
        </w:tc>
      </w:tr>
      <w:tr>
        <w:trPr>
          <w:trHeight w:val="235"/>
        </w:trPr>
        <w:tc>
          <w:tcPr>
            <w:tcW w:w="4360" w:type="dxa"/>
            <w:vAlign w:val="bottom"/>
          </w:tcPr>
          <w:p>
            <w:pPr>
              <w:ind w:left="620"/>
              <w:spacing w:after="0"/>
              <w:rPr>
                <w:sz w:val="20"/>
                <w:szCs w:val="20"/>
                <w:color w:val="auto"/>
              </w:rPr>
            </w:pPr>
            <w:r>
              <w:rPr>
                <w:rFonts w:ascii="Arial" w:cs="Arial" w:eastAsia="Arial" w:hAnsi="Arial"/>
                <w:sz w:val="18"/>
                <w:szCs w:val="18"/>
                <w:color w:val="auto"/>
              </w:rPr>
              <w:t>Intersegment income (expense)</w:t>
            </w:r>
          </w:p>
        </w:tc>
        <w:tc>
          <w:tcPr>
            <w:tcW w:w="22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3,258</w:t>
            </w:r>
          </w:p>
        </w:tc>
        <w:tc>
          <w:tcPr>
            <w:tcW w:w="2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(3,634)</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4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income</w:t>
            </w:r>
          </w:p>
        </w:tc>
        <w:tc>
          <w:tcPr>
            <w:tcW w:w="22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2,947</w:t>
            </w: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2,886</w:t>
            </w: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5,833</w:t>
            </w:r>
          </w:p>
        </w:tc>
        <w:tc>
          <w:tcPr>
            <w:tcW w:w="20" w:type="dxa"/>
            <w:vAlign w:val="bottom"/>
          </w:tcPr>
          <w:p>
            <w:pPr>
              <w:spacing w:after="0"/>
              <w:rPr>
                <w:sz w:val="21"/>
                <w:szCs w:val="21"/>
                <w:color w:val="auto"/>
              </w:rPr>
            </w:pPr>
          </w:p>
        </w:tc>
      </w:tr>
      <w:tr>
        <w:trPr>
          <w:trHeight w:val="235"/>
        </w:trPr>
        <w:tc>
          <w:tcPr>
            <w:tcW w:w="436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2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11,454</w:t>
            </w:r>
          </w:p>
        </w:tc>
        <w:tc>
          <w:tcPr>
            <w:tcW w:w="2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11,590</w:t>
            </w:r>
          </w:p>
        </w:tc>
      </w:tr>
      <w:tr>
        <w:trPr>
          <w:trHeight w:val="251"/>
        </w:trPr>
        <w:tc>
          <w:tcPr>
            <w:tcW w:w="4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intangible assets, net</w:t>
            </w:r>
          </w:p>
        </w:tc>
        <w:tc>
          <w:tcPr>
            <w:tcW w:w="22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2,303</w:t>
            </w: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2,303</w:t>
            </w:r>
          </w:p>
        </w:tc>
        <w:tc>
          <w:tcPr>
            <w:tcW w:w="20" w:type="dxa"/>
            <w:vAlign w:val="bottom"/>
          </w:tcPr>
          <w:p>
            <w:pPr>
              <w:spacing w:after="0"/>
              <w:rPr>
                <w:sz w:val="21"/>
                <w:szCs w:val="21"/>
                <w:color w:val="auto"/>
              </w:rPr>
            </w:pPr>
          </w:p>
        </w:tc>
      </w:tr>
      <w:tr>
        <w:trPr>
          <w:trHeight w:val="228"/>
        </w:trPr>
        <w:tc>
          <w:tcPr>
            <w:tcW w:w="43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663,487</w:t>
            </w:r>
          </w:p>
        </w:tc>
        <w:tc>
          <w:tcPr>
            <w:tcW w:w="28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718,234</w:t>
            </w:r>
          </w:p>
        </w:tc>
        <w:tc>
          <w:tcPr>
            <w:tcW w:w="2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(4,703)</w:t>
            </w:r>
          </w:p>
        </w:tc>
        <w:tc>
          <w:tcPr>
            <w:tcW w:w="3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1,377,018</w:t>
            </w:r>
          </w:p>
        </w:tc>
      </w:tr>
      <w:tr>
        <w:trPr>
          <w:trHeight w:val="689"/>
        </w:trPr>
        <w:tc>
          <w:tcPr>
            <w:tcW w:w="4360" w:type="dxa"/>
            <w:vAlign w:val="bottom"/>
          </w:tcPr>
          <w:p>
            <w:pPr>
              <w:spacing w:after="0"/>
              <w:rPr>
                <w:sz w:val="20"/>
                <w:szCs w:val="20"/>
                <w:color w:val="auto"/>
              </w:rPr>
            </w:pPr>
            <w:r>
              <w:rPr>
                <w:rFonts w:ascii="Arial" w:cs="Arial" w:eastAsia="Arial" w:hAnsi="Arial"/>
                <w:sz w:val="18"/>
                <w:szCs w:val="18"/>
                <w:color w:val="auto"/>
              </w:rPr>
              <w:t>Note 6 – Loans by Type</w:t>
            </w: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A summary of loan categories is as follows:</w:t>
            </w: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4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March 31,</w:t>
            </w:r>
          </w:p>
        </w:tc>
        <w:tc>
          <w:tcPr>
            <w:tcW w:w="1280" w:type="dxa"/>
            <w:vAlign w:val="bottom"/>
            <w:gridSpan w:val="3"/>
          </w:tcPr>
          <w:p>
            <w:pPr>
              <w:jc w:val="center"/>
              <w:ind w:left="12"/>
              <w:spacing w:after="0"/>
              <w:rPr>
                <w:sz w:val="20"/>
                <w:szCs w:val="20"/>
                <w:color w:val="auto"/>
              </w:rPr>
            </w:pPr>
            <w:r>
              <w:rPr>
                <w:rFonts w:ascii="Arial" w:cs="Arial" w:eastAsia="Arial" w:hAnsi="Arial"/>
                <w:sz w:val="18"/>
                <w:szCs w:val="18"/>
                <w:b w:val="1"/>
                <w:bCs w:val="1"/>
                <w:color w:val="auto"/>
                <w:w w:val="87"/>
              </w:rPr>
              <w:t>December 31,</w:t>
            </w:r>
          </w:p>
        </w:tc>
      </w:tr>
      <w:tr>
        <w:trPr>
          <w:trHeight w:val="252"/>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9"/>
              </w:rPr>
              <w:t>2017</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Pr>
          <w:p>
            <w:pPr>
              <w:spacing w:after="0"/>
              <w:rPr>
                <w:sz w:val="21"/>
                <w:szCs w:val="21"/>
                <w:color w:val="auto"/>
              </w:rPr>
            </w:pPr>
          </w:p>
        </w:tc>
      </w:tr>
      <w:tr>
        <w:trPr>
          <w:trHeight w:val="243"/>
        </w:trPr>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227,028</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214,767</w:t>
            </w:r>
          </w:p>
        </w:tc>
        <w:tc>
          <w:tcPr>
            <w:tcW w:w="20" w:type="dxa"/>
            <w:vAlign w:val="bottom"/>
          </w:tcPr>
          <w:p>
            <w:pPr>
              <w:spacing w:after="0"/>
              <w:rPr>
                <w:sz w:val="21"/>
                <w:szCs w:val="21"/>
                <w:color w:val="auto"/>
              </w:rPr>
            </w:pP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rPr>
              <w:t>Real estate</w:t>
            </w: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Commercial:</w:t>
            </w:r>
          </w:p>
        </w:tc>
        <w:tc>
          <w:tcPr>
            <w:tcW w:w="2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60" w:type="dxa"/>
            <w:vAlign w:val="bottom"/>
          </w:tcPr>
          <w:p>
            <w:pPr>
              <w:ind w:left="620"/>
              <w:spacing w:after="0"/>
              <w:rPr>
                <w:sz w:val="20"/>
                <w:szCs w:val="20"/>
                <w:color w:val="auto"/>
              </w:rPr>
            </w:pPr>
            <w:r>
              <w:rPr>
                <w:rFonts w:ascii="Arial" w:cs="Arial" w:eastAsia="Arial" w:hAnsi="Arial"/>
                <w:sz w:val="18"/>
                <w:szCs w:val="18"/>
                <w:color w:val="auto"/>
              </w:rPr>
              <w:t>Mortgage</w:t>
            </w: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95,864</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104,779</w:t>
            </w:r>
          </w:p>
        </w:tc>
      </w:tr>
      <w:tr>
        <w:trPr>
          <w:trHeight w:val="251"/>
        </w:trPr>
        <w:tc>
          <w:tcPr>
            <w:tcW w:w="43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Construction</w:t>
            </w:r>
          </w:p>
        </w:tc>
        <w:tc>
          <w:tcPr>
            <w:tcW w:w="2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7,257</w:t>
            </w:r>
          </w:p>
        </w:tc>
        <w:tc>
          <w:tcPr>
            <w:tcW w:w="3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21"/>
                <w:szCs w:val="21"/>
                <w:color w:val="auto"/>
              </w:rPr>
            </w:pPr>
          </w:p>
        </w:tc>
      </w:tr>
      <w:tr>
        <w:trPr>
          <w:trHeight w:val="235"/>
        </w:trPr>
        <w:tc>
          <w:tcPr>
            <w:tcW w:w="4360" w:type="dxa"/>
            <w:vAlign w:val="bottom"/>
          </w:tcPr>
          <w:p>
            <w:pPr>
              <w:ind w:left="320"/>
              <w:spacing w:after="0"/>
              <w:rPr>
                <w:sz w:val="20"/>
                <w:szCs w:val="20"/>
                <w:color w:val="auto"/>
              </w:rPr>
            </w:pPr>
            <w:r>
              <w:rPr>
                <w:rFonts w:ascii="Arial" w:cs="Arial" w:eastAsia="Arial" w:hAnsi="Arial"/>
                <w:sz w:val="18"/>
                <w:szCs w:val="18"/>
                <w:color w:val="auto"/>
              </w:rPr>
              <w:t>Church, church-related:</w:t>
            </w: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Mortgage</w:t>
            </w:r>
          </w:p>
        </w:tc>
        <w:tc>
          <w:tcPr>
            <w:tcW w:w="2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326,895</w:t>
            </w:r>
          </w:p>
        </w:tc>
        <w:tc>
          <w:tcPr>
            <w:tcW w:w="3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321,168</w:t>
            </w:r>
          </w:p>
        </w:tc>
        <w:tc>
          <w:tcPr>
            <w:tcW w:w="20" w:type="dxa"/>
            <w:vAlign w:val="bottom"/>
          </w:tcPr>
          <w:p>
            <w:pPr>
              <w:spacing w:after="0"/>
              <w:rPr>
                <w:sz w:val="21"/>
                <w:szCs w:val="21"/>
                <w:color w:val="auto"/>
              </w:rPr>
            </w:pPr>
          </w:p>
        </w:tc>
      </w:tr>
      <w:tr>
        <w:trPr>
          <w:trHeight w:val="235"/>
        </w:trPr>
        <w:tc>
          <w:tcPr>
            <w:tcW w:w="4360" w:type="dxa"/>
            <w:vAlign w:val="bottom"/>
          </w:tcPr>
          <w:p>
            <w:pPr>
              <w:ind w:left="620"/>
              <w:spacing w:after="0"/>
              <w:rPr>
                <w:sz w:val="20"/>
                <w:szCs w:val="20"/>
                <w:color w:val="auto"/>
              </w:rPr>
            </w:pPr>
            <w:r>
              <w:rPr>
                <w:rFonts w:ascii="Arial" w:cs="Arial" w:eastAsia="Arial" w:hAnsi="Arial"/>
                <w:sz w:val="18"/>
                <w:szCs w:val="18"/>
                <w:color w:val="auto"/>
              </w:rPr>
              <w:t>Construction</w:t>
            </w: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12,454</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11,152</w:t>
            </w:r>
          </w:p>
        </w:tc>
      </w:tr>
      <w:tr>
        <w:trPr>
          <w:trHeight w:val="251"/>
        </w:trPr>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5,824</w:t>
            </w:r>
          </w:p>
        </w:tc>
        <w:tc>
          <w:tcPr>
            <w:tcW w:w="3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6,639</w:t>
            </w:r>
          </w:p>
        </w:tc>
        <w:tc>
          <w:tcPr>
            <w:tcW w:w="20" w:type="dxa"/>
            <w:vAlign w:val="bottom"/>
          </w:tcPr>
          <w:p>
            <w:pPr>
              <w:spacing w:after="0"/>
              <w:rPr>
                <w:sz w:val="21"/>
                <w:szCs w:val="2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37"/>
        </w:trPr>
        <w:tc>
          <w:tcPr>
            <w:tcW w:w="4360" w:type="dxa"/>
            <w:vAlign w:val="bottom"/>
            <w:tcBorders>
              <w:top w:val="single" w:sz="8" w:color="auto"/>
              <w:bottom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Total loans</w:t>
            </w:r>
          </w:p>
        </w:tc>
        <w:tc>
          <w:tcPr>
            <w:tcW w:w="2240" w:type="dxa"/>
            <w:vAlign w:val="bottom"/>
            <w:tcBorders>
              <w:top w:val="single" w:sz="8" w:color="auto"/>
              <w:bottom w:val="single" w:sz="8" w:color="auto"/>
            </w:tcBorders>
            <w:shd w:val="clear" w:color="auto" w:fill="C0C0C0"/>
          </w:tcPr>
          <w:p>
            <w:pPr>
              <w:spacing w:after="0"/>
              <w:rPr>
                <w:sz w:val="20"/>
                <w:szCs w:val="20"/>
                <w:color w:val="auto"/>
              </w:rPr>
            </w:pPr>
          </w:p>
        </w:tc>
        <w:tc>
          <w:tcPr>
            <w:tcW w:w="980" w:type="dxa"/>
            <w:vAlign w:val="bottom"/>
            <w:tcBorders>
              <w:top w:val="single" w:sz="8" w:color="auto"/>
              <w:bottom w:val="single" w:sz="8" w:color="auto"/>
            </w:tcBorders>
            <w:shd w:val="clear" w:color="auto" w:fill="C0C0C0"/>
          </w:tcPr>
          <w:p>
            <w:pPr>
              <w:spacing w:after="0"/>
              <w:rPr>
                <w:sz w:val="20"/>
                <w:szCs w:val="20"/>
                <w:color w:val="auto"/>
              </w:rPr>
            </w:pPr>
          </w:p>
        </w:tc>
        <w:tc>
          <w:tcPr>
            <w:tcW w:w="280" w:type="dxa"/>
            <w:vAlign w:val="bottom"/>
            <w:tcBorders>
              <w:top w:val="single" w:sz="8" w:color="auto"/>
              <w:bottom w:val="single" w:sz="8" w:color="auto"/>
            </w:tcBorders>
            <w:shd w:val="clear" w:color="auto" w:fill="C0C0C0"/>
          </w:tcPr>
          <w:p>
            <w:pPr>
              <w:spacing w:after="0"/>
              <w:rPr>
                <w:sz w:val="20"/>
                <w:szCs w:val="20"/>
                <w:color w:val="auto"/>
              </w:rPr>
            </w:pPr>
          </w:p>
        </w:tc>
        <w:tc>
          <w:tcPr>
            <w:tcW w:w="980" w:type="dxa"/>
            <w:vAlign w:val="bottom"/>
            <w:tcBorders>
              <w:top w:val="single" w:sz="8" w:color="auto"/>
              <w:bottom w:val="single" w:sz="8" w:color="auto"/>
            </w:tcBorders>
            <w:shd w:val="clear" w:color="auto" w:fill="C0C0C0"/>
          </w:tcPr>
          <w:p>
            <w:pPr>
              <w:spacing w:after="0"/>
              <w:rPr>
                <w:sz w:val="20"/>
                <w:szCs w:val="20"/>
                <w:color w:val="auto"/>
              </w:rPr>
            </w:pPr>
          </w:p>
        </w:tc>
        <w:tc>
          <w:tcPr>
            <w:tcW w:w="2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675,380</w:t>
            </w:r>
          </w:p>
        </w:tc>
        <w:tc>
          <w:tcPr>
            <w:tcW w:w="3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664,866</w:t>
            </w:r>
          </w:p>
        </w:tc>
        <w:tc>
          <w:tcPr>
            <w:tcW w:w="20" w:type="dxa"/>
            <w:vAlign w:val="bottom"/>
          </w:tcPr>
          <w:p>
            <w:pPr>
              <w:spacing w:after="0"/>
              <w:rPr>
                <w:sz w:val="20"/>
                <w:szCs w:val="20"/>
                <w:color w:val="auto"/>
              </w:rPr>
            </w:pPr>
          </w:p>
        </w:tc>
      </w:tr>
      <w:tr>
        <w:trPr>
          <w:trHeight w:val="673"/>
        </w:trPr>
        <w:tc>
          <w:tcPr>
            <w:tcW w:w="4360" w:type="dxa"/>
            <w:vAlign w:val="bottom"/>
          </w:tcPr>
          <w:p>
            <w:pPr>
              <w:spacing w:after="0"/>
              <w:rPr>
                <w:sz w:val="24"/>
                <w:szCs w:val="24"/>
                <w:color w:val="auto"/>
              </w:rPr>
            </w:pPr>
          </w:p>
        </w:tc>
        <w:tc>
          <w:tcPr>
            <w:tcW w:w="2240" w:type="dxa"/>
            <w:vAlign w:val="bottom"/>
          </w:tcPr>
          <w:p>
            <w:pPr>
              <w:jc w:val="right"/>
              <w:ind w:right="692"/>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3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presents the aging of loans by loan categories at March 31, 2017 and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Performing</w:t>
            </w: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Nonperforming</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90 Days</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30-59</w:t>
            </w:r>
          </w:p>
        </w:tc>
        <w:tc>
          <w:tcPr>
            <w:tcW w:w="2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60-89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and</w:t>
            </w:r>
          </w:p>
        </w:tc>
        <w:tc>
          <w:tcPr>
            <w:tcW w:w="300" w:type="dxa"/>
            <w:vAlign w:val="bottom"/>
          </w:tcPr>
          <w:p>
            <w:pPr>
              <w:spacing w:after="0"/>
              <w:rPr>
                <w:sz w:val="21"/>
                <w:szCs w:val="21"/>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b w:val="1"/>
                <w:bCs w:val="1"/>
                <w:color w:val="auto"/>
                <w:w w:val="92"/>
              </w:rPr>
              <w:t>Non-</w:t>
            </w:r>
          </w:p>
        </w:tc>
        <w:tc>
          <w:tcPr>
            <w:tcW w:w="32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52"/>
        </w:trPr>
        <w:tc>
          <w:tcPr>
            <w:tcW w:w="55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w w:val="98"/>
              </w:rPr>
              <w:t>Current</w:t>
            </w:r>
          </w:p>
        </w:tc>
        <w:tc>
          <w:tcPr>
            <w:tcW w:w="2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Days</w:t>
            </w:r>
          </w:p>
        </w:tc>
        <w:tc>
          <w:tcPr>
            <w:tcW w:w="22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Days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112"/>
              <w:spacing w:after="0"/>
              <w:rPr>
                <w:sz w:val="20"/>
                <w:szCs w:val="20"/>
                <w:color w:val="auto"/>
              </w:rPr>
            </w:pPr>
            <w:r>
              <w:rPr>
                <w:rFonts w:ascii="Arial" w:cs="Arial" w:eastAsia="Arial" w:hAnsi="Arial"/>
                <w:sz w:val="18"/>
                <w:szCs w:val="18"/>
                <w:b w:val="1"/>
                <w:bCs w:val="1"/>
                <w:color w:val="auto"/>
                <w:w w:val="92"/>
              </w:rPr>
              <w:t>Over</w:t>
            </w:r>
          </w:p>
        </w:tc>
        <w:tc>
          <w:tcPr>
            <w:tcW w:w="10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accrual</w:t>
            </w:r>
          </w:p>
        </w:tc>
        <w:tc>
          <w:tcPr>
            <w:tcW w:w="32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Loans</w:t>
            </w:r>
          </w:p>
        </w:tc>
      </w:tr>
      <w:tr>
        <w:trPr>
          <w:trHeight w:val="243"/>
        </w:trPr>
        <w:tc>
          <w:tcPr>
            <w:tcW w:w="55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March 31, 2017</w:t>
            </w:r>
          </w:p>
        </w:tc>
        <w:tc>
          <w:tcPr>
            <w:tcW w:w="140" w:type="dxa"/>
            <w:vAlign w:val="bottom"/>
            <w:tcBorders>
              <w:top w:val="single" w:sz="8" w:color="auto"/>
            </w:tcBorders>
            <w:shd w:val="clear" w:color="auto" w:fill="C0C0C0"/>
          </w:tcPr>
          <w:p>
            <w:pPr>
              <w:spacing w:after="0"/>
              <w:rPr>
                <w:sz w:val="21"/>
                <w:szCs w:val="21"/>
                <w:color w:val="auto"/>
              </w:rPr>
            </w:pPr>
          </w:p>
        </w:tc>
        <w:tc>
          <w:tcPr>
            <w:tcW w:w="98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auto"/>
            </w:tcBorders>
            <w:shd w:val="clear" w:color="auto" w:fill="C0C0C0"/>
          </w:tcPr>
          <w:p>
            <w:pPr>
              <w:spacing w:after="0"/>
              <w:rPr>
                <w:sz w:val="21"/>
                <w:szCs w:val="21"/>
                <w:color w:val="auto"/>
              </w:rPr>
            </w:pPr>
          </w:p>
        </w:tc>
        <w:tc>
          <w:tcPr>
            <w:tcW w:w="80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5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227,028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227,028</w:t>
            </w:r>
          </w:p>
        </w:tc>
      </w:tr>
      <w:tr>
        <w:trPr>
          <w:trHeight w:val="250"/>
        </w:trPr>
        <w:tc>
          <w:tcPr>
            <w:tcW w:w="554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54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55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95,633</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95,864</w:t>
            </w:r>
          </w:p>
        </w:tc>
        <w:tc>
          <w:tcPr>
            <w:tcW w:w="20" w:type="dxa"/>
            <w:vAlign w:val="bottom"/>
          </w:tcPr>
          <w:p>
            <w:pPr>
              <w:spacing w:after="0"/>
              <w:rPr>
                <w:sz w:val="21"/>
                <w:szCs w:val="21"/>
                <w:color w:val="auto"/>
              </w:rPr>
            </w:pPr>
          </w:p>
        </w:tc>
      </w:tr>
      <w:tr>
        <w:trPr>
          <w:trHeight w:val="235"/>
        </w:trPr>
        <w:tc>
          <w:tcPr>
            <w:tcW w:w="5540" w:type="dxa"/>
            <w:vAlign w:val="bottom"/>
          </w:tcPr>
          <w:p>
            <w:pPr>
              <w:ind w:left="62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7,257</w:t>
            </w:r>
          </w:p>
        </w:tc>
        <w:tc>
          <w:tcPr>
            <w:tcW w:w="24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7,257</w:t>
            </w:r>
          </w:p>
        </w:tc>
      </w:tr>
      <w:tr>
        <w:trPr>
          <w:trHeight w:val="251"/>
        </w:trPr>
        <w:tc>
          <w:tcPr>
            <w:tcW w:w="55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Church, church-related:</w:t>
            </w:r>
          </w:p>
        </w:tc>
        <w:tc>
          <w:tcPr>
            <w:tcW w:w="1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540" w:type="dxa"/>
            <w:vAlign w:val="bottom"/>
          </w:tcPr>
          <w:p>
            <w:pPr>
              <w:ind w:left="62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326,895</w:t>
            </w:r>
          </w:p>
        </w:tc>
        <w:tc>
          <w:tcPr>
            <w:tcW w:w="24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326,895</w:t>
            </w:r>
          </w:p>
        </w:tc>
      </w:tr>
      <w:tr>
        <w:trPr>
          <w:trHeight w:val="250"/>
        </w:trPr>
        <w:tc>
          <w:tcPr>
            <w:tcW w:w="55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12,454</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12,454</w:t>
            </w:r>
          </w:p>
        </w:tc>
        <w:tc>
          <w:tcPr>
            <w:tcW w:w="20" w:type="dxa"/>
            <w:vAlign w:val="bottom"/>
          </w:tcPr>
          <w:p>
            <w:pPr>
              <w:spacing w:after="0"/>
              <w:rPr>
                <w:sz w:val="21"/>
                <w:szCs w:val="21"/>
                <w:color w:val="auto"/>
              </w:rPr>
            </w:pPr>
          </w:p>
        </w:tc>
      </w:tr>
      <w:tr>
        <w:trPr>
          <w:trHeight w:val="235"/>
        </w:trPr>
        <w:tc>
          <w:tcPr>
            <w:tcW w:w="554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5,824</w:t>
            </w:r>
          </w:p>
        </w:tc>
        <w:tc>
          <w:tcPr>
            <w:tcW w:w="24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5,824</w:t>
            </w:r>
          </w:p>
        </w:tc>
      </w:tr>
      <w:tr>
        <w:trPr>
          <w:trHeight w:val="244"/>
        </w:trPr>
        <w:tc>
          <w:tcPr>
            <w:tcW w:w="55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675,127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675,380</w:t>
            </w:r>
          </w:p>
        </w:tc>
      </w:tr>
      <w:tr>
        <w:trPr>
          <w:trHeight w:val="243"/>
        </w:trPr>
        <w:tc>
          <w:tcPr>
            <w:tcW w:w="55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December 31, 2016</w:t>
            </w:r>
          </w:p>
        </w:tc>
        <w:tc>
          <w:tcPr>
            <w:tcW w:w="140" w:type="dxa"/>
            <w:vAlign w:val="bottom"/>
            <w:tcBorders>
              <w:top w:val="single" w:sz="8" w:color="auto"/>
            </w:tcBorders>
            <w:shd w:val="clear" w:color="auto" w:fill="C0C0C0"/>
          </w:tcPr>
          <w:p>
            <w:pPr>
              <w:spacing w:after="0"/>
              <w:rPr>
                <w:sz w:val="21"/>
                <w:szCs w:val="21"/>
                <w:color w:val="auto"/>
              </w:rPr>
            </w:pPr>
          </w:p>
        </w:tc>
        <w:tc>
          <w:tcPr>
            <w:tcW w:w="98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auto"/>
            </w:tcBorders>
            <w:shd w:val="clear" w:color="auto" w:fill="C0C0C0"/>
          </w:tcPr>
          <w:p>
            <w:pPr>
              <w:spacing w:after="0"/>
              <w:rPr>
                <w:sz w:val="21"/>
                <w:szCs w:val="21"/>
                <w:color w:val="auto"/>
              </w:rPr>
            </w:pPr>
          </w:p>
        </w:tc>
        <w:tc>
          <w:tcPr>
            <w:tcW w:w="80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5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214,767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214,767</w:t>
            </w:r>
          </w:p>
        </w:tc>
      </w:tr>
      <w:tr>
        <w:trPr>
          <w:trHeight w:val="251"/>
        </w:trPr>
        <w:tc>
          <w:tcPr>
            <w:tcW w:w="554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54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55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104,534</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3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104,779</w:t>
            </w:r>
          </w:p>
        </w:tc>
        <w:tc>
          <w:tcPr>
            <w:tcW w:w="20" w:type="dxa"/>
            <w:vAlign w:val="bottom"/>
          </w:tcPr>
          <w:p>
            <w:pPr>
              <w:spacing w:after="0"/>
              <w:rPr>
                <w:sz w:val="21"/>
                <w:szCs w:val="21"/>
                <w:color w:val="auto"/>
              </w:rPr>
            </w:pPr>
          </w:p>
        </w:tc>
      </w:tr>
      <w:tr>
        <w:trPr>
          <w:trHeight w:val="235"/>
        </w:trPr>
        <w:tc>
          <w:tcPr>
            <w:tcW w:w="5540" w:type="dxa"/>
            <w:vAlign w:val="bottom"/>
          </w:tcPr>
          <w:p>
            <w:pPr>
              <w:ind w:left="62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6,325</w:t>
            </w:r>
          </w:p>
        </w:tc>
        <w:tc>
          <w:tcPr>
            <w:tcW w:w="24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6,325</w:t>
            </w:r>
          </w:p>
        </w:tc>
      </w:tr>
      <w:tr>
        <w:trPr>
          <w:trHeight w:val="251"/>
        </w:trPr>
        <w:tc>
          <w:tcPr>
            <w:tcW w:w="55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Church, church-related:</w:t>
            </w:r>
          </w:p>
        </w:tc>
        <w:tc>
          <w:tcPr>
            <w:tcW w:w="1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540" w:type="dxa"/>
            <w:vAlign w:val="bottom"/>
          </w:tcPr>
          <w:p>
            <w:pPr>
              <w:ind w:left="62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321,168</w:t>
            </w:r>
          </w:p>
        </w:tc>
        <w:tc>
          <w:tcPr>
            <w:tcW w:w="24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321,168</w:t>
            </w:r>
          </w:p>
        </w:tc>
      </w:tr>
      <w:tr>
        <w:trPr>
          <w:trHeight w:val="251"/>
        </w:trPr>
        <w:tc>
          <w:tcPr>
            <w:tcW w:w="55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11,152</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11,152</w:t>
            </w:r>
          </w:p>
        </w:tc>
        <w:tc>
          <w:tcPr>
            <w:tcW w:w="20" w:type="dxa"/>
            <w:vAlign w:val="bottom"/>
          </w:tcPr>
          <w:p>
            <w:pPr>
              <w:spacing w:after="0"/>
              <w:rPr>
                <w:sz w:val="21"/>
                <w:szCs w:val="21"/>
                <w:color w:val="auto"/>
              </w:rPr>
            </w:pPr>
          </w:p>
        </w:tc>
      </w:tr>
      <w:tr>
        <w:trPr>
          <w:trHeight w:val="235"/>
        </w:trPr>
        <w:tc>
          <w:tcPr>
            <w:tcW w:w="554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6,639</w:t>
            </w:r>
          </w:p>
        </w:tc>
        <w:tc>
          <w:tcPr>
            <w:tcW w:w="24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6,639</w:t>
            </w:r>
          </w:p>
        </w:tc>
      </w:tr>
      <w:tr>
        <w:trPr>
          <w:trHeight w:val="244"/>
        </w:trPr>
        <w:tc>
          <w:tcPr>
            <w:tcW w:w="55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664,609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245</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664,866</w:t>
            </w:r>
          </w:p>
        </w:tc>
      </w:tr>
      <w:tr>
        <w:trPr>
          <w:trHeight w:val="673"/>
        </w:trPr>
        <w:tc>
          <w:tcPr>
            <w:tcW w:w="5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presents the credit exposure of the loan portfolio by internally assigned credit grade as of March 31, 2017 and December 31,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20" w:type="dxa"/>
            <w:vAlign w:val="bottom"/>
          </w:tcPr>
          <w:p>
            <w:pPr>
              <w:jc w:val="center"/>
              <w:ind w:right="132"/>
              <w:spacing w:after="0"/>
              <w:rPr>
                <w:sz w:val="20"/>
                <w:szCs w:val="20"/>
                <w:color w:val="auto"/>
              </w:rPr>
            </w:pPr>
            <w:r>
              <w:rPr>
                <w:rFonts w:ascii="Arial" w:cs="Arial" w:eastAsia="Arial" w:hAnsi="Arial"/>
                <w:sz w:val="18"/>
                <w:szCs w:val="18"/>
                <w:b w:val="1"/>
                <w:bCs w:val="1"/>
                <w:color w:val="auto"/>
                <w:w w:val="82"/>
              </w:rPr>
              <w:t>Loans</w:t>
            </w:r>
          </w:p>
        </w:tc>
        <w:tc>
          <w:tcPr>
            <w:tcW w:w="260" w:type="dxa"/>
            <w:vAlign w:val="bottom"/>
          </w:tcPr>
          <w:p>
            <w:pPr>
              <w:spacing w:after="0"/>
              <w:rPr>
                <w:sz w:val="19"/>
                <w:szCs w:val="19"/>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Performing</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Nonperforming</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4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2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Subject to</w:t>
            </w: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w w:val="95"/>
              </w:rPr>
              <w:t>Loans Subject to</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Loans Subject</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2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Normal</w:t>
            </w:r>
          </w:p>
        </w:tc>
        <w:tc>
          <w:tcPr>
            <w:tcW w:w="260" w:type="dxa"/>
            <w:vAlign w:val="bottom"/>
          </w:tcPr>
          <w:p>
            <w:pPr>
              <w:spacing w:after="0"/>
              <w:rPr>
                <w:sz w:val="21"/>
                <w:szCs w:val="21"/>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5"/>
              </w:rPr>
              <w:t>Special</w:t>
            </w:r>
          </w:p>
        </w:tc>
        <w:tc>
          <w:tcPr>
            <w:tcW w:w="240" w:type="dxa"/>
            <w:vAlign w:val="bottom"/>
          </w:tcPr>
          <w:p>
            <w:pPr>
              <w:spacing w:after="0"/>
              <w:rPr>
                <w:sz w:val="21"/>
                <w:szCs w:val="21"/>
                <w:color w:val="auto"/>
              </w:rPr>
            </w:pPr>
          </w:p>
        </w:tc>
        <w:tc>
          <w:tcPr>
            <w:tcW w:w="120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to Special</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32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220" w:type="dxa"/>
            <w:vAlign w:val="bottom"/>
            <w:tcBorders>
              <w:bottom w:val="single" w:sz="8" w:color="auto"/>
            </w:tcBorders>
            <w:gridSpan w:val="2"/>
          </w:tcPr>
          <w:p>
            <w:pPr>
              <w:jc w:val="center"/>
              <w:ind w:left="1892"/>
              <w:spacing w:after="0" w:line="326" w:lineRule="exact"/>
              <w:rPr>
                <w:sz w:val="20"/>
                <w:szCs w:val="20"/>
                <w:color w:val="auto"/>
              </w:rPr>
            </w:pPr>
            <w:r>
              <w:rPr>
                <w:rFonts w:ascii="Arial" w:cs="Arial" w:eastAsia="Arial" w:hAnsi="Arial"/>
                <w:sz w:val="18"/>
                <w:szCs w:val="18"/>
                <w:b w:val="1"/>
                <w:bCs w:val="1"/>
                <w:color w:val="auto"/>
                <w:w w:val="88"/>
              </w:rPr>
              <w:t>Monitoring</w:t>
            </w:r>
            <w:r>
              <w:rPr>
                <w:rFonts w:ascii="Arial" w:cs="Arial" w:eastAsia="Arial" w:hAnsi="Arial"/>
                <w:sz w:val="29"/>
                <w:szCs w:val="29"/>
                <w:b w:val="1"/>
                <w:bCs w:val="1"/>
                <w:color w:val="auto"/>
                <w:w w:val="88"/>
                <w:vertAlign w:val="superscript"/>
              </w:rPr>
              <w:t>1</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52"/>
              <w:spacing w:after="0" w:line="326" w:lineRule="exact"/>
              <w:rPr>
                <w:sz w:val="20"/>
                <w:szCs w:val="20"/>
                <w:color w:val="auto"/>
              </w:rPr>
            </w:pPr>
            <w:r>
              <w:rPr>
                <w:rFonts w:ascii="Arial" w:cs="Arial" w:eastAsia="Arial" w:hAnsi="Arial"/>
                <w:sz w:val="18"/>
                <w:szCs w:val="18"/>
                <w:b w:val="1"/>
                <w:bCs w:val="1"/>
                <w:color w:val="auto"/>
                <w:w w:val="88"/>
              </w:rPr>
              <w:t>Monitoring</w:t>
            </w:r>
            <w:r>
              <w:rPr>
                <w:rFonts w:ascii="Arial" w:cs="Arial" w:eastAsia="Arial" w:hAnsi="Arial"/>
                <w:sz w:val="29"/>
                <w:szCs w:val="29"/>
                <w:b w:val="1"/>
                <w:bCs w:val="1"/>
                <w:color w:val="auto"/>
                <w:w w:val="88"/>
                <w:vertAlign w:val="superscript"/>
              </w:rPr>
              <w:t>2</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Loans</w:t>
            </w:r>
          </w:p>
        </w:tc>
      </w:tr>
      <w:tr>
        <w:trPr>
          <w:trHeight w:val="237"/>
        </w:trPr>
        <w:tc>
          <w:tcPr>
            <w:tcW w:w="410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March 31, 2017</w:t>
            </w:r>
          </w:p>
        </w:tc>
        <w:tc>
          <w:tcPr>
            <w:tcW w:w="220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8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225,321</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1,707</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227,028</w:t>
            </w:r>
          </w:p>
        </w:tc>
      </w:tr>
      <w:tr>
        <w:trPr>
          <w:trHeight w:val="250"/>
        </w:trPr>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10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2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1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Mortgage</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94,892</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231</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95,864</w:t>
            </w:r>
          </w:p>
        </w:tc>
      </w:tr>
      <w:tr>
        <w:trPr>
          <w:trHeight w:val="236"/>
        </w:trPr>
        <w:tc>
          <w:tcPr>
            <w:tcW w:w="4100" w:type="dxa"/>
            <w:vAlign w:val="bottom"/>
          </w:tcPr>
          <w:p>
            <w:pPr>
              <w:ind w:left="620"/>
              <w:spacing w:after="0"/>
              <w:rPr>
                <w:sz w:val="20"/>
                <w:szCs w:val="20"/>
                <w:color w:val="auto"/>
              </w:rPr>
            </w:pPr>
            <w:r>
              <w:rPr>
                <w:rFonts w:ascii="Arial" w:cs="Arial" w:eastAsia="Arial" w:hAnsi="Arial"/>
                <w:sz w:val="18"/>
                <w:szCs w:val="18"/>
                <w:color w:val="auto"/>
              </w:rPr>
              <w:t>Construction</w:t>
            </w:r>
          </w:p>
        </w:tc>
        <w:tc>
          <w:tcPr>
            <w:tcW w:w="22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7,257</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7,257</w:t>
            </w:r>
          </w:p>
        </w:tc>
      </w:tr>
      <w:tr>
        <w:trPr>
          <w:trHeight w:val="250"/>
        </w:trPr>
        <w:tc>
          <w:tcPr>
            <w:tcW w:w="41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Church, church-related:</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6"/>
        </w:trPr>
        <w:tc>
          <w:tcPr>
            <w:tcW w:w="4100" w:type="dxa"/>
            <w:vAlign w:val="bottom"/>
          </w:tcPr>
          <w:p>
            <w:pPr>
              <w:ind w:left="620"/>
              <w:spacing w:after="0"/>
              <w:rPr>
                <w:sz w:val="20"/>
                <w:szCs w:val="20"/>
                <w:color w:val="auto"/>
              </w:rPr>
            </w:pPr>
            <w:r>
              <w:rPr>
                <w:rFonts w:ascii="Arial" w:cs="Arial" w:eastAsia="Arial" w:hAnsi="Arial"/>
                <w:sz w:val="18"/>
                <w:szCs w:val="18"/>
                <w:color w:val="auto"/>
              </w:rPr>
              <w:t>Mortgage</w:t>
            </w:r>
          </w:p>
        </w:tc>
        <w:tc>
          <w:tcPr>
            <w:tcW w:w="22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323,866</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3,029</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326,895</w:t>
            </w:r>
          </w:p>
        </w:tc>
      </w:tr>
      <w:tr>
        <w:trPr>
          <w:trHeight w:val="250"/>
        </w:trPr>
        <w:tc>
          <w:tcPr>
            <w:tcW w:w="41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Construction</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12,454</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12,454</w:t>
            </w:r>
          </w:p>
        </w:tc>
      </w:tr>
      <w:tr>
        <w:trPr>
          <w:trHeight w:val="235"/>
        </w:trPr>
        <w:tc>
          <w:tcPr>
            <w:tcW w:w="410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2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5,824</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5,824</w:t>
            </w:r>
          </w:p>
        </w:tc>
      </w:tr>
      <w:tr>
        <w:trPr>
          <w:trHeight w:val="244"/>
        </w:trPr>
        <w:tc>
          <w:tcPr>
            <w:tcW w:w="4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669,672</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5,477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231</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675,380</w:t>
            </w:r>
          </w:p>
        </w:tc>
      </w:tr>
      <w:tr>
        <w:trPr>
          <w:trHeight w:val="243"/>
        </w:trPr>
        <w:tc>
          <w:tcPr>
            <w:tcW w:w="410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December 31, 2016</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213,024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1,743</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214,767</w:t>
            </w:r>
          </w:p>
        </w:tc>
      </w:tr>
      <w:tr>
        <w:trPr>
          <w:trHeight w:val="251"/>
        </w:trPr>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10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2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1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Mortgage</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103,778</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756</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104,779</w:t>
            </w:r>
          </w:p>
        </w:tc>
      </w:tr>
      <w:tr>
        <w:trPr>
          <w:trHeight w:val="235"/>
        </w:trPr>
        <w:tc>
          <w:tcPr>
            <w:tcW w:w="4100" w:type="dxa"/>
            <w:vAlign w:val="bottom"/>
          </w:tcPr>
          <w:p>
            <w:pPr>
              <w:ind w:left="620"/>
              <w:spacing w:after="0"/>
              <w:rPr>
                <w:sz w:val="20"/>
                <w:szCs w:val="20"/>
                <w:color w:val="auto"/>
              </w:rPr>
            </w:pPr>
            <w:r>
              <w:rPr>
                <w:rFonts w:ascii="Arial" w:cs="Arial" w:eastAsia="Arial" w:hAnsi="Arial"/>
                <w:sz w:val="18"/>
                <w:szCs w:val="18"/>
                <w:color w:val="auto"/>
              </w:rPr>
              <w:t>Construction</w:t>
            </w:r>
          </w:p>
        </w:tc>
        <w:tc>
          <w:tcPr>
            <w:tcW w:w="22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6,325</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6,325</w:t>
            </w:r>
          </w:p>
        </w:tc>
      </w:tr>
      <w:tr>
        <w:trPr>
          <w:trHeight w:val="251"/>
        </w:trPr>
        <w:tc>
          <w:tcPr>
            <w:tcW w:w="41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Church, church-related:</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100" w:type="dxa"/>
            <w:vAlign w:val="bottom"/>
          </w:tcPr>
          <w:p>
            <w:pPr>
              <w:ind w:left="620"/>
              <w:spacing w:after="0"/>
              <w:rPr>
                <w:sz w:val="20"/>
                <w:szCs w:val="20"/>
                <w:color w:val="auto"/>
              </w:rPr>
            </w:pPr>
            <w:r>
              <w:rPr>
                <w:rFonts w:ascii="Arial" w:cs="Arial" w:eastAsia="Arial" w:hAnsi="Arial"/>
                <w:sz w:val="18"/>
                <w:szCs w:val="18"/>
                <w:color w:val="auto"/>
              </w:rPr>
              <w:t>Mortgage</w:t>
            </w:r>
          </w:p>
        </w:tc>
        <w:tc>
          <w:tcPr>
            <w:tcW w:w="22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318,030</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3,138</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321,168</w:t>
            </w:r>
          </w:p>
        </w:tc>
      </w:tr>
      <w:tr>
        <w:trPr>
          <w:trHeight w:val="251"/>
        </w:trPr>
        <w:tc>
          <w:tcPr>
            <w:tcW w:w="41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Construction</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11,152</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11,152</w:t>
            </w:r>
          </w:p>
        </w:tc>
      </w:tr>
      <w:tr>
        <w:trPr>
          <w:trHeight w:val="235"/>
        </w:trPr>
        <w:tc>
          <w:tcPr>
            <w:tcW w:w="410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2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6,639</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6,639</w:t>
            </w:r>
          </w:p>
        </w:tc>
      </w:tr>
      <w:tr>
        <w:trPr>
          <w:trHeight w:val="244"/>
        </w:trPr>
        <w:tc>
          <w:tcPr>
            <w:tcW w:w="4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w:t>
            </w:r>
          </w:p>
        </w:tc>
      </w:tr>
      <w:tr>
        <w:trPr>
          <w:trHeight w:val="228"/>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658,984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5,637</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245</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664,866</w:t>
            </w:r>
          </w:p>
        </w:tc>
      </w:tr>
    </w:tbl>
    <w:p>
      <w:pPr>
        <w:ind w:left="100" w:hanging="92"/>
        <w:spacing w:after="0" w:line="206" w:lineRule="auto"/>
        <w:tabs>
          <w:tab w:leader="none" w:pos="10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Loans subject to normal monitoring involve borrowers of acceptable-to-strong credit quality and risk, who have the apparent ability to satisfy their loan obligations.</w:t>
      </w:r>
    </w:p>
    <w:p>
      <w:pPr>
        <w:spacing w:after="0" w:line="15" w:lineRule="exact"/>
        <w:rPr>
          <w:rFonts w:ascii="Arial" w:cs="Arial" w:eastAsia="Arial" w:hAnsi="Arial"/>
          <w:sz w:val="22"/>
          <w:szCs w:val="22"/>
          <w:color w:val="auto"/>
          <w:vertAlign w:val="superscript"/>
        </w:rPr>
      </w:pPr>
    </w:p>
    <w:p>
      <w:pPr>
        <w:spacing w:after="0" w:line="235" w:lineRule="auto"/>
        <w:rPr>
          <w:rFonts w:ascii="Arial" w:cs="Arial" w:eastAsia="Arial" w:hAnsi="Arial"/>
          <w:sz w:val="22"/>
          <w:szCs w:val="22"/>
          <w:color w:val="auto"/>
          <w:vertAlign w:val="superscript"/>
        </w:rPr>
      </w:pPr>
      <w:r>
        <w:rPr>
          <w:rFonts w:ascii="Arial" w:cs="Arial" w:eastAsia="Arial" w:hAnsi="Arial"/>
          <w:sz w:val="22"/>
          <w:szCs w:val="22"/>
          <w:color w:val="auto"/>
          <w:vertAlign w:val="superscript"/>
        </w:rPr>
        <w:t>2</w:t>
      </w:r>
      <w:r>
        <w:rPr>
          <w:rFonts w:ascii="Arial" w:cs="Arial" w:eastAsia="Arial" w:hAnsi="Arial"/>
          <w:sz w:val="14"/>
          <w:szCs w:val="14"/>
          <w:color w:val="auto"/>
        </w:rPr>
        <w:t xml:space="preserve"> Loans subject to special monitoring possess some credit deficiency or potential weakness which requires a high level of management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“Allowance for Credit Losses.” At March 31, 2017 and December 31, 2016, impaired loans were evaluated using the expected cash flow method. The fair value of the collateral is based upon an observable market price or current appraised value and therefore, the Company classifies these assets as nonrecurring Level 3. There were no loans delinquent 90 days or more and still accruing interest at March 31, 2017 and December 31, 2016. There were no loans classified as troubled debt restructuring at March 31, 2017 and December 31,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foreclosed loans recorded as other real estate owned (included in other assets) as of March 31, 2017 and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recorded investment and unpaid principal balance for impaired loans at March 31, 2017 and December 31,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85"/>
              </w:rPr>
              <w:t>Unpaid</w:t>
            </w:r>
          </w:p>
        </w:tc>
        <w:tc>
          <w:tcPr>
            <w:tcW w:w="300" w:type="dxa"/>
            <w:vAlign w:val="bottom"/>
          </w:tcPr>
          <w:p>
            <w:pPr>
              <w:spacing w:after="0"/>
              <w:rPr>
                <w:sz w:val="19"/>
                <w:szCs w:val="19"/>
                <w:color w:val="auto"/>
              </w:rPr>
            </w:pPr>
          </w:p>
        </w:tc>
        <w:tc>
          <w:tcPr>
            <w:tcW w:w="880" w:type="dxa"/>
            <w:vAlign w:val="bottom"/>
          </w:tcPr>
          <w:p>
            <w:pPr>
              <w:ind w:left="60"/>
              <w:spacing w:after="0"/>
              <w:rPr>
                <w:sz w:val="20"/>
                <w:szCs w:val="20"/>
                <w:color w:val="auto"/>
              </w:rPr>
            </w:pPr>
            <w:r>
              <w:rPr>
                <w:rFonts w:ascii="Arial" w:cs="Arial" w:eastAsia="Arial" w:hAnsi="Arial"/>
                <w:sz w:val="18"/>
                <w:szCs w:val="18"/>
                <w:b w:val="1"/>
                <w:bCs w:val="1"/>
                <w:color w:val="auto"/>
              </w:rPr>
              <w:t>Related</w:t>
            </w:r>
          </w:p>
        </w:tc>
      </w:tr>
      <w:tr>
        <w:trPr>
          <w:trHeight w:val="243"/>
        </w:trPr>
        <w:tc>
          <w:tcPr>
            <w:tcW w:w="50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b w:val="1"/>
                <w:bCs w:val="1"/>
                <w:color w:val="auto"/>
                <w:w w:val="91"/>
              </w:rPr>
              <w:t>Recorded</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Principal</w:t>
            </w: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w w:val="88"/>
              </w:rPr>
              <w:t>Allowance for</w:t>
            </w:r>
          </w:p>
        </w:tc>
      </w:tr>
      <w:tr>
        <w:trPr>
          <w:trHeight w:val="25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Investment</w:t>
            </w:r>
          </w:p>
        </w:tc>
        <w:tc>
          <w:tcPr>
            <w:tcW w:w="10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Balance</w:t>
            </w: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87"/>
              </w:rPr>
              <w:t>Loan Losses</w:t>
            </w:r>
          </w:p>
        </w:tc>
      </w:tr>
      <w:tr>
        <w:trPr>
          <w:trHeight w:val="243"/>
        </w:trPr>
        <w:tc>
          <w:tcPr>
            <w:tcW w:w="508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March 31, 2017</w:t>
            </w:r>
          </w:p>
        </w:tc>
        <w:tc>
          <w:tcPr>
            <w:tcW w:w="3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3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Nonaccrual</w:t>
            </w:r>
          </w:p>
        </w:tc>
        <w:tc>
          <w:tcPr>
            <w:tcW w:w="3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ind w:left="700"/>
              <w:spacing w:after="0"/>
              <w:rPr>
                <w:sz w:val="20"/>
                <w:szCs w:val="20"/>
                <w:color w:val="auto"/>
              </w:rPr>
            </w:pPr>
            <w:r>
              <w:rPr>
                <w:rFonts w:ascii="Arial" w:cs="Arial" w:eastAsia="Arial" w:hAnsi="Arial"/>
                <w:sz w:val="18"/>
                <w:szCs w:val="18"/>
                <w:color w:val="auto"/>
                <w:w w:val="88"/>
              </w:rPr>
              <w:t>—</w:t>
            </w: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Real estate</w:t>
            </w:r>
          </w:p>
        </w:tc>
        <w:tc>
          <w:tcPr>
            <w:tcW w:w="3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Commercial – Mortgage:</w:t>
            </w:r>
          </w:p>
        </w:tc>
        <w:tc>
          <w:tcPr>
            <w:tcW w:w="3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080" w:type="dxa"/>
            <w:vAlign w:val="bottom"/>
          </w:tcPr>
          <w:p>
            <w:pPr>
              <w:ind w:left="620"/>
              <w:spacing w:after="0"/>
              <w:rPr>
                <w:sz w:val="20"/>
                <w:szCs w:val="20"/>
                <w:color w:val="auto"/>
              </w:rPr>
            </w:pPr>
            <w:r>
              <w:rPr>
                <w:rFonts w:ascii="Arial" w:cs="Arial" w:eastAsia="Arial" w:hAnsi="Arial"/>
                <w:sz w:val="18"/>
                <w:szCs w:val="18"/>
                <w:color w:val="auto"/>
              </w:rPr>
              <w:t>Nonaccrual</w:t>
            </w:r>
          </w:p>
        </w:tc>
        <w:tc>
          <w:tcPr>
            <w:tcW w:w="308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251"/>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Church – Mortgage:</w:t>
            </w:r>
          </w:p>
        </w:tc>
        <w:tc>
          <w:tcPr>
            <w:tcW w:w="3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7"/>
        </w:trPr>
        <w:tc>
          <w:tcPr>
            <w:tcW w:w="5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Nonaccrual</w:t>
            </w:r>
          </w:p>
        </w:tc>
        <w:tc>
          <w:tcPr>
            <w:tcW w:w="30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r>
      <w:tr>
        <w:trPr>
          <w:trHeight w:val="237"/>
        </w:trPr>
        <w:tc>
          <w:tcPr>
            <w:tcW w:w="50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impaired loans</w:t>
            </w:r>
          </w:p>
        </w:tc>
        <w:tc>
          <w:tcPr>
            <w:tcW w:w="3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231</w:t>
            </w:r>
          </w:p>
        </w:tc>
        <w:tc>
          <w:tcPr>
            <w:tcW w:w="30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ind w:left="700"/>
              <w:spacing w:after="0"/>
              <w:rPr>
                <w:sz w:val="20"/>
                <w:szCs w:val="20"/>
                <w:color w:val="auto"/>
              </w:rPr>
            </w:pPr>
            <w:r>
              <w:rPr>
                <w:rFonts w:ascii="Arial" w:cs="Arial" w:eastAsia="Arial" w:hAnsi="Arial"/>
                <w:sz w:val="18"/>
                <w:szCs w:val="18"/>
                <w:color w:val="auto"/>
                <w:w w:val="88"/>
              </w:rPr>
              <w:t>—</w:t>
            </w:r>
          </w:p>
        </w:tc>
      </w:tr>
      <w:tr>
        <w:trPr>
          <w:trHeight w:val="235"/>
        </w:trPr>
        <w:tc>
          <w:tcPr>
            <w:tcW w:w="5080" w:type="dxa"/>
            <w:vAlign w:val="bottom"/>
          </w:tcPr>
          <w:p>
            <w:pPr>
              <w:spacing w:after="0"/>
              <w:rPr>
                <w:sz w:val="20"/>
                <w:szCs w:val="20"/>
                <w:color w:val="auto"/>
              </w:rPr>
            </w:pPr>
            <w:r>
              <w:rPr>
                <w:rFonts w:ascii="Arial" w:cs="Arial" w:eastAsia="Arial" w:hAnsi="Arial"/>
                <w:sz w:val="18"/>
                <w:szCs w:val="18"/>
                <w:i w:val="1"/>
                <w:iCs w:val="1"/>
                <w:color w:val="auto"/>
              </w:rPr>
              <w:t>December 31, 2016</w:t>
            </w:r>
          </w:p>
        </w:tc>
        <w:tc>
          <w:tcPr>
            <w:tcW w:w="3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3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080" w:type="dxa"/>
            <w:vAlign w:val="bottom"/>
          </w:tcPr>
          <w:p>
            <w:pPr>
              <w:ind w:left="320"/>
              <w:spacing w:after="0"/>
              <w:rPr>
                <w:sz w:val="20"/>
                <w:szCs w:val="20"/>
                <w:color w:val="auto"/>
              </w:rPr>
            </w:pPr>
            <w:r>
              <w:rPr>
                <w:rFonts w:ascii="Arial" w:cs="Arial" w:eastAsia="Arial" w:hAnsi="Arial"/>
                <w:sz w:val="18"/>
                <w:szCs w:val="18"/>
                <w:color w:val="auto"/>
              </w:rPr>
              <w:t>Nonaccrual</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251"/>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3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080" w:type="dxa"/>
            <w:vAlign w:val="bottom"/>
          </w:tcPr>
          <w:p>
            <w:pPr>
              <w:ind w:left="320"/>
              <w:spacing w:after="0"/>
              <w:rPr>
                <w:sz w:val="20"/>
                <w:szCs w:val="20"/>
                <w:color w:val="auto"/>
              </w:rPr>
            </w:pPr>
            <w:r>
              <w:rPr>
                <w:rFonts w:ascii="Arial" w:cs="Arial" w:eastAsia="Arial" w:hAnsi="Arial"/>
                <w:sz w:val="18"/>
                <w:szCs w:val="18"/>
                <w:color w:val="auto"/>
              </w:rPr>
              <w:t>Commercial – Mortgage:</w:t>
            </w:r>
          </w:p>
        </w:tc>
        <w:tc>
          <w:tcPr>
            <w:tcW w:w="3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0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Nonaccrual</w:t>
            </w:r>
          </w:p>
        </w:tc>
        <w:tc>
          <w:tcPr>
            <w:tcW w:w="30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0C0C0"/>
          </w:tcPr>
          <w:p>
            <w:pPr>
              <w:spacing w:after="0"/>
              <w:rPr>
                <w:sz w:val="21"/>
                <w:szCs w:val="21"/>
                <w:color w:val="auto"/>
              </w:rPr>
            </w:pPr>
          </w:p>
        </w:tc>
        <w:tc>
          <w:tcPr>
            <w:tcW w:w="880" w:type="dxa"/>
            <w:vAlign w:val="bottom"/>
            <w:shd w:val="clear" w:color="auto" w:fill="C0C0C0"/>
          </w:tcPr>
          <w:p>
            <w:pPr>
              <w:ind w:left="700"/>
              <w:spacing w:after="0"/>
              <w:rPr>
                <w:sz w:val="20"/>
                <w:szCs w:val="20"/>
                <w:color w:val="auto"/>
              </w:rPr>
            </w:pPr>
            <w:r>
              <w:rPr>
                <w:rFonts w:ascii="Arial" w:cs="Arial" w:eastAsia="Arial" w:hAnsi="Arial"/>
                <w:sz w:val="18"/>
                <w:szCs w:val="18"/>
                <w:color w:val="auto"/>
                <w:w w:val="88"/>
              </w:rPr>
              <w:t>—</w:t>
            </w:r>
          </w:p>
        </w:tc>
      </w:tr>
      <w:tr>
        <w:trPr>
          <w:trHeight w:val="235"/>
        </w:trPr>
        <w:tc>
          <w:tcPr>
            <w:tcW w:w="5080" w:type="dxa"/>
            <w:vAlign w:val="bottom"/>
          </w:tcPr>
          <w:p>
            <w:pPr>
              <w:ind w:left="320"/>
              <w:spacing w:after="0"/>
              <w:rPr>
                <w:sz w:val="20"/>
                <w:szCs w:val="20"/>
                <w:color w:val="auto"/>
              </w:rPr>
            </w:pPr>
            <w:r>
              <w:rPr>
                <w:rFonts w:ascii="Arial" w:cs="Arial" w:eastAsia="Arial" w:hAnsi="Arial"/>
                <w:sz w:val="18"/>
                <w:szCs w:val="18"/>
                <w:color w:val="auto"/>
              </w:rPr>
              <w:t>Church – Mortgage:</w:t>
            </w:r>
          </w:p>
        </w:tc>
        <w:tc>
          <w:tcPr>
            <w:tcW w:w="3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4"/>
        </w:trPr>
        <w:tc>
          <w:tcPr>
            <w:tcW w:w="5080" w:type="dxa"/>
            <w:vAlign w:val="bottom"/>
            <w:tcBorders>
              <w:bottom w:val="single" w:sz="8" w:color="auto"/>
            </w:tcBorders>
            <w:shd w:val="clear" w:color="auto" w:fill="C0C0C0"/>
          </w:tcPr>
          <w:p>
            <w:pPr>
              <w:ind w:left="620"/>
              <w:spacing w:after="0"/>
              <w:rPr>
                <w:sz w:val="20"/>
                <w:szCs w:val="20"/>
                <w:color w:val="auto"/>
              </w:rPr>
            </w:pPr>
            <w:r>
              <w:rPr>
                <w:rFonts w:ascii="Arial" w:cs="Arial" w:eastAsia="Arial" w:hAnsi="Arial"/>
                <w:sz w:val="18"/>
                <w:szCs w:val="18"/>
                <w:color w:val="auto"/>
              </w:rPr>
              <w:t>Nonaccrual</w:t>
            </w:r>
          </w:p>
        </w:tc>
        <w:tc>
          <w:tcPr>
            <w:tcW w:w="308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ind w:left="700"/>
              <w:spacing w:after="0"/>
              <w:rPr>
                <w:sz w:val="20"/>
                <w:szCs w:val="20"/>
                <w:color w:val="auto"/>
              </w:rPr>
            </w:pPr>
            <w:r>
              <w:rPr>
                <w:rFonts w:ascii="Arial" w:cs="Arial" w:eastAsia="Arial" w:hAnsi="Arial"/>
                <w:sz w:val="18"/>
                <w:szCs w:val="18"/>
                <w:color w:val="auto"/>
                <w:w w:val="88"/>
              </w:rPr>
              <w:t>—</w:t>
            </w:r>
          </w:p>
        </w:tc>
      </w:tr>
      <w:tr>
        <w:trPr>
          <w:trHeight w:val="237"/>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impaired loans</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245</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r>
    </w:tbl>
    <w:p>
      <w:pPr>
        <w:sectPr>
          <w:pgSz w:w="11900" w:h="16838" w:orient="portrait"/>
          <w:cols w:equalWidth="0" w:num="1">
            <w:col w:w="11420"/>
          </w:cols>
          <w:pgMar w:left="240" w:top="590" w:right="239" w:bottom="0" w:gutter="0" w:footer="0" w:header="0"/>
        </w:sectPr>
      </w:pPr>
    </w:p>
    <w:bookmarkStart w:id="11" w:name="page12"/>
    <w:bookmarkEnd w:id="11"/>
    <w:p>
      <w:pPr>
        <w:jc w:val="center"/>
        <w:ind w:right="-2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 summary of the activity in the allowance for loan losses from December 31, 2016 to March 31, 2017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3280" w:type="dxa"/>
            <w:vAlign w:val="bottom"/>
            <w:gridSpan w:val="2"/>
          </w:tcPr>
          <w:p>
            <w:pPr>
              <w:ind w:left="2120"/>
              <w:spacing w:after="0"/>
              <w:rPr>
                <w:sz w:val="20"/>
                <w:szCs w:val="20"/>
                <w:color w:val="auto"/>
              </w:rPr>
            </w:pPr>
            <w:r>
              <w:rPr>
                <w:rFonts w:ascii="Arial" w:cs="Arial" w:eastAsia="Arial" w:hAnsi="Arial"/>
                <w:sz w:val="18"/>
                <w:szCs w:val="18"/>
                <w:b w:val="1"/>
                <w:bCs w:val="1"/>
                <w:color w:val="auto"/>
                <w:w w:val="97"/>
              </w:rPr>
              <w:t>December 31,</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Charge-</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Offs</w:t>
            </w:r>
          </w:p>
        </w:tc>
        <w:tc>
          <w:tcPr>
            <w:tcW w:w="10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5"/>
              </w:rPr>
              <w:t>Recoveries</w:t>
            </w:r>
          </w:p>
        </w:tc>
        <w:tc>
          <w:tcPr>
            <w:tcW w:w="10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Provision</w:t>
            </w: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2017</w:t>
            </w: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340" w:type="dxa"/>
            <w:vAlign w:val="bottom"/>
            <w:shd w:val="clear" w:color="auto" w:fill="C0C0C0"/>
          </w:tcPr>
          <w:p>
            <w:pPr>
              <w:ind w:left="2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3,261</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3,447</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Real estate</w:t>
            </w: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1"/>
        </w:trPr>
        <w:tc>
          <w:tcPr>
            <w:tcW w:w="41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Commercial:</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35"/>
        </w:trPr>
        <w:tc>
          <w:tcPr>
            <w:tcW w:w="4120" w:type="dxa"/>
            <w:vAlign w:val="bottom"/>
          </w:tcPr>
          <w:p>
            <w:pPr>
              <w:ind w:left="620"/>
              <w:spacing w:after="0"/>
              <w:rPr>
                <w:sz w:val="20"/>
                <w:szCs w:val="20"/>
                <w:color w:val="auto"/>
              </w:rPr>
            </w:pPr>
            <w:r>
              <w:rPr>
                <w:rFonts w:ascii="Arial" w:cs="Arial" w:eastAsia="Arial" w:hAnsi="Arial"/>
                <w:sz w:val="18"/>
                <w:szCs w:val="18"/>
                <w:color w:val="auto"/>
              </w:rPr>
              <w:t>Mortgage</w:t>
            </w:r>
          </w:p>
        </w:tc>
        <w:tc>
          <w:tcPr>
            <w:tcW w:w="23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1,662</w:t>
            </w:r>
          </w:p>
        </w:tc>
        <w:tc>
          <w:tcPr>
            <w:tcW w:w="2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51"/>
        </w:trPr>
        <w:tc>
          <w:tcPr>
            <w:tcW w:w="41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Construction</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7</w:t>
            </w:r>
          </w:p>
        </w:tc>
        <w:tc>
          <w:tcPr>
            <w:tcW w:w="32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54</w:t>
            </w:r>
          </w:p>
        </w:tc>
      </w:tr>
      <w:tr>
        <w:trPr>
          <w:trHeight w:val="235"/>
        </w:trPr>
        <w:tc>
          <w:tcPr>
            <w:tcW w:w="4120" w:type="dxa"/>
            <w:vAlign w:val="bottom"/>
          </w:tcPr>
          <w:p>
            <w:pPr>
              <w:ind w:left="320"/>
              <w:spacing w:after="0"/>
              <w:rPr>
                <w:sz w:val="20"/>
                <w:szCs w:val="20"/>
                <w:color w:val="auto"/>
              </w:rPr>
            </w:pPr>
            <w:r>
              <w:rPr>
                <w:rFonts w:ascii="Arial" w:cs="Arial" w:eastAsia="Arial" w:hAnsi="Arial"/>
                <w:sz w:val="18"/>
                <w:szCs w:val="18"/>
                <w:color w:val="auto"/>
              </w:rPr>
              <w:t>Church, church-related:</w:t>
            </w: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1"/>
        </w:trPr>
        <w:tc>
          <w:tcPr>
            <w:tcW w:w="41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Mortgage</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4,027</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4,100</w:t>
            </w:r>
          </w:p>
        </w:tc>
      </w:tr>
      <w:tr>
        <w:trPr>
          <w:trHeight w:val="235"/>
        </w:trPr>
        <w:tc>
          <w:tcPr>
            <w:tcW w:w="4120" w:type="dxa"/>
            <w:vAlign w:val="bottom"/>
          </w:tcPr>
          <w:p>
            <w:pPr>
              <w:ind w:left="620"/>
              <w:spacing w:after="0"/>
              <w:rPr>
                <w:sz w:val="20"/>
                <w:szCs w:val="20"/>
                <w:color w:val="auto"/>
              </w:rPr>
            </w:pPr>
            <w:r>
              <w:rPr>
                <w:rFonts w:ascii="Arial" w:cs="Arial" w:eastAsia="Arial" w:hAnsi="Arial"/>
                <w:sz w:val="18"/>
                <w:szCs w:val="18"/>
                <w:color w:val="auto"/>
              </w:rPr>
              <w:t>Construction</w:t>
            </w:r>
          </w:p>
        </w:tc>
        <w:tc>
          <w:tcPr>
            <w:tcW w:w="23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51"/>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992</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r>
      <w:tr>
        <w:trPr>
          <w:trHeight w:val="237"/>
        </w:trPr>
        <w:tc>
          <w:tcPr>
            <w:tcW w:w="4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shd w:val="clear" w:color="auto" w:fill="C0C0C0"/>
          </w:tcPr>
          <w:p>
            <w:pPr>
              <w:ind w:left="2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10,175</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10,191</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Note 7 – Commitments and Contingencies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March 31, 2017 and December 31, 2016, no amounts have been accrued for any estimated losses for these instruments.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March 31, 2017, the balance of unused loan commitments, standby and commercial letters of credit were $54,977,000, $13,101,000, and $1,800,000,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 summarizes contractual cash obligations of the Company related to operating lease commitments and time deposits at March 31, 2017: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Amount of Commitment Expiration per Period</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4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Less than</w:t>
            </w:r>
          </w:p>
        </w:tc>
        <w:tc>
          <w:tcPr>
            <w:tcW w:w="260" w:type="dxa"/>
            <w:vAlign w:val="bottom"/>
          </w:tcPr>
          <w:p>
            <w:pPr>
              <w:spacing w:after="0"/>
              <w:rPr>
                <w:sz w:val="19"/>
                <w:szCs w:val="19"/>
                <w:color w:val="auto"/>
              </w:rPr>
            </w:pPr>
          </w:p>
        </w:tc>
        <w:tc>
          <w:tcPr>
            <w:tcW w:w="780" w:type="dxa"/>
            <w:vAlign w:val="bottom"/>
          </w:tcPr>
          <w:p>
            <w:pPr>
              <w:jc w:val="right"/>
              <w:ind w:right="332"/>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9"/>
                <w:szCs w:val="19"/>
                <w:color w:val="auto"/>
              </w:rPr>
            </w:pPr>
          </w:p>
        </w:tc>
        <w:tc>
          <w:tcPr>
            <w:tcW w:w="840" w:type="dxa"/>
            <w:vAlign w:val="bottom"/>
          </w:tcPr>
          <w:p>
            <w:pPr>
              <w:jc w:val="right"/>
              <w:ind w:right="392"/>
              <w:spacing w:after="0"/>
              <w:rPr>
                <w:sz w:val="20"/>
                <w:szCs w:val="20"/>
                <w:color w:val="auto"/>
              </w:rPr>
            </w:pPr>
            <w:r>
              <w:rPr>
                <w:rFonts w:ascii="Arial" w:cs="Arial" w:eastAsia="Arial" w:hAnsi="Arial"/>
                <w:sz w:val="18"/>
                <w:szCs w:val="18"/>
                <w:b w:val="1"/>
                <w:bCs w:val="1"/>
                <w:color w:val="auto"/>
              </w:rPr>
              <w:t>3-5</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Over 5</w:t>
            </w:r>
          </w:p>
        </w:tc>
        <w:tc>
          <w:tcPr>
            <w:tcW w:w="20" w:type="dxa"/>
            <w:vAlign w:val="bottom"/>
          </w:tcPr>
          <w:p>
            <w:pPr>
              <w:spacing w:after="0"/>
              <w:rPr>
                <w:sz w:val="19"/>
                <w:szCs w:val="19"/>
                <w:color w:val="auto"/>
              </w:rPr>
            </w:pPr>
          </w:p>
        </w:tc>
      </w:tr>
      <w:tr>
        <w:trPr>
          <w:trHeight w:val="251"/>
        </w:trPr>
        <w:tc>
          <w:tcPr>
            <w:tcW w:w="42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1"/>
                <w:szCs w:val="21"/>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w w:val="92"/>
              </w:rPr>
              <w:t>1 Year</w:t>
            </w:r>
          </w:p>
        </w:tc>
        <w:tc>
          <w:tcPr>
            <w:tcW w:w="260" w:type="dxa"/>
            <w:vAlign w:val="bottom"/>
          </w:tcPr>
          <w:p>
            <w:pPr>
              <w:spacing w:after="0"/>
              <w:rPr>
                <w:sz w:val="21"/>
                <w:szCs w:val="21"/>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Pr>
          <w:p>
            <w:pPr>
              <w:spacing w:after="0"/>
              <w:rPr>
                <w:sz w:val="21"/>
                <w:szCs w:val="21"/>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5"/>
              </w:rPr>
              <w:t>Years</w:t>
            </w:r>
          </w:p>
        </w:tc>
      </w:tr>
      <w:tr>
        <w:trPr>
          <w:trHeight w:val="243"/>
        </w:trPr>
        <w:tc>
          <w:tcPr>
            <w:tcW w:w="42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Operating lease commitments</w:t>
            </w:r>
          </w:p>
        </w:tc>
        <w:tc>
          <w:tcPr>
            <w:tcW w:w="2320" w:type="dxa"/>
            <w:vAlign w:val="bottom"/>
            <w:tcBorders>
              <w:top w:val="single" w:sz="8" w:color="auto"/>
            </w:tcBorders>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6,002</w:t>
            </w:r>
          </w:p>
        </w:tc>
        <w:tc>
          <w:tcPr>
            <w:tcW w:w="2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1,544</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2,120</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1,696</w:t>
            </w:r>
          </w:p>
        </w:tc>
        <w:tc>
          <w:tcPr>
            <w:tcW w:w="1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21"/>
                <w:szCs w:val="21"/>
                <w:color w:val="auto"/>
              </w:rPr>
            </w:pP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Time deposits</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55,969</w:t>
            </w:r>
          </w:p>
        </w:tc>
        <w:tc>
          <w:tcPr>
            <w:tcW w:w="2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50,098</w:t>
            </w:r>
          </w:p>
        </w:tc>
        <w:tc>
          <w:tcPr>
            <w:tcW w:w="26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3,704</w:t>
            </w:r>
          </w:p>
        </w:tc>
        <w:tc>
          <w:tcPr>
            <w:tcW w:w="260" w:type="dxa"/>
            <w:vAlign w:val="bottom"/>
          </w:tcPr>
          <w:p>
            <w:pPr>
              <w:spacing w:after="0"/>
              <w:rPr>
                <w:sz w:val="20"/>
                <w:szCs w:val="20"/>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2,167</w:t>
            </w:r>
          </w:p>
        </w:tc>
        <w:tc>
          <w:tcPr>
            <w:tcW w:w="1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Borders>
              <w:top w:val="single" w:sz="8" w:color="auto"/>
              <w:bottom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auto"/>
              <w:bottom w:val="single" w:sz="8" w:color="auto"/>
            </w:tcBorders>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61,971</w:t>
            </w:r>
          </w:p>
        </w:tc>
        <w:tc>
          <w:tcPr>
            <w:tcW w:w="2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51,642</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5,824</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3,863</w:t>
            </w:r>
          </w:p>
        </w:tc>
        <w:tc>
          <w:tcPr>
            <w:tcW w:w="1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may issue shares out of treasury stock for these awards. During the three months ended March 31, 2017, 15,356 restricted shares, 23,038 performance-based restricted shares, and 0 SARs were granted under the Omnibus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Restricted shares granted prior to April 16, 2013 are amortized to expense over a three-year vesting period. Beginning on April 16, 2013, restricted shares granted to Company employees are amortized to expense over a three-year vesting period whereas restricted shares granted to members of the Board of Directors are amortized to expense over a one-year service period, with the exception of those shares granted in lieu of cash payments for retainer fees which are expensed in the period earned. As of March 31, 2017, the total unrecognized compensation expense related to non-vested restricted shares was $2,253,000, and the related weighted-average period over which it is expected to be recognized is approximately 1.2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Following is a summary of the activity of the restricted stock:</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9360" w:type="dxa"/>
            <w:vAlign w:val="bottom"/>
          </w:tcPr>
          <w:p>
            <w:pPr>
              <w:spacing w:after="0"/>
              <w:rPr>
                <w:sz w:val="24"/>
                <w:szCs w:val="24"/>
                <w:color w:val="auto"/>
              </w:rPr>
            </w:pPr>
          </w:p>
        </w:tc>
        <w:tc>
          <w:tcPr>
            <w:tcW w:w="208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r>
      <w:tr>
        <w:trPr>
          <w:trHeight w:val="252"/>
        </w:trPr>
        <w:tc>
          <w:tcPr>
            <w:tcW w:w="9360" w:type="dxa"/>
            <w:vAlign w:val="bottom"/>
          </w:tcPr>
          <w:p>
            <w:pPr>
              <w:spacing w:after="0"/>
              <w:rPr>
                <w:sz w:val="21"/>
                <w:szCs w:val="21"/>
                <w:color w:val="auto"/>
              </w:rPr>
            </w:pPr>
          </w:p>
        </w:tc>
        <w:tc>
          <w:tcPr>
            <w:tcW w:w="16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92"/>
              </w:rPr>
              <w:t>March 31, 2017</w:t>
            </w:r>
          </w:p>
        </w:tc>
        <w:tc>
          <w:tcPr>
            <w:tcW w:w="4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9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Shares</w:t>
            </w: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0"/>
              </w:rPr>
              <w:t>Fair Value</w:t>
            </w:r>
          </w:p>
        </w:tc>
        <w:tc>
          <w:tcPr>
            <w:tcW w:w="20" w:type="dxa"/>
            <w:vAlign w:val="bottom"/>
          </w:tcPr>
          <w:p>
            <w:pPr>
              <w:spacing w:after="0"/>
              <w:rPr>
                <w:sz w:val="20"/>
                <w:szCs w:val="20"/>
                <w:color w:val="auto"/>
              </w:rPr>
            </w:pPr>
          </w:p>
        </w:tc>
      </w:tr>
      <w:tr>
        <w:trPr>
          <w:trHeight w:val="243"/>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Balance at December 31, 2016</w:t>
            </w:r>
          </w:p>
        </w:tc>
        <w:tc>
          <w:tcPr>
            <w:tcW w:w="10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73,840</w:t>
            </w:r>
          </w:p>
        </w:tc>
        <w:tc>
          <w:tcPr>
            <w:tcW w:w="560" w:type="dxa"/>
            <w:vAlign w:val="bottom"/>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51.03</w:t>
            </w:r>
          </w:p>
        </w:tc>
        <w:tc>
          <w:tcPr>
            <w:tcW w:w="20" w:type="dxa"/>
            <w:vAlign w:val="bottom"/>
          </w:tcPr>
          <w:p>
            <w:pPr>
              <w:spacing w:after="0"/>
              <w:rPr>
                <w:sz w:val="21"/>
                <w:szCs w:val="21"/>
                <w:color w:val="auto"/>
              </w:rPr>
            </w:pPr>
          </w:p>
        </w:tc>
      </w:tr>
      <w:tr>
        <w:trPr>
          <w:trHeight w:val="235"/>
        </w:trPr>
        <w:tc>
          <w:tcPr>
            <w:tcW w:w="93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15,356</w:t>
            </w:r>
          </w:p>
        </w:tc>
        <w:tc>
          <w:tcPr>
            <w:tcW w:w="560" w:type="dxa"/>
            <w:vAlign w:val="bottom"/>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65.12</w:t>
            </w:r>
          </w:p>
        </w:tc>
      </w:tr>
      <w:tr>
        <w:trPr>
          <w:trHeight w:val="244"/>
        </w:trPr>
        <w:tc>
          <w:tcPr>
            <w:tcW w:w="93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Vested</w:t>
            </w: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(24,553)</w:t>
            </w:r>
          </w:p>
        </w:tc>
        <w:tc>
          <w:tcPr>
            <w:tcW w:w="56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8"/>
              </w:rPr>
              <w:t>52.51</w:t>
            </w:r>
          </w:p>
        </w:tc>
        <w:tc>
          <w:tcPr>
            <w:tcW w:w="20" w:type="dxa"/>
            <w:vAlign w:val="bottom"/>
          </w:tcPr>
          <w:p>
            <w:pPr>
              <w:spacing w:after="0"/>
              <w:rPr>
                <w:sz w:val="21"/>
                <w:szCs w:val="21"/>
                <w:color w:val="auto"/>
              </w:rPr>
            </w:pPr>
          </w:p>
        </w:tc>
      </w:tr>
      <w:tr>
        <w:trPr>
          <w:trHeight w:val="237"/>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March 31, 2017</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64,643</w:t>
            </w: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53.81</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2, 2017, the Company granted three-year performance based restricted stock (“PBRS”) awards which are contingent upon the achievement of pre-established financial goals over the period from January 1, 2017 through December 31, 2019. The PBRS awards cliff vest on the three year anniversary of their grant date at levels ranging from 0% to 150% of the target opportunity based on the actual achievement of financial goals for the three-year performance period. The target number of PBRS shares granted was 23,038 with a grant date fair value of $65.12 per share. The 2017 expense related to this grant is currently estimated to be $458,000 and is based on the grant date fair value and the achievement of 100% of the target financial goals. The estimated expense for 2017 and each future period through the vesting date is subject to prospective adjustment based upon changes in the expected achievement of the financial goals.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SARs</w:t>
      </w:r>
    </w:p>
    <w:p>
      <w:pPr>
        <w:spacing w:after="0" w:line="1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SARs vest over a three-year period, with one-third of the shares vesting and becoming exercisable each year on the anniversary date of the grant, and they expire 10 years from the original grant date. As of March 31, 2017, all compensation expense has been recognized. Following is a summary of the activity of the Company’s SARs program for the three-month period ended March 31, 2017: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w w:val="87"/>
              </w:rPr>
              <w:t>Weighted-</w:t>
            </w:r>
          </w:p>
        </w:tc>
        <w:tc>
          <w:tcPr>
            <w:tcW w:w="132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Average</w:t>
            </w:r>
          </w:p>
        </w:tc>
        <w:tc>
          <w:tcPr>
            <w:tcW w:w="260" w:type="dxa"/>
            <w:vAlign w:val="bottom"/>
          </w:tcPr>
          <w:p>
            <w:pPr>
              <w:spacing w:after="0"/>
              <w:rPr>
                <w:sz w:val="19"/>
                <w:szCs w:val="19"/>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Aggregate</w:t>
            </w:r>
          </w:p>
        </w:tc>
      </w:tr>
      <w:tr>
        <w:trPr>
          <w:trHeight w:val="243"/>
        </w:trPr>
        <w:tc>
          <w:tcPr>
            <w:tcW w:w="6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4"/>
              </w:rPr>
              <w:t>Average</w:t>
            </w:r>
          </w:p>
        </w:tc>
        <w:tc>
          <w:tcPr>
            <w:tcW w:w="13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Remaining</w:t>
            </w:r>
          </w:p>
        </w:tc>
        <w:tc>
          <w:tcPr>
            <w:tcW w:w="260" w:type="dxa"/>
            <w:vAlign w:val="bottom"/>
          </w:tcPr>
          <w:p>
            <w:pPr>
              <w:spacing w:after="0"/>
              <w:rPr>
                <w:sz w:val="21"/>
                <w:szCs w:val="21"/>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Intrinsic</w:t>
            </w:r>
          </w:p>
        </w:tc>
      </w:tr>
      <w:tr>
        <w:trPr>
          <w:trHeight w:val="243"/>
        </w:trPr>
        <w:tc>
          <w:tcPr>
            <w:tcW w:w="6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Contractual</w:t>
            </w:r>
          </w:p>
        </w:tc>
        <w:tc>
          <w:tcPr>
            <w:tcW w:w="260" w:type="dxa"/>
            <w:vAlign w:val="bottom"/>
          </w:tcPr>
          <w:p>
            <w:pPr>
              <w:spacing w:after="0"/>
              <w:rPr>
                <w:sz w:val="21"/>
                <w:szCs w:val="21"/>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Value</w:t>
            </w:r>
          </w:p>
        </w:tc>
      </w:tr>
      <w:tr>
        <w:trPr>
          <w:trHeight w:val="252"/>
        </w:trPr>
        <w:tc>
          <w:tcPr>
            <w:tcW w:w="6860" w:type="dxa"/>
            <w:vAlign w:val="bottom"/>
          </w:tcPr>
          <w:p>
            <w:pPr>
              <w:spacing w:after="0"/>
              <w:rPr>
                <w:sz w:val="21"/>
                <w:szCs w:val="21"/>
                <w:color w:val="auto"/>
              </w:rPr>
            </w:pPr>
          </w:p>
        </w:tc>
        <w:tc>
          <w:tcPr>
            <w:tcW w:w="1080" w:type="dxa"/>
            <w:vAlign w:val="bottom"/>
          </w:tcPr>
          <w:p>
            <w:pPr>
              <w:jc w:val="right"/>
              <w:ind w:right="252"/>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1"/>
                <w:szCs w:val="21"/>
                <w:color w:val="auto"/>
              </w:rPr>
            </w:pPr>
          </w:p>
        </w:tc>
        <w:tc>
          <w:tcPr>
            <w:tcW w:w="62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Term Years</w:t>
            </w:r>
          </w:p>
        </w:tc>
        <w:tc>
          <w:tcPr>
            <w:tcW w:w="1220" w:type="dxa"/>
            <w:vAlign w:val="bottom"/>
            <w:gridSpan w:val="3"/>
          </w:tcPr>
          <w:p>
            <w:pPr>
              <w:ind w:left="140"/>
              <w:spacing w:after="0"/>
              <w:rPr>
                <w:sz w:val="20"/>
                <w:szCs w:val="20"/>
                <w:color w:val="auto"/>
              </w:rPr>
            </w:pPr>
            <w:r>
              <w:rPr>
                <w:rFonts w:ascii="Arial" w:cs="Arial" w:eastAsia="Arial" w:hAnsi="Arial"/>
                <w:sz w:val="18"/>
                <w:szCs w:val="18"/>
                <w:b w:val="1"/>
                <w:bCs w:val="1"/>
                <w:i w:val="1"/>
                <w:iCs w:val="1"/>
                <w:color w:val="auto"/>
                <w:w w:val="85"/>
              </w:rPr>
              <w:t>(In thousands)</w:t>
            </w:r>
          </w:p>
        </w:tc>
      </w:tr>
      <w:tr>
        <w:trPr>
          <w:trHeight w:val="243"/>
        </w:trPr>
        <w:tc>
          <w:tcPr>
            <w:tcW w:w="68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Outstanding at December 31, 2016</w:t>
            </w:r>
          </w:p>
        </w:tc>
        <w:tc>
          <w:tcPr>
            <w:tcW w:w="1080" w:type="dxa"/>
            <w:vAlign w:val="bottom"/>
            <w:tcBorders>
              <w:top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237,468</w:t>
            </w:r>
          </w:p>
        </w:tc>
        <w:tc>
          <w:tcPr>
            <w:tcW w:w="34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38.22</w:t>
            </w:r>
          </w:p>
        </w:tc>
        <w:tc>
          <w:tcPr>
            <w:tcW w:w="68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5.73</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3,201</w:t>
            </w:r>
          </w:p>
        </w:tc>
        <w:tc>
          <w:tcPr>
            <w:tcW w:w="20" w:type="dxa"/>
            <w:vAlign w:val="bottom"/>
          </w:tcPr>
          <w:p>
            <w:pPr>
              <w:spacing w:after="0"/>
              <w:rPr>
                <w:sz w:val="21"/>
                <w:szCs w:val="21"/>
                <w:color w:val="auto"/>
              </w:rPr>
            </w:pPr>
          </w:p>
        </w:tc>
      </w:tr>
      <w:tr>
        <w:trPr>
          <w:trHeight w:val="237"/>
        </w:trPr>
        <w:tc>
          <w:tcPr>
            <w:tcW w:w="68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Exercised</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(13,229)</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6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86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March 31, 2017</w:t>
            </w:r>
          </w:p>
        </w:tc>
        <w:tc>
          <w:tcPr>
            <w:tcW w:w="10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224,239</w:t>
            </w:r>
          </w:p>
        </w:tc>
        <w:tc>
          <w:tcPr>
            <w:tcW w:w="34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37.92</w:t>
            </w:r>
          </w:p>
        </w:tc>
        <w:tc>
          <w:tcPr>
            <w:tcW w:w="68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4.94</w:t>
            </w:r>
          </w:p>
        </w:tc>
        <w:tc>
          <w:tcPr>
            <w:tcW w:w="26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6,320</w:t>
            </w:r>
          </w:p>
        </w:tc>
        <w:tc>
          <w:tcPr>
            <w:tcW w:w="20" w:type="dxa"/>
            <w:vAlign w:val="bottom"/>
          </w:tcPr>
          <w:p>
            <w:pPr>
              <w:spacing w:after="0"/>
              <w:rPr>
                <w:sz w:val="21"/>
                <w:szCs w:val="2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Exercisable at March 31, 2017</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224,239</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37.92</w:t>
            </w:r>
          </w:p>
        </w:tc>
        <w:tc>
          <w:tcPr>
            <w:tcW w:w="68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4.94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6,320</w:t>
            </w:r>
          </w:p>
        </w:tc>
      </w:tr>
      <w:tr>
        <w:trPr>
          <w:trHeight w:val="673"/>
        </w:trPr>
        <w:tc>
          <w:tcPr>
            <w:tcW w:w="8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9"/>
              </w:rPr>
              <w:t>Following is a summary of the activity of the non-vested SARs during the three-month period ended March 31, 2017:</w:t>
            </w:r>
          </w:p>
        </w:tc>
        <w:tc>
          <w:tcPr>
            <w:tcW w:w="6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6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gridSpan w:val="4"/>
          </w:tcPr>
          <w:p>
            <w:pPr>
              <w:ind w:left="320"/>
              <w:spacing w:after="0"/>
              <w:rPr>
                <w:sz w:val="20"/>
                <w:szCs w:val="20"/>
                <w:color w:val="auto"/>
              </w:rPr>
            </w:pPr>
            <w:r>
              <w:rPr>
                <w:rFonts w:ascii="Arial" w:cs="Arial" w:eastAsia="Arial" w:hAnsi="Arial"/>
                <w:sz w:val="18"/>
                <w:szCs w:val="18"/>
                <w:b w:val="1"/>
                <w:bCs w:val="1"/>
                <w:color w:val="auto"/>
                <w:w w:val="96"/>
              </w:rPr>
              <w:t>Weighted-Average</w:t>
            </w:r>
          </w:p>
        </w:tc>
      </w:tr>
      <w:tr>
        <w:trPr>
          <w:trHeight w:val="252"/>
        </w:trPr>
        <w:tc>
          <w:tcPr>
            <w:tcW w:w="6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Shares</w:t>
            </w:r>
          </w:p>
        </w:tc>
        <w:tc>
          <w:tcPr>
            <w:tcW w:w="1860" w:type="dxa"/>
            <w:vAlign w:val="bottom"/>
            <w:gridSpan w:val="4"/>
          </w:tcPr>
          <w:p>
            <w:pPr>
              <w:ind w:left="160"/>
              <w:spacing w:after="0"/>
              <w:rPr>
                <w:sz w:val="20"/>
                <w:szCs w:val="20"/>
                <w:color w:val="auto"/>
              </w:rPr>
            </w:pPr>
            <w:r>
              <w:rPr>
                <w:rFonts w:ascii="Arial" w:cs="Arial" w:eastAsia="Arial" w:hAnsi="Arial"/>
                <w:sz w:val="18"/>
                <w:szCs w:val="18"/>
                <w:b w:val="1"/>
                <w:bCs w:val="1"/>
                <w:color w:val="auto"/>
                <w:w w:val="91"/>
              </w:rPr>
              <w:t>Grant Date Fair Value</w:t>
            </w:r>
          </w:p>
        </w:tc>
      </w:tr>
      <w:tr>
        <w:trPr>
          <w:trHeight w:val="243"/>
        </w:trPr>
        <w:tc>
          <w:tcPr>
            <w:tcW w:w="68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Non-vested at December 31, 2016</w:t>
            </w:r>
          </w:p>
        </w:tc>
        <w:tc>
          <w:tcPr>
            <w:tcW w:w="108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1300" w:type="dxa"/>
            <w:vAlign w:val="bottom"/>
            <w:tcBorders>
              <w:top w:val="single" w:sz="8" w:color="auto"/>
            </w:tcBorders>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12,164</w:t>
            </w:r>
          </w:p>
        </w:tc>
        <w:tc>
          <w:tcPr>
            <w:tcW w:w="64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61.64</w:t>
            </w:r>
          </w:p>
        </w:tc>
        <w:tc>
          <w:tcPr>
            <w:tcW w:w="20" w:type="dxa"/>
            <w:vAlign w:val="bottom"/>
          </w:tcPr>
          <w:p>
            <w:pPr>
              <w:spacing w:after="0"/>
              <w:rPr>
                <w:sz w:val="21"/>
                <w:szCs w:val="21"/>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Vested</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72"/>
              <w:spacing w:after="0"/>
              <w:rPr>
                <w:sz w:val="20"/>
                <w:szCs w:val="20"/>
                <w:color w:val="auto"/>
              </w:rPr>
            </w:pPr>
            <w:r>
              <w:rPr>
                <w:rFonts w:ascii="Arial" w:cs="Arial" w:eastAsia="Arial" w:hAnsi="Arial"/>
                <w:sz w:val="18"/>
                <w:szCs w:val="18"/>
                <w:color w:val="auto"/>
              </w:rPr>
              <w:t>(12,164)</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61.64</w:t>
            </w:r>
          </w:p>
        </w:tc>
      </w:tr>
      <w:tr>
        <w:trPr>
          <w:trHeight w:val="237"/>
        </w:trPr>
        <w:tc>
          <w:tcPr>
            <w:tcW w:w="686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Non-vested at March 31, 2017</w:t>
            </w:r>
          </w:p>
        </w:tc>
        <w:tc>
          <w:tcPr>
            <w:tcW w:w="1080" w:type="dxa"/>
            <w:vAlign w:val="bottom"/>
            <w:tcBorders>
              <w:top w:val="single" w:sz="8" w:color="auto"/>
              <w:bottom w:val="single" w:sz="8" w:color="auto"/>
            </w:tcBorders>
            <w:shd w:val="clear" w:color="auto" w:fill="C0C0C0"/>
          </w:tcPr>
          <w:p>
            <w:pPr>
              <w:spacing w:after="0"/>
              <w:rPr>
                <w:sz w:val="20"/>
                <w:szCs w:val="20"/>
                <w:color w:val="auto"/>
              </w:rPr>
            </w:pPr>
          </w:p>
        </w:tc>
        <w:tc>
          <w:tcPr>
            <w:tcW w:w="340" w:type="dxa"/>
            <w:vAlign w:val="bottom"/>
            <w:tcBorders>
              <w:top w:val="single" w:sz="8" w:color="auto"/>
              <w:bottom w:val="single" w:sz="8" w:color="auto"/>
            </w:tcBorders>
            <w:shd w:val="clear" w:color="auto" w:fill="C0C0C0"/>
          </w:tcPr>
          <w:p>
            <w:pPr>
              <w:spacing w:after="0"/>
              <w:rPr>
                <w:sz w:val="20"/>
                <w:szCs w:val="20"/>
                <w:color w:val="auto"/>
              </w:rPr>
            </w:pPr>
          </w:p>
        </w:tc>
        <w:tc>
          <w:tcPr>
            <w:tcW w:w="620" w:type="dxa"/>
            <w:vAlign w:val="bottom"/>
            <w:tcBorders>
              <w:top w:val="single" w:sz="8" w:color="auto"/>
              <w:bottom w:val="single" w:sz="8" w:color="auto"/>
            </w:tcBorders>
            <w:shd w:val="clear" w:color="auto" w:fill="C0C0C0"/>
          </w:tcPr>
          <w:p>
            <w:pPr>
              <w:spacing w:after="0"/>
              <w:rPr>
                <w:sz w:val="20"/>
                <w:szCs w:val="20"/>
                <w:color w:val="auto"/>
              </w:rPr>
            </w:pPr>
          </w:p>
        </w:tc>
        <w:tc>
          <w:tcPr>
            <w:tcW w:w="680" w:type="dxa"/>
            <w:vAlign w:val="bottom"/>
            <w:tcBorders>
              <w:top w:val="single" w:sz="8" w:color="auto"/>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spacing w:after="0"/>
              <w:rPr>
                <w:sz w:val="20"/>
                <w:szCs w:val="20"/>
                <w:color w:val="auto"/>
              </w:rPr>
            </w:pPr>
          </w:p>
        </w:tc>
        <w:tc>
          <w:tcPr>
            <w:tcW w:w="260" w:type="dxa"/>
            <w:vAlign w:val="bottom"/>
            <w:tcBorders>
              <w:top w:val="single" w:sz="8" w:color="auto"/>
              <w:bottom w:val="single" w:sz="8" w:color="auto"/>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22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Company has a noncontributory defined-benefit pension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Estimated</w:t>
            </w:r>
          </w:p>
        </w:tc>
        <w:tc>
          <w:tcPr>
            <w:tcW w:w="320" w:type="dxa"/>
            <w:vAlign w:val="bottom"/>
          </w:tcPr>
          <w:p>
            <w:pPr>
              <w:spacing w:after="0"/>
              <w:rPr>
                <w:sz w:val="19"/>
                <w:szCs w:val="19"/>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b w:val="1"/>
                <w:bCs w:val="1"/>
                <w:color w:val="auto"/>
                <w:w w:val="98"/>
              </w:rPr>
              <w:t>Actual</w:t>
            </w:r>
          </w:p>
        </w:tc>
      </w:tr>
      <w:tr>
        <w:trPr>
          <w:trHeight w:val="252"/>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2016</w:t>
            </w:r>
          </w:p>
        </w:tc>
      </w:tr>
      <w:tr>
        <w:trPr>
          <w:trHeight w:val="243"/>
        </w:trPr>
        <w:tc>
          <w:tcPr>
            <w:tcW w:w="622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1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3,805</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3,559</w:t>
            </w:r>
          </w:p>
        </w:tc>
      </w:tr>
      <w:tr>
        <w:trPr>
          <w:trHeight w:val="235"/>
        </w:trPr>
        <w:tc>
          <w:tcPr>
            <w:tcW w:w="622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3120" w:type="dxa"/>
            <w:vAlign w:val="bottom"/>
          </w:tcPr>
          <w:p>
            <w:pPr>
              <w:spacing w:after="0"/>
              <w:rPr>
                <w:sz w:val="20"/>
                <w:szCs w:val="20"/>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3,587</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3,505</w:t>
            </w:r>
          </w:p>
        </w:tc>
      </w:tr>
      <w:tr>
        <w:trPr>
          <w:trHeight w:val="251"/>
        </w:trPr>
        <w:tc>
          <w:tcPr>
            <w:tcW w:w="622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31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(4,680)</w:t>
            </w:r>
          </w:p>
        </w:tc>
        <w:tc>
          <w:tcPr>
            <w:tcW w:w="32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(4,734)</w:t>
            </w:r>
          </w:p>
        </w:tc>
      </w:tr>
      <w:tr>
        <w:trPr>
          <w:trHeight w:val="237"/>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w:t>
            </w:r>
          </w:p>
        </w:tc>
        <w:tc>
          <w:tcPr>
            <w:tcW w:w="3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1,328</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r>
      <w:tr>
        <w:trPr>
          <w:trHeight w:val="237"/>
        </w:trPr>
        <w:tc>
          <w:tcPr>
            <w:tcW w:w="622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Net periodic pension cost</w:t>
            </w:r>
          </w:p>
        </w:tc>
        <w:tc>
          <w:tcPr>
            <w:tcW w:w="3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4,040</w:t>
            </w:r>
          </w:p>
        </w:tc>
        <w:tc>
          <w:tcPr>
            <w:tcW w:w="3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3,589</w:t>
            </w:r>
          </w:p>
        </w:tc>
      </w:tr>
    </w:tbl>
    <w:p>
      <w:pPr>
        <w:spacing w:after="0" w:line="200" w:lineRule="exact"/>
        <w:rPr>
          <w:sz w:val="20"/>
          <w:szCs w:val="20"/>
          <w:color w:val="auto"/>
        </w:rPr>
      </w:pPr>
    </w:p>
    <w:p>
      <w:pPr>
        <w:spacing w:after="0" w:line="2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Pension costs recorded to expense were $1,020,000 and $877,000 for the three-month periods ended March 31, 2017 and 2016, respectively. Pension costs increased in 2017 due to a decrease in the discount rate and expected return on plan assets assumptions and the use of the updated mortality tables. The Company made no contribution to the plan during the three-month period ended March 31, 2017 and is evaluating the amount of additional contributions, if any, in the remainder of 2017.</w:t>
      </w:r>
    </w:p>
    <w:p>
      <w:pPr>
        <w:spacing w:after="0" w:line="197"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2016 and an estimate for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41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Estimated</w:t>
            </w:r>
          </w:p>
        </w:tc>
        <w:tc>
          <w:tcPr>
            <w:tcW w:w="24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w w:val="87"/>
              </w:rPr>
              <w:t>Actual</w:t>
            </w:r>
          </w:p>
        </w:tc>
      </w:tr>
      <w:tr>
        <w:trPr>
          <w:trHeight w:val="252"/>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2016</w:t>
            </w:r>
          </w:p>
        </w:tc>
      </w:tr>
      <w:tr>
        <w:trPr>
          <w:trHeight w:val="243"/>
        </w:trPr>
        <w:tc>
          <w:tcPr>
            <w:tcW w:w="638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r>
      <w:tr>
        <w:trPr>
          <w:trHeight w:val="235"/>
        </w:trPr>
        <w:tc>
          <w:tcPr>
            <w:tcW w:w="63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44"/>
        </w:trPr>
        <w:tc>
          <w:tcPr>
            <w:tcW w:w="63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amortization</w:t>
            </w:r>
          </w:p>
        </w:tc>
        <w:tc>
          <w:tcPr>
            <w:tcW w:w="33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323</w:t>
            </w:r>
          </w:p>
        </w:tc>
        <w:tc>
          <w:tcPr>
            <w:tcW w:w="2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295</w:t>
            </w:r>
          </w:p>
        </w:tc>
      </w:tr>
      <w:tr>
        <w:trPr>
          <w:trHeight w:val="237"/>
        </w:trPr>
        <w:tc>
          <w:tcPr>
            <w:tcW w:w="63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Net periodic pension cost</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Pension costs recorded to expense were $209,000 and $201,000 for the three-month periods ended March 31, 2017 and 2016, respectively.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 10 – Income Taxes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2017, the Company’s unrecognized tax benefits were approximately $1,729,000, of which $1,320,000 would, if recognized, affect the Company’s effective tax rate. As of December 31, 2016, the Company's unrecognized tax benefits were approximately $1,623,000, of which $1,225,000 would, if recognized, affect the Company's effective tax rate. During the next 12 months, the Company may realize a reduction of its unrecognized tax benefits of approximately $253,000 due to the lapse of federal and state statutes of limitations.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The Company had $125,000 and $108,000 of gross interest accrued as of March 31, 2017 and December 31, 2016, respectively. There were no penalties for unrecognized tax benefits accrued at March 31, 2017 and December 31, 2016.</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income tax in the U.S. federal jurisdiction and numerous state jurisdictions. U.S. federal income tax returns for tax years 2013 through 2015 remain subject to examination by the Internal Revenue Service. In addition, the Company is subject to state tax examinations for the tax years 2012 through 2015.</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During the three months ended March 31, 2017, the Company adopted ASU No. 2016-09 – </w:t>
      </w:r>
      <w:r>
        <w:rPr>
          <w:rFonts w:ascii="Arial" w:cs="Arial" w:eastAsia="Arial" w:hAnsi="Arial"/>
          <w:sz w:val="16"/>
          <w:szCs w:val="16"/>
          <w:i w:val="1"/>
          <w:iCs w:val="1"/>
          <w:color w:val="auto"/>
        </w:rPr>
        <w:t>Stock Compensation (Topic 718): Improvements to Employee Share-Based Payment Accounting</w:t>
      </w:r>
      <w:r>
        <w:rPr>
          <w:rFonts w:ascii="Arial" w:cs="Arial" w:eastAsia="Arial" w:hAnsi="Arial"/>
          <w:sz w:val="16"/>
          <w:szCs w:val="16"/>
          <w:color w:val="auto"/>
        </w:rPr>
        <w:t>. The adoption of this new accounting pronouncement resulted in a $243,000 reduction in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b w:val="1"/>
                <w:bCs w:val="1"/>
                <w:color w:val="auto"/>
              </w:rPr>
              <w:t>March 31, 2017</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8"/>
        </w:trPr>
        <w:tc>
          <w:tcPr>
            <w:tcW w:w="6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ind w:right="212"/>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9"/>
                <w:szCs w:val="19"/>
                <w:color w:val="auto"/>
              </w:rPr>
            </w:pPr>
          </w:p>
        </w:tc>
        <w:tc>
          <w:tcPr>
            <w:tcW w:w="940" w:type="dxa"/>
            <w:vAlign w:val="bottom"/>
          </w:tcPr>
          <w:p>
            <w:pPr>
              <w:jc w:val="center"/>
              <w:ind w:right="212"/>
              <w:spacing w:after="0"/>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2"/>
        </w:trPr>
        <w:tc>
          <w:tcPr>
            <w:tcW w:w="6900" w:type="dxa"/>
            <w:vAlign w:val="bottom"/>
          </w:tcPr>
          <w:p>
            <w:pPr>
              <w:spacing w:after="0"/>
              <w:rPr>
                <w:sz w:val="21"/>
                <w:szCs w:val="21"/>
                <w:color w:val="auto"/>
              </w:rPr>
            </w:pPr>
          </w:p>
        </w:tc>
        <w:tc>
          <w:tcPr>
            <w:tcW w:w="106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90"/>
              </w:rPr>
              <w:t>Amortized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Unrealized</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2"/>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4"/>
              </w:rPr>
              <w:t>Cost</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7"/>
              </w:rPr>
              <w:t>Gains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77"/>
              </w:rPr>
              <w:t>Losses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80" w:type="dxa"/>
            <w:vAlign w:val="bottom"/>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403,011</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6,961</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2,539</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407,433</w:t>
            </w:r>
          </w:p>
        </w:tc>
      </w:tr>
      <w:tr>
        <w:trPr>
          <w:trHeight w:val="235"/>
        </w:trPr>
        <w:tc>
          <w:tcPr>
            <w:tcW w:w="69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12,787</w:t>
            </w:r>
          </w:p>
        </w:tc>
        <w:tc>
          <w:tcPr>
            <w:tcW w:w="30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12,386</w:t>
            </w:r>
          </w:p>
        </w:tc>
      </w:tr>
      <w:tr>
        <w:trPr>
          <w:trHeight w:val="244"/>
        </w:trPr>
        <w:tc>
          <w:tcPr>
            <w:tcW w:w="69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6,496</w:t>
            </w:r>
          </w:p>
        </w:tc>
        <w:tc>
          <w:tcPr>
            <w:tcW w:w="3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6,496</w:t>
            </w:r>
          </w:p>
        </w:tc>
      </w:tr>
      <w:tr>
        <w:trPr>
          <w:trHeight w:val="237"/>
        </w:trPr>
        <w:tc>
          <w:tcPr>
            <w:tcW w:w="6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422,294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6,961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2,940</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426,315</w:t>
            </w:r>
          </w:p>
        </w:tc>
      </w:tr>
      <w:tr>
        <w:trPr>
          <w:trHeight w:val="723"/>
        </w:trPr>
        <w:tc>
          <w:tcPr>
            <w:tcW w:w="6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8"/>
                <w:szCs w:val="18"/>
                <w:b w:val="1"/>
                <w:bCs w:val="1"/>
                <w:color w:val="auto"/>
                <w:w w:val="97"/>
              </w:rPr>
              <w:t>December 31, 2016</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28"/>
        </w:trPr>
        <w:tc>
          <w:tcPr>
            <w:tcW w:w="6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ind w:right="212"/>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9"/>
                <w:szCs w:val="19"/>
                <w:color w:val="auto"/>
              </w:rPr>
            </w:pPr>
          </w:p>
        </w:tc>
        <w:tc>
          <w:tcPr>
            <w:tcW w:w="940" w:type="dxa"/>
            <w:vAlign w:val="bottom"/>
          </w:tcPr>
          <w:p>
            <w:pPr>
              <w:jc w:val="center"/>
              <w:ind w:right="212"/>
              <w:spacing w:after="0"/>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2"/>
        </w:trPr>
        <w:tc>
          <w:tcPr>
            <w:tcW w:w="6900" w:type="dxa"/>
            <w:vAlign w:val="bottom"/>
          </w:tcPr>
          <w:p>
            <w:pPr>
              <w:spacing w:after="0"/>
              <w:rPr>
                <w:sz w:val="21"/>
                <w:szCs w:val="21"/>
                <w:color w:val="auto"/>
              </w:rPr>
            </w:pPr>
          </w:p>
        </w:tc>
        <w:tc>
          <w:tcPr>
            <w:tcW w:w="106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90"/>
              </w:rPr>
              <w:t>Amortized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Unrealized</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2"/>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4"/>
              </w:rPr>
              <w:t>Cost</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7"/>
              </w:rPr>
              <w:t>Gains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77"/>
              </w:rPr>
              <w:t>Losses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80" w:type="dxa"/>
            <w:vAlign w:val="bottom"/>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368,223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5,239</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3,328</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370,134</w:t>
            </w:r>
          </w:p>
        </w:tc>
      </w:tr>
      <w:tr>
        <w:trPr>
          <w:trHeight w:val="235"/>
        </w:trPr>
        <w:tc>
          <w:tcPr>
            <w:tcW w:w="69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13,075</w:t>
            </w:r>
          </w:p>
        </w:tc>
        <w:tc>
          <w:tcPr>
            <w:tcW w:w="30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403</w:t>
            </w: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12,672</w:t>
            </w:r>
          </w:p>
        </w:tc>
      </w:tr>
      <w:tr>
        <w:trPr>
          <w:trHeight w:val="244"/>
        </w:trPr>
        <w:tc>
          <w:tcPr>
            <w:tcW w:w="69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7,746</w:t>
            </w:r>
          </w:p>
        </w:tc>
        <w:tc>
          <w:tcPr>
            <w:tcW w:w="3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7,746</w:t>
            </w:r>
          </w:p>
        </w:tc>
      </w:tr>
      <w:tr>
        <w:trPr>
          <w:trHeight w:val="237"/>
        </w:trPr>
        <w:tc>
          <w:tcPr>
            <w:tcW w:w="6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389,044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5,239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3,731</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390,552</w:t>
            </w:r>
          </w:p>
        </w:tc>
      </w:tr>
    </w:tbl>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00" w:type="dxa"/>
            <w:vAlign w:val="bottom"/>
          </w:tcPr>
          <w:p>
            <w:pPr>
              <w:spacing w:after="0"/>
              <w:rPr>
                <w:sz w:val="20"/>
                <w:szCs w:val="20"/>
                <w:color w:val="auto"/>
              </w:rPr>
            </w:pPr>
            <w:r>
              <w:rPr>
                <w:rFonts w:ascii="Arial" w:cs="Arial" w:eastAsia="Arial" w:hAnsi="Arial"/>
                <w:sz w:val="18"/>
                <w:szCs w:val="18"/>
                <w:color w:val="auto"/>
                <w:w w:val="97"/>
              </w:rPr>
              <w:t>The fair values of securities with unrealized losses are as follows:</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5"/>
        </w:trPr>
        <w:tc>
          <w:tcPr>
            <w:tcW w:w="5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w w:val="96"/>
              </w:rPr>
              <w:t>March 31, 2017</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w w:val="94"/>
              </w:rPr>
              <w:t>Less than 12 months</w:t>
            </w: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12 months or more</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w w:val="97"/>
              </w:rPr>
              <w:t>Total</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5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w w:val="88"/>
              </w:rPr>
              <w:t>Estimated</w:t>
            </w: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Unrealized</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w w:val="90"/>
              </w:rPr>
              <w:t>Fair Value</w:t>
            </w:r>
          </w:p>
        </w:tc>
        <w:tc>
          <w:tcPr>
            <w:tcW w:w="260" w:type="dxa"/>
            <w:vAlign w:val="bottom"/>
          </w:tcPr>
          <w:p>
            <w:pPr>
              <w:spacing w:after="0"/>
              <w:rPr>
                <w:sz w:val="21"/>
                <w:szCs w:val="21"/>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Losses</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Fair Value</w:t>
            </w:r>
          </w:p>
        </w:tc>
        <w:tc>
          <w:tcPr>
            <w:tcW w:w="108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Losses</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r>
      <w:tr>
        <w:trPr>
          <w:trHeight w:val="243"/>
        </w:trPr>
        <w:tc>
          <w:tcPr>
            <w:tcW w:w="51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110,100</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2,539</w:t>
            </w:r>
          </w:p>
        </w:tc>
        <w:tc>
          <w:tcPr>
            <w:tcW w:w="28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0C0C0"/>
          </w:tcPr>
          <w:p>
            <w:pPr>
              <w:jc w:val="right"/>
              <w:ind w:right="43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5"/>
              </w:rPr>
              <w:t>110,100</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2,539</w:t>
            </w:r>
          </w:p>
        </w:tc>
        <w:tc>
          <w:tcPr>
            <w:tcW w:w="20" w:type="dxa"/>
            <w:vAlign w:val="bottom"/>
          </w:tcPr>
          <w:p>
            <w:pPr>
              <w:spacing w:after="0"/>
              <w:rPr>
                <w:sz w:val="21"/>
                <w:szCs w:val="21"/>
                <w:color w:val="auto"/>
              </w:rPr>
            </w:pPr>
          </w:p>
        </w:tc>
      </w:tr>
      <w:tr>
        <w:trPr>
          <w:trHeight w:val="235"/>
        </w:trPr>
        <w:tc>
          <w:tcPr>
            <w:tcW w:w="51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12,386</w:t>
            </w:r>
          </w:p>
        </w:tc>
        <w:tc>
          <w:tcPr>
            <w:tcW w:w="26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401</w:t>
            </w:r>
          </w:p>
        </w:tc>
        <w:tc>
          <w:tcPr>
            <w:tcW w:w="28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34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12,386</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20"/>
                <w:szCs w:val="20"/>
                <w:color w:val="auto"/>
              </w:rPr>
            </w:pPr>
          </w:p>
        </w:tc>
      </w:tr>
      <w:tr>
        <w:trPr>
          <w:trHeight w:val="244"/>
        </w:trPr>
        <w:tc>
          <w:tcPr>
            <w:tcW w:w="5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8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spacing w:after="0"/>
              <w:rPr>
                <w:sz w:val="21"/>
                <w:szCs w:val="21"/>
                <w:color w:val="auto"/>
              </w:rPr>
            </w:pPr>
          </w:p>
        </w:tc>
        <w:tc>
          <w:tcPr>
            <w:tcW w:w="3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51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122,486</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2,940</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5"/>
              </w:rPr>
              <w:t>122,486</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590"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7"/>
        </w:trPr>
        <w:tc>
          <w:tcPr>
            <w:tcW w:w="5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8"/>
                <w:szCs w:val="18"/>
                <w:b w:val="1"/>
                <w:bCs w:val="1"/>
                <w:color w:val="auto"/>
                <w:w w:val="86"/>
              </w:rPr>
              <w:t>December 31, 2016</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b w:val="1"/>
                <w:bCs w:val="1"/>
                <w:color w:val="auto"/>
                <w:w w:val="88"/>
              </w:rPr>
              <w:t>Less than 12 months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b w:val="1"/>
                <w:bCs w:val="1"/>
                <w:color w:val="auto"/>
                <w:w w:val="88"/>
              </w:rPr>
              <w:t>12 months or more</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w w:val="97"/>
              </w:rPr>
              <w:t>Total</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5420" w:type="dxa"/>
            <w:vAlign w:val="bottom"/>
          </w:tcPr>
          <w:p>
            <w:pPr>
              <w:spacing w:after="0"/>
              <w:rPr>
                <w:sz w:val="19"/>
                <w:szCs w:val="19"/>
                <w:color w:val="auto"/>
              </w:rPr>
            </w:pPr>
          </w:p>
        </w:tc>
        <w:tc>
          <w:tcPr>
            <w:tcW w:w="9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88"/>
              </w:rPr>
              <w:t>Estimated</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w w:val="95"/>
              </w:rPr>
              <w:t>Estimated</w:t>
            </w:r>
          </w:p>
        </w:tc>
        <w:tc>
          <w:tcPr>
            <w:tcW w:w="9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92"/>
              </w:rPr>
              <w:t>Unrealized</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51"/>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80"/>
              </w:rPr>
              <w:t>Losses</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80"/>
              </w:rPr>
              <w:t>Losses</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r>
      <w:tr>
        <w:trPr>
          <w:trHeight w:val="243"/>
        </w:trPr>
        <w:tc>
          <w:tcPr>
            <w:tcW w:w="54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140,384</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3,328</w:t>
            </w:r>
          </w:p>
        </w:tc>
        <w:tc>
          <w:tcPr>
            <w:tcW w:w="24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5"/>
              </w:rPr>
              <w:t>140,384</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3,328</w:t>
            </w:r>
          </w:p>
        </w:tc>
        <w:tc>
          <w:tcPr>
            <w:tcW w:w="20" w:type="dxa"/>
            <w:vAlign w:val="bottom"/>
          </w:tcPr>
          <w:p>
            <w:pPr>
              <w:spacing w:after="0"/>
              <w:rPr>
                <w:sz w:val="21"/>
                <w:szCs w:val="21"/>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12,672</w:t>
            </w:r>
          </w:p>
        </w:tc>
        <w:tc>
          <w:tcPr>
            <w:tcW w:w="2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12,672</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0"/>
                <w:szCs w:val="20"/>
                <w:color w:val="auto"/>
              </w:rPr>
            </w:pPr>
          </w:p>
        </w:tc>
      </w:tr>
      <w:tr>
        <w:trPr>
          <w:trHeight w:val="244"/>
        </w:trPr>
        <w:tc>
          <w:tcPr>
            <w:tcW w:w="54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5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153,056</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3,731</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5"/>
              </w:rPr>
              <w:t>153,056</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5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There were 76 securities, or 22% of the total (none greater than 12 months), in an unrealized loss position as of March 31, 2017. There were 108 securities, or 31% of the total (none greater than 12 months), in an unrealized loss position as of December 31, 2016. All unrealized losses were reviewed to determine whether the losses were other than temporary. Management believes that all unrealized losses are temporary since they were market driven, and it is more likely than not that the Company will not be required to sell prior to recovery of the amortized basis.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March 31, 2017</w:t>
            </w:r>
          </w:p>
        </w:tc>
      </w:tr>
      <w:tr>
        <w:trPr>
          <w:trHeight w:val="237"/>
        </w:trPr>
        <w:tc>
          <w:tcPr>
            <w:tcW w:w="9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Amortized Cost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0"/>
                <w:szCs w:val="20"/>
                <w:color w:val="auto"/>
              </w:rPr>
            </w:pPr>
          </w:p>
        </w:tc>
      </w:tr>
      <w:tr>
        <w:trPr>
          <w:trHeight w:val="243"/>
        </w:trPr>
        <w:tc>
          <w:tcPr>
            <w:tcW w:w="9140" w:type="dxa"/>
            <w:vAlign w:val="bottom"/>
            <w:shd w:val="clear" w:color="auto" w:fill="C0C0C0"/>
          </w:tcPr>
          <w:p>
            <w:pPr>
              <w:spacing w:after="0"/>
              <w:rPr>
                <w:sz w:val="20"/>
                <w:szCs w:val="20"/>
                <w:color w:val="auto"/>
              </w:rPr>
            </w:pPr>
            <w:r>
              <w:rPr>
                <w:rFonts w:ascii="Arial" w:cs="Arial" w:eastAsia="Arial" w:hAnsi="Arial"/>
                <w:sz w:val="18"/>
                <w:szCs w:val="18"/>
                <w:color w:val="auto"/>
              </w:rPr>
              <w:t>Due in 1 year or less</w:t>
            </w:r>
          </w:p>
        </w:tc>
        <w:tc>
          <w:tcPr>
            <w:tcW w:w="32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25,264</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25,503</w:t>
            </w:r>
          </w:p>
        </w:tc>
        <w:tc>
          <w:tcPr>
            <w:tcW w:w="20" w:type="dxa"/>
            <w:vAlign w:val="bottom"/>
          </w:tcPr>
          <w:p>
            <w:pPr>
              <w:spacing w:after="0"/>
              <w:rPr>
                <w:sz w:val="21"/>
                <w:szCs w:val="21"/>
                <w:color w:val="auto"/>
              </w:rPr>
            </w:pPr>
          </w:p>
        </w:tc>
      </w:tr>
      <w:tr>
        <w:trPr>
          <w:trHeight w:val="235"/>
        </w:trPr>
        <w:tc>
          <w:tcPr>
            <w:tcW w:w="914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3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54,901</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56,013</w:t>
            </w:r>
          </w:p>
        </w:tc>
      </w:tr>
      <w:tr>
        <w:trPr>
          <w:trHeight w:val="251"/>
        </w:trPr>
        <w:tc>
          <w:tcPr>
            <w:tcW w:w="9140" w:type="dxa"/>
            <w:vAlign w:val="bottom"/>
            <w:shd w:val="clear" w:color="auto" w:fill="C0C0C0"/>
          </w:tcPr>
          <w:p>
            <w:pPr>
              <w:spacing w:after="0"/>
              <w:rPr>
                <w:sz w:val="20"/>
                <w:szCs w:val="20"/>
                <w:color w:val="auto"/>
              </w:rPr>
            </w:pPr>
            <w:r>
              <w:rPr>
                <w:rFonts w:ascii="Arial" w:cs="Arial" w:eastAsia="Arial" w:hAnsi="Arial"/>
                <w:sz w:val="18"/>
                <w:szCs w:val="18"/>
                <w:color w:val="auto"/>
              </w:rPr>
              <w:t>Due after 5 years through 10 years</w:t>
            </w:r>
          </w:p>
        </w:tc>
        <w:tc>
          <w:tcPr>
            <w:tcW w:w="3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199,366</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204,160</w:t>
            </w:r>
          </w:p>
        </w:tc>
        <w:tc>
          <w:tcPr>
            <w:tcW w:w="20" w:type="dxa"/>
            <w:vAlign w:val="bottom"/>
          </w:tcPr>
          <w:p>
            <w:pPr>
              <w:spacing w:after="0"/>
              <w:rPr>
                <w:sz w:val="21"/>
                <w:szCs w:val="21"/>
                <w:color w:val="auto"/>
              </w:rPr>
            </w:pPr>
          </w:p>
        </w:tc>
      </w:tr>
      <w:tr>
        <w:trPr>
          <w:trHeight w:val="237"/>
        </w:trPr>
        <w:tc>
          <w:tcPr>
            <w:tcW w:w="9140" w:type="dxa"/>
            <w:vAlign w:val="bottom"/>
          </w:tcPr>
          <w:p>
            <w:pPr>
              <w:spacing w:after="0"/>
              <w:rPr>
                <w:sz w:val="20"/>
                <w:szCs w:val="20"/>
                <w:color w:val="auto"/>
              </w:rPr>
            </w:pPr>
            <w:r>
              <w:rPr>
                <w:rFonts w:ascii="Arial" w:cs="Arial" w:eastAsia="Arial" w:hAnsi="Arial"/>
                <w:sz w:val="18"/>
                <w:szCs w:val="18"/>
                <w:color w:val="auto"/>
              </w:rPr>
              <w:t>Due after 10 years</w:t>
            </w:r>
          </w:p>
        </w:tc>
        <w:tc>
          <w:tcPr>
            <w:tcW w:w="3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142,763</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140,639</w:t>
            </w:r>
          </w:p>
        </w:tc>
      </w:tr>
      <w:tr>
        <w:trPr>
          <w:trHeight w:val="237"/>
        </w:trPr>
        <w:tc>
          <w:tcPr>
            <w:tcW w:w="9140" w:type="dxa"/>
            <w:vAlign w:val="bottom"/>
            <w:tcBorders>
              <w:top w:val="single" w:sz="8" w:color="auto"/>
              <w:bottom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422,294</w:t>
            </w:r>
          </w:p>
        </w:tc>
        <w:tc>
          <w:tcPr>
            <w:tcW w:w="3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8"/>
              </w:rPr>
              <w:t>426,315</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sales of investment securities classified as available for sale were $0 and $19,039,000 for the three months ended March 31, 2017 and 2016, respectively. Gross realized gains were $0 and $308,000 for the three months ended March 31, 2017 and 2016, respectively. There was one security totaling $3,750,000 pledged to secure public deposits and for other purposes at March 31,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12 – 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carrying amounts and fair values of the Company’s financial instruments: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4"/>
          </w:tcPr>
          <w:p>
            <w:pPr>
              <w:ind w:left="500"/>
              <w:spacing w:after="0"/>
              <w:rPr>
                <w:sz w:val="20"/>
                <w:szCs w:val="20"/>
                <w:color w:val="auto"/>
              </w:rPr>
            </w:pPr>
            <w:r>
              <w:rPr>
                <w:rFonts w:ascii="Arial" w:cs="Arial" w:eastAsia="Arial" w:hAnsi="Arial"/>
                <w:sz w:val="18"/>
                <w:szCs w:val="18"/>
                <w:b w:val="1"/>
                <w:bCs w:val="1"/>
                <w:color w:val="auto"/>
              </w:rPr>
              <w:t>March 31, 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3"/>
          </w:tcPr>
          <w:p>
            <w:pPr>
              <w:jc w:val="right"/>
              <w:ind w:right="412"/>
              <w:spacing w:after="0"/>
              <w:rPr>
                <w:sz w:val="20"/>
                <w:szCs w:val="20"/>
                <w:color w:val="auto"/>
              </w:rPr>
            </w:pPr>
            <w:r>
              <w:rPr>
                <w:rFonts w:ascii="Arial" w:cs="Arial" w:eastAsia="Arial" w:hAnsi="Arial"/>
                <w:sz w:val="18"/>
                <w:szCs w:val="18"/>
                <w:b w:val="1"/>
                <w:bCs w:val="1"/>
                <w:color w:val="auto"/>
              </w:rPr>
              <w:t>December 31, 2016</w:t>
            </w:r>
          </w:p>
        </w:tc>
      </w:tr>
      <w:tr>
        <w:trPr>
          <w:trHeight w:val="228"/>
        </w:trPr>
        <w:tc>
          <w:tcPr>
            <w:tcW w:w="6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Carrying</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Carrying</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51"/>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2"/>
              </w:rPr>
              <w:t>Fair Value</w:t>
            </w:r>
          </w:p>
        </w:tc>
      </w:tr>
      <w:tr>
        <w:trPr>
          <w:trHeight w:val="243"/>
        </w:trPr>
        <w:tc>
          <w:tcPr>
            <w:tcW w:w="6280" w:type="dxa"/>
            <w:vAlign w:val="bottom"/>
            <w:shd w:val="clear" w:color="auto" w:fill="C0C0C0"/>
          </w:tcPr>
          <w:p>
            <w:pPr>
              <w:spacing w:after="0"/>
              <w:rPr>
                <w:sz w:val="20"/>
                <w:szCs w:val="20"/>
                <w:color w:val="auto"/>
              </w:rPr>
            </w:pPr>
            <w:r>
              <w:rPr>
                <w:rFonts w:ascii="Arial" w:cs="Arial" w:eastAsia="Arial" w:hAnsi="Arial"/>
                <w:sz w:val="18"/>
                <w:szCs w:val="18"/>
                <w:color w:val="auto"/>
              </w:rPr>
              <w:t>Balance sheet assets:</w:t>
            </w:r>
          </w:p>
        </w:tc>
        <w:tc>
          <w:tcPr>
            <w:tcW w:w="14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r>
      <w:tr>
        <w:trPr>
          <w:trHeight w:val="235"/>
        </w:trPr>
        <w:tc>
          <w:tcPr>
            <w:tcW w:w="62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143,570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143,570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266,743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266,743</w:t>
            </w:r>
          </w:p>
        </w:tc>
      </w:tr>
      <w:tr>
        <w:trPr>
          <w:trHeight w:val="251"/>
        </w:trPr>
        <w:tc>
          <w:tcPr>
            <w:tcW w:w="6280" w:type="dxa"/>
            <w:vAlign w:val="bottom"/>
            <w:shd w:val="clear" w:color="auto" w:fill="C0C0C0"/>
          </w:tcPr>
          <w:p>
            <w:pPr>
              <w:ind w:left="360"/>
              <w:spacing w:after="0"/>
              <w:rPr>
                <w:sz w:val="20"/>
                <w:szCs w:val="20"/>
                <w:color w:val="auto"/>
              </w:rPr>
            </w:pPr>
            <w:r>
              <w:rPr>
                <w:rFonts w:ascii="Arial" w:cs="Arial" w:eastAsia="Arial" w:hAnsi="Arial"/>
                <w:sz w:val="18"/>
                <w:szCs w:val="18"/>
                <w:color w:val="auto"/>
              </w:rPr>
              <w:t>Investment securities</w:t>
            </w:r>
          </w:p>
        </w:tc>
        <w:tc>
          <w:tcPr>
            <w:tcW w:w="1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426,315</w:t>
            </w:r>
          </w:p>
        </w:tc>
        <w:tc>
          <w:tcPr>
            <w:tcW w:w="24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426,315</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390,552</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390,552</w:t>
            </w:r>
          </w:p>
        </w:tc>
      </w:tr>
      <w:tr>
        <w:trPr>
          <w:trHeight w:val="235"/>
        </w:trPr>
        <w:tc>
          <w:tcPr>
            <w:tcW w:w="6280" w:type="dxa"/>
            <w:vAlign w:val="bottom"/>
          </w:tcPr>
          <w:p>
            <w:pPr>
              <w:ind w:left="360"/>
              <w:spacing w:after="0"/>
              <w:rPr>
                <w:sz w:val="20"/>
                <w:szCs w:val="20"/>
                <w:color w:val="auto"/>
              </w:rPr>
            </w:pPr>
            <w:r>
              <w:rPr>
                <w:rFonts w:ascii="Arial" w:cs="Arial" w:eastAsia="Arial" w:hAnsi="Arial"/>
                <w:sz w:val="18"/>
                <w:szCs w:val="18"/>
                <w:color w:val="auto"/>
              </w:rPr>
              <w:t>Loans, net</w:t>
            </w:r>
          </w:p>
        </w:tc>
        <w:tc>
          <w:tcPr>
            <w:tcW w:w="14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665,189</w:t>
            </w: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662,404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654,691</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652,028</w:t>
            </w:r>
          </w:p>
        </w:tc>
      </w:tr>
      <w:tr>
        <w:trPr>
          <w:trHeight w:val="244"/>
        </w:trPr>
        <w:tc>
          <w:tcPr>
            <w:tcW w:w="6280" w:type="dxa"/>
            <w:vAlign w:val="bottom"/>
            <w:tcBorders>
              <w:bottom w:val="single" w:sz="8" w:color="auto"/>
            </w:tcBorders>
            <w:shd w:val="clear" w:color="auto" w:fill="C0C0C0"/>
          </w:tcPr>
          <w:p>
            <w:pPr>
              <w:ind w:left="360"/>
              <w:spacing w:after="0"/>
              <w:rPr>
                <w:sz w:val="20"/>
                <w:szCs w:val="20"/>
                <w:color w:val="auto"/>
              </w:rPr>
            </w:pPr>
            <w:r>
              <w:rPr>
                <w:rFonts w:ascii="Arial" w:cs="Arial" w:eastAsia="Arial" w:hAnsi="Arial"/>
                <w:sz w:val="18"/>
                <w:szCs w:val="18"/>
                <w:color w:val="auto"/>
              </w:rPr>
              <w:t>Accrued interest receivable</w:t>
            </w:r>
          </w:p>
        </w:tc>
        <w:tc>
          <w:tcPr>
            <w:tcW w:w="14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6,044</w:t>
            </w:r>
          </w:p>
        </w:tc>
        <w:tc>
          <w:tcPr>
            <w:tcW w:w="24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6,044</w:t>
            </w:r>
          </w:p>
        </w:tc>
        <w:tc>
          <w:tcPr>
            <w:tcW w:w="12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6,543</w:t>
            </w:r>
          </w:p>
        </w:tc>
        <w:tc>
          <w:tcPr>
            <w:tcW w:w="2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6,543</w:t>
            </w:r>
          </w:p>
        </w:tc>
      </w:tr>
      <w:tr>
        <w:trPr>
          <w:trHeight w:val="237"/>
        </w:trPr>
        <w:tc>
          <w:tcPr>
            <w:tcW w:w="62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1,241,118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1,238,333</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1,318,529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1,315,866</w:t>
            </w:r>
          </w:p>
        </w:tc>
      </w:tr>
      <w:tr>
        <w:trPr>
          <w:trHeight w:val="243"/>
        </w:trPr>
        <w:tc>
          <w:tcPr>
            <w:tcW w:w="6280" w:type="dxa"/>
            <w:vAlign w:val="bottom"/>
            <w:shd w:val="clear" w:color="auto" w:fill="C0C0C0"/>
          </w:tcPr>
          <w:p>
            <w:pPr>
              <w:spacing w:after="0"/>
              <w:rPr>
                <w:sz w:val="20"/>
                <w:szCs w:val="20"/>
                <w:color w:val="auto"/>
              </w:rPr>
            </w:pPr>
            <w:r>
              <w:rPr>
                <w:rFonts w:ascii="Arial" w:cs="Arial" w:eastAsia="Arial" w:hAnsi="Arial"/>
                <w:sz w:val="18"/>
                <w:szCs w:val="18"/>
                <w:color w:val="auto"/>
              </w:rPr>
              <w:t>Balance sheet liabilities:</w:t>
            </w:r>
          </w:p>
        </w:tc>
        <w:tc>
          <w:tcPr>
            <w:tcW w:w="14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r>
      <w:tr>
        <w:trPr>
          <w:trHeight w:val="235"/>
        </w:trPr>
        <w:tc>
          <w:tcPr>
            <w:tcW w:w="6280" w:type="dxa"/>
            <w:vAlign w:val="bottom"/>
          </w:tcPr>
          <w:p>
            <w:pPr>
              <w:ind w:left="360"/>
              <w:spacing w:after="0"/>
              <w:rPr>
                <w:sz w:val="20"/>
                <w:szCs w:val="20"/>
                <w:color w:val="auto"/>
              </w:rPr>
            </w:pPr>
            <w:r>
              <w:rPr>
                <w:rFonts w:ascii="Arial" w:cs="Arial" w:eastAsia="Arial" w:hAnsi="Arial"/>
                <w:sz w:val="18"/>
                <w:szCs w:val="18"/>
                <w:color w:val="auto"/>
              </w:rPr>
              <w:t>Deposits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578,356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578,654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621,961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622,173</w:t>
            </w:r>
          </w:p>
        </w:tc>
      </w:tr>
      <w:tr>
        <w:trPr>
          <w:trHeight w:val="251"/>
        </w:trPr>
        <w:tc>
          <w:tcPr>
            <w:tcW w:w="6280" w:type="dxa"/>
            <w:vAlign w:val="bottom"/>
            <w:shd w:val="clear" w:color="auto" w:fill="C0C0C0"/>
          </w:tcPr>
          <w:p>
            <w:pPr>
              <w:ind w:left="360"/>
              <w:spacing w:after="0"/>
              <w:rPr>
                <w:sz w:val="20"/>
                <w:szCs w:val="20"/>
                <w:color w:val="auto"/>
              </w:rPr>
            </w:pPr>
            <w:r>
              <w:rPr>
                <w:rFonts w:ascii="Arial" w:cs="Arial" w:eastAsia="Arial" w:hAnsi="Arial"/>
                <w:sz w:val="18"/>
                <w:szCs w:val="18"/>
                <w:color w:val="auto"/>
              </w:rPr>
              <w:t>Accounts and drafts payable</w:t>
            </w:r>
          </w:p>
        </w:tc>
        <w:tc>
          <w:tcPr>
            <w:tcW w:w="1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623,223</w:t>
            </w:r>
          </w:p>
        </w:tc>
        <w:tc>
          <w:tcPr>
            <w:tcW w:w="24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623,223</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642,287</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642,287</w:t>
            </w:r>
          </w:p>
        </w:tc>
      </w:tr>
      <w:tr>
        <w:trPr>
          <w:trHeight w:val="237"/>
        </w:trPr>
        <w:tc>
          <w:tcPr>
            <w:tcW w:w="62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Accrued interest payable</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6280" w:type="dxa"/>
            <w:vAlign w:val="bottom"/>
            <w:tcBorders>
              <w:bottom w:val="single" w:sz="8" w:color="auto"/>
            </w:tcBorders>
            <w:shd w:val="clear" w:color="auto" w:fill="C0C0C0"/>
          </w:tcPr>
          <w:p>
            <w:pPr>
              <w:ind w:left="7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1,201,628</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1,201,926</w:t>
            </w:r>
          </w:p>
        </w:tc>
        <w:tc>
          <w:tcPr>
            <w:tcW w:w="26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1,264,294</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1,264,506</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Investment in Securities - </w:t>
      </w:r>
      <w:r>
        <w:rPr>
          <w:rFonts w:ascii="Arial" w:cs="Arial" w:eastAsia="Arial" w:hAnsi="Arial"/>
          <w:sz w:val="18"/>
          <w:szCs w:val="18"/>
          <w:color w:val="auto"/>
        </w:rPr>
        <w:t>The fair value is measured on a recurring basis using Level 2 valuations. Refer to Note 11, “Investment in Securities,” for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and unrealized gains and losses by investment type.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7" w:name="page18"/>
    <w:bookmarkEnd w:id="17"/>
    <w:p>
      <w:pPr>
        <w:jc w:val="both"/>
        <w:spacing w:after="0" w:line="262" w:lineRule="auto"/>
        <w:rPr>
          <w:sz w:val="20"/>
          <w:szCs w:val="20"/>
          <w:color w:val="auto"/>
        </w:rPr>
      </w:pPr>
      <w:r>
        <w:rPr>
          <w:rFonts w:ascii="Arial" w:cs="Arial" w:eastAsia="Arial" w:hAnsi="Arial"/>
          <w:sz w:val="18"/>
          <w:szCs w:val="18"/>
          <w:b w:val="1"/>
          <w:bCs w:val="1"/>
          <w:color w:val="auto"/>
        </w:rPr>
        <w:t xml:space="preserve">Loans - </w:t>
      </w:r>
      <w:r>
        <w:rPr>
          <w:rFonts w:ascii="Arial" w:cs="Arial" w:eastAsia="Arial" w:hAnsi="Arial"/>
          <w:sz w:val="18"/>
          <w:szCs w:val="18"/>
          <w:color w:val="auto"/>
        </w:rPr>
        <w:t>The fair value is estimated using present values of future cash flows discounted at risk-adjusted interest rates for each loan category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 in a fair valuation.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Impaired loans are valued using the fair value of the collateral which is based upon an observable market price or a current appraised value and therefore, the fair value is a nonrecurring Level 3 valuation.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Interest Receivable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Deposits - </w:t>
      </w:r>
      <w:r>
        <w:rPr>
          <w:rFonts w:ascii="Arial" w:cs="Arial" w:eastAsia="Arial" w:hAnsi="Arial"/>
          <w:sz w:val="16"/>
          <w:szCs w:val="16"/>
          <w:color w:val="auto"/>
        </w:rPr>
        <w:t>The fair value of demand deposits, savings deposits and certain money market deposits is the amount payable on demand at the reporting date. The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Accounts and Drafts Payable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Interest - </w:t>
      </w:r>
      <w:r>
        <w:rPr>
          <w:rFonts w:ascii="Arial" w:cs="Arial" w:eastAsia="Arial" w:hAnsi="Arial"/>
          <w:sz w:val="18"/>
          <w:szCs w:val="18"/>
          <w:color w:val="auto"/>
        </w:rPr>
        <w:t>The carrying amount approximates fair value.</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were no transfers between Levels 1 and 2 of the fair value hierarchy for the three months ended March 31, 2017 and 2016. No financial instruments are measured using Level 3 inputs for the three months ended March 31, 2017 and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13 – Subsequent Events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FASB ASC 855, “Subsequent Events,” the Company has evaluated subsequent events after the consolidated balance sheet date of March 31, 2017, and there were no events identified that would require additional disclosures to prevent the Company’s unaudited consolidated financial statements from being misleading.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and Breda, Netherlands. The Company’s services include freight invoice rating, payment processing, auditing, and the generation of accounting and transportation information. Cass also processes and pays energy invoices, which include electricity and gas as well as environmental and telecommunications expense, and is a provider of telecom expense management solutions. Cass extracts, stores, and presents information from transportation, energy, telecommunication and environmental invoices, assisting its customers’ transportation, energy, environmental and information technology managers in making decisions that will enable them to improve operating performance. The Company receives data from multiple sources, electronic and otherwise, and processes the data to accomplish the specific operating requirements of its customers. It then provides the data in a central repository for access and archiving. The data is finally transformed into information through the Company’s databases that allow client interaction as required and provide Internet-based tools for analytical processing. The Company also, through Cass Commercial Bank, its St. Louis, Missouri-based bank subsidiary, provides banking services in the St. Louis metropolitan, Orange County, California, Colorado Springs, Colorado, and other selected cities in the United States. In addition to supporting the Company’s payment operations, the Bank provides banking services to its target markets, which include privately-owned businesses and churches and church-related ministries.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88"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2016 Annual Report on Form 10-K, a decline in the general level of interest rates can have a negative impact on net interest income and conversely, a rise in the general level of interest rates can have a positive impact on net interest income.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Certain accounting policies that require significant management estimates and are deemed critical to the Company’s results of operations or financial position have been discussed with the Audit Committee of the Board of Directors and are described below.</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The Company performs periodic and systematic detailed reviews of its loan portfolio to assess overall collectability. The level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objectives of accounting for income taxes are to recognize the amount of taxes payable or refundable for the current year and deferred tax</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and assets for the future tax consequences of events that have been recognized in an entity's financial statements or tax returns. Judgment is required in addressing the future tax consequences of events that have been recognized in the Company’s financial statements or tax returns such as the realization of deferred tax assets or changes in tax laws or interpretations thereof. In addition, the Company is subject to the continuous examination of its income tax returns by the Internal Revenue Service and other taxing authorities. In accordance with FASB ASC 740, “Income Taxes,” the Company has unrecognized tax benefits related to tax positions taken or expected to be taken. See Note 10 to the unaudited consolidated financial statements contained herein.</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Pension Plans. </w:t>
      </w:r>
      <w:r>
        <w:rPr>
          <w:rFonts w:ascii="Arial" w:cs="Arial" w:eastAsia="Arial" w:hAnsi="Arial"/>
          <w:sz w:val="16"/>
          <w:szCs w:val="16"/>
          <w:color w:val="auto"/>
        </w:rPr>
        <w:t>The amounts recognized in the unaudited consolidated financial statements related to pension plans are determined from actuarial valuations.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Inherent in these valuations are assumptions, including expected return on plan assets, discount rates at which the liabilities could be settled at December 31, 2016, rate of increase in future compensation levels and mortality rates. These assumptions are updated annually and are disclosed in Item 8, Note 10 to the consolidated financial statements filed with the Company’s Annual Report on Form 10-K for the year ended December 31, 2016. Pursuant to FASB ASC 715, “Compensation – Retirement Benefits,” the Company has recognized the funded status of its defined benefit postretirement plan in its balance sheet and has recognized changes in that funded status through comprehensive income. The funded status is measured as the difference between the fair value of the plan assets and the projected benefit obligation as of the date of its fiscal year-end.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paragraphs more fully discuss the results of operations and changes in financial condition for the three-month period ended March 31, 2017 (“First Quarter of 2017”) compared to the three-month period ended March 31, 2016 (“First Quarter of 2016”). The following discussion and analysis should be read in conjunction with the unaudited consolidated financial statements and related notes and with the statistical information and financial data appearing in this report, as well as in the Company's 2016 Annual Report on Form 10-K. Results of operations for the First Quarter of 2017 are not necessarily indicative of the results to be attained for any other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rPr>
              <w:t>The following table summarizes the Company’s operating results</w:t>
            </w: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5"/>
        </w:trPr>
        <w:tc>
          <w:tcPr>
            <w:tcW w:w="8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8"/>
                <w:szCs w:val="18"/>
                <w:b w:val="1"/>
                <w:bCs w:val="1"/>
                <w:color w:val="auto"/>
                <w:w w:val="91"/>
              </w:rPr>
              <w:t>First Quarter of</w:t>
            </w:r>
          </w:p>
        </w:tc>
        <w:tc>
          <w:tcPr>
            <w:tcW w:w="760" w:type="dxa"/>
            <w:vAlign w:val="bottom"/>
            <w:tcBorders>
              <w:bottom w:val="single" w:sz="8" w:color="auto"/>
            </w:tcBorders>
          </w:tcPr>
          <w:p>
            <w:pPr>
              <w:spacing w:after="0"/>
              <w:rPr>
                <w:sz w:val="24"/>
                <w:szCs w:val="24"/>
                <w:color w:val="auto"/>
              </w:rPr>
            </w:pPr>
          </w:p>
        </w:tc>
      </w:tr>
      <w:tr>
        <w:trPr>
          <w:trHeight w:val="228"/>
        </w:trPr>
        <w:tc>
          <w:tcPr>
            <w:tcW w:w="8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51"/>
        </w:trPr>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 except per share data)</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6,307</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5,833</w:t>
            </w: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w:t>
            </w:r>
          </w:p>
        </w:tc>
      </w:tr>
      <w:tr>
        <w:trPr>
          <w:trHeight w:val="235"/>
        </w:trPr>
        <w:tc>
          <w:tcPr>
            <w:tcW w:w="84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51"/>
        </w:trPr>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Return on average assets</w:t>
            </w: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on average equity</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r>
        <w:rPr>
          <w:rFonts w:ascii="Arial" w:cs="Arial" w:eastAsia="Arial" w:hAnsi="Arial"/>
          <w:sz w:val="12"/>
          <w:szCs w:val="12"/>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w w:val="90"/>
              </w:rPr>
              <w:t>First Quarter of</w:t>
            </w:r>
          </w:p>
        </w:tc>
        <w:tc>
          <w:tcPr>
            <w:tcW w:w="780" w:type="dxa"/>
            <w:vAlign w:val="bottom"/>
            <w:tcBorders>
              <w:bottom w:val="single" w:sz="8" w:color="auto"/>
            </w:tcBorders>
          </w:tcPr>
          <w:p>
            <w:pPr>
              <w:spacing w:after="0"/>
              <w:rPr>
                <w:sz w:val="20"/>
                <w:szCs w:val="20"/>
                <w:color w:val="auto"/>
              </w:rPr>
            </w:pPr>
          </w:p>
        </w:tc>
      </w:tr>
      <w:tr>
        <w:trPr>
          <w:trHeight w:val="228"/>
        </w:trPr>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51"/>
        </w:trPr>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8180" w:type="dxa"/>
            <w:vAlign w:val="bottom"/>
            <w:shd w:val="clear" w:color="auto" w:fill="C0C0C0"/>
          </w:tcPr>
          <w:p>
            <w:pPr>
              <w:spacing w:after="0"/>
              <w:rPr>
                <w:sz w:val="20"/>
                <w:szCs w:val="20"/>
                <w:color w:val="auto"/>
              </w:rPr>
            </w:pPr>
            <w:r>
              <w:rPr>
                <w:rFonts w:ascii="Arial" w:cs="Arial" w:eastAsia="Arial" w:hAnsi="Arial"/>
                <w:sz w:val="18"/>
                <w:szCs w:val="18"/>
                <w:color w:val="auto"/>
              </w:rPr>
              <w:t>Transportation invoice volume</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8,375</w:t>
            </w:r>
          </w:p>
        </w:tc>
        <w:tc>
          <w:tcPr>
            <w:tcW w:w="4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8,112</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w:t>
            </w:r>
          </w:p>
        </w:tc>
      </w:tr>
      <w:tr>
        <w:trPr>
          <w:trHeight w:val="235"/>
        </w:trPr>
        <w:tc>
          <w:tcPr>
            <w:tcW w:w="818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5,876,843</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w w:val="99"/>
              </w:rPr>
              <w:t>5,442,332</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4"/>
        </w:trPr>
        <w:tc>
          <w:tcPr>
            <w:tcW w:w="8180" w:type="dxa"/>
            <w:vAlign w:val="bottom"/>
            <w:shd w:val="clear" w:color="auto" w:fill="C0C0C0"/>
          </w:tcPr>
          <w:p>
            <w:pPr>
              <w:spacing w:after="0"/>
              <w:rPr>
                <w:sz w:val="20"/>
                <w:szCs w:val="20"/>
                <w:color w:val="auto"/>
              </w:rPr>
            </w:pPr>
            <w:r>
              <w:rPr>
                <w:rFonts w:ascii="Arial" w:cs="Arial" w:eastAsia="Arial" w:hAnsi="Arial"/>
                <w:sz w:val="18"/>
                <w:szCs w:val="18"/>
                <w:color w:val="auto"/>
              </w:rPr>
              <w:t>Facility expense transaction volume</w:t>
            </w:r>
            <w:r>
              <w:rPr>
                <w:rFonts w:ascii="Arial" w:cs="Arial" w:eastAsia="Arial" w:hAnsi="Arial"/>
                <w:sz w:val="13"/>
                <w:szCs w:val="13"/>
                <w:color w:val="auto"/>
              </w:rPr>
              <w:t>*</w:t>
            </w:r>
          </w:p>
        </w:tc>
        <w:tc>
          <w:tcPr>
            <w:tcW w:w="20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6,813</w:t>
            </w:r>
          </w:p>
        </w:tc>
        <w:tc>
          <w:tcPr>
            <w:tcW w:w="460" w:type="dxa"/>
            <w:vAlign w:val="bottom"/>
            <w:shd w:val="clear" w:color="auto" w:fill="C0C0C0"/>
          </w:tcPr>
          <w:p>
            <w:pPr>
              <w:spacing w:after="0"/>
              <w:rPr>
                <w:sz w:val="22"/>
                <w:szCs w:val="22"/>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5,288</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28.8%</w:t>
            </w:r>
          </w:p>
        </w:tc>
      </w:tr>
      <w:tr>
        <w:trPr>
          <w:trHeight w:val="235"/>
        </w:trPr>
        <w:tc>
          <w:tcPr>
            <w:tcW w:w="8180" w:type="dxa"/>
            <w:vAlign w:val="bottom"/>
          </w:tcPr>
          <w:p>
            <w:pPr>
              <w:spacing w:after="0"/>
              <w:rPr>
                <w:sz w:val="20"/>
                <w:szCs w:val="20"/>
                <w:color w:val="auto"/>
              </w:rPr>
            </w:pPr>
            <w:r>
              <w:rPr>
                <w:rFonts w:ascii="Arial" w:cs="Arial" w:eastAsia="Arial" w:hAnsi="Arial"/>
                <w:sz w:val="18"/>
                <w:szCs w:val="18"/>
                <w:color w:val="auto"/>
              </w:rPr>
              <w:t>Facility expense dollar volume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3,175,913</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w w:val="99"/>
              </w:rPr>
              <w:t>2,805,493</w:t>
            </w: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44"/>
        </w:trPr>
        <w:tc>
          <w:tcPr>
            <w:tcW w:w="8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Payment and processing revenue</w:t>
            </w:r>
          </w:p>
        </w:tc>
        <w:tc>
          <w:tcPr>
            <w:tcW w:w="200" w:type="dxa"/>
            <w:vAlign w:val="bottom"/>
            <w:tcBorders>
              <w:bottom w:val="single" w:sz="8" w:color="auto"/>
            </w:tcBorders>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22,289</w:t>
            </w:r>
          </w:p>
        </w:tc>
        <w:tc>
          <w:tcPr>
            <w:tcW w:w="4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19,545</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14.0%</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*Includes energy, telecom and environmental</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2017 compared to First Quarter of 2016: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and processing fee revenue increased 14%. In the transportation sector, new business and a growing customer base boosted invoice volume by 3% and dollar volume by 8%. Facility expense transaction and dollar volume increased significantly as new customer wins, including several sizable accounts that migrated to Cass from competitors, fueled the increase.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gains on the sales of securities in the First Quarter of 2017, compared to $308,000 in the First Quarter of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Net Interest Income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7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color w:val="auto"/>
              </w:rPr>
              <w:t>First Quarter of</w:t>
            </w:r>
          </w:p>
        </w:tc>
        <w:tc>
          <w:tcPr>
            <w:tcW w:w="720" w:type="dxa"/>
            <w:vAlign w:val="bottom"/>
            <w:tcBorders>
              <w:bottom w:val="single" w:sz="8" w:color="auto"/>
            </w:tcBorders>
          </w:tcPr>
          <w:p>
            <w:pPr>
              <w:spacing w:after="0"/>
              <w:rPr>
                <w:sz w:val="20"/>
                <w:szCs w:val="20"/>
                <w:color w:val="auto"/>
              </w:rPr>
            </w:pPr>
          </w:p>
        </w:tc>
      </w:tr>
      <w:tr>
        <w:trPr>
          <w:trHeight w:val="228"/>
        </w:trPr>
        <w:tc>
          <w:tcPr>
            <w:tcW w:w="5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r>
      <w:tr>
        <w:trPr>
          <w:trHeight w:val="251"/>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06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rPr>
              <w:t>Average earnings assets</w:t>
            </w:r>
          </w:p>
        </w:tc>
        <w:tc>
          <w:tcPr>
            <w:tcW w:w="4060" w:type="dxa"/>
            <w:vAlign w:val="bottom"/>
            <w:gridSpan w:val="2"/>
            <w:shd w:val="clear" w:color="auto" w:fill="C0C0C0"/>
          </w:tcPr>
          <w:p>
            <w:pPr>
              <w:jc w:val="right"/>
              <w:ind w:right="192"/>
              <w:spacing w:after="0"/>
              <w:rPr>
                <w:sz w:val="20"/>
                <w:szCs w:val="20"/>
                <w:color w:val="auto"/>
              </w:rPr>
            </w:pPr>
            <w:r>
              <w:rPr>
                <w:rFonts w:ascii="Arial" w:cs="Arial" w:eastAsia="Arial" w:hAnsi="Arial"/>
                <w:sz w:val="18"/>
                <w:szCs w:val="18"/>
                <w:color w:val="auto"/>
              </w:rPr>
              <w:t>$   1,316,034</w:t>
            </w:r>
          </w:p>
        </w:tc>
        <w:tc>
          <w:tcPr>
            <w:tcW w:w="14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   1,262,308</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4.26%</w:t>
            </w: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Average interest-bearing liabilities</w:t>
            </w:r>
          </w:p>
        </w:tc>
        <w:tc>
          <w:tcPr>
            <w:tcW w:w="4060" w:type="dxa"/>
            <w:vAlign w:val="bottom"/>
            <w:gridSpan w:val="2"/>
          </w:tcPr>
          <w:p>
            <w:pPr>
              <w:jc w:val="right"/>
              <w:ind w:right="192"/>
              <w:spacing w:after="0"/>
              <w:rPr>
                <w:sz w:val="20"/>
                <w:szCs w:val="20"/>
                <w:color w:val="auto"/>
              </w:rPr>
            </w:pPr>
            <w:r>
              <w:rPr>
                <w:rFonts w:ascii="Arial" w:cs="Arial" w:eastAsia="Arial" w:hAnsi="Arial"/>
                <w:sz w:val="18"/>
                <w:szCs w:val="18"/>
                <w:color w:val="auto"/>
              </w:rPr>
              <w:t>392,616</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425,380</w:t>
            </w:r>
          </w:p>
        </w:tc>
        <w:tc>
          <w:tcPr>
            <w:tcW w:w="7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64"/>
        </w:trPr>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r>
              <w:rPr>
                <w:rFonts w:ascii="Arial" w:cs="Arial" w:eastAsia="Arial" w:hAnsi="Arial"/>
                <w:sz w:val="13"/>
                <w:szCs w:val="13"/>
                <w:color w:val="auto"/>
              </w:rPr>
              <w:t>*</w:t>
            </w:r>
          </w:p>
        </w:tc>
        <w:tc>
          <w:tcPr>
            <w:tcW w:w="4060" w:type="dxa"/>
            <w:vAlign w:val="bottom"/>
            <w:gridSpan w:val="2"/>
            <w:shd w:val="clear" w:color="auto" w:fill="C0C0C0"/>
          </w:tcPr>
          <w:p>
            <w:pPr>
              <w:jc w:val="right"/>
              <w:ind w:right="192"/>
              <w:spacing w:after="0"/>
              <w:rPr>
                <w:sz w:val="20"/>
                <w:szCs w:val="20"/>
                <w:color w:val="auto"/>
              </w:rPr>
            </w:pPr>
            <w:r>
              <w:rPr>
                <w:rFonts w:ascii="Arial" w:cs="Arial" w:eastAsia="Arial" w:hAnsi="Arial"/>
                <w:sz w:val="18"/>
                <w:szCs w:val="18"/>
                <w:color w:val="auto"/>
              </w:rPr>
              <w:t>10,940</w:t>
            </w:r>
          </w:p>
        </w:tc>
        <w:tc>
          <w:tcPr>
            <w:tcW w:w="14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10,633</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2.89%</w:t>
            </w:r>
          </w:p>
        </w:tc>
      </w:tr>
      <w:tr>
        <w:trPr>
          <w:trHeight w:val="249"/>
        </w:trPr>
        <w:tc>
          <w:tcPr>
            <w:tcW w:w="5200" w:type="dxa"/>
            <w:vAlign w:val="bottom"/>
          </w:tcPr>
          <w:p>
            <w:pPr>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13"/>
                <w:szCs w:val="13"/>
                <w:color w:val="auto"/>
              </w:rPr>
              <w:t>*</w:t>
            </w:r>
          </w:p>
        </w:tc>
        <w:tc>
          <w:tcPr>
            <w:tcW w:w="4060" w:type="dxa"/>
            <w:vAlign w:val="bottom"/>
            <w:gridSpan w:val="2"/>
          </w:tcPr>
          <w:p>
            <w:pPr>
              <w:jc w:val="right"/>
              <w:ind w:right="52"/>
              <w:spacing w:after="0"/>
              <w:rPr>
                <w:sz w:val="20"/>
                <w:szCs w:val="20"/>
                <w:color w:val="auto"/>
              </w:rPr>
            </w:pPr>
            <w:r>
              <w:rPr>
                <w:rFonts w:ascii="Arial" w:cs="Arial" w:eastAsia="Arial" w:hAnsi="Arial"/>
                <w:sz w:val="18"/>
                <w:szCs w:val="18"/>
                <w:color w:val="auto"/>
              </w:rPr>
              <w:t>3.37%</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3.39%</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64"/>
        </w:trPr>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rPr>
              <w:t>Yield on earning assets</w:t>
            </w:r>
            <w:r>
              <w:rPr>
                <w:rFonts w:ascii="Arial" w:cs="Arial" w:eastAsia="Arial" w:hAnsi="Arial"/>
                <w:sz w:val="13"/>
                <w:szCs w:val="13"/>
                <w:color w:val="auto"/>
              </w:rPr>
              <w:t>*</w:t>
            </w:r>
          </w:p>
        </w:tc>
        <w:tc>
          <w:tcPr>
            <w:tcW w:w="406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3.52%</w:t>
            </w:r>
          </w:p>
        </w:tc>
        <w:tc>
          <w:tcPr>
            <w:tcW w:w="14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3.55%</w:t>
            </w: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r>
      <w:tr>
        <w:trPr>
          <w:trHeight w:val="228"/>
        </w:trPr>
        <w:tc>
          <w:tcPr>
            <w:tcW w:w="5200" w:type="dxa"/>
            <w:vAlign w:val="bottom"/>
          </w:tcPr>
          <w:p>
            <w:pPr>
              <w:spacing w:after="0"/>
              <w:rPr>
                <w:sz w:val="20"/>
                <w:szCs w:val="20"/>
                <w:color w:val="auto"/>
              </w:rPr>
            </w:pPr>
            <w:r>
              <w:rPr>
                <w:rFonts w:ascii="Arial" w:cs="Arial" w:eastAsia="Arial" w:hAnsi="Arial"/>
                <w:sz w:val="18"/>
                <w:szCs w:val="18"/>
                <w:color w:val="auto"/>
              </w:rPr>
              <w:t>Rate on interest-bearing liabilities</w:t>
            </w:r>
          </w:p>
        </w:tc>
        <w:tc>
          <w:tcPr>
            <w:tcW w:w="4060" w:type="dxa"/>
            <w:vAlign w:val="bottom"/>
            <w:gridSpan w:val="2"/>
          </w:tcPr>
          <w:p>
            <w:pPr>
              <w:jc w:val="right"/>
              <w:ind w:right="52"/>
              <w:spacing w:after="0"/>
              <w:rPr>
                <w:sz w:val="20"/>
                <w:szCs w:val="20"/>
                <w:color w:val="auto"/>
              </w:rPr>
            </w:pPr>
            <w:r>
              <w:rPr>
                <w:rFonts w:ascii="Arial" w:cs="Arial" w:eastAsia="Arial" w:hAnsi="Arial"/>
                <w:sz w:val="18"/>
                <w:szCs w:val="18"/>
                <w:color w:val="auto"/>
              </w:rPr>
              <w:t>.50%</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*Presented on a tax-equivalent basis assuming a tax rate of 35%.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2017 compared to First Quarter of 2016:</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First Quarter of 2017 average earning assets increased $53,726,000, or 4.3%, compared to the same period in the prior year. Average investment securities increased $64,286,000, or 18.2%, and federal funds sold and other short-term investments increased $26,724,000, or 24.3%, for the First Quarter of 2017 compared to the First Quarter of 2016. This was offset by a decrease in interest-bearing deposits in other financial institutions of $29,068,000, or 21.2%, and a decrease in loans of $8,179,000, or 1.2%.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average interest-bearing liabilities for the First Quarter of 2017 decreased $32,764,000, or 7.7%, compared to the First Quarter of 2016 as customers moved deposits to higher yielding accounts at competitors. Average accounts and drafts payable increased $56,575,000, or 9.2% for the First Quarter of 2017 compared to the First Quarter of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 net interest margin, and yield on earning assets all remained relatively stable in the First Quarter of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changes in net interest income, please refer to the tables that follow.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7"/>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First Quarter of 2017</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Quarter of 2016</w:t>
            </w:r>
          </w:p>
        </w:tc>
        <w:tc>
          <w:tcPr>
            <w:tcW w:w="560" w:type="dxa"/>
            <w:vAlign w:val="bottom"/>
            <w:tcBorders>
              <w:bottom w:val="single" w:sz="8" w:color="auto"/>
            </w:tcBorders>
          </w:tcPr>
          <w:p>
            <w:pPr>
              <w:spacing w:after="0"/>
              <w:rPr>
                <w:sz w:val="20"/>
                <w:szCs w:val="20"/>
                <w:color w:val="auto"/>
              </w:rPr>
            </w:pPr>
          </w:p>
        </w:tc>
      </w:tr>
      <w:tr>
        <w:trPr>
          <w:trHeight w:val="228"/>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Interest</w:t>
            </w:r>
          </w:p>
        </w:tc>
        <w:tc>
          <w:tcPr>
            <w:tcW w:w="560" w:type="dxa"/>
            <w:vAlign w:val="bottom"/>
          </w:tcPr>
          <w:p>
            <w:pPr>
              <w:spacing w:after="0"/>
              <w:rPr>
                <w:sz w:val="19"/>
                <w:szCs w:val="19"/>
                <w:color w:val="auto"/>
              </w:rPr>
            </w:pPr>
          </w:p>
        </w:tc>
      </w:tr>
      <w:tr>
        <w:trPr>
          <w:trHeight w:val="242"/>
        </w:trPr>
        <w:tc>
          <w:tcPr>
            <w:tcW w:w="5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b w:val="1"/>
                <w:bCs w:val="1"/>
                <w:color w:val="auto"/>
                <w:w w:val="92"/>
              </w:rPr>
              <w:t>Average</w:t>
            </w:r>
          </w:p>
        </w:tc>
        <w:tc>
          <w:tcPr>
            <w:tcW w:w="2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Yield/</w:t>
            </w:r>
          </w:p>
        </w:tc>
        <w:tc>
          <w:tcPr>
            <w:tcW w:w="16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w w:val="95"/>
              </w:rPr>
              <w:t>Average</w:t>
            </w:r>
          </w:p>
        </w:tc>
        <w:tc>
          <w:tcPr>
            <w:tcW w:w="240" w:type="dxa"/>
            <w:vAlign w:val="bottom"/>
          </w:tcPr>
          <w:p>
            <w:pPr>
              <w:spacing w:after="0"/>
              <w:rPr>
                <w:sz w:val="21"/>
                <w:szCs w:val="21"/>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w w:val="88"/>
              </w:rPr>
              <w:t>Income/</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Yield/</w:t>
            </w:r>
          </w:p>
        </w:tc>
      </w:tr>
      <w:tr>
        <w:trPr>
          <w:trHeight w:val="25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Balance</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8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2"/>
              </w:rPr>
              <w:t>Rate</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0"/>
              </w:rPr>
              <w:t>Expense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Rate</w:t>
            </w:r>
          </w:p>
        </w:tc>
      </w:tr>
      <w:tr>
        <w:trPr>
          <w:trHeight w:val="311"/>
        </w:trPr>
        <w:tc>
          <w:tcPr>
            <w:tcW w:w="508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Earning assets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8"/>
        </w:trPr>
        <w:tc>
          <w:tcPr>
            <w:tcW w:w="508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2, 3</w:t>
            </w:r>
            <w:r>
              <w:rPr>
                <w:rFonts w:ascii="Arial" w:cs="Arial" w:eastAsia="Arial" w:hAnsi="Arial"/>
                <w:sz w:val="18"/>
                <w:szCs w:val="18"/>
                <w:color w:val="auto"/>
              </w:rPr>
              <w:t xml:space="preserve"> :</w:t>
            </w: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r>
      <w:tr>
        <w:trPr>
          <w:trHeight w:val="235"/>
        </w:trPr>
        <w:tc>
          <w:tcPr>
            <w:tcW w:w="5080" w:type="dxa"/>
            <w:vAlign w:val="bottom"/>
          </w:tcPr>
          <w:p>
            <w:pPr>
              <w:ind w:left="320"/>
              <w:spacing w:after="0"/>
              <w:rPr>
                <w:sz w:val="20"/>
                <w:szCs w:val="20"/>
                <w:color w:val="auto"/>
              </w:rPr>
            </w:pPr>
            <w:r>
              <w:rPr>
                <w:rFonts w:ascii="Arial" w:cs="Arial" w:eastAsia="Arial" w:hAnsi="Arial"/>
                <w:sz w:val="18"/>
                <w:szCs w:val="18"/>
                <w:color w:val="auto"/>
              </w:rPr>
              <w:t>Taxable</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650,398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6,915</w:t>
            </w:r>
          </w:p>
        </w:tc>
        <w:tc>
          <w:tcPr>
            <w:tcW w:w="540" w:type="dxa"/>
            <w:vAlign w:val="bottom"/>
          </w:tcPr>
          <w:p>
            <w:pPr>
              <w:jc w:val="right"/>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645,336</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6,985</w:t>
            </w:r>
          </w:p>
        </w:tc>
        <w:tc>
          <w:tcPr>
            <w:tcW w:w="56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318"/>
        </w:trPr>
        <w:tc>
          <w:tcPr>
            <w:tcW w:w="5080" w:type="dxa"/>
            <w:vAlign w:val="bottom"/>
            <w:shd w:val="clear" w:color="auto" w:fill="C0C0C0"/>
          </w:tcPr>
          <w:p>
            <w:pPr>
              <w:ind w:left="32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6,096</w:t>
            </w:r>
          </w:p>
        </w:tc>
        <w:tc>
          <w:tcPr>
            <w:tcW w:w="220" w:type="dxa"/>
            <w:vAlign w:val="bottom"/>
            <w:shd w:val="clear" w:color="auto" w:fill="C0C0C0"/>
          </w:tcPr>
          <w:p>
            <w:pPr>
              <w:spacing w:after="0"/>
              <w:rPr>
                <w:sz w:val="24"/>
                <w:szCs w:val="24"/>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58</w:t>
            </w:r>
          </w:p>
        </w:tc>
        <w:tc>
          <w:tcPr>
            <w:tcW w:w="5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3.86</w:t>
            </w: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19,336</w:t>
            </w:r>
          </w:p>
        </w:tc>
        <w:tc>
          <w:tcPr>
            <w:tcW w:w="240" w:type="dxa"/>
            <w:vAlign w:val="bottom"/>
            <w:shd w:val="clear" w:color="auto" w:fill="C0C0C0"/>
          </w:tcPr>
          <w:p>
            <w:pPr>
              <w:spacing w:after="0"/>
              <w:rPr>
                <w:sz w:val="24"/>
                <w:szCs w:val="24"/>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226</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4.70</w:t>
            </w:r>
          </w:p>
        </w:tc>
      </w:tr>
      <w:tr>
        <w:trPr>
          <w:trHeight w:val="311"/>
        </w:trPr>
        <w:tc>
          <w:tcPr>
            <w:tcW w:w="5080" w:type="dxa"/>
            <w:vAlign w:val="bottom"/>
          </w:tcPr>
          <w:p>
            <w:pPr>
              <w:spacing w:after="0" w:line="31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3"/>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Taxable</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14,132</w:t>
            </w: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1,189</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w:t>
            </w:r>
          </w:p>
        </w:tc>
      </w:tr>
      <w:tr>
        <w:trPr>
          <w:trHeight w:val="311"/>
        </w:trPr>
        <w:tc>
          <w:tcPr>
            <w:tcW w:w="5080" w:type="dxa"/>
            <w:vAlign w:val="bottom"/>
          </w:tcPr>
          <w:p>
            <w:pPr>
              <w:ind w:left="32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393,956</w:t>
            </w:r>
          </w:p>
        </w:tc>
        <w:tc>
          <w:tcPr>
            <w:tcW w:w="2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4,002</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342,612</w:t>
            </w:r>
          </w:p>
        </w:tc>
        <w:tc>
          <w:tcPr>
            <w:tcW w:w="24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3,683</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4.32</w:t>
            </w:r>
          </w:p>
        </w:tc>
      </w:tr>
      <w:tr>
        <w:trPr>
          <w:trHeight w:val="243"/>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6,874</w:t>
            </w: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6,912</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.64</w:t>
            </w:r>
          </w:p>
        </w:tc>
      </w:tr>
      <w:tr>
        <w:trPr>
          <w:trHeight w:val="228"/>
        </w:trPr>
        <w:tc>
          <w:tcPr>
            <w:tcW w:w="5080" w:type="dxa"/>
            <w:vAlign w:val="bottom"/>
          </w:tcPr>
          <w:p>
            <w:pPr>
              <w:spacing w:after="0"/>
              <w:rPr>
                <w:sz w:val="20"/>
                <w:szCs w:val="20"/>
                <w:color w:val="auto"/>
              </w:rPr>
            </w:pPr>
            <w:r>
              <w:rPr>
                <w:rFonts w:ascii="Arial" w:cs="Arial" w:eastAsia="Arial" w:hAnsi="Arial"/>
                <w:sz w:val="18"/>
                <w:szCs w:val="18"/>
                <w:color w:val="auto"/>
              </w:rPr>
              <w:t>Interest-bearing deposits in</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1"/>
        </w:trPr>
        <w:tc>
          <w:tcPr>
            <w:tcW w:w="5080" w:type="dxa"/>
            <w:vAlign w:val="bottom"/>
          </w:tcPr>
          <w:p>
            <w:pPr>
              <w:ind w:left="320"/>
              <w:spacing w:after="0"/>
              <w:rPr>
                <w:sz w:val="20"/>
                <w:szCs w:val="20"/>
                <w:color w:val="auto"/>
              </w:rPr>
            </w:pPr>
            <w:r>
              <w:rPr>
                <w:rFonts w:ascii="Arial" w:cs="Arial" w:eastAsia="Arial" w:hAnsi="Arial"/>
                <w:sz w:val="18"/>
                <w:szCs w:val="18"/>
                <w:color w:val="auto"/>
              </w:rPr>
              <w:t>other financial institutions</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107,968</w:t>
            </w:r>
          </w:p>
        </w:tc>
        <w:tc>
          <w:tcPr>
            <w:tcW w:w="22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198</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137,036</w:t>
            </w:r>
          </w:p>
        </w:tc>
        <w:tc>
          <w:tcPr>
            <w:tcW w:w="2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169</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.50</w:t>
            </w:r>
          </w:p>
        </w:tc>
      </w:tr>
      <w:tr>
        <w:trPr>
          <w:trHeight w:val="235"/>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Federal funds sold and other</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r>
      <w:tr>
        <w:trPr>
          <w:trHeight w:val="252"/>
        </w:trPr>
        <w:tc>
          <w:tcPr>
            <w:tcW w:w="508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136,610</w:t>
            </w:r>
          </w:p>
        </w:tc>
        <w:tc>
          <w:tcPr>
            <w:tcW w:w="2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170</w:t>
            </w:r>
          </w:p>
        </w:tc>
        <w:tc>
          <w:tcPr>
            <w:tcW w:w="5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109,887</w:t>
            </w:r>
          </w:p>
        </w:tc>
        <w:tc>
          <w:tcPr>
            <w:tcW w:w="24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71</w:t>
            </w:r>
          </w:p>
        </w:tc>
        <w:tc>
          <w:tcPr>
            <w:tcW w:w="5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.26</w:t>
            </w: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Total earning assets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1,316,034</w:t>
            </w:r>
          </w:p>
        </w:tc>
        <w:tc>
          <w:tcPr>
            <w:tcW w:w="22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11,420</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1,262,308</w:t>
            </w:r>
          </w:p>
        </w:tc>
        <w:tc>
          <w:tcPr>
            <w:tcW w:w="24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11,146</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3.55</w:t>
            </w:r>
          </w:p>
        </w:tc>
      </w:tr>
      <w:tr>
        <w:trPr>
          <w:trHeight w:val="251"/>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Non-earning assets</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35"/>
        </w:trPr>
        <w:tc>
          <w:tcPr>
            <w:tcW w:w="5080" w:type="dxa"/>
            <w:vAlign w:val="bottom"/>
          </w:tcPr>
          <w:p>
            <w:pPr>
              <w:ind w:left="320"/>
              <w:spacing w:after="0"/>
              <w:rPr>
                <w:sz w:val="20"/>
                <w:szCs w:val="20"/>
                <w:color w:val="auto"/>
              </w:rPr>
            </w:pPr>
            <w:r>
              <w:rPr>
                <w:rFonts w:ascii="Arial" w:cs="Arial" w:eastAsia="Arial" w:hAnsi="Arial"/>
                <w:sz w:val="18"/>
                <w:szCs w:val="18"/>
                <w:color w:val="auto"/>
              </w:rPr>
              <w:t>Cash and due from banks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13,042</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11,566</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1"/>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Premises and equipment, net</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21,162</w:t>
            </w: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19,839</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35"/>
        </w:trPr>
        <w:tc>
          <w:tcPr>
            <w:tcW w:w="5080" w:type="dxa"/>
            <w:vAlign w:val="bottom"/>
          </w:tcPr>
          <w:p>
            <w:pPr>
              <w:ind w:left="320"/>
              <w:spacing w:after="0"/>
              <w:rPr>
                <w:sz w:val="20"/>
                <w:szCs w:val="20"/>
                <w:color w:val="auto"/>
              </w:rPr>
            </w:pPr>
            <w:r>
              <w:rPr>
                <w:rFonts w:ascii="Arial" w:cs="Arial" w:eastAsia="Arial" w:hAnsi="Arial"/>
                <w:sz w:val="18"/>
                <w:szCs w:val="18"/>
                <w:color w:val="auto"/>
              </w:rPr>
              <w:t>Bank-owned life insurance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16,490</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15,979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5"/>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Goodwill and other</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r>
      <w:tr>
        <w:trPr>
          <w:trHeight w:val="259"/>
        </w:trPr>
        <w:tc>
          <w:tcPr>
            <w:tcW w:w="50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intangibles</w:t>
            </w:r>
          </w:p>
        </w:tc>
        <w:tc>
          <w:tcPr>
            <w:tcW w:w="2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13,956</w:t>
            </w:r>
          </w:p>
        </w:tc>
        <w:tc>
          <w:tcPr>
            <w:tcW w:w="220" w:type="dxa"/>
            <w:vAlign w:val="bottom"/>
            <w:shd w:val="clear" w:color="auto" w:fill="C0C0C0"/>
          </w:tcPr>
          <w:p>
            <w:pPr>
              <w:spacing w:after="0"/>
              <w:rPr>
                <w:sz w:val="22"/>
                <w:szCs w:val="22"/>
                <w:color w:val="auto"/>
              </w:rPr>
            </w:pPr>
          </w:p>
        </w:tc>
        <w:tc>
          <w:tcPr>
            <w:tcW w:w="900" w:type="dxa"/>
            <w:vAlign w:val="bottom"/>
            <w:shd w:val="clear" w:color="auto" w:fill="C0C0C0"/>
          </w:tcPr>
          <w:p>
            <w:pPr>
              <w:spacing w:after="0"/>
              <w:rPr>
                <w:sz w:val="22"/>
                <w:szCs w:val="22"/>
                <w:color w:val="auto"/>
              </w:rPr>
            </w:pPr>
          </w:p>
        </w:tc>
        <w:tc>
          <w:tcPr>
            <w:tcW w:w="54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13,953</w:t>
            </w:r>
          </w:p>
        </w:tc>
        <w:tc>
          <w:tcPr>
            <w:tcW w:w="240" w:type="dxa"/>
            <w:vAlign w:val="bottom"/>
            <w:shd w:val="clear" w:color="auto" w:fill="C0C0C0"/>
          </w:tcPr>
          <w:p>
            <w:pPr>
              <w:spacing w:after="0"/>
              <w:rPr>
                <w:sz w:val="22"/>
                <w:szCs w:val="22"/>
                <w:color w:val="auto"/>
              </w:rPr>
            </w:pPr>
          </w:p>
        </w:tc>
        <w:tc>
          <w:tcPr>
            <w:tcW w:w="88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2"/>
                <w:szCs w:val="22"/>
                <w:color w:val="auto"/>
              </w:rPr>
            </w:pPr>
          </w:p>
        </w:tc>
      </w:tr>
      <w:tr>
        <w:trPr>
          <w:trHeight w:val="235"/>
        </w:trPr>
        <w:tc>
          <w:tcPr>
            <w:tcW w:w="508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137,693</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135,907</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4"/>
        </w:trPr>
        <w:tc>
          <w:tcPr>
            <w:tcW w:w="5080" w:type="dxa"/>
            <w:vAlign w:val="bottom"/>
            <w:tcBorders>
              <w:bottom w:val="single" w:sz="8" w:color="auto"/>
            </w:tcBorders>
            <w:shd w:val="clear" w:color="auto" w:fill="C0C0C0"/>
          </w:tcPr>
          <w:p>
            <w:pPr>
              <w:ind w:left="300"/>
              <w:spacing w:after="0"/>
              <w:rPr>
                <w:sz w:val="20"/>
                <w:szCs w:val="20"/>
                <w:color w:val="auto"/>
              </w:rPr>
            </w:pPr>
            <w:r>
              <w:rPr>
                <w:rFonts w:ascii="Arial" w:cs="Arial" w:eastAsia="Arial" w:hAnsi="Arial"/>
                <w:sz w:val="18"/>
                <w:szCs w:val="18"/>
                <w:color w:val="auto"/>
              </w:rPr>
              <w:t>Allowance for loan losses</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(10,178 )</w:t>
            </w:r>
          </w:p>
        </w:tc>
        <w:tc>
          <w:tcPr>
            <w:tcW w:w="2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(11,625)</w:t>
            </w:r>
          </w:p>
        </w:tc>
        <w:tc>
          <w:tcPr>
            <w:tcW w:w="24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spacing w:after="0"/>
              <w:rPr>
                <w:sz w:val="21"/>
                <w:szCs w:val="21"/>
                <w:color w:val="auto"/>
              </w:rPr>
            </w:pPr>
          </w:p>
        </w:tc>
      </w:tr>
      <w:tr>
        <w:trPr>
          <w:trHeight w:val="237"/>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1,508,199</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1,447,927</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311"/>
        </w:trPr>
        <w:tc>
          <w:tcPr>
            <w:tcW w:w="508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Liabilities and Shareholders’ Equity</w:t>
            </w:r>
            <w:r>
              <w:rPr>
                <w:rFonts w:ascii="Arial" w:cs="Arial" w:eastAsia="Arial" w:hAnsi="Arial"/>
                <w:sz w:val="29"/>
                <w:szCs w:val="29"/>
                <w:b w:val="1"/>
                <w:bCs w:val="1"/>
                <w:color w:val="auto"/>
                <w:vertAlign w:val="superscript"/>
              </w:rPr>
              <w:t>1</w:t>
            </w: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900" w:type="dxa"/>
            <w:vAlign w:val="bottom"/>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5"/>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Interest-bearing demand</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r>
      <w:tr>
        <w:trPr>
          <w:trHeight w:val="259"/>
        </w:trPr>
        <w:tc>
          <w:tcPr>
            <w:tcW w:w="50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deposits</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311,174</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326</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345,054</w:t>
            </w:r>
          </w:p>
        </w:tc>
        <w:tc>
          <w:tcPr>
            <w:tcW w:w="240" w:type="dxa"/>
            <w:vAlign w:val="bottom"/>
            <w:shd w:val="clear" w:color="auto" w:fill="C0C0C0"/>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350</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w:t>
            </w:r>
          </w:p>
        </w:tc>
      </w:tr>
      <w:tr>
        <w:trPr>
          <w:trHeight w:val="235"/>
        </w:trPr>
        <w:tc>
          <w:tcPr>
            <w:tcW w:w="5080" w:type="dxa"/>
            <w:vAlign w:val="bottom"/>
          </w:tcPr>
          <w:p>
            <w:pPr>
              <w:ind w:left="320"/>
              <w:spacing w:after="0"/>
              <w:rPr>
                <w:sz w:val="20"/>
                <w:szCs w:val="20"/>
                <w:color w:val="auto"/>
              </w:rPr>
            </w:pPr>
            <w:r>
              <w:rPr>
                <w:rFonts w:ascii="Arial" w:cs="Arial" w:eastAsia="Arial" w:hAnsi="Arial"/>
                <w:sz w:val="18"/>
                <w:szCs w:val="18"/>
                <w:color w:val="auto"/>
              </w:rPr>
              <w:t>Savings deposits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25,399</w:t>
            </w:r>
          </w:p>
        </w:tc>
        <w:tc>
          <w:tcPr>
            <w:tcW w:w="22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18,945</w:t>
            </w:r>
          </w:p>
        </w:tc>
        <w:tc>
          <w:tcPr>
            <w:tcW w:w="24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.49</w:t>
            </w:r>
          </w:p>
        </w:tc>
      </w:tr>
      <w:tr>
        <w:trPr>
          <w:trHeight w:val="251"/>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Time deposits &gt;= $100</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22,711</w:t>
            </w: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23,363</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67</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1.15</w:t>
            </w:r>
          </w:p>
        </w:tc>
      </w:tr>
      <w:tr>
        <w:trPr>
          <w:trHeight w:val="237"/>
        </w:trPr>
        <w:tc>
          <w:tcPr>
            <w:tcW w:w="5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 time deposits</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33,332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63</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38,018</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73</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.77</w:t>
            </w:r>
          </w:p>
        </w:tc>
      </w:tr>
      <w:tr>
        <w:trPr>
          <w:trHeight w:val="243"/>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deposits</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392,616</w:t>
            </w: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480</w:t>
            </w:r>
          </w:p>
        </w:tc>
        <w:tc>
          <w:tcPr>
            <w:tcW w:w="5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425,380</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513</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.49</w:t>
            </w:r>
          </w:p>
        </w:tc>
      </w:tr>
      <w:tr>
        <w:trPr>
          <w:trHeight w:val="237"/>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liabilities</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392,627</w:t>
            </w: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480</w:t>
            </w:r>
          </w:p>
        </w:tc>
        <w:tc>
          <w:tcPr>
            <w:tcW w:w="5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425,380</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513</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.49</w:t>
            </w: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1"/>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Demand deposits</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207,438</w:t>
            </w: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180,590</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35"/>
        </w:trPr>
        <w:tc>
          <w:tcPr>
            <w:tcW w:w="5080" w:type="dxa"/>
            <w:vAlign w:val="bottom"/>
          </w:tcPr>
          <w:p>
            <w:pPr>
              <w:ind w:left="300"/>
              <w:spacing w:after="0"/>
              <w:rPr>
                <w:sz w:val="20"/>
                <w:szCs w:val="20"/>
                <w:color w:val="auto"/>
              </w:rPr>
            </w:pPr>
            <w:r>
              <w:rPr>
                <w:rFonts w:ascii="Arial" w:cs="Arial" w:eastAsia="Arial" w:hAnsi="Arial"/>
                <w:sz w:val="18"/>
                <w:szCs w:val="18"/>
                <w:color w:val="auto"/>
              </w:rPr>
              <w:t>Accounts and drafts payable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668,578</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612,003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4"/>
        </w:trPr>
        <w:tc>
          <w:tcPr>
            <w:tcW w:w="508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32,614</w:t>
            </w:r>
          </w:p>
        </w:tc>
        <w:tc>
          <w:tcPr>
            <w:tcW w:w="2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23,869</w:t>
            </w:r>
          </w:p>
        </w:tc>
        <w:tc>
          <w:tcPr>
            <w:tcW w:w="24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1,301,257</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1,241,842</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4"/>
        </w:trPr>
        <w:tc>
          <w:tcPr>
            <w:tcW w:w="50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206,942</w:t>
            </w:r>
          </w:p>
        </w:tc>
        <w:tc>
          <w:tcPr>
            <w:tcW w:w="2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206,085</w:t>
            </w:r>
          </w:p>
        </w:tc>
        <w:tc>
          <w:tcPr>
            <w:tcW w:w="24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spacing w:after="0"/>
              <w:rPr>
                <w:sz w:val="21"/>
                <w:szCs w:val="21"/>
                <w:color w:val="auto"/>
              </w:rPr>
            </w:pPr>
          </w:p>
        </w:tc>
      </w:tr>
      <w:tr>
        <w:trPr>
          <w:trHeight w:val="228"/>
        </w:trPr>
        <w:tc>
          <w:tcPr>
            <w:tcW w:w="5080" w:type="dxa"/>
            <w:vAlign w:val="bottom"/>
          </w:tcPr>
          <w:p>
            <w:pPr>
              <w:spacing w:after="0"/>
              <w:rPr>
                <w:sz w:val="20"/>
                <w:szCs w:val="20"/>
                <w:color w:val="auto"/>
              </w:rPr>
            </w:pPr>
            <w:r>
              <w:rPr>
                <w:rFonts w:ascii="Arial" w:cs="Arial" w:eastAsia="Arial" w:hAnsi="Arial"/>
                <w:sz w:val="18"/>
                <w:szCs w:val="18"/>
                <w:color w:val="auto"/>
              </w:rPr>
              <w:t>Total liabilities and</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2"/>
        </w:trPr>
        <w:tc>
          <w:tcPr>
            <w:tcW w:w="5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shareholders’ equity</w:t>
            </w: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1,508,199</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1,447,927</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r>
      <w:tr>
        <w:trPr>
          <w:trHeight w:val="243"/>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10,940</w:t>
            </w:r>
          </w:p>
        </w:tc>
        <w:tc>
          <w:tcPr>
            <w:tcW w:w="5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10,633</w:t>
            </w:r>
          </w:p>
        </w:tc>
        <w:tc>
          <w:tcPr>
            <w:tcW w:w="560" w:type="dxa"/>
            <w:vAlign w:val="bottom"/>
            <w:shd w:val="clear" w:color="auto" w:fill="C0C0C0"/>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Net interest margin</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44"/>
        </w:trPr>
        <w:tc>
          <w:tcPr>
            <w:tcW w:w="50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Interest spread</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3.02</w:t>
            </w:r>
          </w:p>
        </w:tc>
        <w:tc>
          <w:tcPr>
            <w:tcW w:w="28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3.06</w:t>
            </w:r>
          </w:p>
        </w:tc>
      </w:tr>
    </w:tbl>
    <w:p>
      <w:pPr>
        <w:ind w:left="340" w:hanging="332"/>
        <w:spacing w:after="0" w:line="22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purposes of these computations, nonaccrual loans are included in the average loan amounts outstanding. Interest on nonaccrual loans is recorded when received as discussed further in Note 1 to the Company's 2016 consolidated financial statements, filed with the Company’s 2016 Annual Report on Form 10-K.</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$152,000 and $142,000 for the First Quarter of 2017 and 2016, respectively.</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35%. The tax-equivalent adjustment was approximately $1,421,000 and $1,368,000 for the First Quarter of 2017 and 2016, respectively.</w:t>
      </w: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5"/>
          </w:tcPr>
          <w:p>
            <w:pPr>
              <w:jc w:val="center"/>
              <w:ind w:right="112"/>
              <w:spacing w:after="0"/>
              <w:rPr>
                <w:sz w:val="20"/>
                <w:szCs w:val="20"/>
                <w:color w:val="auto"/>
              </w:rPr>
            </w:pPr>
            <w:r>
              <w:rPr>
                <w:rFonts w:ascii="Arial" w:cs="Arial" w:eastAsia="Arial" w:hAnsi="Arial"/>
                <w:sz w:val="18"/>
                <w:szCs w:val="18"/>
                <w:b w:val="1"/>
                <w:bCs w:val="1"/>
                <w:color w:val="auto"/>
                <w:w w:val="91"/>
              </w:rPr>
              <w:t>First Quarter of 2017 Over</w:t>
            </w:r>
          </w:p>
        </w:tc>
      </w:tr>
      <w:tr>
        <w:trPr>
          <w:trHeight w:val="252"/>
        </w:trPr>
        <w:tc>
          <w:tcPr>
            <w:tcW w:w="8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8"/>
                <w:szCs w:val="18"/>
                <w:b w:val="1"/>
                <w:bCs w:val="1"/>
                <w:color w:val="auto"/>
                <w:w w:val="90"/>
              </w:rPr>
              <w:t>First Quarter of 2016</w:t>
            </w:r>
          </w:p>
        </w:tc>
      </w:tr>
      <w:tr>
        <w:trPr>
          <w:trHeight w:val="237"/>
        </w:trPr>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w w:val="98"/>
              </w:rPr>
              <w:t>Volume</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2"/>
              </w:rPr>
              <w:t>Rate</w:t>
            </w: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Total</w:t>
            </w:r>
          </w:p>
        </w:tc>
      </w:tr>
      <w:tr>
        <w:trPr>
          <w:trHeight w:val="243"/>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311"/>
        </w:trPr>
        <w:tc>
          <w:tcPr>
            <w:tcW w:w="8740" w:type="dxa"/>
            <w:vAlign w:val="bottom"/>
          </w:tcPr>
          <w:p>
            <w:pPr>
              <w:ind w:left="320"/>
              <w:spacing w:after="0" w:line="31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1, 2</w:t>
            </w:r>
            <w:r>
              <w:rPr>
                <w:rFonts w:ascii="Arial" w:cs="Arial" w:eastAsia="Arial" w:hAnsi="Arial"/>
                <w:sz w:val="18"/>
                <w:szCs w:val="18"/>
                <w:color w:val="auto"/>
              </w:rPr>
              <w:t xml:space="preserve"> :</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87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Taxable</w:t>
            </w: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w:t>
            </w:r>
          </w:p>
        </w:tc>
      </w:tr>
      <w:tr>
        <w:trPr>
          <w:trHeight w:val="311"/>
        </w:trPr>
        <w:tc>
          <w:tcPr>
            <w:tcW w:w="8740" w:type="dxa"/>
            <w:vAlign w:val="bottom"/>
          </w:tcPr>
          <w:p>
            <w:pPr>
              <w:ind w:left="62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20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Investment securities:</w:t>
            </w: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8740" w:type="dxa"/>
            <w:vAlign w:val="bottom"/>
          </w:tcPr>
          <w:p>
            <w:pPr>
              <w:ind w:left="620"/>
              <w:spacing w:after="0"/>
              <w:rPr>
                <w:sz w:val="20"/>
                <w:szCs w:val="20"/>
                <w:color w:val="auto"/>
              </w:rPr>
            </w:pPr>
            <w:r>
              <w:rPr>
                <w:rFonts w:ascii="Arial" w:cs="Arial" w:eastAsia="Arial" w:hAnsi="Arial"/>
                <w:sz w:val="18"/>
                <w:szCs w:val="18"/>
                <w:color w:val="auto"/>
              </w:rPr>
              <w:t>Taxable</w:t>
            </w:r>
          </w:p>
        </w:tc>
        <w:tc>
          <w:tcPr>
            <w:tcW w:w="200" w:type="dxa"/>
            <w:vAlign w:val="bottom"/>
          </w:tcPr>
          <w:p>
            <w:pPr>
              <w:spacing w:after="0"/>
              <w:rPr>
                <w:sz w:val="20"/>
                <w:szCs w:val="20"/>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0"/>
                <w:szCs w:val="20"/>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8740" w:type="dxa"/>
            <w:vAlign w:val="bottom"/>
            <w:shd w:val="clear" w:color="auto" w:fill="C0C0C0"/>
          </w:tcPr>
          <w:p>
            <w:pPr>
              <w:ind w:left="62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200" w:type="dxa"/>
            <w:vAlign w:val="bottom"/>
            <w:shd w:val="clear" w:color="auto" w:fill="C0C0C0"/>
          </w:tcPr>
          <w:p>
            <w:pPr>
              <w:spacing w:after="0"/>
              <w:rPr>
                <w:sz w:val="24"/>
                <w:szCs w:val="24"/>
                <w:color w:val="auto"/>
              </w:rPr>
            </w:pPr>
          </w:p>
        </w:tc>
        <w:tc>
          <w:tcPr>
            <w:tcW w:w="6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504</w:t>
            </w:r>
          </w:p>
        </w:tc>
        <w:tc>
          <w:tcPr>
            <w:tcW w:w="280" w:type="dxa"/>
            <w:vAlign w:val="bottom"/>
            <w:shd w:val="clear" w:color="auto" w:fill="C0C0C0"/>
          </w:tcPr>
          <w:p>
            <w:pPr>
              <w:spacing w:after="0"/>
              <w:rPr>
                <w:sz w:val="24"/>
                <w:szCs w:val="24"/>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319</w:t>
            </w: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0"/>
                <w:szCs w:val="20"/>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Interest-bearing deposits in other financial institutions</w:t>
            </w: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87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Federal funds sold and other short-term investments</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79</w:t>
            </w: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8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2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auto"/>
            </w:tcBorders>
            <w:shd w:val="clear" w:color="auto" w:fill="C0C0C0"/>
          </w:tcPr>
          <w:p>
            <w:pPr>
              <w:spacing w:after="0"/>
              <w:rPr>
                <w:sz w:val="20"/>
                <w:szCs w:val="20"/>
                <w:color w:val="auto"/>
              </w:rPr>
            </w:pPr>
          </w:p>
        </w:tc>
        <w:tc>
          <w:tcPr>
            <w:tcW w:w="7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(150)</w:t>
            </w:r>
          </w:p>
        </w:tc>
        <w:tc>
          <w:tcPr>
            <w:tcW w:w="260" w:type="dxa"/>
            <w:vAlign w:val="bottom"/>
            <w:tcBorders>
              <w:bottom w:val="single" w:sz="8" w:color="auto"/>
            </w:tcBorders>
            <w:shd w:val="clear" w:color="auto" w:fill="C0C0C0"/>
          </w:tcPr>
          <w:p>
            <w:pPr>
              <w:spacing w:after="0"/>
              <w:rPr>
                <w:sz w:val="20"/>
                <w:szCs w:val="20"/>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274</w:t>
            </w:r>
          </w:p>
        </w:tc>
      </w:tr>
      <w:tr>
        <w:trPr>
          <w:trHeight w:val="235"/>
        </w:trPr>
        <w:tc>
          <w:tcPr>
            <w:tcW w:w="8740" w:type="dxa"/>
            <w:vAlign w:val="bottom"/>
          </w:tcPr>
          <w:p>
            <w:pPr>
              <w:spacing w:after="0"/>
              <w:rPr>
                <w:sz w:val="20"/>
                <w:szCs w:val="20"/>
                <w:color w:val="auto"/>
              </w:rPr>
            </w:pPr>
            <w:r>
              <w:rPr>
                <w:rFonts w:ascii="Arial" w:cs="Arial" w:eastAsia="Arial" w:hAnsi="Arial"/>
                <w:sz w:val="18"/>
                <w:szCs w:val="18"/>
                <w:color w:val="auto"/>
              </w:rPr>
              <w:t>Interest expense on:</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Interest-bearing demand deposits</w:t>
            </w: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20"/>
                <w:szCs w:val="20"/>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1"/>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Time deposits of &gt;=$100</w:t>
            </w: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w:t>
            </w:r>
          </w:p>
        </w:tc>
        <w:tc>
          <w:tcPr>
            <w:tcW w:w="26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7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Other time deposits</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8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auto"/>
            </w:tcBorders>
            <w:shd w:val="clear" w:color="auto" w:fill="C0C0C0"/>
          </w:tcPr>
          <w:p>
            <w:pPr>
              <w:spacing w:after="0"/>
              <w:rPr>
                <w:sz w:val="20"/>
                <w:szCs w:val="20"/>
                <w:color w:val="auto"/>
              </w:rPr>
            </w:pPr>
          </w:p>
        </w:tc>
        <w:tc>
          <w:tcPr>
            <w:tcW w:w="7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C0C0C0"/>
          </w:tcPr>
          <w:p>
            <w:pPr>
              <w:spacing w:after="0"/>
              <w:rPr>
                <w:sz w:val="20"/>
                <w:szCs w:val="20"/>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w:t>
            </w:r>
          </w:p>
        </w:tc>
      </w:tr>
      <w:tr>
        <w:trPr>
          <w:trHeight w:val="228"/>
        </w:trPr>
        <w:tc>
          <w:tcPr>
            <w:tcW w:w="8740" w:type="dxa"/>
            <w:vAlign w:val="bottom"/>
          </w:tcPr>
          <w:p>
            <w:pPr>
              <w:spacing w:after="0"/>
              <w:rPr>
                <w:sz w:val="20"/>
                <w:szCs w:val="20"/>
                <w:color w:val="auto"/>
              </w:rPr>
            </w:pPr>
            <w:r>
              <w:rPr>
                <w:rFonts w:ascii="Arial" w:cs="Arial" w:eastAsia="Arial" w:hAnsi="Arial"/>
                <w:sz w:val="18"/>
                <w:szCs w:val="18"/>
                <w:color w:val="auto"/>
              </w:rPr>
              <w:t>Net interest income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465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Average balances include nonaccrual loans.</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35%.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determinant of the Company's operating results can be the provision for loan losses. There was no loan loss provision recorded in the First Quarter of 2017. Due to the improved assessment of the overall quality of the Company’s loan portfolio, primarily due to the payoff of a large nonperforming loan, a negative loan loss provision of $1,000,000 was recorded during the First Quarter of 2016. As discussed below, the Company continually analyzes the outstanding loan portfolio based on the performance, financial condition and collateralization of the credits. Net loan recoveries during the First Quarter of 2017 were $16,000, and net loan recoveries during the First Quarter of 2016 were $2,000.</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ALLL at March 31, 2017 was $10,191,000 and at December 31, 2016 was $10,175,000. The ratio of ALLL to total loans outstanding at March 31, 2017 was 1.51% compared to 1.53% at December 31, 2016. Nonperforming loans were $231,000, or .03%, of total loans at March 31, 2017 compared to $245,000, or</w:t>
      </w:r>
    </w:p>
    <w:p>
      <w:pPr>
        <w:jc w:val="both"/>
        <w:spacing w:after="0" w:line="261" w:lineRule="auto"/>
        <w:rPr>
          <w:sz w:val="20"/>
          <w:szCs w:val="20"/>
          <w:color w:val="auto"/>
        </w:rPr>
      </w:pPr>
      <w:r>
        <w:rPr>
          <w:rFonts w:ascii="Arial" w:cs="Arial" w:eastAsia="Arial" w:hAnsi="Arial"/>
          <w:sz w:val="18"/>
          <w:szCs w:val="18"/>
          <w:color w:val="auto"/>
        </w:rPr>
        <w:t>.04%, of total loans at December 31, 2016. This consists of one nonaccrual loan, which is also considered impaired, at March 31, 2017. Total nonaccrual loans decreased $153,000 from March 31, 2016 to March 31, 2017, primarily due to the payoff of one loan.</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“Allowance for Credit Losses,” and 2) estimated credit losses inherent in the remainder of the loan portfolio in accordance with FASB ASC 450, “Contingencies.” Estimated credit losses is an estimate of the current amount of loans that is probable the Company will be unable to collect according to the original terms.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tcPr>
          <w:p>
            <w:pPr>
              <w:spacing w:after="0"/>
              <w:rPr>
                <w:sz w:val="20"/>
                <w:szCs w:val="20"/>
                <w:color w:val="auto"/>
              </w:rPr>
            </w:pPr>
            <w:r>
              <w:rPr>
                <w:rFonts w:ascii="Arial" w:cs="Arial" w:eastAsia="Arial" w:hAnsi="Arial"/>
                <w:sz w:val="18"/>
                <w:szCs w:val="18"/>
                <w:b w:val="1"/>
                <w:bCs w:val="1"/>
                <w:color w:val="auto"/>
              </w:rPr>
              <w:t>Summary of Asset Quality</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color w:val="auto"/>
                <w:w w:val="96"/>
              </w:rPr>
              <w:t>The following table presents information on the Company's provision for loan losses and analysis of the ALLL:</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5"/>
        </w:trPr>
        <w:tc>
          <w:tcPr>
            <w:tcW w:w="8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8"/>
                <w:szCs w:val="18"/>
                <w:b w:val="1"/>
                <w:bCs w:val="1"/>
                <w:color w:val="auto"/>
              </w:rPr>
              <w:t>First Quarter of</w:t>
            </w:r>
          </w:p>
        </w:tc>
      </w:tr>
      <w:tr>
        <w:trPr>
          <w:trHeight w:val="237"/>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r>
      <w:tr>
        <w:trPr>
          <w:trHeight w:val="243"/>
        </w:trPr>
        <w:tc>
          <w:tcPr>
            <w:tcW w:w="8460" w:type="dxa"/>
            <w:vAlign w:val="bottom"/>
            <w:shd w:val="clear" w:color="auto" w:fill="C0C0C0"/>
          </w:tcPr>
          <w:p>
            <w:pPr>
              <w:spacing w:after="0"/>
              <w:rPr>
                <w:sz w:val="20"/>
                <w:szCs w:val="20"/>
                <w:color w:val="auto"/>
              </w:rPr>
            </w:pPr>
            <w:r>
              <w:rPr>
                <w:rFonts w:ascii="Arial" w:cs="Arial" w:eastAsia="Arial" w:hAnsi="Arial"/>
                <w:sz w:val="18"/>
                <w:szCs w:val="18"/>
                <w:color w:val="auto"/>
              </w:rPr>
              <w:t>Allowance at beginning of period</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10,175</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11,635</w:t>
            </w:r>
          </w:p>
        </w:tc>
      </w:tr>
      <w:tr>
        <w:trPr>
          <w:trHeight w:val="235"/>
        </w:trPr>
        <w:tc>
          <w:tcPr>
            <w:tcW w:w="8460" w:type="dxa"/>
            <w:vAlign w:val="bottom"/>
          </w:tcPr>
          <w:p>
            <w:pPr>
              <w:spacing w:after="0"/>
              <w:rPr>
                <w:sz w:val="20"/>
                <w:szCs w:val="20"/>
                <w:color w:val="auto"/>
              </w:rPr>
            </w:pPr>
            <w:r>
              <w:rPr>
                <w:rFonts w:ascii="Arial" w:cs="Arial" w:eastAsia="Arial" w:hAnsi="Arial"/>
                <w:sz w:val="18"/>
                <w:szCs w:val="18"/>
                <w:color w:val="auto"/>
              </w:rPr>
              <w:t>Provision credited to expense</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(1,000)</w:t>
            </w:r>
          </w:p>
        </w:tc>
      </w:tr>
      <w:tr>
        <w:trPr>
          <w:trHeight w:val="251"/>
        </w:trPr>
        <w:tc>
          <w:tcPr>
            <w:tcW w:w="84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Loans charged off</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Recoveries on loans previously charged off</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r>
      <w:tr>
        <w:trPr>
          <w:trHeight w:val="243"/>
        </w:trPr>
        <w:tc>
          <w:tcPr>
            <w:tcW w:w="8460" w:type="dxa"/>
            <w:vAlign w:val="bottom"/>
            <w:shd w:val="clear" w:color="auto" w:fill="C0C0C0"/>
          </w:tcPr>
          <w:p>
            <w:pPr>
              <w:spacing w:after="0"/>
              <w:rPr>
                <w:sz w:val="20"/>
                <w:szCs w:val="20"/>
                <w:color w:val="auto"/>
              </w:rPr>
            </w:pPr>
            <w:r>
              <w:rPr>
                <w:rFonts w:ascii="Arial" w:cs="Arial" w:eastAsia="Arial" w:hAnsi="Arial"/>
                <w:sz w:val="18"/>
                <w:szCs w:val="18"/>
                <w:color w:val="auto"/>
              </w:rPr>
              <w:t>Net (charge-offs) recoveries</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w:t>
            </w:r>
          </w:p>
        </w:tc>
      </w:tr>
      <w:tr>
        <w:trPr>
          <w:trHeight w:val="237"/>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at end of period</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10,191</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10,637</w:t>
            </w:r>
          </w:p>
        </w:tc>
      </w:tr>
      <w:tr>
        <w:trPr>
          <w:trHeight w:val="243"/>
        </w:trPr>
        <w:tc>
          <w:tcPr>
            <w:tcW w:w="8460" w:type="dxa"/>
            <w:vAlign w:val="bottom"/>
            <w:shd w:val="clear" w:color="auto" w:fill="C0C0C0"/>
          </w:tcPr>
          <w:p>
            <w:pPr>
              <w:spacing w:after="0"/>
              <w:rPr>
                <w:sz w:val="20"/>
                <w:szCs w:val="20"/>
                <w:color w:val="auto"/>
              </w:rPr>
            </w:pPr>
            <w:r>
              <w:rPr>
                <w:rFonts w:ascii="Arial" w:cs="Arial" w:eastAsia="Arial" w:hAnsi="Arial"/>
                <w:sz w:val="18"/>
                <w:szCs w:val="18"/>
                <w:color w:val="auto"/>
              </w:rPr>
              <w:t>Loans outstanding:</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8460" w:type="dxa"/>
            <w:vAlign w:val="bottom"/>
          </w:tcPr>
          <w:p>
            <w:pPr>
              <w:ind w:left="300"/>
              <w:spacing w:after="0"/>
              <w:rPr>
                <w:sz w:val="20"/>
                <w:szCs w:val="20"/>
                <w:color w:val="auto"/>
              </w:rPr>
            </w:pPr>
            <w:r>
              <w:rPr>
                <w:rFonts w:ascii="Arial" w:cs="Arial" w:eastAsia="Arial" w:hAnsi="Arial"/>
                <w:sz w:val="18"/>
                <w:szCs w:val="18"/>
                <w:color w:val="auto"/>
              </w:rPr>
              <w:t>Average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656,494</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664,672</w:t>
            </w:r>
          </w:p>
        </w:tc>
      </w:tr>
      <w:tr>
        <w:trPr>
          <w:trHeight w:val="251"/>
        </w:trPr>
        <w:tc>
          <w:tcPr>
            <w:tcW w:w="84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March 31</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675,380</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684,617</w:t>
            </w:r>
          </w:p>
        </w:tc>
      </w:tr>
      <w:tr>
        <w:trPr>
          <w:trHeight w:val="235"/>
        </w:trPr>
        <w:tc>
          <w:tcPr>
            <w:tcW w:w="8460" w:type="dxa"/>
            <w:vAlign w:val="bottom"/>
          </w:tcPr>
          <w:p>
            <w:pPr>
              <w:spacing w:after="0"/>
              <w:rPr>
                <w:sz w:val="20"/>
                <w:szCs w:val="20"/>
                <w:color w:val="auto"/>
              </w:rPr>
            </w:pPr>
            <w:r>
              <w:rPr>
                <w:rFonts w:ascii="Arial" w:cs="Arial" w:eastAsia="Arial" w:hAnsi="Arial"/>
                <w:sz w:val="18"/>
                <w:szCs w:val="18"/>
                <w:color w:val="auto"/>
              </w:rPr>
              <w:t>Ratio of ALLL to loans outstanding:</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84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Average</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1.60%</w:t>
            </w:r>
          </w:p>
        </w:tc>
      </w:tr>
      <w:tr>
        <w:trPr>
          <w:trHeight w:val="235"/>
        </w:trPr>
        <w:tc>
          <w:tcPr>
            <w:tcW w:w="8460" w:type="dxa"/>
            <w:vAlign w:val="bottom"/>
          </w:tcPr>
          <w:p>
            <w:pPr>
              <w:ind w:left="320"/>
              <w:spacing w:after="0"/>
              <w:rPr>
                <w:sz w:val="20"/>
                <w:szCs w:val="20"/>
                <w:color w:val="auto"/>
              </w:rPr>
            </w:pPr>
            <w:r>
              <w:rPr>
                <w:rFonts w:ascii="Arial" w:cs="Arial" w:eastAsia="Arial" w:hAnsi="Arial"/>
                <w:sz w:val="18"/>
                <w:szCs w:val="18"/>
                <w:color w:val="auto"/>
              </w:rPr>
              <w:t>March 31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1.55</w:t>
            </w:r>
          </w:p>
        </w:tc>
      </w:tr>
      <w:tr>
        <w:trPr>
          <w:trHeight w:val="251"/>
        </w:trPr>
        <w:tc>
          <w:tcPr>
            <w:tcW w:w="8460" w:type="dxa"/>
            <w:vAlign w:val="bottom"/>
            <w:shd w:val="clear" w:color="auto" w:fill="C0C0C0"/>
          </w:tcPr>
          <w:p>
            <w:pPr>
              <w:spacing w:after="0"/>
              <w:rPr>
                <w:sz w:val="20"/>
                <w:szCs w:val="20"/>
                <w:color w:val="auto"/>
              </w:rPr>
            </w:pPr>
            <w:r>
              <w:rPr>
                <w:rFonts w:ascii="Arial" w:cs="Arial" w:eastAsia="Arial" w:hAnsi="Arial"/>
                <w:sz w:val="18"/>
                <w:szCs w:val="18"/>
                <w:color w:val="auto"/>
              </w:rPr>
              <w:t>Impaired loans:</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8460" w:type="dxa"/>
            <w:vAlign w:val="bottom"/>
          </w:tcPr>
          <w:p>
            <w:pPr>
              <w:ind w:left="320"/>
              <w:spacing w:after="0"/>
              <w:rPr>
                <w:sz w:val="20"/>
                <w:szCs w:val="20"/>
                <w:color w:val="auto"/>
              </w:rPr>
            </w:pPr>
            <w:r>
              <w:rPr>
                <w:rFonts w:ascii="Arial" w:cs="Arial" w:eastAsia="Arial" w:hAnsi="Arial"/>
                <w:sz w:val="18"/>
                <w:szCs w:val="18"/>
                <w:color w:val="auto"/>
              </w:rPr>
              <w:t>Nonaccrual loans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231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384</w:t>
            </w:r>
          </w:p>
        </w:tc>
      </w:tr>
      <w:tr>
        <w:trPr>
          <w:trHeight w:val="251"/>
        </w:trPr>
        <w:tc>
          <w:tcPr>
            <w:tcW w:w="84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Loans past due 90 days or more</w:t>
            </w: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Troubled debt restructurings</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impaired loans</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384</w:t>
            </w:r>
          </w:p>
        </w:tc>
      </w:tr>
      <w:tr>
        <w:trPr>
          <w:trHeight w:val="237"/>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Foreclosed assets</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Impaired loans as percentage of average loans</w:t>
            </w:r>
          </w:p>
        </w:tc>
        <w:tc>
          <w:tcPr>
            <w:tcW w:w="62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.06%</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Bank had no property carried as other real estate owned as of March 31, 2017 and March 31,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for the First Quarter of 2017 were up 6.1%, or $1,402,000, compared to the First Quarter of 2016.</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Salaries and benefits expense for the First Quarter of 2017 increased 5.3% to $18,799,000 compared to the First Quarter of 2016 due to strategic investment in staff and technology to win and support new business, annual merit salary increases, and increased retirement plan costs. Outside service expense also increased $553,000 as a result of new strategic partnerships and professional costs associated with the Efftel acquisition.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Total assets at March 31, 2017 were $1,447,006,000, a decrease of $57,833,000, or 3.8%, from December 31, 2016. The most significant change in asset balances during this period was a decrease in cash and cash equivalents of $123,173,000. This decrease was offset by increases in securities of $35,763,000, payments in excess of funding of $16,428,000, and loans of $10,514,000. Changes in cash and cash equivalents reflect the Company’s daily liquidity position and are affected by the changes in the other asset balances and changes in deposit and accounts and drafts payable balances.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liabilities at March 31, 2017 were $1,233,876,000, a decrease of $62,928,000, or 4.9%, from December 31, 2016. Total deposits at March 31, 2017 were $578,356,000, a decrease of $43,605,000, or 7.0%, from December 31, 2016. Accounts and drafts payable at March 31, 2017 were $623,223,000, a decrease of $19,064,000, or 3.0%, from December 31, 2016. Total shareholders’ equity at March 31, 2017 was $213,130,000, a $5,095,000, or 2.4%, increase from December 31,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jc w:val="both"/>
        <w:spacing w:after="0" w:line="256"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checks clear and higher balances on days when checks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shareholders’ equity increased as a result of net income of $6,307,000 and a decrease in accumulated other comprehensive loss of $1,587,000. This net increase was partially offset by dividends paid of $2,575,000.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balance of liquid assets consists of cash and cash equivalents, which include cash and due from banks, interest-bearing deposits in other financial institutions, federal funds sold and money market funds, and was $143,570,000 at March 31, 2017, a decrease of $123,173,000, or 46.2%, from December 31, 2016. At March 31, 2017, these assets represented 9.9% of total assets. These funds are the Company’s and its subsidiaries’ primary source of liquidity to meet future expected and unexpected loan demand, depositor withdrawals or reductions in accounts and drafts payable. Changes in the Company’s daily liquidity position are affected by the changes in the other asset balances and changes in deposit and accounts and drafts payable balances.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Secondary sources of liquidity include the investment portfolio and borrowing lines. Total investment in securities was $426,315,000 at March 31, 2017, an increase of $35,763,000 from December 31, 2016. These assets represented 29.5% of total assets at March 31, 2017. Of this total, 96% were state and political subdivision securities. Of the total portfolio, 6.0% mature in one year, 13.2% mature in one to five years, and 80.8% mature in five or more years</w:t>
      </w:r>
      <w:r>
        <w:rPr>
          <w:rFonts w:ascii="Arial" w:cs="Arial" w:eastAsia="Arial" w:hAnsi="Arial"/>
          <w:sz w:val="16"/>
          <w:szCs w:val="16"/>
          <w:i w:val="1"/>
          <w:iCs w:val="1"/>
          <w:color w:val="auto"/>
        </w:rPr>
        <w:t>.</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Bank has unsecured lines of credit at correspondent banks to purchase federal funds up to a maximum of $68,000,000 at the following banks: US Bank, $20,000,000; Wells Fargo Bank, $15,000,000; Frost National Bank, $10,000,000; PNC Bank, $12,000,000; UMB Bank, $5,000,000; and JPM Chase Bank, $6,000,000. The Bank also has secured lines of credit with the Federal Home Loan Bank of $207,812,000 collateralized by commercial mortgage loans. The Company also has secured lines of credit with UMB Bank of $50,000,000 and First Tennessee Bank of $50,000,000 collateralized by state and political subdivision securities. There were no amounts outstanding under any line of credit as of March 31, 2017 or December 31, 2016.</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$32,540,000 of CDARS deposits and interest-bearing demand deposits include $65,041,000 of ICS deposits. These programs offer the Bank’s customers the ability to maximize Federal Deposit Insurance Corporation (“FDIC”) insurance coverage. The Company uses these programs to retain or attract deposits from existing customers.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flows provided by operating activities were $5,621,000 for the three months ended March 31, 2017, compared to $7,162,000 for the three months ended March 31, 2016, a decrease of $1,541,000.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2017, which are estimated to range from $5 million to $7 million.</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jc w:val="both"/>
        <w:spacing w:after="0" w:line="288" w:lineRule="auto"/>
        <w:rPr>
          <w:sz w:val="20"/>
          <w:szCs w:val="20"/>
          <w:color w:val="auto"/>
        </w:rPr>
      </w:pPr>
      <w:r>
        <w:rPr>
          <w:rFonts w:ascii="Arial" w:cs="Arial" w:eastAsia="Arial" w:hAnsi="Arial"/>
          <w:sz w:val="16"/>
          <w:szCs w:val="16"/>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 and a 4% Tier 1 capital to total assets leverage ratio.</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institutions like Cass, that have exercised an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establishing the minimum regulatory capital requirements, the Basel III Capital Rules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capital conservation buffer requirement is being phased in beginning January 1, 2016 at 0.625% of risk-weighted assets and increasing each year until fully implemented at 2.5% on January 1,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ind w:left="160"/>
              <w:spacing w:after="0"/>
              <w:rPr>
                <w:sz w:val="20"/>
                <w:szCs w:val="20"/>
                <w:color w:val="auto"/>
              </w:rPr>
            </w:pPr>
            <w:r>
              <w:rPr>
                <w:rFonts w:ascii="Arial" w:cs="Arial" w:eastAsia="Arial" w:hAnsi="Arial"/>
                <w:sz w:val="18"/>
                <w:szCs w:val="18"/>
                <w:b w:val="1"/>
                <w:bCs w:val="1"/>
                <w:color w:val="auto"/>
              </w:rPr>
              <w:t>March 31, 2017</w:t>
            </w:r>
          </w:p>
        </w:tc>
        <w:tc>
          <w:tcPr>
            <w:tcW w:w="12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December 31, 2016</w:t>
            </w:r>
          </w:p>
        </w:tc>
      </w:tr>
      <w:tr>
        <w:trPr>
          <w:trHeight w:val="237"/>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Amount</w:t>
            </w:r>
          </w:p>
        </w:tc>
        <w:tc>
          <w:tcPr>
            <w:tcW w:w="68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8"/>
              </w:rPr>
              <w:t>Ratio</w:t>
            </w:r>
          </w:p>
        </w:tc>
        <w:tc>
          <w:tcPr>
            <w:tcW w:w="26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Amount</w:t>
            </w:r>
          </w:p>
        </w:tc>
        <w:tc>
          <w:tcPr>
            <w:tcW w:w="68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8"/>
              </w:rPr>
              <w:t>Ratio</w:t>
            </w:r>
          </w:p>
        </w:tc>
      </w:tr>
      <w:tr>
        <w:trPr>
          <w:trHeight w:val="243"/>
        </w:trPr>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Total capital (to risk-weighted assets)</w:t>
            </w: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7720" w:type="dxa"/>
            <w:vAlign w:val="bottom"/>
          </w:tcPr>
          <w:p>
            <w:pPr>
              <w:ind w:left="32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222,098</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22.17%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219,747</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22.75%</w:t>
            </w:r>
          </w:p>
        </w:tc>
      </w:tr>
      <w:tr>
        <w:trPr>
          <w:trHeight w:val="251"/>
        </w:trPr>
        <w:tc>
          <w:tcPr>
            <w:tcW w:w="77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113,076</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16.70%</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110,576</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16.72%</w:t>
            </w:r>
          </w:p>
        </w:tc>
      </w:tr>
      <w:tr>
        <w:trPr>
          <w:trHeight w:val="235"/>
        </w:trPr>
        <w:tc>
          <w:tcPr>
            <w:tcW w:w="7720" w:type="dxa"/>
            <w:vAlign w:val="bottom"/>
          </w:tcPr>
          <w:p>
            <w:pPr>
              <w:spacing w:after="0"/>
              <w:rPr>
                <w:sz w:val="20"/>
                <w:szCs w:val="20"/>
                <w:color w:val="auto"/>
              </w:rPr>
            </w:pPr>
            <w:r>
              <w:rPr>
                <w:rFonts w:ascii="Arial" w:cs="Arial" w:eastAsia="Arial" w:hAnsi="Arial"/>
                <w:sz w:val="18"/>
                <w:szCs w:val="18"/>
                <w:color w:val="auto"/>
              </w:rPr>
              <w:t>Common equity tier I capital (to risk-weighted assets)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77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211,907</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21.15%</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209,572</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21.70%</w:t>
            </w:r>
          </w:p>
        </w:tc>
      </w:tr>
      <w:tr>
        <w:trPr>
          <w:trHeight w:val="235"/>
        </w:trPr>
        <w:tc>
          <w:tcPr>
            <w:tcW w:w="7720" w:type="dxa"/>
            <w:vAlign w:val="bottom"/>
          </w:tcPr>
          <w:p>
            <w:pPr>
              <w:ind w:left="320"/>
              <w:spacing w:after="0"/>
              <w:rPr>
                <w:sz w:val="20"/>
                <w:szCs w:val="20"/>
                <w:color w:val="auto"/>
              </w:rPr>
            </w:pPr>
            <w:r>
              <w:rPr>
                <w:rFonts w:ascii="Arial" w:cs="Arial" w:eastAsia="Arial" w:hAnsi="Arial"/>
                <w:sz w:val="18"/>
                <w:szCs w:val="18"/>
                <w:color w:val="auto"/>
              </w:rPr>
              <w:t>Cass Commercial Bank</w:t>
            </w:r>
          </w:p>
        </w:tc>
        <w:tc>
          <w:tcPr>
            <w:tcW w:w="1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105,253</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15.55%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102,769</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15.54%</w:t>
            </w:r>
          </w:p>
        </w:tc>
      </w:tr>
      <w:tr>
        <w:trPr>
          <w:trHeight w:val="251"/>
        </w:trPr>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risk-weighted assets)</w:t>
            </w: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7720" w:type="dxa"/>
            <w:vAlign w:val="bottom"/>
          </w:tcPr>
          <w:p>
            <w:pPr>
              <w:ind w:left="32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211,907</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21.15%</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209,572</w:t>
            </w:r>
          </w:p>
        </w:tc>
        <w:tc>
          <w:tcPr>
            <w:tcW w:w="680" w:type="dxa"/>
            <w:vAlign w:val="bottom"/>
          </w:tcPr>
          <w:p>
            <w:pPr>
              <w:jc w:val="center"/>
              <w:ind w:left="52"/>
              <w:spacing w:after="0"/>
              <w:rPr>
                <w:sz w:val="20"/>
                <w:szCs w:val="20"/>
                <w:color w:val="auto"/>
              </w:rPr>
            </w:pPr>
            <w:r>
              <w:rPr>
                <w:rFonts w:ascii="Arial" w:cs="Arial" w:eastAsia="Arial" w:hAnsi="Arial"/>
                <w:sz w:val="18"/>
                <w:szCs w:val="18"/>
                <w:color w:val="auto"/>
                <w:w w:val="88"/>
              </w:rPr>
              <w:t>21.70%</w:t>
            </w:r>
          </w:p>
        </w:tc>
      </w:tr>
      <w:tr>
        <w:trPr>
          <w:trHeight w:val="251"/>
        </w:trPr>
        <w:tc>
          <w:tcPr>
            <w:tcW w:w="77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105,253</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15.55%</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102,769</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15.54%</w:t>
            </w:r>
          </w:p>
        </w:tc>
      </w:tr>
      <w:tr>
        <w:trPr>
          <w:trHeight w:val="235"/>
        </w:trPr>
        <w:tc>
          <w:tcPr>
            <w:tcW w:w="7720" w:type="dxa"/>
            <w:vAlign w:val="bottom"/>
          </w:tcPr>
          <w:p>
            <w:pPr>
              <w:spacing w:after="0"/>
              <w:rPr>
                <w:sz w:val="20"/>
                <w:szCs w:val="20"/>
                <w:color w:val="auto"/>
              </w:rPr>
            </w:pPr>
            <w:r>
              <w:rPr>
                <w:rFonts w:ascii="Arial" w:cs="Arial" w:eastAsia="Arial" w:hAnsi="Arial"/>
                <w:sz w:val="18"/>
                <w:szCs w:val="18"/>
                <w:color w:val="auto"/>
              </w:rPr>
              <w:t>Tier I capital (to leverage assets)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77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211,907</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14.18%</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209,572</w:t>
            </w:r>
          </w:p>
        </w:tc>
        <w:tc>
          <w:tcPr>
            <w:tcW w:w="68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88"/>
              </w:rPr>
              <w:t>13.83%</w:t>
            </w:r>
          </w:p>
        </w:tc>
      </w:tr>
      <w:tr>
        <w:trPr>
          <w:trHeight w:val="237"/>
        </w:trPr>
        <w:tc>
          <w:tcPr>
            <w:tcW w:w="77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Cass Commercial Bank</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105,253</w:t>
            </w:r>
          </w:p>
        </w:tc>
        <w:tc>
          <w:tcPr>
            <w:tcW w:w="68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8"/>
              </w:rPr>
              <w:t>14.46%</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102,769</w:t>
            </w:r>
          </w:p>
        </w:tc>
        <w:tc>
          <w:tcPr>
            <w:tcW w:w="68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8"/>
              </w:rPr>
              <w:t>13.98%</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FASB issued Accounting Standards Update (“ASU”) No.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ASU supersedes revenue recognition requirements in Topic 605, Revenue Recognition, including most industry-specific revenue recognition guidance in the FASB Accounting Standards Codification.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guidance identifies specific steps that entities should apply in order to achieve this principle. Under the ASU, the amendments are effective for interim and annual periods beginning January 1, 2018 and must be applied retrospectively. The impact of the adoption of this ASU is currently being evaluated but is not expected to have a material impact on the Company’s consolidated financial statements or results of operations.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February 2016, the FASB issued ASU No. 2016-02 – </w:t>
      </w:r>
      <w:r>
        <w:rPr>
          <w:rFonts w:ascii="Arial" w:cs="Arial" w:eastAsia="Arial" w:hAnsi="Arial"/>
          <w:sz w:val="16"/>
          <w:szCs w:val="16"/>
          <w:i w:val="1"/>
          <w:iCs w:val="1"/>
          <w:color w:val="auto"/>
        </w:rPr>
        <w:t>Leases (ASC Topic 842)</w:t>
      </w:r>
      <w:r>
        <w:rPr>
          <w:rFonts w:ascii="Arial" w:cs="Arial" w:eastAsia="Arial" w:hAnsi="Arial"/>
          <w:sz w:val="16"/>
          <w:szCs w:val="16"/>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ASU on leases will take effect for public companies for fiscal years, and interim periods within those fiscal years, beginning after December 15, 2018. The impact of the adoption of this ASU is currently being evaluated but is not expected to have a material impact on the Company’s consolidated financial statements or results of operations.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xml:space="preserve"> The ASU requires measurement and recognition of expected credit losses for financial assets held. Under this standard, a company will be required to hold an allowance equal to the expected life-of-loan losses on the loan portfolio. The standard is effective for fiscal periods beginning after December 15, 2019. The impact of the adoption of this ASU is currently being evaluated.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described in the Company’s Annual Report on Form 10-K for the year ended December 31, 2016,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 from an immediate and sustained parallel change in interest rates of 200 basis points. Based on the Company's most recent evaluation, management does not believe the Company's risk position at March 31, 2017 has changed materially from that at December 31,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were no changes in the First Quarter of 2017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1"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 w:lineRule="exact"/>
        <w:rPr>
          <w:sz w:val="20"/>
          <w:szCs w:val="20"/>
          <w:color w:val="auto"/>
        </w:rPr>
      </w:pPr>
    </w:p>
    <w:p>
      <w:pPr>
        <w:jc w:val="both"/>
        <w:ind w:left="880"/>
        <w:spacing w:after="0" w:line="302" w:lineRule="auto"/>
        <w:rPr>
          <w:sz w:val="20"/>
          <w:szCs w:val="20"/>
          <w:color w:val="auto"/>
        </w:rPr>
      </w:pPr>
      <w:r>
        <w:rPr>
          <w:rFonts w:ascii="Arial" w:cs="Arial" w:eastAsia="Arial" w:hAnsi="Arial"/>
          <w:sz w:val="16"/>
          <w:szCs w:val="16"/>
          <w:color w:val="auto"/>
        </w:rPr>
        <w:t>The Company has included in Part I, Item 1A of its Annual Report on Form 10-K for the year ended December 31, 2016, a description of certain risks and uncertainties that could affect the Company’s business, future performance or financial condition (the “Risk Factors”). There are no material changes to the Risk Factors as disclosed in the Company’s 2016 Annual Report on Form 10-K.</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tab/>
        <w:t>OTHER INFORMATION</w:t>
      </w:r>
    </w:p>
    <w:p>
      <w:pPr>
        <w:spacing w:after="0" w:line="21" w:lineRule="exact"/>
        <w:rPr>
          <w:sz w:val="20"/>
          <w:szCs w:val="20"/>
          <w:color w:val="auto"/>
        </w:rPr>
      </w:pPr>
    </w:p>
    <w:p>
      <w:pPr>
        <w:ind w:left="1340" w:hanging="45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340" w:hanging="454"/>
        <w:spacing w:after="0" w:line="261"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First Quarter of 2017.</w:t>
      </w:r>
    </w:p>
    <w:p>
      <w:pPr>
        <w:spacing w:after="0" w:line="2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31.1 Certification Pursuant to Section 302 of the Sarbanes-Oxley Act of 2002.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31.2 Certification Pursuant to Section 302 of the Sarbanes-Oxley Act of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5"/>
          <w:szCs w:val="15"/>
          <w:color w:val="auto"/>
        </w:rPr>
        <w:t>Exhibit 32.1 Certification Pursuant to 18 U.S.C. Section 1350, as Adopted Pursuant to Section 906 of the Sarbanes-Oxley Act of 2002.</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Exhibit 32.2 Certification Pursuant to 18 U.S.C. Section 1350, as Adopted Pursuant to Section 906 of the Sarbanes-Oxley Act of 2002.</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Exhibit 101.INS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101.SCH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101.CAL 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101.LAB 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101.PRE XBRL Taxonomy Extension Presentation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101.DEF XBRL Taxonomy Extension Definition Linkbase Document.</w:t>
      </w: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480"/>
          </w:cols>
          <w:pgMar w:left="1000" w:top="374" w:right="1419" w:bottom="1440" w:gutter="0" w:footer="0" w:header="0"/>
        </w:sectPr>
      </w:pPr>
    </w:p>
    <w:bookmarkStart w:id="29" w:name="page30"/>
    <w:bookmarkEnd w:id="29"/>
    <w:p>
      <w:pPr>
        <w:ind w:left="28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CASS INFORMATION SYSTEMS, INC.</w:t>
      </w:r>
    </w:p>
    <w:p>
      <w:pPr>
        <w:sectPr>
          <w:pgSz w:w="11900" w:h="16838" w:orient="portrait"/>
          <w:cols w:equalWidth="0" w:num="1">
            <w:col w:w="11420"/>
          </w:cols>
          <w:pgMar w:left="240" w:top="584" w:right="2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May 3, 2017</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34290</wp:posOffset>
            </wp:positionV>
            <wp:extent cx="22555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3">
            <w:col w:w="6820" w:space="720"/>
            <w:col w:w="560" w:space="720"/>
            <w:col w:w="2600"/>
          </w:cols>
          <w:pgMar w:left="240" w:top="584" w:right="239" w:bottom="1440" w:gutter="0" w:footer="0" w:header="0"/>
          <w:type w:val="continuous"/>
        </w:sectPr>
      </w:pPr>
    </w:p>
    <w:p>
      <w:pPr>
        <w:ind w:left="892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Chairman, President, and Chief Executive Officer</w:t>
      </w:r>
    </w:p>
    <w:p>
      <w:pPr>
        <w:spacing w:after="0" w:line="59"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7580" w:val="left"/>
          <w:tab w:leader="none" w:pos="8720" w:val="left"/>
        </w:tabs>
        <w:rPr>
          <w:sz w:val="20"/>
          <w:szCs w:val="20"/>
          <w:color w:val="auto"/>
        </w:rPr>
      </w:pPr>
      <w:r>
        <w:rPr>
          <w:rFonts w:ascii="Arial" w:cs="Arial" w:eastAsia="Arial" w:hAnsi="Arial"/>
          <w:sz w:val="18"/>
          <w:szCs w:val="18"/>
          <w:color w:val="auto"/>
        </w:rPr>
        <w:t>DATE: May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19685</wp:posOffset>
            </wp:positionV>
            <wp:extent cx="22555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30"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Executive Vice President and Chief Financial Officer</w:t>
      </w:r>
    </w:p>
    <w:p>
      <w:pPr>
        <w:spacing w:after="0" w:line="59"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180" w:hanging="172"/>
        <w:spacing w:after="0" w:line="33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180" w:hanging="172"/>
        <w:spacing w:after="0" w:line="268"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180" w:hanging="172"/>
        <w:spacing w:after="0" w:line="259"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80" w:right="20" w:hanging="172"/>
        <w:spacing w:after="0" w:line="33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420" w:hanging="236"/>
        <w:spacing w:after="0" w:line="268" w:lineRule="auto"/>
        <w:tabs>
          <w:tab w:leader="none" w:pos="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36"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19685</wp:posOffset>
            </wp:positionV>
            <wp:extent cx="17151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0"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Chairman, President, and Chief</w:t>
      </w:r>
    </w:p>
    <w:p>
      <w:pPr>
        <w:spacing w:after="0" w:line="36"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Executive Officer</w:t>
      </w:r>
    </w:p>
    <w:p>
      <w:pPr>
        <w:spacing w:after="0" w:line="36"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(Principal Executive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180" w:hanging="172"/>
        <w:spacing w:after="0" w:line="33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180" w:hanging="172"/>
        <w:spacing w:after="0" w:line="268"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180" w:hanging="172"/>
        <w:spacing w:after="0" w:line="259"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80" w:right="20" w:hanging="172"/>
        <w:spacing w:after="0" w:line="33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420" w:hanging="236"/>
        <w:spacing w:after="0" w:line="268" w:lineRule="auto"/>
        <w:tabs>
          <w:tab w:leader="none" w:pos="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19685</wp:posOffset>
            </wp:positionV>
            <wp:extent cx="20066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0"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 and Chief</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Financial Officer</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Cass Information Systems, Inc. (“the Company”) on Form 10-Q for the period ended March 31, 2017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208" w:lineRule="exact"/>
        <w:rPr>
          <w:sz w:val="20"/>
          <w:szCs w:val="20"/>
          <w:color w:val="auto"/>
        </w:rPr>
      </w:pPr>
    </w:p>
    <w:p>
      <w:pPr>
        <w:ind w:left="620" w:hanging="342"/>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620" w:hanging="342"/>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19685</wp:posOffset>
            </wp:positionV>
            <wp:extent cx="18783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8460"/>
        <w:spacing w:after="0"/>
        <w:rPr>
          <w:sz w:val="20"/>
          <w:szCs w:val="20"/>
          <w:color w:val="auto"/>
        </w:rPr>
      </w:pPr>
      <w:r>
        <w:rPr>
          <w:rFonts w:ascii="Arial" w:cs="Arial" w:eastAsia="Arial" w:hAnsi="Arial"/>
          <w:sz w:val="15"/>
          <w:szCs w:val="15"/>
          <w:color w:val="auto"/>
        </w:rPr>
        <w:t>Chairman, President, and Chief Executive</w:t>
      </w:r>
    </w:p>
    <w:p>
      <w:pPr>
        <w:spacing w:after="0" w:line="71"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Officer</w:t>
      </w:r>
    </w:p>
    <w:p>
      <w:pPr>
        <w:spacing w:after="0" w:line="36"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(Principal Executive Officer)</w:t>
      </w:r>
    </w:p>
    <w:p>
      <w:pPr>
        <w:spacing w:after="0" w:line="36"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May 3, 2017</w:t>
      </w:r>
    </w:p>
    <w:p>
      <w:pPr>
        <w:spacing w:after="0" w:line="200" w:lineRule="exact"/>
        <w:rPr>
          <w:sz w:val="20"/>
          <w:szCs w:val="20"/>
          <w:color w:val="auto"/>
        </w:rPr>
      </w:pPr>
    </w:p>
    <w:p>
      <w:pPr>
        <w:spacing w:after="0" w:line="28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Quarterly Report of Cass Information Systems, Inc. (“the Company”) on Form 10-Q for the period ended March 31, 2017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61" w:lineRule="exact"/>
        <w:rPr>
          <w:sz w:val="20"/>
          <w:szCs w:val="20"/>
          <w:color w:val="auto"/>
        </w:rPr>
      </w:pPr>
    </w:p>
    <w:p>
      <w:pPr>
        <w:ind w:left="620" w:hanging="342"/>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20" w:hanging="342"/>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19685</wp:posOffset>
            </wp:positionV>
            <wp:extent cx="20066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0"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 and Chief</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Financial Officer</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(Principal Financial and Accounting Officer)</w:t>
      </w:r>
    </w:p>
    <w:p>
      <w:pPr>
        <w:spacing w:after="0" w:line="5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May 3, 2017</w:t>
      </w:r>
    </w:p>
    <w:p>
      <w:pPr>
        <w:spacing w:after="0" w:line="200" w:lineRule="exact"/>
        <w:rPr>
          <w:sz w:val="20"/>
          <w:szCs w:val="20"/>
          <w:color w:val="auto"/>
        </w:rPr>
      </w:pPr>
    </w:p>
    <w:p>
      <w:pPr>
        <w:spacing w:after="0" w:line="28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2019-12-05T10:42:55Z</dcterms:created>
  <dcterms:modified xsi:type="dcterms:W3CDTF">2019-12-05T10:42:55Z</dcterms:modified>
</cp:coreProperties>
</file>