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color w:val="auto"/>
        </w:rPr>
        <w:t>UNITED STATES</w:t>
      </w:r>
    </w:p>
    <w:p>
      <w:pPr>
        <w:spacing w:after="0" w:line="2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46" w:lineRule="exact"/>
        <w:rPr>
          <w:sz w:val="24"/>
          <w:szCs w:val="24"/>
          <w:color w:val="auto"/>
        </w:rPr>
      </w:pPr>
    </w:p>
    <w:p>
      <w:pPr>
        <w:ind w:left="580" w:right="2080" w:hanging="554"/>
        <w:spacing w:after="0" w:line="610" w:lineRule="auto"/>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June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320"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3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For the transition period from __________ to __________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000-20827</w:t>
      </w:r>
    </w:p>
    <w:p>
      <w:pPr>
        <w:spacing w:after="0" w:line="126"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9720" w:type="dxa"/>
            <w:vAlign w:val="bottom"/>
            <w:gridSpan w:val="2"/>
          </w:tcPr>
          <w:p>
            <w:pPr>
              <w:jc w:val="center"/>
              <w:ind w:left="1408"/>
              <w:spacing w:after="0"/>
              <w:rPr>
                <w:sz w:val="20"/>
                <w:szCs w:val="20"/>
                <w:color w:val="auto"/>
              </w:rPr>
            </w:pPr>
            <w:r>
              <w:rPr>
                <w:rFonts w:ascii="Times New Roman" w:cs="Times New Roman" w:eastAsia="Times New Roman" w:hAnsi="Times New Roman"/>
                <w:sz w:val="22"/>
                <w:szCs w:val="22"/>
                <w:b w:val="1"/>
                <w:bCs w:val="1"/>
                <w:color w:val="auto"/>
                <w:w w:val="97"/>
              </w:rPr>
              <w:t>CASS INFORMATION SYSTEMS, INC.</w:t>
            </w:r>
          </w:p>
        </w:tc>
      </w:tr>
      <w:tr>
        <w:trPr>
          <w:trHeight w:val="234"/>
        </w:trPr>
        <w:tc>
          <w:tcPr>
            <w:tcW w:w="9720" w:type="dxa"/>
            <w:vAlign w:val="bottom"/>
            <w:gridSpan w:val="2"/>
          </w:tcPr>
          <w:p>
            <w:pPr>
              <w:jc w:val="center"/>
              <w:ind w:left="138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Missouri</w:t>
            </w:r>
          </w:p>
        </w:tc>
        <w:tc>
          <w:tcPr>
            <w:tcW w:w="40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43-1265338</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(State or other jurisdiction of incorporation or</w:t>
            </w:r>
          </w:p>
        </w:tc>
        <w:tc>
          <w:tcPr>
            <w:tcW w:w="4060" w:type="dxa"/>
            <w:vAlign w:val="bottom"/>
          </w:tcPr>
          <w:p>
            <w:pPr>
              <w:jc w:val="center"/>
              <w:ind w:left="135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660" w:type="dxa"/>
            <w:vAlign w:val="bottom"/>
          </w:tcPr>
          <w:p>
            <w:pPr>
              <w:spacing w:after="0"/>
              <w:rPr>
                <w:sz w:val="20"/>
                <w:szCs w:val="20"/>
                <w:color w:val="auto"/>
              </w:rPr>
            </w:pPr>
            <w:r>
              <w:rPr>
                <w:rFonts w:ascii="Arial" w:cs="Arial" w:eastAsia="Arial" w:hAnsi="Arial"/>
                <w:sz w:val="18"/>
                <w:szCs w:val="18"/>
                <w:color w:val="auto"/>
              </w:rPr>
              <w:t>organization)</w:t>
            </w:r>
          </w:p>
        </w:tc>
        <w:tc>
          <w:tcPr>
            <w:tcW w:w="4060" w:type="dxa"/>
            <w:vAlign w:val="bottom"/>
          </w:tcPr>
          <w:p>
            <w:pPr>
              <w:spacing w:after="0"/>
              <w:rPr>
                <w:sz w:val="20"/>
                <w:szCs w:val="20"/>
                <w:color w:val="auto"/>
              </w:rPr>
            </w:pPr>
          </w:p>
        </w:tc>
      </w:tr>
      <w:tr>
        <w:trPr>
          <w:trHeight w:val="216"/>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12444 Powerscourt Drive, Suite 550</w:t>
            </w:r>
          </w:p>
        </w:tc>
        <w:tc>
          <w:tcPr>
            <w:tcW w:w="4060" w:type="dxa"/>
            <w:vAlign w:val="bottom"/>
          </w:tcPr>
          <w:p>
            <w:pPr>
              <w:spacing w:after="0"/>
              <w:rPr>
                <w:sz w:val="18"/>
                <w:szCs w:val="18"/>
                <w:color w:val="auto"/>
              </w:rPr>
            </w:pPr>
          </w:p>
        </w:tc>
      </w:tr>
      <w:tr>
        <w:trPr>
          <w:trHeight w:val="238"/>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40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63131</w:t>
            </w:r>
          </w:p>
        </w:tc>
      </w:tr>
      <w:tr>
        <w:trPr>
          <w:trHeight w:val="256"/>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506-5500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404"/>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0" w:type="dxa"/>
            <w:vAlign w:val="bottom"/>
          </w:tcPr>
          <w:p>
            <w:pPr>
              <w:spacing w:after="0"/>
              <w:rPr>
                <w:sz w:val="21"/>
                <w:szCs w:val="21"/>
                <w:color w:val="auto"/>
              </w:rPr>
            </w:pPr>
          </w:p>
        </w:tc>
        <w:tc>
          <w:tcPr>
            <w:tcW w:w="42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Common stock, par value $.50</w:t>
            </w:r>
          </w:p>
        </w:tc>
        <w:tc>
          <w:tcPr>
            <w:tcW w:w="280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7"/>
              </w:rPr>
              <w:t>CASS</w:t>
            </w:r>
          </w:p>
        </w:tc>
        <w:tc>
          <w:tcPr>
            <w:tcW w:w="41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86"/>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3"/>
          </w:tcPr>
          <w:p>
            <w:pPr>
              <w:jc w:val="right"/>
              <w:ind w:right="100"/>
              <w:spacing w:after="0"/>
              <w:rPr>
                <w:sz w:val="20"/>
                <w:szCs w:val="20"/>
                <w:color w:val="auto"/>
              </w:rPr>
            </w:pPr>
            <w:r>
              <w:rPr>
                <w:rFonts w:ascii="Arial" w:cs="Arial" w:eastAsia="Arial" w:hAnsi="Arial"/>
                <w:sz w:val="22"/>
                <w:szCs w:val="22"/>
                <w:color w:val="auto"/>
              </w:rPr>
              <w:t>____________________</w:t>
            </w:r>
          </w:p>
        </w:tc>
        <w:tc>
          <w:tcPr>
            <w:tcW w:w="4140" w:type="dxa"/>
            <w:vAlign w:val="bottom"/>
          </w:tcPr>
          <w:p>
            <w:pPr>
              <w:spacing w:after="0"/>
              <w:rPr>
                <w:sz w:val="24"/>
                <w:szCs w:val="24"/>
                <w:color w:val="auto"/>
              </w:rPr>
            </w:pPr>
          </w:p>
        </w:tc>
      </w:tr>
    </w:tbl>
    <w:p>
      <w:pPr>
        <w:spacing w:after="0" w:line="157"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6" w:lineRule="exact"/>
        <w:rPr>
          <w:sz w:val="24"/>
          <w:szCs w:val="24"/>
          <w:color w:val="auto"/>
        </w:rPr>
      </w:pPr>
    </w:p>
    <w:p>
      <w:pPr>
        <w:ind w:left="3240"/>
        <w:spacing w:after="0"/>
        <w:tabs>
          <w:tab w:leader="none" w:pos="3720" w:val="left"/>
          <w:tab w:leader="none" w:pos="4680" w:val="left"/>
          <w:tab w:leader="none" w:pos="50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25" w:lineRule="exact"/>
        <w:rPr>
          <w:sz w:val="24"/>
          <w:szCs w:val="24"/>
          <w:color w:val="auto"/>
        </w:rPr>
      </w:pPr>
    </w:p>
    <w:p>
      <w:pPr>
        <w:ind w:left="3240"/>
        <w:spacing w:after="0"/>
        <w:tabs>
          <w:tab w:leader="none" w:pos="3720" w:val="left"/>
          <w:tab w:leader="none" w:pos="4680" w:val="left"/>
          <w:tab w:leader="none" w:pos="51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7"/>
          <w:szCs w:val="17"/>
          <w:b w:val="1"/>
          <w:bCs w:val="1"/>
          <w:color w:val="auto"/>
        </w:rPr>
        <w:t>o</w:t>
      </w:r>
    </w:p>
    <w:p>
      <w:pPr>
        <w:spacing w:after="0" w:line="185"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0" w:gutter="0" w:footer="0" w:header="0"/>
        </w:sectPr>
      </w:pPr>
    </w:p>
    <w:p>
      <w:pPr>
        <w:spacing w:after="0" w:line="18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x</w:t>
      </w:r>
    </w:p>
    <w:p>
      <w:pPr>
        <w:spacing w:after="0" w:line="200" w:lineRule="exact"/>
        <w:rPr>
          <w:sz w:val="24"/>
          <w:szCs w:val="24"/>
          <w:color w:val="auto"/>
        </w:rPr>
      </w:pPr>
    </w:p>
    <w:p>
      <w:pPr>
        <w:sectPr>
          <w:pgSz w:w="11900" w:h="16838" w:orient="portrait"/>
          <w:cols w:equalWidth="0" w:num="4">
            <w:col w:w="2840" w:space="640"/>
            <w:col w:w="160" w:space="280"/>
            <w:col w:w="2040" w:space="720"/>
            <w:col w:w="4560"/>
          </w:cols>
          <w:pgMar w:left="320" w:top="225" w:right="339" w:bottom="0" w:gutter="0" w:footer="0" w:header="0"/>
          <w:type w:val="continuous"/>
        </w:sectPr>
      </w:pPr>
    </w:p>
    <w:p>
      <w:pPr>
        <w:spacing w:after="0" w:line="9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980"/>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6">
            <w:col w:w="2760" w:space="720"/>
            <w:col w:w="160" w:space="280"/>
            <w:col w:w="2060" w:space="700"/>
            <w:col w:w="160" w:space="320"/>
            <w:col w:w="2220" w:space="720"/>
            <w:col w:w="1140"/>
          </w:cols>
          <w:pgMar w:left="320" w:top="225" w:right="339" w:bottom="0" w:gutter="0" w:footer="0" w:header="0"/>
          <w:type w:val="continuous"/>
        </w:sectPr>
      </w:pPr>
    </w:p>
    <w:p>
      <w:pPr>
        <w:spacing w:after="0" w:line="92"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42" w:lineRule="exact"/>
        <w:rPr>
          <w:sz w:val="24"/>
          <w:szCs w:val="24"/>
          <w:color w:val="auto"/>
        </w:rPr>
      </w:pPr>
    </w:p>
    <w:p>
      <w:pPr>
        <w:ind w:left="3240"/>
        <w:spacing w:after="0" w:line="209" w:lineRule="exact"/>
        <w:tabs>
          <w:tab w:leader="none" w:pos="3720" w:val="left"/>
          <w:tab w:leader="none" w:pos="4640" w:val="left"/>
          <w:tab w:leader="none" w:pos="5040" w:val="left"/>
        </w:tabs>
        <w:rPr>
          <w:sz w:val="20"/>
          <w:szCs w:val="20"/>
          <w:color w:val="auto"/>
        </w:rPr>
      </w:pPr>
      <w:r>
        <w:rPr>
          <w:rFonts w:ascii="Times New Roman" w:cs="Times New Roman" w:eastAsia="Times New Roman" w:hAnsi="Times New Roman"/>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outstanding of the registrant's only class of common stock as of August 4, 2025: Common stock, par value $.50 per share – 13,216,006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p>
      <w:pPr>
        <w:spacing w:after="0" w:line="54"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June 30, 2025 (unaudited) and December 31, 2024</w:t>
      </w:r>
    </w:p>
    <w:p>
      <w:pPr>
        <w:spacing w:after="0" w:line="2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Income Three and Six Months Ended June 30, 2025 and 2024 (unaudited)</w:t>
      </w:r>
    </w:p>
    <w:p>
      <w:pPr>
        <w:spacing w:after="0" w:line="293"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Three and Six Months Ended June 30, 2025 and 2024 (unaudited)</w:t>
      </w:r>
    </w:p>
    <w:p>
      <w:pPr>
        <w:spacing w:after="0" w:line="2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Six Months Ended June 30, 2025 and 2024 (unaudited)</w:t>
      </w:r>
    </w:p>
    <w:p>
      <w:pPr>
        <w:spacing w:after="0" w:line="29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Shareholders’ Equity Three and Six Months Ended June 30, 2025 and 2024 (unaudited)</w:t>
      </w:r>
    </w:p>
    <w:p>
      <w:pPr>
        <w:spacing w:after="0" w:line="2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 (unaudited)</w:t>
      </w:r>
    </w:p>
    <w:p>
      <w:pPr>
        <w:spacing w:after="0" w:line="50" w:lineRule="exact"/>
        <w:rPr>
          <w:sz w:val="20"/>
          <w:szCs w:val="20"/>
          <w:color w:val="auto"/>
        </w:rPr>
      </w:pPr>
    </w:p>
    <w:p>
      <w:pPr>
        <w:ind w:left="300"/>
        <w:spacing w:after="0" w:line="295" w:lineRule="auto"/>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 Item 3. QUANTITATIVE AND QUALITATIVE DISCLOSURES ABOUT MARKET RISK Item 4. CONTROLS AND PROCEDURES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 – Other Information – Items 1. – 6.</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 Factors That May Affect Future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45</w:t>
      </w:r>
    </w:p>
    <w:p>
      <w:pPr>
        <w:spacing w:after="0" w:line="670" w:lineRule="exact"/>
        <w:rPr>
          <w:sz w:val="20"/>
          <w:szCs w:val="20"/>
          <w:color w:val="auto"/>
        </w:rPr>
      </w:pPr>
    </w:p>
    <w:p>
      <w:pPr>
        <w:sectPr>
          <w:pgSz w:w="11900" w:h="16838" w:orient="portrait"/>
          <w:cols w:equalWidth="0" w:num="2">
            <w:col w:w="10080" w:space="660"/>
            <w:col w:w="500"/>
          </w:cols>
          <w:pgMar w:left="320" w:top="117" w:right="339" w:bottom="1440" w:gutter="0" w:footer="0" w:header="0"/>
        </w:sect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2024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52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CASS INFORMATION SYSTEMS, INC. AND SUBSIDIARIES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52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5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5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7"/>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19,328</w:t>
            </w:r>
          </w:p>
        </w:tc>
        <w:tc>
          <w:tcPr>
            <w:tcW w:w="0" w:type="dxa"/>
            <w:vAlign w:val="bottom"/>
          </w:tcPr>
          <w:p>
            <w:pPr>
              <w:spacing w:after="0"/>
              <w:rPr>
                <w:sz w:val="1"/>
                <w:szCs w:val="1"/>
                <w:color w:val="auto"/>
              </w:rPr>
            </w:pPr>
          </w:p>
        </w:tc>
      </w:tr>
      <w:tr>
        <w:trPr>
          <w:trHeight w:val="257"/>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bottom w:val="single" w:sz="8" w:color="auto"/>
            </w:tcBorders>
            <w:shd w:val="clear" w:color="auto" w:fill="B6B6B6"/>
          </w:tcPr>
          <w:p>
            <w:pPr>
              <w:spacing w:after="0"/>
              <w:rPr>
                <w:sz w:val="22"/>
                <w:szCs w:val="22"/>
                <w:color w:val="auto"/>
              </w:rPr>
            </w:pPr>
          </w:p>
        </w:tc>
        <w:tc>
          <w:tcPr>
            <w:tcW w:w="13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213,066</w:t>
            </w:r>
          </w:p>
        </w:tc>
        <w:tc>
          <w:tcPr>
            <w:tcW w:w="80" w:type="dxa"/>
            <w:vAlign w:val="bottom"/>
            <w:shd w:val="clear" w:color="auto" w:fill="B6B6B6"/>
          </w:tcPr>
          <w:p>
            <w:pPr>
              <w:spacing w:after="0"/>
              <w:rPr>
                <w:sz w:val="22"/>
                <w:szCs w:val="22"/>
                <w:color w:val="auto"/>
              </w:rPr>
            </w:pPr>
          </w:p>
        </w:tc>
        <w:tc>
          <w:tcPr>
            <w:tcW w:w="18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330,400</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218,165</w:t>
            </w:r>
          </w:p>
        </w:tc>
        <w:tc>
          <w:tcPr>
            <w:tcW w:w="80" w:type="dxa"/>
            <w:vAlign w:val="bottom"/>
            <w:tcBorders>
              <w:bottom w:val="single" w:sz="8" w:color="B6B6B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349,728</w:t>
            </w:r>
          </w:p>
        </w:tc>
        <w:tc>
          <w:tcPr>
            <w:tcW w:w="0" w:type="dxa"/>
            <w:vAlign w:val="bottom"/>
          </w:tcPr>
          <w:p>
            <w:pPr>
              <w:spacing w:after="0"/>
              <w:rPr>
                <w:sz w:val="1"/>
                <w:szCs w:val="1"/>
                <w:color w:val="auto"/>
              </w:rPr>
            </w:pPr>
          </w:p>
        </w:tc>
      </w:tr>
      <w:tr>
        <w:trPr>
          <w:trHeight w:val="257"/>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Investment securities available-for-sale, at fair value</w:t>
            </w:r>
          </w:p>
        </w:tc>
        <w:tc>
          <w:tcPr>
            <w:tcW w:w="16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599,541</w:t>
            </w: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528,021</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1,117,004</w:t>
            </w: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1,081,989</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14,296</w:t>
            </w:r>
          </w:p>
        </w:tc>
        <w:tc>
          <w:tcPr>
            <w:tcW w:w="80" w:type="dxa"/>
            <w:vAlign w:val="bottom"/>
            <w:tcBorders>
              <w:bottom w:val="single" w:sz="8" w:color="B6B6B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0" w:type="dxa"/>
            <w:vAlign w:val="bottom"/>
          </w:tcPr>
          <w:p>
            <w:pPr>
              <w:spacing w:after="0"/>
              <w:rPr>
                <w:sz w:val="1"/>
                <w:szCs w:val="1"/>
                <w:color w:val="auto"/>
              </w:rPr>
            </w:pPr>
          </w:p>
        </w:tc>
      </w:tr>
      <w:tr>
        <w:trPr>
          <w:trHeight w:val="250"/>
        </w:trPr>
        <w:tc>
          <w:tcPr>
            <w:tcW w:w="60" w:type="dxa"/>
            <w:vAlign w:val="bottom"/>
            <w:tcBorders>
              <w:right w:val="single" w:sz="8" w:color="B6B6B6"/>
            </w:tcBorders>
          </w:tcPr>
          <w:p>
            <w:pPr>
              <w:spacing w:after="0"/>
              <w:rPr>
                <w:sz w:val="21"/>
                <w:szCs w:val="21"/>
                <w:color w:val="auto"/>
              </w:rPr>
            </w:pPr>
          </w:p>
        </w:tc>
        <w:tc>
          <w:tcPr>
            <w:tcW w:w="8080" w:type="dxa"/>
            <w:vAlign w:val="bottom"/>
            <w:gridSpan w:val="3"/>
            <w:shd w:val="clear" w:color="auto" w:fill="B6B6B6"/>
          </w:tcPr>
          <w:p>
            <w:pPr>
              <w:ind w:left="720"/>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tcBorders>
              <w:bottom w:val="single" w:sz="8" w:color="auto"/>
            </w:tcBorders>
            <w:shd w:val="clear" w:color="auto" w:fill="B6B6B6"/>
          </w:tcPr>
          <w:p>
            <w:pPr>
              <w:spacing w:after="0"/>
              <w:rPr>
                <w:sz w:val="21"/>
                <w:szCs w:val="21"/>
                <w:color w:val="auto"/>
              </w:rPr>
            </w:pPr>
          </w:p>
        </w:tc>
        <w:tc>
          <w:tcPr>
            <w:tcW w:w="13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1,102,708</w:t>
            </w:r>
          </w:p>
        </w:tc>
        <w:tc>
          <w:tcPr>
            <w:tcW w:w="80" w:type="dxa"/>
            <w:vAlign w:val="bottom"/>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1,068,594</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Payments in advance of funding</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208,530</w:t>
            </w:r>
          </w:p>
        </w:tc>
        <w:tc>
          <w:tcPr>
            <w:tcW w:w="0" w:type="dxa"/>
            <w:vAlign w:val="bottom"/>
          </w:tcPr>
          <w:p>
            <w:pPr>
              <w:spacing w:after="0"/>
              <w:rPr>
                <w:sz w:val="1"/>
                <w:szCs w:val="1"/>
                <w:color w:val="auto"/>
              </w:rPr>
            </w:pPr>
          </w:p>
        </w:tc>
      </w:tr>
      <w:tr>
        <w:trPr>
          <w:trHeight w:val="263"/>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6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30,700</w:t>
            </w: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30,576</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in bank-owned life insurance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50,325</w:t>
            </w:r>
          </w:p>
        </w:tc>
        <w:tc>
          <w:tcPr>
            <w:tcW w:w="0" w:type="dxa"/>
            <w:vAlign w:val="bottom"/>
          </w:tcPr>
          <w:p>
            <w:pPr>
              <w:spacing w:after="0"/>
              <w:rPr>
                <w:sz w:val="1"/>
                <w:szCs w:val="1"/>
                <w:color w:val="auto"/>
              </w:rPr>
            </w:pPr>
          </w:p>
        </w:tc>
      </w:tr>
      <w:tr>
        <w:trPr>
          <w:trHeight w:val="263"/>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263"/>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Accounts and drafts receivable from customers</w:t>
            </w:r>
          </w:p>
        </w:tc>
        <w:tc>
          <w:tcPr>
            <w:tcW w:w="16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60,276</w:t>
            </w: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55,906</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67,741</w:t>
            </w:r>
          </w:p>
        </w:tc>
        <w:tc>
          <w:tcPr>
            <w:tcW w:w="0" w:type="dxa"/>
            <w:vAlign w:val="bottom"/>
          </w:tcPr>
          <w:p>
            <w:pPr>
              <w:spacing w:after="0"/>
              <w:rPr>
                <w:sz w:val="1"/>
                <w:szCs w:val="1"/>
                <w:color w:val="auto"/>
              </w:rPr>
            </w:pPr>
          </w:p>
        </w:tc>
      </w:tr>
      <w:tr>
        <w:trPr>
          <w:trHeight w:val="263"/>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16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2,316,018</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2,395,081</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3"/>
                <w:szCs w:val="3"/>
                <w:color w:val="auto"/>
              </w:rPr>
            </w:pPr>
          </w:p>
        </w:tc>
        <w:tc>
          <w:tcPr>
            <w:tcW w:w="780" w:type="dxa"/>
            <w:vAlign w:val="bottom"/>
            <w:tcBorders>
              <w:bottom w:val="single" w:sz="8" w:color="B6B6B6"/>
            </w:tcBorders>
          </w:tcPr>
          <w:p>
            <w:pPr>
              <w:spacing w:after="0"/>
              <w:rPr>
                <w:sz w:val="3"/>
                <w:szCs w:val="3"/>
                <w:color w:val="auto"/>
              </w:rPr>
            </w:pPr>
          </w:p>
        </w:tc>
        <w:tc>
          <w:tcPr>
            <w:tcW w:w="780" w:type="dxa"/>
            <w:vAlign w:val="bottom"/>
            <w:tcBorders>
              <w:bottom w:val="single" w:sz="8" w:color="B6B6B6"/>
            </w:tcBorders>
          </w:tcPr>
          <w:p>
            <w:pPr>
              <w:spacing w:after="0"/>
              <w:rPr>
                <w:sz w:val="3"/>
                <w:szCs w:val="3"/>
                <w:color w:val="auto"/>
              </w:rPr>
            </w:pPr>
          </w:p>
        </w:tc>
        <w:tc>
          <w:tcPr>
            <w:tcW w:w="6520" w:type="dxa"/>
            <w:vAlign w:val="bottom"/>
            <w:tcBorders>
              <w:bottom w:val="single" w:sz="8" w:color="B6B6B6"/>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B6B6B6"/>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tcBorders>
              <w:top w:val="single" w:sz="8" w:color="B6B6B6"/>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top w:val="single" w:sz="8" w:color="B6B6B6"/>
            </w:tcBorders>
          </w:tcPr>
          <w:p>
            <w:pPr>
              <w:spacing w:after="0"/>
              <w:rPr>
                <w:sz w:val="21"/>
                <w:szCs w:val="21"/>
                <w:color w:val="auto"/>
              </w:rPr>
            </w:pPr>
          </w:p>
        </w:tc>
        <w:tc>
          <w:tcPr>
            <w:tcW w:w="1340" w:type="dxa"/>
            <w:vAlign w:val="bottom"/>
            <w:tcBorders>
              <w:top w:val="single" w:sz="8" w:color="B6B6B6"/>
            </w:tcBorders>
          </w:tcPr>
          <w:p>
            <w:pPr>
              <w:spacing w:after="0"/>
              <w:rPr>
                <w:sz w:val="21"/>
                <w:szCs w:val="21"/>
                <w:color w:val="auto"/>
              </w:rPr>
            </w:pPr>
          </w:p>
        </w:tc>
        <w:tc>
          <w:tcPr>
            <w:tcW w:w="80" w:type="dxa"/>
            <w:vAlign w:val="bottom"/>
            <w:tcBorders>
              <w:top w:val="single" w:sz="8" w:color="B6B6B6"/>
            </w:tcBorders>
          </w:tcPr>
          <w:p>
            <w:pPr>
              <w:spacing w:after="0"/>
              <w:rPr>
                <w:sz w:val="21"/>
                <w:szCs w:val="21"/>
                <w:color w:val="auto"/>
              </w:rPr>
            </w:pPr>
          </w:p>
        </w:tc>
        <w:tc>
          <w:tcPr>
            <w:tcW w:w="180" w:type="dxa"/>
            <w:vAlign w:val="bottom"/>
            <w:tcBorders>
              <w:top w:val="single" w:sz="8" w:color="B6B6B6"/>
            </w:tcBorders>
          </w:tcPr>
          <w:p>
            <w:pPr>
              <w:spacing w:after="0"/>
              <w:rPr>
                <w:sz w:val="21"/>
                <w:szCs w:val="21"/>
                <w:color w:val="auto"/>
              </w:rPr>
            </w:pPr>
          </w:p>
        </w:tc>
        <w:tc>
          <w:tcPr>
            <w:tcW w:w="1320" w:type="dxa"/>
            <w:vAlign w:val="bottom"/>
            <w:tcBorders>
              <w:top w:val="single" w:sz="8" w:color="B6B6B6"/>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B6B6B6"/>
            </w:tcBorders>
          </w:tcPr>
          <w:p>
            <w:pPr>
              <w:spacing w:after="0"/>
              <w:rPr>
                <w:sz w:val="21"/>
                <w:szCs w:val="21"/>
                <w:color w:val="auto"/>
              </w:rPr>
            </w:pPr>
          </w:p>
        </w:tc>
        <w:tc>
          <w:tcPr>
            <w:tcW w:w="780" w:type="dxa"/>
            <w:vAlign w:val="bottom"/>
            <w:tcBorders>
              <w:bottom w:val="single" w:sz="8" w:color="auto"/>
            </w:tcBorders>
            <w:shd w:val="clear" w:color="auto" w:fill="B6B6B6"/>
          </w:tcPr>
          <w:p>
            <w:pPr>
              <w:spacing w:after="0"/>
              <w:rPr>
                <w:sz w:val="20"/>
                <w:szCs w:val="20"/>
                <w:color w:val="auto"/>
              </w:rPr>
            </w:pPr>
            <w:r>
              <w:rPr>
                <w:rFonts w:ascii="Times New Roman" w:cs="Times New Roman" w:eastAsia="Times New Roman" w:hAnsi="Times New Roman"/>
                <w:sz w:val="18"/>
                <w:szCs w:val="18"/>
                <w:color w:val="auto"/>
                <w:w w:val="97"/>
              </w:rPr>
              <w:t>Liabilities:</w:t>
            </w:r>
          </w:p>
        </w:tc>
        <w:tc>
          <w:tcPr>
            <w:tcW w:w="7300" w:type="dxa"/>
            <w:vAlign w:val="bottom"/>
            <w:tcBorders>
              <w:bottom w:val="single" w:sz="8" w:color="B6B6B6"/>
            </w:tcBorders>
            <w:gridSpan w:val="2"/>
            <w:shd w:val="clear" w:color="auto" w:fill="B6B6B6"/>
          </w:tcPr>
          <w:p>
            <w:pPr>
              <w:spacing w:after="0"/>
              <w:rPr>
                <w:sz w:val="21"/>
                <w:szCs w:val="21"/>
                <w:color w:val="auto"/>
              </w:rPr>
            </w:pPr>
          </w:p>
        </w:tc>
        <w:tc>
          <w:tcPr>
            <w:tcW w:w="160" w:type="dxa"/>
            <w:vAlign w:val="bottom"/>
            <w:tcBorders>
              <w:bottom w:val="single" w:sz="8" w:color="B6B6B6"/>
            </w:tcBorders>
            <w:shd w:val="clear" w:color="auto" w:fill="B6B6B6"/>
          </w:tcPr>
          <w:p>
            <w:pPr>
              <w:spacing w:after="0"/>
              <w:rPr>
                <w:sz w:val="21"/>
                <w:szCs w:val="21"/>
                <w:color w:val="auto"/>
              </w:rPr>
            </w:pPr>
          </w:p>
        </w:tc>
        <w:tc>
          <w:tcPr>
            <w:tcW w:w="1340" w:type="dxa"/>
            <w:vAlign w:val="bottom"/>
            <w:tcBorders>
              <w:bottom w:val="single" w:sz="8" w:color="B6B6B6"/>
            </w:tcBorders>
            <w:shd w:val="clear" w:color="auto" w:fill="B6B6B6"/>
          </w:tcPr>
          <w:p>
            <w:pPr>
              <w:spacing w:after="0"/>
              <w:rPr>
                <w:sz w:val="21"/>
                <w:szCs w:val="21"/>
                <w:color w:val="auto"/>
              </w:rPr>
            </w:pP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B6B6B6"/>
            </w:tcBorders>
            <w:shd w:val="clear" w:color="auto" w:fill="B6B6B6"/>
          </w:tcPr>
          <w:p>
            <w:pPr>
              <w:spacing w:after="0"/>
              <w:rPr>
                <w:sz w:val="21"/>
                <w:szCs w:val="21"/>
                <w:color w:val="auto"/>
              </w:rPr>
            </w:pPr>
          </w:p>
        </w:tc>
        <w:tc>
          <w:tcPr>
            <w:tcW w:w="1320" w:type="dxa"/>
            <w:vAlign w:val="bottom"/>
            <w:tcBorders>
              <w:bottom w:val="single" w:sz="8" w:color="B6B6B6"/>
            </w:tcBorders>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Noninterest-bearing</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370,606</w:t>
            </w: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251,230</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tcBorders>
              <w:bottom w:val="single" w:sz="8" w:color="B6B6B6"/>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633,189</w:t>
            </w:r>
          </w:p>
        </w:tc>
        <w:tc>
          <w:tcPr>
            <w:tcW w:w="80" w:type="dxa"/>
            <w:vAlign w:val="bottom"/>
            <w:tcBorders>
              <w:bottom w:val="single" w:sz="8" w:color="B6B6B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716,686</w:t>
            </w:r>
          </w:p>
        </w:tc>
        <w:tc>
          <w:tcPr>
            <w:tcW w:w="0" w:type="dxa"/>
            <w:vAlign w:val="bottom"/>
          </w:tcPr>
          <w:p>
            <w:pPr>
              <w:spacing w:after="0"/>
              <w:rPr>
                <w:sz w:val="1"/>
                <w:szCs w:val="1"/>
                <w:color w:val="auto"/>
              </w:rPr>
            </w:pPr>
          </w:p>
        </w:tc>
      </w:tr>
      <w:tr>
        <w:trPr>
          <w:trHeight w:val="250"/>
        </w:trPr>
        <w:tc>
          <w:tcPr>
            <w:tcW w:w="60" w:type="dxa"/>
            <w:vAlign w:val="bottom"/>
            <w:tcBorders>
              <w:right w:val="single" w:sz="8" w:color="B6B6B6"/>
            </w:tcBorders>
          </w:tcPr>
          <w:p>
            <w:pPr>
              <w:spacing w:after="0"/>
              <w:rPr>
                <w:sz w:val="21"/>
                <w:szCs w:val="21"/>
                <w:color w:val="auto"/>
              </w:rPr>
            </w:pPr>
          </w:p>
        </w:tc>
        <w:tc>
          <w:tcPr>
            <w:tcW w:w="8080" w:type="dxa"/>
            <w:vAlign w:val="bottom"/>
            <w:gridSpan w:val="3"/>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tcBorders>
              <w:bottom w:val="single" w:sz="8" w:color="auto"/>
            </w:tcBorders>
            <w:shd w:val="clear" w:color="auto" w:fill="B6B6B6"/>
          </w:tcPr>
          <w:p>
            <w:pPr>
              <w:spacing w:after="0"/>
              <w:rPr>
                <w:sz w:val="21"/>
                <w:szCs w:val="21"/>
                <w:color w:val="auto"/>
              </w:rPr>
            </w:pPr>
          </w:p>
        </w:tc>
        <w:tc>
          <w:tcPr>
            <w:tcW w:w="13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1,003,795</w:t>
            </w:r>
          </w:p>
        </w:tc>
        <w:tc>
          <w:tcPr>
            <w:tcW w:w="80" w:type="dxa"/>
            <w:vAlign w:val="bottom"/>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967,916</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1,036,795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1,129,610</w:t>
            </w:r>
          </w:p>
        </w:tc>
        <w:tc>
          <w:tcPr>
            <w:tcW w:w="0" w:type="dxa"/>
            <w:vAlign w:val="bottom"/>
          </w:tcPr>
          <w:p>
            <w:pPr>
              <w:spacing w:after="0"/>
              <w:rPr>
                <w:sz w:val="1"/>
                <w:szCs w:val="1"/>
                <w:color w:val="auto"/>
              </w:rPr>
            </w:pPr>
          </w:p>
        </w:tc>
      </w:tr>
      <w:tr>
        <w:trPr>
          <w:trHeight w:val="263"/>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34,606</w:t>
            </w: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46,211</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 of discontinued operations</w:t>
            </w:r>
          </w:p>
        </w:tc>
        <w:tc>
          <w:tcPr>
            <w:tcW w:w="160" w:type="dxa"/>
            <w:vAlign w:val="bottom"/>
          </w:tcPr>
          <w:p>
            <w:pPr>
              <w:spacing w:after="0"/>
              <w:rPr>
                <w:sz w:val="22"/>
                <w:szCs w:val="22"/>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0" w:type="dxa"/>
            <w:vAlign w:val="bottom"/>
          </w:tcPr>
          <w:p>
            <w:pPr>
              <w:spacing w:after="0"/>
              <w:rPr>
                <w:sz w:val="1"/>
                <w:szCs w:val="1"/>
                <w:color w:val="auto"/>
              </w:rPr>
            </w:pPr>
          </w:p>
        </w:tc>
      </w:tr>
      <w:tr>
        <w:trPr>
          <w:trHeight w:val="250"/>
        </w:trPr>
        <w:tc>
          <w:tcPr>
            <w:tcW w:w="60" w:type="dxa"/>
            <w:vAlign w:val="bottom"/>
            <w:tcBorders>
              <w:right w:val="single" w:sz="8" w:color="B6B6B6"/>
            </w:tcBorders>
          </w:tcPr>
          <w:p>
            <w:pPr>
              <w:spacing w:after="0"/>
              <w:rPr>
                <w:sz w:val="21"/>
                <w:szCs w:val="21"/>
                <w:color w:val="auto"/>
              </w:rPr>
            </w:pPr>
          </w:p>
        </w:tc>
        <w:tc>
          <w:tcPr>
            <w:tcW w:w="8080" w:type="dxa"/>
            <w:vAlign w:val="bottom"/>
            <w:tcBorders>
              <w:top w:val="single" w:sz="8" w:color="B6B6B6"/>
            </w:tcBorders>
            <w:gridSpan w:val="3"/>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B6B6B6"/>
          </w:tcPr>
          <w:p>
            <w:pPr>
              <w:spacing w:after="0"/>
              <w:rPr>
                <w:sz w:val="21"/>
                <w:szCs w:val="21"/>
                <w:color w:val="auto"/>
              </w:rPr>
            </w:pPr>
          </w:p>
        </w:tc>
        <w:tc>
          <w:tcPr>
            <w:tcW w:w="134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2,075,196</w:t>
            </w:r>
          </w:p>
        </w:tc>
        <w:tc>
          <w:tcPr>
            <w:tcW w:w="80" w:type="dxa"/>
            <w:vAlign w:val="bottom"/>
            <w:tcBorders>
              <w:top w:val="single" w:sz="8" w:color="B6B6B6"/>
            </w:tcBorders>
            <w:shd w:val="clear" w:color="auto" w:fill="B6B6B6"/>
          </w:tcPr>
          <w:p>
            <w:pPr>
              <w:spacing w:after="0"/>
              <w:rPr>
                <w:sz w:val="21"/>
                <w:szCs w:val="21"/>
                <w:color w:val="auto"/>
              </w:rPr>
            </w:pPr>
          </w:p>
        </w:tc>
        <w:tc>
          <w:tcPr>
            <w:tcW w:w="180" w:type="dxa"/>
            <w:vAlign w:val="bottom"/>
            <w:tcBorders>
              <w:top w:val="single" w:sz="8" w:color="auto"/>
              <w:bottom w:val="single" w:sz="8" w:color="auto"/>
            </w:tcBorders>
            <w:shd w:val="clear" w:color="auto" w:fill="B6B6B6"/>
          </w:tcPr>
          <w:p>
            <w:pPr>
              <w:spacing w:after="0"/>
              <w:rPr>
                <w:sz w:val="21"/>
                <w:szCs w:val="21"/>
                <w:color w:val="auto"/>
              </w:rPr>
            </w:pPr>
          </w:p>
        </w:tc>
        <w:tc>
          <w:tcPr>
            <w:tcW w:w="132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2,166,051</w:t>
            </w: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right w:val="single" w:sz="8" w:color="B6B6B6"/>
            </w:tcBorders>
          </w:tcPr>
          <w:p>
            <w:pPr>
              <w:spacing w:after="0"/>
              <w:rPr>
                <w:sz w:val="17"/>
                <w:szCs w:val="17"/>
                <w:color w:val="auto"/>
              </w:rPr>
            </w:pPr>
          </w:p>
        </w:tc>
        <w:tc>
          <w:tcPr>
            <w:tcW w:w="8080" w:type="dxa"/>
            <w:vAlign w:val="bottom"/>
            <w:gridSpan w:val="3"/>
            <w:shd w:val="clear" w:color="auto" w:fill="B6B6B6"/>
          </w:tcPr>
          <w:p>
            <w:pPr>
              <w:spacing w:after="0" w:line="202" w:lineRule="exact"/>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B6B6B6"/>
          </w:tcPr>
          <w:p>
            <w:pPr>
              <w:spacing w:after="0"/>
              <w:rPr>
                <w:sz w:val="17"/>
                <w:szCs w:val="17"/>
                <w:color w:val="auto"/>
              </w:rPr>
            </w:pPr>
          </w:p>
        </w:tc>
        <w:tc>
          <w:tcPr>
            <w:tcW w:w="134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180" w:type="dxa"/>
            <w:vAlign w:val="bottom"/>
            <w:shd w:val="clear" w:color="auto" w:fill="B6B6B6"/>
          </w:tcPr>
          <w:p>
            <w:pPr>
              <w:spacing w:after="0"/>
              <w:rPr>
                <w:sz w:val="17"/>
                <w:szCs w:val="17"/>
                <w:color w:val="auto"/>
              </w:rPr>
            </w:pPr>
          </w:p>
        </w:tc>
        <w:tc>
          <w:tcPr>
            <w:tcW w:w="13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right w:val="single" w:sz="8" w:color="B6B6B6"/>
            </w:tcBorders>
          </w:tcPr>
          <w:p>
            <w:pPr>
              <w:spacing w:after="0"/>
              <w:rPr>
                <w:sz w:val="2"/>
                <w:szCs w:val="2"/>
                <w:color w:val="auto"/>
              </w:rPr>
            </w:pPr>
          </w:p>
        </w:tc>
        <w:tc>
          <w:tcPr>
            <w:tcW w:w="780" w:type="dxa"/>
            <w:vAlign w:val="bottom"/>
            <w:tcBorders>
              <w:top w:val="single" w:sz="8" w:color="auto"/>
            </w:tcBorders>
            <w:shd w:val="clear" w:color="auto" w:fill="B6B6B6"/>
          </w:tcPr>
          <w:p>
            <w:pPr>
              <w:spacing w:after="0"/>
              <w:rPr>
                <w:sz w:val="2"/>
                <w:szCs w:val="2"/>
                <w:color w:val="auto"/>
              </w:rPr>
            </w:pPr>
          </w:p>
        </w:tc>
        <w:tc>
          <w:tcPr>
            <w:tcW w:w="780" w:type="dxa"/>
            <w:vAlign w:val="bottom"/>
            <w:tcBorders>
              <w:top w:val="single" w:sz="8" w:color="auto"/>
            </w:tcBorders>
            <w:shd w:val="clear" w:color="auto" w:fill="B6B6B6"/>
          </w:tcPr>
          <w:p>
            <w:pPr>
              <w:spacing w:after="0"/>
              <w:rPr>
                <w:sz w:val="2"/>
                <w:szCs w:val="2"/>
                <w:color w:val="auto"/>
              </w:rPr>
            </w:pPr>
          </w:p>
        </w:tc>
        <w:tc>
          <w:tcPr>
            <w:tcW w:w="6520" w:type="dxa"/>
            <w:vAlign w:val="bottom"/>
            <w:tcBorders>
              <w:top w:val="single" w:sz="8" w:color="B6B6B6"/>
            </w:tcBorders>
            <w:shd w:val="clear" w:color="auto" w:fill="B6B6B6"/>
          </w:tcPr>
          <w:p>
            <w:pPr>
              <w:spacing w:after="0"/>
              <w:rPr>
                <w:sz w:val="2"/>
                <w:szCs w:val="2"/>
                <w:color w:val="auto"/>
              </w:rPr>
            </w:pPr>
          </w:p>
        </w:tc>
        <w:tc>
          <w:tcPr>
            <w:tcW w:w="160" w:type="dxa"/>
            <w:vAlign w:val="bottom"/>
            <w:tcBorders>
              <w:top w:val="single" w:sz="8" w:color="B6B6B6"/>
            </w:tcBorders>
            <w:shd w:val="clear" w:color="auto" w:fill="B6B6B6"/>
          </w:tcPr>
          <w:p>
            <w:pPr>
              <w:spacing w:after="0"/>
              <w:rPr>
                <w:sz w:val="2"/>
                <w:szCs w:val="2"/>
                <w:color w:val="auto"/>
              </w:rPr>
            </w:pPr>
          </w:p>
        </w:tc>
        <w:tc>
          <w:tcPr>
            <w:tcW w:w="1340" w:type="dxa"/>
            <w:vAlign w:val="bottom"/>
            <w:tcBorders>
              <w:top w:val="single" w:sz="8" w:color="B6B6B6"/>
            </w:tcBorders>
            <w:shd w:val="clear" w:color="auto" w:fill="B6B6B6"/>
          </w:tcPr>
          <w:p>
            <w:pPr>
              <w:spacing w:after="0"/>
              <w:rPr>
                <w:sz w:val="2"/>
                <w:szCs w:val="2"/>
                <w:color w:val="auto"/>
              </w:rPr>
            </w:pPr>
          </w:p>
        </w:tc>
        <w:tc>
          <w:tcPr>
            <w:tcW w:w="80" w:type="dxa"/>
            <w:vAlign w:val="bottom"/>
            <w:tcBorders>
              <w:top w:val="single" w:sz="8" w:color="B6B6B6"/>
            </w:tcBorders>
            <w:shd w:val="clear" w:color="auto" w:fill="B6B6B6"/>
          </w:tcPr>
          <w:p>
            <w:pPr>
              <w:spacing w:after="0"/>
              <w:rPr>
                <w:sz w:val="2"/>
                <w:szCs w:val="2"/>
                <w:color w:val="auto"/>
              </w:rPr>
            </w:pPr>
          </w:p>
        </w:tc>
        <w:tc>
          <w:tcPr>
            <w:tcW w:w="180" w:type="dxa"/>
            <w:vAlign w:val="bottom"/>
            <w:tcBorders>
              <w:top w:val="single" w:sz="8" w:color="B6B6B6"/>
            </w:tcBorders>
            <w:shd w:val="clear" w:color="auto" w:fill="B6B6B6"/>
          </w:tcPr>
          <w:p>
            <w:pPr>
              <w:spacing w:after="0"/>
              <w:rPr>
                <w:sz w:val="2"/>
                <w:szCs w:val="2"/>
                <w:color w:val="auto"/>
              </w:rPr>
            </w:pPr>
          </w:p>
        </w:tc>
        <w:tc>
          <w:tcPr>
            <w:tcW w:w="1320" w:type="dxa"/>
            <w:vAlign w:val="bottom"/>
            <w:tcBorders>
              <w:top w:val="single" w:sz="8" w:color="B6B6B6"/>
            </w:tcBorders>
            <w:shd w:val="clear" w:color="auto" w:fill="B6B6B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stock, par value $.50 per share; 2,000,000 shares authorized and no shares issued</w:t>
            </w:r>
          </w:p>
        </w:tc>
        <w:tc>
          <w:tcPr>
            <w:tcW w:w="1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60" w:type="dxa"/>
            <w:vAlign w:val="bottom"/>
            <w:tcBorders>
              <w:right w:val="single" w:sz="8" w:color="B6B6B6"/>
            </w:tcBorders>
          </w:tcPr>
          <w:p>
            <w:pPr>
              <w:spacing w:after="0"/>
              <w:rPr>
                <w:sz w:val="20"/>
                <w:szCs w:val="20"/>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Common stock, par value $.50 per share; 40,000,000 shares authorized and 15,505,772 shares issued at</w:t>
            </w:r>
          </w:p>
        </w:tc>
        <w:tc>
          <w:tcPr>
            <w:tcW w:w="160" w:type="dxa"/>
            <w:vAlign w:val="bottom"/>
            <w:shd w:val="clear" w:color="auto" w:fill="B6B6B6"/>
          </w:tcPr>
          <w:p>
            <w:pPr>
              <w:spacing w:after="0"/>
              <w:rPr>
                <w:sz w:val="20"/>
                <w:szCs w:val="20"/>
                <w:color w:val="auto"/>
              </w:rPr>
            </w:pPr>
          </w:p>
        </w:tc>
        <w:tc>
          <w:tcPr>
            <w:tcW w:w="1340" w:type="dxa"/>
            <w:vAlign w:val="bottom"/>
            <w:shd w:val="clear" w:color="auto" w:fill="B6B6B6"/>
          </w:tcPr>
          <w:p>
            <w:pPr>
              <w:spacing w:after="0"/>
              <w:rPr>
                <w:sz w:val="20"/>
                <w:szCs w:val="20"/>
                <w:color w:val="auto"/>
              </w:rPr>
            </w:pPr>
          </w:p>
        </w:tc>
        <w:tc>
          <w:tcPr>
            <w:tcW w:w="80" w:type="dxa"/>
            <w:vAlign w:val="bottom"/>
            <w:shd w:val="clear" w:color="auto" w:fill="B6B6B6"/>
          </w:tcPr>
          <w:p>
            <w:pPr>
              <w:spacing w:after="0"/>
              <w:rPr>
                <w:sz w:val="20"/>
                <w:szCs w:val="20"/>
                <w:color w:val="auto"/>
              </w:rPr>
            </w:pPr>
          </w:p>
        </w:tc>
        <w:tc>
          <w:tcPr>
            <w:tcW w:w="180" w:type="dxa"/>
            <w:vAlign w:val="bottom"/>
            <w:shd w:val="clear" w:color="auto" w:fill="B6B6B6"/>
          </w:tcPr>
          <w:p>
            <w:pPr>
              <w:spacing w:after="0"/>
              <w:rPr>
                <w:sz w:val="20"/>
                <w:szCs w:val="20"/>
                <w:color w:val="auto"/>
              </w:rPr>
            </w:pPr>
          </w:p>
        </w:tc>
        <w:tc>
          <w:tcPr>
            <w:tcW w:w="13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 w:type="dxa"/>
            <w:vAlign w:val="bottom"/>
            <w:tcBorders>
              <w:right w:val="single" w:sz="8" w:color="B6B6B6"/>
            </w:tcBorders>
          </w:tcPr>
          <w:p>
            <w:pPr>
              <w:spacing w:after="0"/>
              <w:rPr>
                <w:sz w:val="17"/>
                <w:szCs w:val="17"/>
                <w:color w:val="auto"/>
              </w:rPr>
            </w:pPr>
          </w:p>
        </w:tc>
        <w:tc>
          <w:tcPr>
            <w:tcW w:w="8080" w:type="dxa"/>
            <w:vAlign w:val="bottom"/>
            <w:gridSpan w:val="3"/>
            <w:shd w:val="clear" w:color="auto" w:fill="B6B6B6"/>
          </w:tcPr>
          <w:p>
            <w:pPr>
              <w:ind w:left="160"/>
              <w:spacing w:after="0" w:line="202" w:lineRule="exact"/>
              <w:rPr>
                <w:sz w:val="20"/>
                <w:szCs w:val="20"/>
                <w:color w:val="auto"/>
              </w:rPr>
            </w:pPr>
            <w:r>
              <w:rPr>
                <w:rFonts w:ascii="Times New Roman" w:cs="Times New Roman" w:eastAsia="Times New Roman" w:hAnsi="Times New Roman"/>
                <w:sz w:val="18"/>
                <w:szCs w:val="18"/>
                <w:color w:val="auto"/>
              </w:rPr>
              <w:t>June 30, 2025 and December 31, 2024; 13,279,905 and 13,504,104 shares outstanding at June 30, 2025 and</w:t>
            </w:r>
          </w:p>
        </w:tc>
        <w:tc>
          <w:tcPr>
            <w:tcW w:w="160" w:type="dxa"/>
            <w:vAlign w:val="bottom"/>
            <w:shd w:val="clear" w:color="auto" w:fill="B6B6B6"/>
          </w:tcPr>
          <w:p>
            <w:pPr>
              <w:spacing w:after="0"/>
              <w:rPr>
                <w:sz w:val="17"/>
                <w:szCs w:val="17"/>
                <w:color w:val="auto"/>
              </w:rPr>
            </w:pPr>
          </w:p>
        </w:tc>
        <w:tc>
          <w:tcPr>
            <w:tcW w:w="134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180" w:type="dxa"/>
            <w:vAlign w:val="bottom"/>
            <w:shd w:val="clear" w:color="auto" w:fill="B6B6B6"/>
          </w:tcPr>
          <w:p>
            <w:pPr>
              <w:spacing w:after="0"/>
              <w:rPr>
                <w:sz w:val="17"/>
                <w:szCs w:val="17"/>
                <w:color w:val="auto"/>
              </w:rPr>
            </w:pPr>
          </w:p>
        </w:tc>
        <w:tc>
          <w:tcPr>
            <w:tcW w:w="13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0" w:type="dxa"/>
            <w:vAlign w:val="bottom"/>
            <w:tcBorders>
              <w:right w:val="single" w:sz="8" w:color="B6B6B6"/>
            </w:tcBorders>
          </w:tcPr>
          <w:p>
            <w:pPr>
              <w:spacing w:after="0"/>
              <w:rPr>
                <w:sz w:val="21"/>
                <w:szCs w:val="21"/>
                <w:color w:val="auto"/>
              </w:rPr>
            </w:pPr>
          </w:p>
        </w:tc>
        <w:tc>
          <w:tcPr>
            <w:tcW w:w="8080" w:type="dxa"/>
            <w:vAlign w:val="bottom"/>
            <w:gridSpan w:val="3"/>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160" w:type="dxa"/>
            <w:vAlign w:val="bottom"/>
            <w:shd w:val="clear" w:color="auto" w:fill="B6B6B6"/>
          </w:tcPr>
          <w:p>
            <w:pPr>
              <w:spacing w:after="0"/>
              <w:rPr>
                <w:sz w:val="21"/>
                <w:szCs w:val="21"/>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205,593</w:t>
            </w:r>
          </w:p>
        </w:tc>
        <w:tc>
          <w:tcPr>
            <w:tcW w:w="0" w:type="dxa"/>
            <w:vAlign w:val="bottom"/>
          </w:tcPr>
          <w:p>
            <w:pPr>
              <w:spacing w:after="0"/>
              <w:rPr>
                <w:sz w:val="1"/>
                <w:szCs w:val="1"/>
                <w:color w:val="auto"/>
              </w:rPr>
            </w:pPr>
          </w:p>
        </w:tc>
      </w:tr>
      <w:tr>
        <w:trPr>
          <w:trHeight w:val="263"/>
        </w:trPr>
        <w:tc>
          <w:tcPr>
            <w:tcW w:w="60" w:type="dxa"/>
            <w:vAlign w:val="bottom"/>
            <w:tcBorders>
              <w:right w:val="single" w:sz="8" w:color="B6B6B6"/>
            </w:tcBorders>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158,005</w:t>
            </w:r>
          </w:p>
        </w:tc>
        <w:tc>
          <w:tcPr>
            <w:tcW w:w="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148,487</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shares in treasury, at cost (2,225,867 shares at June 30, 2025 and 2,001,668 shares at December 31,</w:t>
            </w:r>
          </w:p>
        </w:tc>
        <w:tc>
          <w:tcPr>
            <w:tcW w:w="16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(97,103)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(87,615)</w:t>
            </w:r>
          </w:p>
        </w:tc>
        <w:tc>
          <w:tcPr>
            <w:tcW w:w="0" w:type="dxa"/>
            <w:vAlign w:val="bottom"/>
          </w:tcPr>
          <w:p>
            <w:pPr>
              <w:spacing w:after="0"/>
              <w:rPr>
                <w:sz w:val="1"/>
                <w:szCs w:val="1"/>
                <w:color w:val="auto"/>
              </w:rPr>
            </w:pPr>
          </w:p>
        </w:tc>
      </w:tr>
      <w:tr>
        <w:trPr>
          <w:trHeight w:val="234"/>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B6B6B6"/>
            </w:tcBorders>
          </w:tcPr>
          <w:p>
            <w:pPr>
              <w:spacing w:after="0"/>
              <w:rPr>
                <w:sz w:val="21"/>
                <w:szCs w:val="21"/>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B6B6B6"/>
          </w:tcPr>
          <w:p>
            <w:pPr>
              <w:spacing w:after="0"/>
              <w:rPr>
                <w:sz w:val="21"/>
                <w:szCs w:val="21"/>
                <w:color w:val="auto"/>
              </w:rPr>
            </w:pPr>
          </w:p>
        </w:tc>
        <w:tc>
          <w:tcPr>
            <w:tcW w:w="13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(32,675)</w:t>
            </w:r>
          </w:p>
        </w:tc>
        <w:tc>
          <w:tcPr>
            <w:tcW w:w="80" w:type="dxa"/>
            <w:vAlign w:val="bottom"/>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(45,188)</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08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240,822</w:t>
            </w:r>
          </w:p>
        </w:tc>
        <w:tc>
          <w:tcPr>
            <w:tcW w:w="80" w:type="dxa"/>
            <w:vAlign w:val="bottom"/>
            <w:tcBorders>
              <w:bottom w:val="single" w:sz="8" w:color="B6B6B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229,030</w:t>
            </w:r>
          </w:p>
        </w:tc>
        <w:tc>
          <w:tcPr>
            <w:tcW w:w="0" w:type="dxa"/>
            <w:vAlign w:val="bottom"/>
          </w:tcPr>
          <w:p>
            <w:pPr>
              <w:spacing w:after="0"/>
              <w:rPr>
                <w:sz w:val="1"/>
                <w:szCs w:val="1"/>
                <w:color w:val="auto"/>
              </w:rPr>
            </w:pPr>
          </w:p>
        </w:tc>
      </w:tr>
      <w:tr>
        <w:trPr>
          <w:trHeight w:val="281"/>
        </w:trPr>
        <w:tc>
          <w:tcPr>
            <w:tcW w:w="60" w:type="dxa"/>
            <w:vAlign w:val="bottom"/>
            <w:tcBorders>
              <w:right w:val="single" w:sz="8" w:color="B6B6B6"/>
            </w:tcBorders>
          </w:tcPr>
          <w:p>
            <w:pPr>
              <w:spacing w:after="0"/>
              <w:rPr>
                <w:sz w:val="24"/>
                <w:szCs w:val="24"/>
                <w:color w:val="auto"/>
              </w:rPr>
            </w:pPr>
          </w:p>
        </w:tc>
        <w:tc>
          <w:tcPr>
            <w:tcW w:w="8080" w:type="dxa"/>
            <w:vAlign w:val="bottom"/>
            <w:tcBorders>
              <w:bottom w:val="single" w:sz="8" w:color="B6B6B6"/>
            </w:tcBorders>
            <w:gridSpan w:val="3"/>
            <w:shd w:val="clear" w:color="auto" w:fill="B6B6B6"/>
          </w:tcPr>
          <w:p>
            <w:pPr>
              <w:ind w:left="5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2,316,018</w:t>
            </w:r>
          </w:p>
        </w:tc>
        <w:tc>
          <w:tcPr>
            <w:tcW w:w="80" w:type="dxa"/>
            <w:vAlign w:val="bottom"/>
            <w:tcBorders>
              <w:bottom w:val="single" w:sz="8" w:color="B6B6B6"/>
            </w:tcBorders>
            <w:shd w:val="clear" w:color="auto" w:fill="B6B6B6"/>
          </w:tcPr>
          <w:p>
            <w:pPr>
              <w:spacing w:after="0"/>
              <w:rPr>
                <w:sz w:val="24"/>
                <w:szCs w:val="24"/>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2,395,081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80" w:type="dxa"/>
            <w:vAlign w:val="bottom"/>
            <w:tcBorders>
              <w:top w:val="single" w:sz="8" w:color="B6B6B6"/>
            </w:tcBorders>
          </w:tcPr>
          <w:p>
            <w:pPr>
              <w:spacing w:after="0" w:line="20" w:lineRule="exact"/>
              <w:rPr>
                <w:sz w:val="1"/>
                <w:szCs w:val="1"/>
                <w:color w:val="auto"/>
              </w:rPr>
            </w:pPr>
          </w:p>
        </w:tc>
        <w:tc>
          <w:tcPr>
            <w:tcW w:w="780" w:type="dxa"/>
            <w:vAlign w:val="bottom"/>
            <w:tcBorders>
              <w:top w:val="single" w:sz="8" w:color="B6B6B6"/>
            </w:tcBorders>
          </w:tcPr>
          <w:p>
            <w:pPr>
              <w:spacing w:after="0" w:line="20" w:lineRule="exact"/>
              <w:rPr>
                <w:sz w:val="1"/>
                <w:szCs w:val="1"/>
                <w:color w:val="auto"/>
              </w:rPr>
            </w:pPr>
          </w:p>
        </w:tc>
        <w:tc>
          <w:tcPr>
            <w:tcW w:w="65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34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32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2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14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6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r>
      <w:tr>
        <w:trPr>
          <w:trHeight w:val="208"/>
        </w:trPr>
        <w:tc>
          <w:tcPr>
            <w:tcW w:w="6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6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Fee Revenue and Other Income:</w:t>
            </w:r>
          </w:p>
        </w:tc>
        <w:tc>
          <w:tcPr>
            <w:tcW w:w="26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82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4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320" w:type="dxa"/>
            <w:vAlign w:val="bottom"/>
            <w:tcBorders>
              <w:bottom w:val="single" w:sz="8" w:color="B6B6B6"/>
            </w:tcBorders>
            <w:shd w:val="clear" w:color="auto" w:fill="B6B6B6"/>
          </w:tcPr>
          <w:p>
            <w:pPr>
              <w:spacing w:after="0"/>
              <w:rPr>
                <w:sz w:val="18"/>
                <w:szCs w:val="18"/>
                <w:color w:val="auto"/>
              </w:rPr>
            </w:pPr>
          </w:p>
        </w:tc>
        <w:tc>
          <w:tcPr>
            <w:tcW w:w="820" w:type="dxa"/>
            <w:vAlign w:val="bottom"/>
            <w:tcBorders>
              <w:bottom w:val="single" w:sz="8" w:color="B6B6B6"/>
            </w:tcBorders>
            <w:shd w:val="clear" w:color="auto" w:fill="B6B6B6"/>
          </w:tcPr>
          <w:p>
            <w:pPr>
              <w:spacing w:after="0"/>
              <w:rPr>
                <w:sz w:val="18"/>
                <w:szCs w:val="18"/>
                <w:color w:val="auto"/>
              </w:rPr>
            </w:pP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Processing fees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17,082</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16,816</w:t>
            </w:r>
          </w:p>
        </w:tc>
        <w:tc>
          <w:tcPr>
            <w:tcW w:w="1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33,675</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Financial fees</w:t>
            </w: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10,161</w:t>
            </w:r>
          </w:p>
        </w:tc>
        <w:tc>
          <w:tcPr>
            <w:tcW w:w="8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10,460</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20,122</w:t>
            </w:r>
          </w:p>
        </w:tc>
        <w:tc>
          <w:tcPr>
            <w:tcW w:w="100" w:type="dxa"/>
            <w:vAlign w:val="bottom"/>
            <w:tcBorders>
              <w:bottom w:val="single" w:sz="8" w:color="B6B6B6"/>
            </w:tcBorders>
            <w:shd w:val="clear" w:color="auto" w:fill="B6B6B6"/>
          </w:tcPr>
          <w:p>
            <w:pPr>
              <w:spacing w:after="0"/>
              <w:rPr>
                <w:sz w:val="19"/>
                <w:szCs w:val="19"/>
                <w:color w:val="auto"/>
              </w:rPr>
            </w:pPr>
          </w:p>
        </w:tc>
        <w:tc>
          <w:tcPr>
            <w:tcW w:w="320" w:type="dxa"/>
            <w:vAlign w:val="bottom"/>
            <w:tcBorders>
              <w:bottom w:val="single" w:sz="8" w:color="B6B6B6"/>
            </w:tcBorders>
            <w:shd w:val="clear" w:color="auto" w:fill="B6B6B6"/>
          </w:tcPr>
          <w:p>
            <w:pPr>
              <w:spacing w:after="0"/>
              <w:rPr>
                <w:sz w:val="19"/>
                <w:szCs w:val="19"/>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21,058</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investment securities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8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00" w:type="dxa"/>
            <w:vAlign w:val="bottom"/>
            <w:tcBorders>
              <w:bottom w:val="single" w:sz="8" w:color="B6B6B6"/>
            </w:tcBorders>
            <w:shd w:val="clear" w:color="auto" w:fill="B6B6B6"/>
          </w:tcPr>
          <w:p>
            <w:pPr>
              <w:spacing w:after="0"/>
              <w:rPr>
                <w:sz w:val="21"/>
                <w:szCs w:val="21"/>
                <w:color w:val="auto"/>
              </w:rPr>
            </w:pPr>
          </w:p>
        </w:tc>
        <w:tc>
          <w:tcPr>
            <w:tcW w:w="320" w:type="dxa"/>
            <w:vAlign w:val="bottom"/>
            <w:tcBorders>
              <w:bottom w:val="single" w:sz="8" w:color="B6B6B6"/>
            </w:tcBorders>
            <w:shd w:val="clear" w:color="auto" w:fill="B6B6B6"/>
          </w:tcPr>
          <w:p>
            <w:pPr>
              <w:spacing w:after="0"/>
              <w:rPr>
                <w:sz w:val="21"/>
                <w:szCs w:val="21"/>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2,452</w:t>
            </w:r>
          </w:p>
        </w:tc>
      </w:tr>
      <w:tr>
        <w:trPr>
          <w:trHeight w:val="204"/>
        </w:trPr>
        <w:tc>
          <w:tcPr>
            <w:tcW w:w="6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fee revenue and other income</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24,948</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28,448</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52,986</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57,172</w:t>
            </w:r>
          </w:p>
        </w:tc>
      </w:tr>
      <w:tr>
        <w:trPr>
          <w:trHeight w:val="33"/>
        </w:trPr>
        <w:tc>
          <w:tcPr>
            <w:tcW w:w="636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88"/>
        </w:trPr>
        <w:tc>
          <w:tcPr>
            <w:tcW w:w="6360" w:type="dxa"/>
            <w:vAlign w:val="bottom"/>
            <w:shd w:val="clear" w:color="auto" w:fill="B6B6B6"/>
          </w:tcPr>
          <w:p>
            <w:pPr>
              <w:spacing w:after="0"/>
              <w:rPr>
                <w:sz w:val="7"/>
                <w:szCs w:val="7"/>
                <w:color w:val="auto"/>
              </w:rPr>
            </w:pPr>
          </w:p>
        </w:tc>
        <w:tc>
          <w:tcPr>
            <w:tcW w:w="260" w:type="dxa"/>
            <w:vAlign w:val="bottom"/>
            <w:shd w:val="clear" w:color="auto" w:fill="B6B6B6"/>
          </w:tcPr>
          <w:p>
            <w:pPr>
              <w:spacing w:after="0"/>
              <w:rPr>
                <w:sz w:val="7"/>
                <w:szCs w:val="7"/>
                <w:color w:val="auto"/>
              </w:rPr>
            </w:pPr>
          </w:p>
        </w:tc>
        <w:tc>
          <w:tcPr>
            <w:tcW w:w="900" w:type="dxa"/>
            <w:vAlign w:val="bottom"/>
            <w:shd w:val="clear" w:color="auto" w:fill="B6B6B6"/>
          </w:tcPr>
          <w:p>
            <w:pPr>
              <w:spacing w:after="0"/>
              <w:rPr>
                <w:sz w:val="7"/>
                <w:szCs w:val="7"/>
                <w:color w:val="auto"/>
              </w:rPr>
            </w:pPr>
          </w:p>
        </w:tc>
        <w:tc>
          <w:tcPr>
            <w:tcW w:w="80" w:type="dxa"/>
            <w:vAlign w:val="bottom"/>
            <w:shd w:val="clear" w:color="auto" w:fill="B6B6B6"/>
          </w:tcPr>
          <w:p>
            <w:pPr>
              <w:spacing w:after="0"/>
              <w:rPr>
                <w:sz w:val="7"/>
                <w:szCs w:val="7"/>
                <w:color w:val="auto"/>
              </w:rPr>
            </w:pPr>
          </w:p>
        </w:tc>
        <w:tc>
          <w:tcPr>
            <w:tcW w:w="340" w:type="dxa"/>
            <w:vAlign w:val="bottom"/>
            <w:shd w:val="clear" w:color="auto" w:fill="B6B6B6"/>
          </w:tcPr>
          <w:p>
            <w:pPr>
              <w:spacing w:after="0"/>
              <w:rPr>
                <w:sz w:val="7"/>
                <w:szCs w:val="7"/>
                <w:color w:val="auto"/>
              </w:rPr>
            </w:pPr>
          </w:p>
        </w:tc>
        <w:tc>
          <w:tcPr>
            <w:tcW w:w="820" w:type="dxa"/>
            <w:vAlign w:val="bottom"/>
            <w:shd w:val="clear" w:color="auto" w:fill="B6B6B6"/>
          </w:tcPr>
          <w:p>
            <w:pPr>
              <w:spacing w:after="0"/>
              <w:rPr>
                <w:sz w:val="7"/>
                <w:szCs w:val="7"/>
                <w:color w:val="auto"/>
              </w:rPr>
            </w:pPr>
          </w:p>
        </w:tc>
        <w:tc>
          <w:tcPr>
            <w:tcW w:w="100" w:type="dxa"/>
            <w:vAlign w:val="bottom"/>
            <w:shd w:val="clear" w:color="auto" w:fill="B6B6B6"/>
          </w:tcPr>
          <w:p>
            <w:pPr>
              <w:spacing w:after="0"/>
              <w:rPr>
                <w:sz w:val="7"/>
                <w:szCs w:val="7"/>
                <w:color w:val="auto"/>
              </w:rPr>
            </w:pPr>
          </w:p>
        </w:tc>
        <w:tc>
          <w:tcPr>
            <w:tcW w:w="240" w:type="dxa"/>
            <w:vAlign w:val="bottom"/>
            <w:shd w:val="clear" w:color="auto" w:fill="B6B6B6"/>
          </w:tcPr>
          <w:p>
            <w:pPr>
              <w:spacing w:after="0"/>
              <w:rPr>
                <w:sz w:val="7"/>
                <w:szCs w:val="7"/>
                <w:color w:val="auto"/>
              </w:rPr>
            </w:pPr>
          </w:p>
        </w:tc>
        <w:tc>
          <w:tcPr>
            <w:tcW w:w="900" w:type="dxa"/>
            <w:vAlign w:val="bottom"/>
            <w:shd w:val="clear" w:color="auto" w:fill="B6B6B6"/>
          </w:tcPr>
          <w:p>
            <w:pPr>
              <w:spacing w:after="0"/>
              <w:rPr>
                <w:sz w:val="7"/>
                <w:szCs w:val="7"/>
                <w:color w:val="auto"/>
              </w:rPr>
            </w:pPr>
          </w:p>
        </w:tc>
        <w:tc>
          <w:tcPr>
            <w:tcW w:w="100" w:type="dxa"/>
            <w:vAlign w:val="bottom"/>
            <w:shd w:val="clear" w:color="auto" w:fill="B6B6B6"/>
          </w:tcPr>
          <w:p>
            <w:pPr>
              <w:spacing w:after="0"/>
              <w:rPr>
                <w:sz w:val="7"/>
                <w:szCs w:val="7"/>
                <w:color w:val="auto"/>
              </w:rPr>
            </w:pPr>
          </w:p>
        </w:tc>
        <w:tc>
          <w:tcPr>
            <w:tcW w:w="320" w:type="dxa"/>
            <w:vAlign w:val="bottom"/>
            <w:shd w:val="clear" w:color="auto" w:fill="B6B6B6"/>
          </w:tcPr>
          <w:p>
            <w:pPr>
              <w:spacing w:after="0"/>
              <w:rPr>
                <w:sz w:val="7"/>
                <w:szCs w:val="7"/>
                <w:color w:val="auto"/>
              </w:rPr>
            </w:pPr>
          </w:p>
        </w:tc>
        <w:tc>
          <w:tcPr>
            <w:tcW w:w="820" w:type="dxa"/>
            <w:vAlign w:val="bottom"/>
            <w:shd w:val="clear" w:color="auto" w:fill="B6B6B6"/>
          </w:tcPr>
          <w:p>
            <w:pPr>
              <w:spacing w:after="0"/>
              <w:rPr>
                <w:sz w:val="7"/>
                <w:szCs w:val="7"/>
                <w:color w:val="auto"/>
              </w:rPr>
            </w:pP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1"/>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Interest and fees on loans</w:t>
            </w: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15,837</w:t>
            </w:r>
          </w:p>
        </w:tc>
        <w:tc>
          <w:tcPr>
            <w:tcW w:w="8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13,592</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31,187</w:t>
            </w:r>
          </w:p>
        </w:tc>
        <w:tc>
          <w:tcPr>
            <w:tcW w:w="100" w:type="dxa"/>
            <w:vAlign w:val="bottom"/>
            <w:tcBorders>
              <w:bottom w:val="single" w:sz="8" w:color="B6B6B6"/>
            </w:tcBorders>
            <w:shd w:val="clear" w:color="auto" w:fill="B6B6B6"/>
          </w:tcPr>
          <w:p>
            <w:pPr>
              <w:spacing w:after="0"/>
              <w:rPr>
                <w:sz w:val="19"/>
                <w:szCs w:val="19"/>
                <w:color w:val="auto"/>
              </w:rPr>
            </w:pPr>
          </w:p>
        </w:tc>
        <w:tc>
          <w:tcPr>
            <w:tcW w:w="320" w:type="dxa"/>
            <w:vAlign w:val="bottom"/>
            <w:tcBorders>
              <w:bottom w:val="single" w:sz="8" w:color="B6B6B6"/>
            </w:tcBorders>
            <w:shd w:val="clear" w:color="auto" w:fill="B6B6B6"/>
          </w:tcPr>
          <w:p>
            <w:pPr>
              <w:spacing w:after="0"/>
              <w:rPr>
                <w:sz w:val="19"/>
                <w:szCs w:val="19"/>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26,368</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dividends on investment securities: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3"/>
        </w:trPr>
        <w:tc>
          <w:tcPr>
            <w:tcW w:w="6360" w:type="dxa"/>
            <w:vAlign w:val="bottom"/>
            <w:tcBorders>
              <w:bottom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6"/>
                <w:szCs w:val="16"/>
                <w:color w:val="auto"/>
              </w:rPr>
              <w:t>Taxable</w:t>
            </w: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8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7,505</w:t>
            </w:r>
          </w:p>
        </w:tc>
        <w:tc>
          <w:tcPr>
            <w:tcW w:w="100" w:type="dxa"/>
            <w:vAlign w:val="bottom"/>
            <w:tcBorders>
              <w:bottom w:val="single" w:sz="8" w:color="B6B6B6"/>
            </w:tcBorders>
            <w:shd w:val="clear" w:color="auto" w:fill="B6B6B6"/>
          </w:tcPr>
          <w:p>
            <w:pPr>
              <w:spacing w:after="0"/>
              <w:rPr>
                <w:sz w:val="19"/>
                <w:szCs w:val="19"/>
                <w:color w:val="auto"/>
              </w:rPr>
            </w:pPr>
          </w:p>
        </w:tc>
        <w:tc>
          <w:tcPr>
            <w:tcW w:w="320" w:type="dxa"/>
            <w:vAlign w:val="bottom"/>
            <w:tcBorders>
              <w:bottom w:val="single" w:sz="8" w:color="B6B6B6"/>
            </w:tcBorders>
            <w:shd w:val="clear" w:color="auto" w:fill="B6B6B6"/>
          </w:tcPr>
          <w:p>
            <w:pPr>
              <w:spacing w:after="0"/>
              <w:rPr>
                <w:sz w:val="19"/>
                <w:szCs w:val="19"/>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7,003</w:t>
            </w:r>
          </w:p>
        </w:tc>
      </w:tr>
      <w:tr>
        <w:trPr>
          <w:trHeight w:val="210"/>
        </w:trPr>
        <w:tc>
          <w:tcPr>
            <w:tcW w:w="6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Exempt from federal 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Interest on federal funds sold and other short-term investments</w:t>
            </w:r>
          </w:p>
        </w:tc>
        <w:tc>
          <w:tcPr>
            <w:tcW w:w="26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3,003</w:t>
            </w:r>
          </w:p>
        </w:tc>
        <w:tc>
          <w:tcPr>
            <w:tcW w:w="8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6,895</w:t>
            </w:r>
          </w:p>
        </w:tc>
        <w:tc>
          <w:tcPr>
            <w:tcW w:w="100" w:type="dxa"/>
            <w:vAlign w:val="bottom"/>
            <w:tcBorders>
              <w:bottom w:val="single" w:sz="8" w:color="B6B6B6"/>
            </w:tcBorders>
            <w:shd w:val="clear" w:color="auto" w:fill="B6B6B6"/>
          </w:tcPr>
          <w:p>
            <w:pPr>
              <w:spacing w:after="0"/>
              <w:rPr>
                <w:sz w:val="21"/>
                <w:szCs w:val="21"/>
                <w:color w:val="auto"/>
              </w:rPr>
            </w:pPr>
          </w:p>
        </w:tc>
        <w:tc>
          <w:tcPr>
            <w:tcW w:w="320" w:type="dxa"/>
            <w:vAlign w:val="bottom"/>
            <w:tcBorders>
              <w:bottom w:val="single" w:sz="8" w:color="B6B6B6"/>
            </w:tcBorders>
            <w:shd w:val="clear" w:color="auto" w:fill="B6B6B6"/>
          </w:tcPr>
          <w:p>
            <w:pPr>
              <w:spacing w:after="0"/>
              <w:rPr>
                <w:sz w:val="21"/>
                <w:szCs w:val="21"/>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7,708</w:t>
            </w:r>
          </w:p>
        </w:tc>
      </w:tr>
      <w:tr>
        <w:trPr>
          <w:trHeight w:val="204"/>
        </w:trPr>
        <w:tc>
          <w:tcPr>
            <w:tcW w:w="6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interest income</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23,639</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21,241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47,028</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42,895</w:t>
            </w:r>
          </w:p>
        </w:tc>
      </w:tr>
      <w:tr>
        <w:trPr>
          <w:trHeight w:val="72"/>
        </w:trPr>
        <w:tc>
          <w:tcPr>
            <w:tcW w:w="6360" w:type="dxa"/>
            <w:vAlign w:val="bottom"/>
            <w:tcBorders>
              <w:bottom w:val="single" w:sz="8" w:color="B6B6B6"/>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B6B6B6"/>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B6B6B6"/>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B6B6B6"/>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12"/>
        </w:trPr>
        <w:tc>
          <w:tcPr>
            <w:tcW w:w="636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60" w:type="dxa"/>
            <w:vAlign w:val="bottom"/>
            <w:tcBorders>
              <w:top w:val="single" w:sz="8" w:color="B6B6B6"/>
            </w:tcBorders>
          </w:tcPr>
          <w:p>
            <w:pPr>
              <w:spacing w:after="0"/>
              <w:rPr>
                <w:sz w:val="18"/>
                <w:szCs w:val="18"/>
                <w:color w:val="auto"/>
              </w:rPr>
            </w:pPr>
          </w:p>
        </w:tc>
        <w:tc>
          <w:tcPr>
            <w:tcW w:w="900" w:type="dxa"/>
            <w:vAlign w:val="bottom"/>
            <w:tcBorders>
              <w:top w:val="single" w:sz="8" w:color="B6B6B6"/>
            </w:tcBorders>
          </w:tcPr>
          <w:p>
            <w:pPr>
              <w:spacing w:after="0"/>
              <w:rPr>
                <w:sz w:val="18"/>
                <w:szCs w:val="18"/>
                <w:color w:val="auto"/>
              </w:rPr>
            </w:pPr>
          </w:p>
        </w:tc>
        <w:tc>
          <w:tcPr>
            <w:tcW w:w="80" w:type="dxa"/>
            <w:vAlign w:val="bottom"/>
            <w:tcBorders>
              <w:top w:val="single" w:sz="8" w:color="B6B6B6"/>
            </w:tcBorders>
          </w:tcPr>
          <w:p>
            <w:pPr>
              <w:spacing w:after="0"/>
              <w:rPr>
                <w:sz w:val="18"/>
                <w:szCs w:val="18"/>
                <w:color w:val="auto"/>
              </w:rPr>
            </w:pPr>
          </w:p>
        </w:tc>
        <w:tc>
          <w:tcPr>
            <w:tcW w:w="340" w:type="dxa"/>
            <w:vAlign w:val="bottom"/>
            <w:tcBorders>
              <w:top w:val="single" w:sz="8" w:color="B6B6B6"/>
            </w:tcBorders>
          </w:tcPr>
          <w:p>
            <w:pPr>
              <w:spacing w:after="0"/>
              <w:rPr>
                <w:sz w:val="18"/>
                <w:szCs w:val="18"/>
                <w:color w:val="auto"/>
              </w:rPr>
            </w:pPr>
          </w:p>
        </w:tc>
        <w:tc>
          <w:tcPr>
            <w:tcW w:w="820" w:type="dxa"/>
            <w:vAlign w:val="bottom"/>
            <w:tcBorders>
              <w:top w:val="single" w:sz="8" w:color="B6B6B6"/>
            </w:tcBorders>
          </w:tcPr>
          <w:p>
            <w:pPr>
              <w:spacing w:after="0"/>
              <w:rPr>
                <w:sz w:val="18"/>
                <w:szCs w:val="18"/>
                <w:color w:val="auto"/>
              </w:rPr>
            </w:pPr>
          </w:p>
        </w:tc>
        <w:tc>
          <w:tcPr>
            <w:tcW w:w="100" w:type="dxa"/>
            <w:vAlign w:val="bottom"/>
            <w:tcBorders>
              <w:top w:val="single" w:sz="8" w:color="B6B6B6"/>
            </w:tcBorders>
          </w:tcPr>
          <w:p>
            <w:pPr>
              <w:spacing w:after="0"/>
              <w:rPr>
                <w:sz w:val="18"/>
                <w:szCs w:val="18"/>
                <w:color w:val="auto"/>
              </w:rPr>
            </w:pPr>
          </w:p>
        </w:tc>
        <w:tc>
          <w:tcPr>
            <w:tcW w:w="240" w:type="dxa"/>
            <w:vAlign w:val="bottom"/>
            <w:tcBorders>
              <w:top w:val="single" w:sz="8" w:color="B6B6B6"/>
            </w:tcBorders>
          </w:tcPr>
          <w:p>
            <w:pPr>
              <w:spacing w:after="0"/>
              <w:rPr>
                <w:sz w:val="18"/>
                <w:szCs w:val="18"/>
                <w:color w:val="auto"/>
              </w:rPr>
            </w:pPr>
          </w:p>
        </w:tc>
        <w:tc>
          <w:tcPr>
            <w:tcW w:w="900" w:type="dxa"/>
            <w:vAlign w:val="bottom"/>
            <w:tcBorders>
              <w:top w:val="single" w:sz="8" w:color="B6B6B6"/>
            </w:tcBorders>
          </w:tcPr>
          <w:p>
            <w:pPr>
              <w:spacing w:after="0"/>
              <w:rPr>
                <w:sz w:val="18"/>
                <w:szCs w:val="18"/>
                <w:color w:val="auto"/>
              </w:rPr>
            </w:pPr>
          </w:p>
        </w:tc>
        <w:tc>
          <w:tcPr>
            <w:tcW w:w="100" w:type="dxa"/>
            <w:vAlign w:val="bottom"/>
            <w:tcBorders>
              <w:top w:val="single" w:sz="8" w:color="B6B6B6"/>
            </w:tcBorders>
          </w:tcPr>
          <w:p>
            <w:pPr>
              <w:spacing w:after="0"/>
              <w:rPr>
                <w:sz w:val="18"/>
                <w:szCs w:val="18"/>
                <w:color w:val="auto"/>
              </w:rPr>
            </w:pPr>
          </w:p>
        </w:tc>
        <w:tc>
          <w:tcPr>
            <w:tcW w:w="320" w:type="dxa"/>
            <w:vAlign w:val="bottom"/>
            <w:tcBorders>
              <w:top w:val="single" w:sz="8" w:color="B6B6B6"/>
            </w:tcBorders>
          </w:tcPr>
          <w:p>
            <w:pPr>
              <w:spacing w:after="0"/>
              <w:rPr>
                <w:sz w:val="18"/>
                <w:szCs w:val="18"/>
                <w:color w:val="auto"/>
              </w:rPr>
            </w:pPr>
          </w:p>
        </w:tc>
        <w:tc>
          <w:tcPr>
            <w:tcW w:w="820" w:type="dxa"/>
            <w:vAlign w:val="bottom"/>
            <w:tcBorders>
              <w:top w:val="single" w:sz="8" w:color="B6B6B6"/>
            </w:tcBorders>
          </w:tcPr>
          <w:p>
            <w:pPr>
              <w:spacing w:after="0"/>
              <w:rPr>
                <w:sz w:val="18"/>
                <w:szCs w:val="18"/>
                <w:color w:val="auto"/>
              </w:rPr>
            </w:pPr>
          </w:p>
        </w:tc>
      </w:tr>
      <w:tr>
        <w:trPr>
          <w:trHeight w:val="31"/>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Interest on deposits</w:t>
            </w:r>
          </w:p>
        </w:tc>
        <w:tc>
          <w:tcPr>
            <w:tcW w:w="26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8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5,312</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8,280</w:t>
            </w:r>
          </w:p>
        </w:tc>
        <w:tc>
          <w:tcPr>
            <w:tcW w:w="100" w:type="dxa"/>
            <w:vAlign w:val="bottom"/>
            <w:tcBorders>
              <w:bottom w:val="single" w:sz="8" w:color="B6B6B6"/>
            </w:tcBorders>
            <w:shd w:val="clear" w:color="auto" w:fill="B6B6B6"/>
          </w:tcPr>
          <w:p>
            <w:pPr>
              <w:spacing w:after="0"/>
              <w:rPr>
                <w:sz w:val="21"/>
                <w:szCs w:val="21"/>
                <w:color w:val="auto"/>
              </w:rPr>
            </w:pPr>
          </w:p>
        </w:tc>
        <w:tc>
          <w:tcPr>
            <w:tcW w:w="320" w:type="dxa"/>
            <w:vAlign w:val="bottom"/>
            <w:tcBorders>
              <w:bottom w:val="single" w:sz="8" w:color="B6B6B6"/>
            </w:tcBorders>
            <w:shd w:val="clear" w:color="auto" w:fill="B6B6B6"/>
          </w:tcPr>
          <w:p>
            <w:pPr>
              <w:spacing w:after="0"/>
              <w:rPr>
                <w:sz w:val="21"/>
                <w:szCs w:val="21"/>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10,490</w:t>
            </w:r>
          </w:p>
        </w:tc>
      </w:tr>
      <w:tr>
        <w:trPr>
          <w:trHeight w:val="204"/>
        </w:trPr>
        <w:tc>
          <w:tcPr>
            <w:tcW w:w="6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interest expense</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5,312</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8,280</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10,490</w:t>
            </w:r>
          </w:p>
        </w:tc>
      </w:tr>
      <w:tr>
        <w:trPr>
          <w:trHeight w:val="33"/>
        </w:trPr>
        <w:tc>
          <w:tcPr>
            <w:tcW w:w="636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6"/>
        </w:trPr>
        <w:tc>
          <w:tcPr>
            <w:tcW w:w="6360" w:type="dxa"/>
            <w:vAlign w:val="bottom"/>
            <w:tcBorders>
              <w:bottom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6"/>
                <w:szCs w:val="16"/>
                <w:color w:val="auto"/>
              </w:rPr>
              <w:t>Net interest income</w:t>
            </w:r>
          </w:p>
        </w:tc>
        <w:tc>
          <w:tcPr>
            <w:tcW w:w="26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19,475</w:t>
            </w:r>
          </w:p>
        </w:tc>
        <w:tc>
          <w:tcPr>
            <w:tcW w:w="8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15,929</w:t>
            </w:r>
          </w:p>
        </w:tc>
        <w:tc>
          <w:tcPr>
            <w:tcW w:w="100" w:type="dxa"/>
            <w:vAlign w:val="bottom"/>
            <w:tcBorders>
              <w:bottom w:val="single" w:sz="8" w:color="B6B6B6"/>
            </w:tcBorders>
            <w:shd w:val="clear" w:color="auto" w:fill="B6B6B6"/>
          </w:tcPr>
          <w:p>
            <w:pPr>
              <w:spacing w:after="0"/>
              <w:rPr>
                <w:sz w:val="18"/>
                <w:szCs w:val="18"/>
                <w:color w:val="auto"/>
              </w:rPr>
            </w:pPr>
          </w:p>
        </w:tc>
        <w:tc>
          <w:tcPr>
            <w:tcW w:w="24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38,748</w:t>
            </w:r>
          </w:p>
        </w:tc>
        <w:tc>
          <w:tcPr>
            <w:tcW w:w="100" w:type="dxa"/>
            <w:vAlign w:val="bottom"/>
            <w:tcBorders>
              <w:bottom w:val="single" w:sz="8" w:color="B6B6B6"/>
            </w:tcBorders>
            <w:shd w:val="clear" w:color="auto" w:fill="B6B6B6"/>
          </w:tcPr>
          <w:p>
            <w:pPr>
              <w:spacing w:after="0"/>
              <w:rPr>
                <w:sz w:val="18"/>
                <w:szCs w:val="18"/>
                <w:color w:val="auto"/>
              </w:rPr>
            </w:pPr>
          </w:p>
        </w:tc>
        <w:tc>
          <w:tcPr>
            <w:tcW w:w="320" w:type="dxa"/>
            <w:vAlign w:val="bottom"/>
            <w:tcBorders>
              <w:bottom w:val="single" w:sz="8" w:color="B6B6B6"/>
            </w:tcBorders>
            <w:shd w:val="clear" w:color="auto" w:fill="B6B6B6"/>
          </w:tcPr>
          <w:p>
            <w:pPr>
              <w:spacing w:after="0"/>
              <w:rPr>
                <w:sz w:val="18"/>
                <w:szCs w:val="18"/>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32,405</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33"/>
        </w:trPr>
        <w:tc>
          <w:tcPr>
            <w:tcW w:w="636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6"/>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260" w:type="dxa"/>
            <w:vAlign w:val="bottom"/>
            <w:tcBorders>
              <w:bottom w:val="single" w:sz="8" w:color="B6B6B6"/>
            </w:tcBorders>
            <w:shd w:val="clear" w:color="auto" w:fill="B6B6B6"/>
          </w:tcPr>
          <w:p>
            <w:pPr>
              <w:spacing w:after="0"/>
              <w:rPr>
                <w:sz w:val="20"/>
                <w:szCs w:val="20"/>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19,450</w:t>
            </w:r>
          </w:p>
        </w:tc>
        <w:tc>
          <w:tcPr>
            <w:tcW w:w="8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B6B6B6"/>
            </w:tcBorders>
            <w:shd w:val="clear" w:color="auto" w:fill="B6B6B6"/>
          </w:tcPr>
          <w:p>
            <w:pPr>
              <w:spacing w:after="0"/>
              <w:rPr>
                <w:sz w:val="20"/>
                <w:szCs w:val="20"/>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15,529</w:t>
            </w:r>
          </w:p>
        </w:tc>
        <w:tc>
          <w:tcPr>
            <w:tcW w:w="100" w:type="dxa"/>
            <w:vAlign w:val="bottom"/>
            <w:tcBorders>
              <w:bottom w:val="single" w:sz="8" w:color="B6B6B6"/>
            </w:tcBorders>
            <w:shd w:val="clear" w:color="auto" w:fill="B6B6B6"/>
          </w:tcPr>
          <w:p>
            <w:pPr>
              <w:spacing w:after="0"/>
              <w:rPr>
                <w:sz w:val="20"/>
                <w:szCs w:val="20"/>
                <w:color w:val="auto"/>
              </w:rPr>
            </w:pPr>
          </w:p>
        </w:tc>
        <w:tc>
          <w:tcPr>
            <w:tcW w:w="240" w:type="dxa"/>
            <w:vAlign w:val="bottom"/>
            <w:tcBorders>
              <w:bottom w:val="single" w:sz="8" w:color="B6B6B6"/>
            </w:tcBorders>
            <w:shd w:val="clear" w:color="auto" w:fill="B6B6B6"/>
          </w:tcPr>
          <w:p>
            <w:pPr>
              <w:spacing w:after="0"/>
              <w:rPr>
                <w:sz w:val="20"/>
                <w:szCs w:val="20"/>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37,818</w:t>
            </w:r>
          </w:p>
        </w:tc>
        <w:tc>
          <w:tcPr>
            <w:tcW w:w="100" w:type="dxa"/>
            <w:vAlign w:val="bottom"/>
            <w:tcBorders>
              <w:bottom w:val="single" w:sz="8" w:color="B6B6B6"/>
            </w:tcBorders>
            <w:shd w:val="clear" w:color="auto" w:fill="B6B6B6"/>
          </w:tcPr>
          <w:p>
            <w:pPr>
              <w:spacing w:after="0"/>
              <w:rPr>
                <w:sz w:val="20"/>
                <w:szCs w:val="20"/>
                <w:color w:val="auto"/>
              </w:rPr>
            </w:pPr>
          </w:p>
        </w:tc>
        <w:tc>
          <w:tcPr>
            <w:tcW w:w="320" w:type="dxa"/>
            <w:vAlign w:val="bottom"/>
            <w:tcBorders>
              <w:bottom w:val="single" w:sz="8" w:color="B6B6B6"/>
            </w:tcBorders>
            <w:shd w:val="clear" w:color="auto" w:fill="B6B6B6"/>
          </w:tcPr>
          <w:p>
            <w:pPr>
              <w:spacing w:after="0"/>
              <w:rPr>
                <w:sz w:val="20"/>
                <w:szCs w:val="20"/>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31,910</w:t>
            </w:r>
          </w:p>
        </w:tc>
      </w:tr>
      <w:tr>
        <w:trPr>
          <w:trHeight w:val="204"/>
        </w:trPr>
        <w:tc>
          <w:tcPr>
            <w:tcW w:w="63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net revenue</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44,398</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43,977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90,804</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89,082</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94"/>
        </w:trPr>
        <w:tc>
          <w:tcPr>
            <w:tcW w:w="6360" w:type="dxa"/>
            <w:vAlign w:val="bottom"/>
            <w:shd w:val="clear" w:color="auto" w:fill="B6B6B6"/>
          </w:tcPr>
          <w:p>
            <w:pPr>
              <w:spacing w:after="0"/>
              <w:rPr>
                <w:sz w:val="8"/>
                <w:szCs w:val="8"/>
                <w:color w:val="auto"/>
              </w:rPr>
            </w:pPr>
          </w:p>
        </w:tc>
        <w:tc>
          <w:tcPr>
            <w:tcW w:w="260" w:type="dxa"/>
            <w:vAlign w:val="bottom"/>
            <w:shd w:val="clear" w:color="auto" w:fill="B6B6B6"/>
          </w:tcPr>
          <w:p>
            <w:pPr>
              <w:spacing w:after="0"/>
              <w:rPr>
                <w:sz w:val="8"/>
                <w:szCs w:val="8"/>
                <w:color w:val="auto"/>
              </w:rPr>
            </w:pPr>
          </w:p>
        </w:tc>
        <w:tc>
          <w:tcPr>
            <w:tcW w:w="900" w:type="dxa"/>
            <w:vAlign w:val="bottom"/>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340" w:type="dxa"/>
            <w:vAlign w:val="bottom"/>
            <w:shd w:val="clear" w:color="auto" w:fill="B6B6B6"/>
          </w:tcPr>
          <w:p>
            <w:pPr>
              <w:spacing w:after="0"/>
              <w:rPr>
                <w:sz w:val="8"/>
                <w:szCs w:val="8"/>
                <w:color w:val="auto"/>
              </w:rPr>
            </w:pPr>
          </w:p>
        </w:tc>
        <w:tc>
          <w:tcPr>
            <w:tcW w:w="82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240" w:type="dxa"/>
            <w:vAlign w:val="bottom"/>
            <w:shd w:val="clear" w:color="auto" w:fill="B6B6B6"/>
          </w:tcPr>
          <w:p>
            <w:pPr>
              <w:spacing w:after="0"/>
              <w:rPr>
                <w:sz w:val="8"/>
                <w:szCs w:val="8"/>
                <w:color w:val="auto"/>
              </w:rPr>
            </w:pPr>
          </w:p>
        </w:tc>
        <w:tc>
          <w:tcPr>
            <w:tcW w:w="90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320" w:type="dxa"/>
            <w:vAlign w:val="bottom"/>
            <w:shd w:val="clear" w:color="auto" w:fill="B6B6B6"/>
          </w:tcPr>
          <w:p>
            <w:pPr>
              <w:spacing w:after="0"/>
              <w:rPr>
                <w:sz w:val="8"/>
                <w:szCs w:val="8"/>
                <w:color w:val="auto"/>
              </w:rPr>
            </w:pPr>
          </w:p>
        </w:tc>
        <w:tc>
          <w:tcPr>
            <w:tcW w:w="820" w:type="dxa"/>
            <w:vAlign w:val="bottom"/>
            <w:shd w:val="clear" w:color="auto" w:fill="B6B6B6"/>
          </w:tcPr>
          <w:p>
            <w:pPr>
              <w:spacing w:after="0"/>
              <w:rPr>
                <w:sz w:val="8"/>
                <w:szCs w:val="8"/>
                <w:color w:val="auto"/>
              </w:rPr>
            </w:pP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1"/>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Salaries and commissions</w:t>
            </w: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20,638</w:t>
            </w:r>
          </w:p>
        </w:tc>
        <w:tc>
          <w:tcPr>
            <w:tcW w:w="8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20,393</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40,301</w:t>
            </w:r>
          </w:p>
        </w:tc>
        <w:tc>
          <w:tcPr>
            <w:tcW w:w="100" w:type="dxa"/>
            <w:vAlign w:val="bottom"/>
            <w:tcBorders>
              <w:bottom w:val="single" w:sz="8" w:color="B6B6B6"/>
            </w:tcBorders>
            <w:shd w:val="clear" w:color="auto" w:fill="B6B6B6"/>
          </w:tcPr>
          <w:p>
            <w:pPr>
              <w:spacing w:after="0"/>
              <w:rPr>
                <w:sz w:val="19"/>
                <w:szCs w:val="19"/>
                <w:color w:val="auto"/>
              </w:rPr>
            </w:pPr>
          </w:p>
        </w:tc>
        <w:tc>
          <w:tcPr>
            <w:tcW w:w="320" w:type="dxa"/>
            <w:vAlign w:val="bottom"/>
            <w:tcBorders>
              <w:bottom w:val="single" w:sz="8" w:color="B6B6B6"/>
            </w:tcBorders>
            <w:shd w:val="clear" w:color="auto" w:fill="B6B6B6"/>
          </w:tcPr>
          <w:p>
            <w:pPr>
              <w:spacing w:after="0"/>
              <w:rPr>
                <w:sz w:val="19"/>
                <w:szCs w:val="19"/>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39,915</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Employee profit sharing</w:t>
            </w: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8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3,085</w:t>
            </w:r>
          </w:p>
        </w:tc>
        <w:tc>
          <w:tcPr>
            <w:tcW w:w="100" w:type="dxa"/>
            <w:vAlign w:val="bottom"/>
            <w:tcBorders>
              <w:bottom w:val="single" w:sz="8" w:color="B6B6B6"/>
            </w:tcBorders>
            <w:shd w:val="clear" w:color="auto" w:fill="B6B6B6"/>
          </w:tcPr>
          <w:p>
            <w:pPr>
              <w:spacing w:after="0"/>
              <w:rPr>
                <w:sz w:val="19"/>
                <w:szCs w:val="19"/>
                <w:color w:val="auto"/>
              </w:rPr>
            </w:pPr>
          </w:p>
        </w:tc>
        <w:tc>
          <w:tcPr>
            <w:tcW w:w="320" w:type="dxa"/>
            <w:vAlign w:val="bottom"/>
            <w:tcBorders>
              <w:bottom w:val="single" w:sz="8" w:color="B6B6B6"/>
            </w:tcBorders>
            <w:shd w:val="clear" w:color="auto" w:fill="B6B6B6"/>
          </w:tcPr>
          <w:p>
            <w:pPr>
              <w:spacing w:after="0"/>
              <w:rPr>
                <w:sz w:val="19"/>
                <w:szCs w:val="19"/>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2,351</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periodic pension cost</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Other benefits</w:t>
            </w:r>
          </w:p>
        </w:tc>
        <w:tc>
          <w:tcPr>
            <w:tcW w:w="26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4,613</w:t>
            </w:r>
          </w:p>
        </w:tc>
        <w:tc>
          <w:tcPr>
            <w:tcW w:w="8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4,309</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9,486</w:t>
            </w:r>
          </w:p>
        </w:tc>
        <w:tc>
          <w:tcPr>
            <w:tcW w:w="100" w:type="dxa"/>
            <w:vAlign w:val="bottom"/>
            <w:tcBorders>
              <w:bottom w:val="single" w:sz="8" w:color="B6B6B6"/>
            </w:tcBorders>
            <w:shd w:val="clear" w:color="auto" w:fill="B6B6B6"/>
          </w:tcPr>
          <w:p>
            <w:pPr>
              <w:spacing w:after="0"/>
              <w:rPr>
                <w:sz w:val="21"/>
                <w:szCs w:val="21"/>
                <w:color w:val="auto"/>
              </w:rPr>
            </w:pPr>
          </w:p>
        </w:tc>
        <w:tc>
          <w:tcPr>
            <w:tcW w:w="320" w:type="dxa"/>
            <w:vAlign w:val="bottom"/>
            <w:tcBorders>
              <w:bottom w:val="single" w:sz="8" w:color="B6B6B6"/>
            </w:tcBorders>
            <w:shd w:val="clear" w:color="auto" w:fill="B6B6B6"/>
          </w:tcPr>
          <w:p>
            <w:pPr>
              <w:spacing w:after="0"/>
              <w:rPr>
                <w:sz w:val="21"/>
                <w:szCs w:val="21"/>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8,854</w:t>
            </w:r>
          </w:p>
        </w:tc>
      </w:tr>
      <w:tr>
        <w:trPr>
          <w:trHeight w:val="204"/>
        </w:trPr>
        <w:tc>
          <w:tcPr>
            <w:tcW w:w="6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personnel expenses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27,752</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26,244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55,031</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53,151</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8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00" w:type="dxa"/>
            <w:vAlign w:val="bottom"/>
            <w:tcBorders>
              <w:bottom w:val="single" w:sz="8" w:color="B6B6B6"/>
            </w:tcBorders>
            <w:shd w:val="clear" w:color="auto" w:fill="B6B6B6"/>
          </w:tcPr>
          <w:p>
            <w:pPr>
              <w:spacing w:after="0"/>
              <w:rPr>
                <w:sz w:val="19"/>
                <w:szCs w:val="19"/>
                <w:color w:val="auto"/>
              </w:rPr>
            </w:pPr>
          </w:p>
        </w:tc>
        <w:tc>
          <w:tcPr>
            <w:tcW w:w="320" w:type="dxa"/>
            <w:vAlign w:val="bottom"/>
            <w:tcBorders>
              <w:bottom w:val="single" w:sz="8" w:color="B6B6B6"/>
            </w:tcBorders>
            <w:shd w:val="clear" w:color="auto" w:fill="B6B6B6"/>
          </w:tcPr>
          <w:p>
            <w:pPr>
              <w:spacing w:after="0"/>
              <w:rPr>
                <w:sz w:val="19"/>
                <w:szCs w:val="19"/>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1,317</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Borders>
              <w:bottom w:val="single" w:sz="8" w:color="B6B6B6"/>
            </w:tcBorders>
            <w:shd w:val="clear" w:color="auto" w:fill="B6B6B6"/>
          </w:tcPr>
          <w:p>
            <w:pPr>
              <w:spacing w:after="0"/>
              <w:rPr>
                <w:sz w:val="19"/>
                <w:szCs w:val="19"/>
                <w:color w:val="auto"/>
              </w:rPr>
            </w:pPr>
          </w:p>
        </w:tc>
        <w:tc>
          <w:tcPr>
            <w:tcW w:w="320" w:type="dxa"/>
            <w:vAlign w:val="bottom"/>
            <w:tcBorders>
              <w:bottom w:val="single" w:sz="8" w:color="B6B6B6"/>
            </w:tcBorders>
            <w:shd w:val="clear" w:color="auto" w:fill="B6B6B6"/>
          </w:tcPr>
          <w:p>
            <w:pPr>
              <w:spacing w:after="0"/>
              <w:rPr>
                <w:sz w:val="19"/>
                <w:szCs w:val="19"/>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Bad debt expense (recovery)</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Other operating expense</w:t>
            </w:r>
          </w:p>
        </w:tc>
        <w:tc>
          <w:tcPr>
            <w:tcW w:w="26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6,843</w:t>
            </w:r>
          </w:p>
        </w:tc>
        <w:tc>
          <w:tcPr>
            <w:tcW w:w="8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8,127</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13,786</w:t>
            </w:r>
          </w:p>
        </w:tc>
        <w:tc>
          <w:tcPr>
            <w:tcW w:w="100" w:type="dxa"/>
            <w:vAlign w:val="bottom"/>
            <w:tcBorders>
              <w:bottom w:val="single" w:sz="8" w:color="B6B6B6"/>
            </w:tcBorders>
            <w:shd w:val="clear" w:color="auto" w:fill="B6B6B6"/>
          </w:tcPr>
          <w:p>
            <w:pPr>
              <w:spacing w:after="0"/>
              <w:rPr>
                <w:sz w:val="21"/>
                <w:szCs w:val="21"/>
                <w:color w:val="auto"/>
              </w:rPr>
            </w:pPr>
          </w:p>
        </w:tc>
        <w:tc>
          <w:tcPr>
            <w:tcW w:w="320" w:type="dxa"/>
            <w:vAlign w:val="bottom"/>
            <w:tcBorders>
              <w:bottom w:val="single" w:sz="8" w:color="B6B6B6"/>
            </w:tcBorders>
            <w:shd w:val="clear" w:color="auto" w:fill="B6B6B6"/>
          </w:tcPr>
          <w:p>
            <w:pPr>
              <w:spacing w:after="0"/>
              <w:rPr>
                <w:sz w:val="21"/>
                <w:szCs w:val="21"/>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14,748</w:t>
            </w:r>
          </w:p>
        </w:tc>
      </w:tr>
      <w:tr>
        <w:trPr>
          <w:trHeight w:val="204"/>
        </w:trPr>
        <w:tc>
          <w:tcPr>
            <w:tcW w:w="6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operating expense</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38,119</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38,409</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73,649</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74,617</w:t>
            </w:r>
          </w:p>
        </w:tc>
      </w:tr>
      <w:tr>
        <w:trPr>
          <w:trHeight w:val="33"/>
        </w:trPr>
        <w:tc>
          <w:tcPr>
            <w:tcW w:w="636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 expense</w:t>
            </w:r>
          </w:p>
        </w:tc>
        <w:tc>
          <w:tcPr>
            <w:tcW w:w="26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6,279</w:t>
            </w:r>
          </w:p>
        </w:tc>
        <w:tc>
          <w:tcPr>
            <w:tcW w:w="8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5,568</w:t>
            </w:r>
          </w:p>
        </w:tc>
        <w:tc>
          <w:tcPr>
            <w:tcW w:w="100" w:type="dxa"/>
            <w:vAlign w:val="bottom"/>
            <w:tcBorders>
              <w:bottom w:val="single" w:sz="8" w:color="B6B6B6"/>
            </w:tcBorders>
            <w:shd w:val="clear" w:color="auto" w:fill="B6B6B6"/>
          </w:tcPr>
          <w:p>
            <w:pPr>
              <w:spacing w:after="0"/>
              <w:rPr>
                <w:sz w:val="18"/>
                <w:szCs w:val="18"/>
                <w:color w:val="auto"/>
              </w:rPr>
            </w:pPr>
          </w:p>
        </w:tc>
        <w:tc>
          <w:tcPr>
            <w:tcW w:w="24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17,155</w:t>
            </w:r>
          </w:p>
        </w:tc>
        <w:tc>
          <w:tcPr>
            <w:tcW w:w="100" w:type="dxa"/>
            <w:vAlign w:val="bottom"/>
            <w:tcBorders>
              <w:bottom w:val="single" w:sz="8" w:color="B6B6B6"/>
            </w:tcBorders>
            <w:shd w:val="clear" w:color="auto" w:fill="B6B6B6"/>
          </w:tcPr>
          <w:p>
            <w:pPr>
              <w:spacing w:after="0"/>
              <w:rPr>
                <w:sz w:val="18"/>
                <w:szCs w:val="18"/>
                <w:color w:val="auto"/>
              </w:rPr>
            </w:pPr>
          </w:p>
        </w:tc>
        <w:tc>
          <w:tcPr>
            <w:tcW w:w="320" w:type="dxa"/>
            <w:vAlign w:val="bottom"/>
            <w:tcBorders>
              <w:bottom w:val="single" w:sz="8" w:color="B6B6B6"/>
            </w:tcBorders>
            <w:shd w:val="clear" w:color="auto" w:fill="B6B6B6"/>
          </w:tcPr>
          <w:p>
            <w:pPr>
              <w:spacing w:after="0"/>
              <w:rPr>
                <w:sz w:val="18"/>
                <w:szCs w:val="18"/>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14,465</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r>
      <w:tr>
        <w:trPr>
          <w:trHeight w:val="33"/>
        </w:trPr>
        <w:tc>
          <w:tcPr>
            <w:tcW w:w="636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6"/>
        </w:trPr>
        <w:tc>
          <w:tcPr>
            <w:tcW w:w="6360" w:type="dxa"/>
            <w:vAlign w:val="bottom"/>
            <w:tcBorders>
              <w:bottom w:val="single" w:sz="8" w:color="B6B6B6"/>
            </w:tcBorders>
            <w:shd w:val="clear" w:color="auto" w:fill="B6B6B6"/>
          </w:tcPr>
          <w:p>
            <w:pPr>
              <w:ind w:left="5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6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5,160</w:t>
            </w:r>
          </w:p>
        </w:tc>
        <w:tc>
          <w:tcPr>
            <w:tcW w:w="8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4,308</w:t>
            </w:r>
          </w:p>
        </w:tc>
        <w:tc>
          <w:tcPr>
            <w:tcW w:w="100" w:type="dxa"/>
            <w:vAlign w:val="bottom"/>
            <w:tcBorders>
              <w:bottom w:val="single" w:sz="8" w:color="B6B6B6"/>
            </w:tcBorders>
            <w:shd w:val="clear" w:color="auto" w:fill="B6B6B6"/>
          </w:tcPr>
          <w:p>
            <w:pPr>
              <w:spacing w:after="0"/>
              <w:rPr>
                <w:sz w:val="18"/>
                <w:szCs w:val="18"/>
                <w:color w:val="auto"/>
              </w:rPr>
            </w:pPr>
          </w:p>
        </w:tc>
        <w:tc>
          <w:tcPr>
            <w:tcW w:w="24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13,710</w:t>
            </w:r>
          </w:p>
        </w:tc>
        <w:tc>
          <w:tcPr>
            <w:tcW w:w="100" w:type="dxa"/>
            <w:vAlign w:val="bottom"/>
            <w:tcBorders>
              <w:bottom w:val="single" w:sz="8" w:color="B6B6B6"/>
            </w:tcBorders>
            <w:shd w:val="clear" w:color="auto" w:fill="B6B6B6"/>
          </w:tcPr>
          <w:p>
            <w:pPr>
              <w:spacing w:after="0"/>
              <w:rPr>
                <w:sz w:val="18"/>
                <w:szCs w:val="18"/>
                <w:color w:val="auto"/>
              </w:rPr>
            </w:pPr>
          </w:p>
        </w:tc>
        <w:tc>
          <w:tcPr>
            <w:tcW w:w="320" w:type="dxa"/>
            <w:vAlign w:val="bottom"/>
            <w:tcBorders>
              <w:bottom w:val="single" w:sz="8" w:color="B6B6B6"/>
            </w:tcBorders>
            <w:shd w:val="clear" w:color="auto" w:fill="B6B6B6"/>
          </w:tcPr>
          <w:p>
            <w:pPr>
              <w:spacing w:after="0"/>
              <w:rPr>
                <w:sz w:val="18"/>
                <w:szCs w:val="18"/>
                <w:color w:val="auto"/>
              </w:rPr>
            </w:pP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11,372</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33"/>
        </w:trPr>
        <w:tc>
          <w:tcPr>
            <w:tcW w:w="636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9"/>
        </w:trPr>
        <w:tc>
          <w:tcPr>
            <w:tcW w:w="6360" w:type="dxa"/>
            <w:vAlign w:val="bottom"/>
            <w:tcBorders>
              <w:bottom w:val="single" w:sz="8" w:color="B6B6B6"/>
            </w:tcBorders>
            <w:shd w:val="clear" w:color="auto" w:fill="B6B6B6"/>
          </w:tcPr>
          <w:p>
            <w:pPr>
              <w:ind w:left="5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8,855</w:t>
            </w:r>
          </w:p>
        </w:tc>
        <w:tc>
          <w:tcPr>
            <w:tcW w:w="80" w:type="dxa"/>
            <w:vAlign w:val="bottom"/>
            <w:tcBorders>
              <w:bottom w:val="single" w:sz="8" w:color="B6B6B6"/>
            </w:tcBorders>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100" w:type="dxa"/>
            <w:vAlign w:val="bottom"/>
            <w:tcBorders>
              <w:bottom w:val="single" w:sz="8" w:color="B6B6B6"/>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17,821</w:t>
            </w:r>
          </w:p>
        </w:tc>
        <w:tc>
          <w:tcPr>
            <w:tcW w:w="100" w:type="dxa"/>
            <w:vAlign w:val="bottom"/>
            <w:tcBorders>
              <w:bottom w:val="single" w:sz="8" w:color="B6B6B6"/>
            </w:tcBorders>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11,636</w:t>
            </w:r>
          </w:p>
        </w:tc>
      </w:tr>
      <w:tr>
        <w:trPr>
          <w:trHeight w:val="20"/>
        </w:trPr>
        <w:tc>
          <w:tcPr>
            <w:tcW w:w="6360" w:type="dxa"/>
            <w:vAlign w:val="bottom"/>
            <w:tcBorders>
              <w:top w:val="single" w:sz="8" w:color="B6B6B6"/>
            </w:tcBorders>
          </w:tcPr>
          <w:p>
            <w:pPr>
              <w:spacing w:after="0" w:line="20" w:lineRule="exact"/>
              <w:rPr>
                <w:sz w:val="1"/>
                <w:szCs w:val="1"/>
                <w:color w:val="auto"/>
              </w:rPr>
            </w:pPr>
          </w:p>
        </w:tc>
        <w:tc>
          <w:tcPr>
            <w:tcW w:w="26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82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320" w:type="dxa"/>
            <w:vAlign w:val="bottom"/>
            <w:tcBorders>
              <w:top w:val="single" w:sz="8" w:color="B6B6B6"/>
              <w:bottom w:val="single" w:sz="8" w:color="auto"/>
            </w:tcBorders>
          </w:tcPr>
          <w:p>
            <w:pPr>
              <w:spacing w:after="0" w:line="20" w:lineRule="exact"/>
              <w:rPr>
                <w:sz w:val="1"/>
                <w:szCs w:val="1"/>
                <w:color w:val="auto"/>
              </w:rPr>
            </w:pPr>
          </w:p>
        </w:tc>
        <w:tc>
          <w:tcPr>
            <w:tcW w:w="820" w:type="dxa"/>
            <w:vAlign w:val="bottom"/>
            <w:tcBorders>
              <w:top w:val="single" w:sz="8" w:color="B6B6B6"/>
              <w:bottom w:val="single" w:sz="8" w:color="auto"/>
            </w:tcBorders>
          </w:tcPr>
          <w:p>
            <w:pPr>
              <w:spacing w:after="0" w:line="20" w:lineRule="exact"/>
              <w:rPr>
                <w:sz w:val="1"/>
                <w:szCs w:val="1"/>
                <w:color w:val="auto"/>
              </w:rPr>
            </w:pPr>
          </w:p>
        </w:tc>
      </w:tr>
      <w:tr>
        <w:trPr>
          <w:trHeight w:val="58"/>
        </w:trPr>
        <w:tc>
          <w:tcPr>
            <w:tcW w:w="6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2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Basic earnings per share from continuing operations</w:t>
            </w:r>
          </w:p>
        </w:tc>
        <w:tc>
          <w:tcPr>
            <w:tcW w:w="260" w:type="dxa"/>
            <w:vAlign w:val="bottom"/>
            <w:tcBorders>
              <w:bottom w:val="single" w:sz="8" w:color="B6B6B6"/>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B6B6B6"/>
            </w:tcBorders>
            <w:shd w:val="clear" w:color="auto" w:fill="B6B6B6"/>
          </w:tcPr>
          <w:p>
            <w:pPr>
              <w:spacing w:after="0"/>
              <w:rPr>
                <w:sz w:val="19"/>
                <w:szCs w:val="19"/>
                <w:color w:val="auto"/>
              </w:rPr>
            </w:pPr>
          </w:p>
        </w:tc>
        <w:tc>
          <w:tcPr>
            <w:tcW w:w="320" w:type="dxa"/>
            <w:vAlign w:val="bottom"/>
            <w:tcBorders>
              <w:bottom w:val="single" w:sz="8" w:color="B6B6B6"/>
            </w:tcBorders>
            <w:shd w:val="clear" w:color="auto" w:fill="B6B6B6"/>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per share from discontinued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636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6"/>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60" w:type="dxa"/>
            <w:vAlign w:val="bottom"/>
            <w:tcBorders>
              <w:bottom w:val="single" w:sz="8" w:color="B6B6B6"/>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B6B6B6"/>
            </w:tcBorders>
            <w:shd w:val="clear" w:color="auto" w:fill="B6B6B6"/>
          </w:tcPr>
          <w:p>
            <w:pPr>
              <w:spacing w:after="0"/>
              <w:rPr>
                <w:sz w:val="18"/>
                <w:szCs w:val="18"/>
                <w:color w:val="auto"/>
              </w:rPr>
            </w:pPr>
          </w:p>
        </w:tc>
        <w:tc>
          <w:tcPr>
            <w:tcW w:w="240" w:type="dxa"/>
            <w:vAlign w:val="bottom"/>
            <w:tcBorders>
              <w:bottom w:val="single" w:sz="8" w:color="B6B6B6"/>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B6B6B6"/>
            </w:tcBorders>
            <w:shd w:val="clear" w:color="auto" w:fill="B6B6B6"/>
          </w:tcPr>
          <w:p>
            <w:pPr>
              <w:spacing w:after="0"/>
              <w:rPr>
                <w:sz w:val="18"/>
                <w:szCs w:val="18"/>
                <w:color w:val="auto"/>
              </w:rPr>
            </w:pPr>
          </w:p>
        </w:tc>
        <w:tc>
          <w:tcPr>
            <w:tcW w:w="320" w:type="dxa"/>
            <w:vAlign w:val="bottom"/>
            <w:tcBorders>
              <w:bottom w:val="single" w:sz="8" w:color="B6B6B6"/>
            </w:tcBorders>
            <w:shd w:val="clear" w:color="auto" w:fill="B6B6B6"/>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108"/>
        </w:trPr>
        <w:tc>
          <w:tcPr>
            <w:tcW w:w="6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2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Diluted earnings per share from continuing operations</w:t>
            </w:r>
          </w:p>
        </w:tc>
        <w:tc>
          <w:tcPr>
            <w:tcW w:w="260" w:type="dxa"/>
            <w:vAlign w:val="bottom"/>
            <w:tcBorders>
              <w:bottom w:val="single" w:sz="8" w:color="B6B6B6"/>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Borders>
              <w:bottom w:val="single" w:sz="8" w:color="B6B6B6"/>
            </w:tcBorders>
            <w:shd w:val="clear" w:color="auto" w:fill="B6B6B6"/>
          </w:tcPr>
          <w:p>
            <w:pPr>
              <w:spacing w:after="0"/>
              <w:rPr>
                <w:sz w:val="19"/>
                <w:szCs w:val="19"/>
                <w:color w:val="auto"/>
              </w:rPr>
            </w:pPr>
          </w:p>
        </w:tc>
        <w:tc>
          <w:tcPr>
            <w:tcW w:w="320" w:type="dxa"/>
            <w:vAlign w:val="bottom"/>
            <w:tcBorders>
              <w:bottom w:val="single" w:sz="8" w:color="B6B6B6"/>
            </w:tcBorders>
            <w:shd w:val="clear" w:color="auto" w:fill="B6B6B6"/>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 from discontinued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33"/>
        </w:trPr>
        <w:tc>
          <w:tcPr>
            <w:tcW w:w="636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4"/>
        </w:trPr>
        <w:tc>
          <w:tcPr>
            <w:tcW w:w="6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60" w:type="dxa"/>
            <w:vAlign w:val="bottom"/>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B6B6B6"/>
          </w:tcPr>
          <w:p>
            <w:pPr>
              <w:spacing w:after="0"/>
              <w:rPr>
                <w:sz w:val="17"/>
                <w:szCs w:val="17"/>
                <w:color w:val="auto"/>
              </w:rPr>
            </w:pPr>
          </w:p>
        </w:tc>
        <w:tc>
          <w:tcPr>
            <w:tcW w:w="340" w:type="dxa"/>
            <w:vAlign w:val="bottom"/>
            <w:shd w:val="clear" w:color="auto" w:fill="B6B6B6"/>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B6B6B6"/>
          </w:tcPr>
          <w:p>
            <w:pPr>
              <w:spacing w:after="0"/>
              <w:rPr>
                <w:sz w:val="17"/>
                <w:szCs w:val="17"/>
                <w:color w:val="auto"/>
              </w:rPr>
            </w:pPr>
          </w:p>
        </w:tc>
        <w:tc>
          <w:tcPr>
            <w:tcW w:w="240" w:type="dxa"/>
            <w:vAlign w:val="bottom"/>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B6B6B6"/>
          </w:tcPr>
          <w:p>
            <w:pPr>
              <w:spacing w:after="0"/>
              <w:rPr>
                <w:sz w:val="17"/>
                <w:szCs w:val="17"/>
                <w:color w:val="auto"/>
              </w:rPr>
            </w:pPr>
          </w:p>
        </w:tc>
        <w:tc>
          <w:tcPr>
            <w:tcW w:w="320" w:type="dxa"/>
            <w:vAlign w:val="bottom"/>
            <w:shd w:val="clear" w:color="auto" w:fill="B6B6B6"/>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33"/>
        </w:trPr>
        <w:tc>
          <w:tcPr>
            <w:tcW w:w="6360" w:type="dxa"/>
            <w:vAlign w:val="bottom"/>
            <w:shd w:val="clear" w:color="auto" w:fill="B6B6B6"/>
          </w:tcPr>
          <w:p>
            <w:pPr>
              <w:spacing w:after="0"/>
              <w:rPr>
                <w:sz w:val="2"/>
                <w:szCs w:val="2"/>
                <w:color w:val="auto"/>
              </w:rPr>
            </w:pPr>
          </w:p>
        </w:tc>
        <w:tc>
          <w:tcPr>
            <w:tcW w:w="260" w:type="dxa"/>
            <w:vAlign w:val="bottom"/>
            <w:shd w:val="clear" w:color="auto" w:fill="B6B6B6"/>
          </w:tcPr>
          <w:p>
            <w:pPr>
              <w:spacing w:after="0"/>
              <w:rPr>
                <w:sz w:val="2"/>
                <w:szCs w:val="2"/>
                <w:color w:val="auto"/>
              </w:rPr>
            </w:pPr>
          </w:p>
        </w:tc>
        <w:tc>
          <w:tcPr>
            <w:tcW w:w="900" w:type="dxa"/>
            <w:vAlign w:val="bottom"/>
            <w:shd w:val="clear" w:color="auto" w:fill="B6B6B6"/>
          </w:tcPr>
          <w:p>
            <w:pPr>
              <w:spacing w:after="0"/>
              <w:rPr>
                <w:sz w:val="2"/>
                <w:szCs w:val="2"/>
                <w:color w:val="auto"/>
              </w:rPr>
            </w:pPr>
          </w:p>
        </w:tc>
        <w:tc>
          <w:tcPr>
            <w:tcW w:w="80" w:type="dxa"/>
            <w:vAlign w:val="bottom"/>
            <w:shd w:val="clear" w:color="auto" w:fill="B6B6B6"/>
          </w:tcPr>
          <w:p>
            <w:pPr>
              <w:spacing w:after="0"/>
              <w:rPr>
                <w:sz w:val="2"/>
                <w:szCs w:val="2"/>
                <w:color w:val="auto"/>
              </w:rPr>
            </w:pPr>
          </w:p>
        </w:tc>
        <w:tc>
          <w:tcPr>
            <w:tcW w:w="340" w:type="dxa"/>
            <w:vAlign w:val="bottom"/>
            <w:shd w:val="clear" w:color="auto" w:fill="B6B6B6"/>
          </w:tcPr>
          <w:p>
            <w:pPr>
              <w:spacing w:after="0"/>
              <w:rPr>
                <w:sz w:val="2"/>
                <w:szCs w:val="2"/>
                <w:color w:val="auto"/>
              </w:rPr>
            </w:pPr>
          </w:p>
        </w:tc>
        <w:tc>
          <w:tcPr>
            <w:tcW w:w="820" w:type="dxa"/>
            <w:vAlign w:val="bottom"/>
            <w:shd w:val="clear" w:color="auto" w:fill="B6B6B6"/>
          </w:tcPr>
          <w:p>
            <w:pPr>
              <w:spacing w:after="0"/>
              <w:rPr>
                <w:sz w:val="2"/>
                <w:szCs w:val="2"/>
                <w:color w:val="auto"/>
              </w:rPr>
            </w:pPr>
          </w:p>
        </w:tc>
        <w:tc>
          <w:tcPr>
            <w:tcW w:w="100" w:type="dxa"/>
            <w:vAlign w:val="bottom"/>
            <w:shd w:val="clear" w:color="auto" w:fill="B6B6B6"/>
          </w:tcPr>
          <w:p>
            <w:pPr>
              <w:spacing w:after="0"/>
              <w:rPr>
                <w:sz w:val="2"/>
                <w:szCs w:val="2"/>
                <w:color w:val="auto"/>
              </w:rPr>
            </w:pPr>
          </w:p>
        </w:tc>
        <w:tc>
          <w:tcPr>
            <w:tcW w:w="240" w:type="dxa"/>
            <w:vAlign w:val="bottom"/>
            <w:shd w:val="clear" w:color="auto" w:fill="B6B6B6"/>
          </w:tcPr>
          <w:p>
            <w:pPr>
              <w:spacing w:after="0"/>
              <w:rPr>
                <w:sz w:val="2"/>
                <w:szCs w:val="2"/>
                <w:color w:val="auto"/>
              </w:rPr>
            </w:pPr>
          </w:p>
        </w:tc>
        <w:tc>
          <w:tcPr>
            <w:tcW w:w="900" w:type="dxa"/>
            <w:vAlign w:val="bottom"/>
            <w:shd w:val="clear" w:color="auto" w:fill="B6B6B6"/>
          </w:tcPr>
          <w:p>
            <w:pPr>
              <w:spacing w:after="0"/>
              <w:rPr>
                <w:sz w:val="2"/>
                <w:szCs w:val="2"/>
                <w:color w:val="auto"/>
              </w:rPr>
            </w:pPr>
          </w:p>
        </w:tc>
        <w:tc>
          <w:tcPr>
            <w:tcW w:w="100" w:type="dxa"/>
            <w:vAlign w:val="bottom"/>
            <w:shd w:val="clear" w:color="auto" w:fill="B6B6B6"/>
          </w:tcPr>
          <w:p>
            <w:pPr>
              <w:spacing w:after="0"/>
              <w:rPr>
                <w:sz w:val="2"/>
                <w:szCs w:val="2"/>
                <w:color w:val="auto"/>
              </w:rPr>
            </w:pPr>
          </w:p>
        </w:tc>
        <w:tc>
          <w:tcPr>
            <w:tcW w:w="320" w:type="dxa"/>
            <w:vAlign w:val="bottom"/>
            <w:shd w:val="clear" w:color="auto" w:fill="B6B6B6"/>
          </w:tcPr>
          <w:p>
            <w:pPr>
              <w:spacing w:after="0"/>
              <w:rPr>
                <w:sz w:val="2"/>
                <w:szCs w:val="2"/>
                <w:color w:val="auto"/>
              </w:rPr>
            </w:pPr>
          </w:p>
        </w:tc>
        <w:tc>
          <w:tcPr>
            <w:tcW w:w="820" w:type="dxa"/>
            <w:vAlign w:val="bottom"/>
            <w:shd w:val="clear" w:color="auto" w:fill="B6B6B6"/>
          </w:tcPr>
          <w:p>
            <w:pPr>
              <w:spacing w:after="0"/>
              <w:rPr>
                <w:sz w:val="2"/>
                <w:szCs w:val="2"/>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2200" w:type="dxa"/>
            <w:vAlign w:val="bottom"/>
            <w:gridSpan w:val="3"/>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shd w:val="clear" w:color="auto" w:fill="B6B6B6"/>
          </w:tcPr>
          <w:p>
            <w:pPr>
              <w:spacing w:after="0"/>
              <w:rPr>
                <w:sz w:val="17"/>
                <w:szCs w:val="17"/>
                <w:color w:val="auto"/>
              </w:rPr>
            </w:pPr>
          </w:p>
        </w:tc>
        <w:tc>
          <w:tcPr>
            <w:tcW w:w="80" w:type="dxa"/>
            <w:vAlign w:val="bottom"/>
            <w:shd w:val="clear" w:color="auto" w:fill="B6B6B6"/>
          </w:tcPr>
          <w:p>
            <w:pPr>
              <w:spacing w:after="0"/>
              <w:rPr>
                <w:sz w:val="17"/>
                <w:szCs w:val="17"/>
                <w:color w:val="auto"/>
              </w:rPr>
            </w:pPr>
          </w:p>
        </w:tc>
        <w:tc>
          <w:tcPr>
            <w:tcW w:w="340" w:type="dxa"/>
            <w:vAlign w:val="bottom"/>
            <w:shd w:val="clear" w:color="auto" w:fill="B6B6B6"/>
          </w:tcPr>
          <w:p>
            <w:pPr>
              <w:spacing w:after="0"/>
              <w:rPr>
                <w:sz w:val="17"/>
                <w:szCs w:val="17"/>
                <w:color w:val="auto"/>
              </w:rPr>
            </w:pPr>
          </w:p>
        </w:tc>
        <w:tc>
          <w:tcPr>
            <w:tcW w:w="2720" w:type="dxa"/>
            <w:vAlign w:val="bottom"/>
            <w:gridSpan w:val="4"/>
            <w:shd w:val="clear" w:color="auto" w:fill="B6B6B6"/>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5060" w:type="dxa"/>
            <w:vAlign w:val="bottom"/>
            <w:shd w:val="clear" w:color="auto" w:fill="B6B6B6"/>
          </w:tcPr>
          <w:p>
            <w:pPr>
              <w:spacing w:after="0"/>
              <w:rPr>
                <w:sz w:val="20"/>
                <w:szCs w:val="20"/>
                <w:color w:val="auto"/>
              </w:rPr>
            </w:pPr>
          </w:p>
        </w:tc>
        <w:tc>
          <w:tcPr>
            <w:tcW w:w="320" w:type="dxa"/>
            <w:vAlign w:val="bottom"/>
            <w:tcBorders>
              <w:bottom w:val="single" w:sz="8" w:color="auto"/>
            </w:tcBorders>
            <w:shd w:val="clear" w:color="auto" w:fill="B6B6B6"/>
          </w:tcPr>
          <w:p>
            <w:pPr>
              <w:spacing w:after="0"/>
              <w:rPr>
                <w:sz w:val="20"/>
                <w:szCs w:val="20"/>
                <w:color w:val="auto"/>
              </w:rPr>
            </w:pPr>
          </w:p>
        </w:tc>
        <w:tc>
          <w:tcPr>
            <w:tcW w:w="2200" w:type="dxa"/>
            <w:vAlign w:val="bottom"/>
            <w:tcBorders>
              <w:bottom w:val="single" w:sz="8" w:color="auto"/>
            </w:tcBorders>
            <w:gridSpan w:val="3"/>
            <w:shd w:val="clear" w:color="auto" w:fill="B6B6B6"/>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bottom w:val="single" w:sz="8" w:color="auto"/>
            </w:tcBorders>
            <w:shd w:val="clear" w:color="auto" w:fill="B6B6B6"/>
          </w:tcPr>
          <w:p>
            <w:pPr>
              <w:spacing w:after="0"/>
              <w:rPr>
                <w:sz w:val="20"/>
                <w:szCs w:val="20"/>
                <w:color w:val="auto"/>
              </w:rPr>
            </w:pPr>
          </w:p>
        </w:tc>
        <w:tc>
          <w:tcPr>
            <w:tcW w:w="80" w:type="dxa"/>
            <w:vAlign w:val="bottom"/>
            <w:shd w:val="clear" w:color="auto" w:fill="B6B6B6"/>
          </w:tcPr>
          <w:p>
            <w:pPr>
              <w:spacing w:after="0"/>
              <w:rPr>
                <w:sz w:val="20"/>
                <w:szCs w:val="20"/>
                <w:color w:val="auto"/>
              </w:rPr>
            </w:pPr>
          </w:p>
        </w:tc>
        <w:tc>
          <w:tcPr>
            <w:tcW w:w="340" w:type="dxa"/>
            <w:vAlign w:val="bottom"/>
            <w:tcBorders>
              <w:bottom w:val="single" w:sz="8" w:color="auto"/>
            </w:tcBorders>
            <w:shd w:val="clear" w:color="auto" w:fill="B6B6B6"/>
          </w:tcPr>
          <w:p>
            <w:pPr>
              <w:spacing w:after="0"/>
              <w:rPr>
                <w:sz w:val="20"/>
                <w:szCs w:val="20"/>
                <w:color w:val="auto"/>
              </w:rPr>
            </w:pPr>
          </w:p>
        </w:tc>
        <w:tc>
          <w:tcPr>
            <w:tcW w:w="1660" w:type="dxa"/>
            <w:vAlign w:val="bottom"/>
            <w:tcBorders>
              <w:bottom w:val="single" w:sz="8" w:color="auto"/>
            </w:tcBorders>
            <w:gridSpan w:val="3"/>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shd w:val="clear" w:color="auto" w:fill="B6B6B6"/>
          </w:tcPr>
          <w:p>
            <w:pPr>
              <w:spacing w:after="0"/>
              <w:rPr>
                <w:sz w:val="20"/>
                <w:szCs w:val="20"/>
                <w:color w:val="auto"/>
              </w:rPr>
            </w:pPr>
          </w:p>
        </w:tc>
      </w:tr>
      <w:tr>
        <w:trPr>
          <w:trHeight w:val="246"/>
        </w:trPr>
        <w:tc>
          <w:tcPr>
            <w:tcW w:w="50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50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960" w:type="dxa"/>
            <w:vAlign w:val="bottom"/>
            <w:shd w:val="clear" w:color="auto" w:fill="B6B6B6"/>
          </w:tcPr>
          <w:p>
            <w:pPr>
              <w:spacing w:after="0"/>
              <w:rPr>
                <w:sz w:val="22"/>
                <w:szCs w:val="22"/>
                <w:color w:val="auto"/>
              </w:rPr>
            </w:pPr>
          </w:p>
        </w:tc>
        <w:tc>
          <w:tcPr>
            <w:tcW w:w="520" w:type="dxa"/>
            <w:vAlign w:val="bottom"/>
            <w:shd w:val="clear" w:color="auto" w:fill="B6B6B6"/>
          </w:tcPr>
          <w:p>
            <w:pPr>
              <w:spacing w:after="0"/>
              <w:rPr>
                <w:sz w:val="22"/>
                <w:szCs w:val="22"/>
                <w:color w:val="auto"/>
              </w:rPr>
            </w:pP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Pr>
          <w:p>
            <w:pPr>
              <w:spacing w:after="0"/>
              <w:rPr>
                <w:sz w:val="21"/>
                <w:szCs w:val="21"/>
                <w:color w:val="auto"/>
              </w:rPr>
            </w:pP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r>
      <w:tr>
        <w:trPr>
          <w:trHeight w:val="263"/>
        </w:trPr>
        <w:tc>
          <w:tcPr>
            <w:tcW w:w="50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960" w:type="dxa"/>
            <w:vAlign w:val="bottom"/>
            <w:shd w:val="clear" w:color="auto" w:fill="B6B6B6"/>
          </w:tcPr>
          <w:p>
            <w:pPr>
              <w:spacing w:after="0"/>
              <w:rPr>
                <w:sz w:val="22"/>
                <w:szCs w:val="22"/>
                <w:color w:val="auto"/>
              </w:rPr>
            </w:pPr>
          </w:p>
        </w:tc>
        <w:tc>
          <w:tcPr>
            <w:tcW w:w="520" w:type="dxa"/>
            <w:vAlign w:val="bottom"/>
            <w:shd w:val="clear" w:color="auto" w:fill="B6B6B6"/>
          </w:tcPr>
          <w:p>
            <w:pPr>
              <w:spacing w:after="0"/>
              <w:rPr>
                <w:sz w:val="22"/>
                <w:szCs w:val="22"/>
                <w:color w:val="auto"/>
              </w:rPr>
            </w:pP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r>
      <w:tr>
        <w:trPr>
          <w:trHeight w:val="263"/>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unrealized gain (loss) on securities available-for-sale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r>
      <w:tr>
        <w:trPr>
          <w:trHeight w:val="263"/>
        </w:trPr>
        <w:tc>
          <w:tcPr>
            <w:tcW w:w="50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Tax effect</w:t>
            </w:r>
          </w:p>
        </w:tc>
        <w:tc>
          <w:tcPr>
            <w:tcW w:w="32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B6B6B6"/>
          </w:tcPr>
          <w:p>
            <w:pPr>
              <w:spacing w:after="0"/>
              <w:rPr>
                <w:sz w:val="22"/>
                <w:szCs w:val="22"/>
                <w:color w:val="auto"/>
              </w:rPr>
            </w:pPr>
          </w:p>
        </w:tc>
        <w:tc>
          <w:tcPr>
            <w:tcW w:w="960" w:type="dxa"/>
            <w:vAlign w:val="bottom"/>
            <w:shd w:val="clear" w:color="auto" w:fill="B6B6B6"/>
          </w:tcPr>
          <w:p>
            <w:pPr>
              <w:spacing w:after="0"/>
              <w:rPr>
                <w:sz w:val="22"/>
                <w:szCs w:val="22"/>
                <w:color w:val="auto"/>
              </w:rPr>
            </w:pPr>
          </w:p>
        </w:tc>
        <w:tc>
          <w:tcPr>
            <w:tcW w:w="5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63"/>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Reclassification adjustments for losses included in net income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3"/>
        </w:trPr>
        <w:tc>
          <w:tcPr>
            <w:tcW w:w="50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Tax effect</w:t>
            </w:r>
          </w:p>
        </w:tc>
        <w:tc>
          <w:tcPr>
            <w:tcW w:w="32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B6B6B6"/>
          </w:tcPr>
          <w:p>
            <w:pPr>
              <w:spacing w:after="0"/>
              <w:rPr>
                <w:sz w:val="22"/>
                <w:szCs w:val="22"/>
                <w:color w:val="auto"/>
              </w:rPr>
            </w:pPr>
          </w:p>
        </w:tc>
        <w:tc>
          <w:tcPr>
            <w:tcW w:w="960" w:type="dxa"/>
            <w:vAlign w:val="bottom"/>
            <w:shd w:val="clear" w:color="auto" w:fill="B6B6B6"/>
          </w:tcPr>
          <w:p>
            <w:pPr>
              <w:spacing w:after="0"/>
              <w:rPr>
                <w:sz w:val="22"/>
                <w:szCs w:val="22"/>
                <w:color w:val="auto"/>
              </w:rPr>
            </w:pPr>
          </w:p>
        </w:tc>
        <w:tc>
          <w:tcPr>
            <w:tcW w:w="5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5060" w:type="dxa"/>
            <w:vAlign w:val="bottom"/>
            <w:tcBorders>
              <w:bottom w:val="single" w:sz="8" w:color="B6B6B6"/>
            </w:tcBorders>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B6B6B6"/>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B6B6B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B6B6B6"/>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82"/>
        </w:trPr>
        <w:tc>
          <w:tcPr>
            <w:tcW w:w="50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2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15,694</w:t>
            </w:r>
          </w:p>
        </w:tc>
        <w:tc>
          <w:tcPr>
            <w:tcW w:w="100" w:type="dxa"/>
            <w:vAlign w:val="bottom"/>
            <w:tcBorders>
              <w:bottom w:val="single" w:sz="8" w:color="B6B6B6"/>
            </w:tcBorders>
            <w:shd w:val="clear" w:color="auto" w:fill="B6B6B6"/>
          </w:tcPr>
          <w:p>
            <w:pPr>
              <w:spacing w:after="0"/>
              <w:rPr>
                <w:sz w:val="24"/>
                <w:szCs w:val="24"/>
                <w:color w:val="auto"/>
              </w:rPr>
            </w:pPr>
          </w:p>
        </w:tc>
        <w:tc>
          <w:tcPr>
            <w:tcW w:w="960" w:type="dxa"/>
            <w:vAlign w:val="bottom"/>
            <w:tcBorders>
              <w:bottom w:val="single" w:sz="8" w:color="auto"/>
            </w:tcBorders>
            <w:shd w:val="clear" w:color="auto" w:fill="B6B6B6"/>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80" w:type="dxa"/>
            <w:vAlign w:val="bottom"/>
            <w:tcBorders>
              <w:bottom w:val="single" w:sz="8" w:color="B6B6B6"/>
            </w:tcBorders>
            <w:shd w:val="clear" w:color="auto" w:fill="B6B6B6"/>
          </w:tcPr>
          <w:p>
            <w:pPr>
              <w:spacing w:after="0"/>
              <w:rPr>
                <w:sz w:val="24"/>
                <w:szCs w:val="24"/>
                <w:color w:val="auto"/>
              </w:rPr>
            </w:pPr>
          </w:p>
        </w:tc>
        <w:tc>
          <w:tcPr>
            <w:tcW w:w="34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30,334</w:t>
            </w:r>
          </w:p>
        </w:tc>
        <w:tc>
          <w:tcPr>
            <w:tcW w:w="100" w:type="dxa"/>
            <w:vAlign w:val="bottom"/>
            <w:tcBorders>
              <w:bottom w:val="single" w:sz="8" w:color="B6B6B6"/>
            </w:tcBorders>
            <w:shd w:val="clear" w:color="auto" w:fill="B6B6B6"/>
          </w:tcPr>
          <w:p>
            <w:pPr>
              <w:spacing w:after="0"/>
              <w:rPr>
                <w:sz w:val="24"/>
                <w:szCs w:val="24"/>
                <w:color w:val="auto"/>
              </w:rPr>
            </w:pPr>
          </w:p>
        </w:tc>
        <w:tc>
          <w:tcPr>
            <w:tcW w:w="420" w:type="dxa"/>
            <w:vAlign w:val="bottom"/>
            <w:tcBorders>
              <w:bottom w:val="single" w:sz="8" w:color="auto"/>
            </w:tcBorders>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9,467</w:t>
            </w:r>
          </w:p>
        </w:tc>
      </w:tr>
      <w:tr>
        <w:trPr>
          <w:trHeight w:val="20"/>
        </w:trPr>
        <w:tc>
          <w:tcPr>
            <w:tcW w:w="5060" w:type="dxa"/>
            <w:vAlign w:val="bottom"/>
            <w:tcBorders>
              <w:top w:val="single" w:sz="8" w:color="B6B6B6"/>
            </w:tcBorders>
          </w:tcPr>
          <w:p>
            <w:pPr>
              <w:spacing w:after="0" w:line="20" w:lineRule="exact"/>
              <w:rPr>
                <w:sz w:val="1"/>
                <w:szCs w:val="1"/>
                <w:color w:val="auto"/>
              </w:rPr>
            </w:pPr>
          </w:p>
        </w:tc>
        <w:tc>
          <w:tcPr>
            <w:tcW w:w="32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52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420" w:type="dxa"/>
            <w:vAlign w:val="bottom"/>
            <w:tcBorders>
              <w:top w:val="single" w:sz="8" w:color="B6B6B6"/>
              <w:bottom w:val="single" w:sz="8" w:color="auto"/>
            </w:tcBorders>
          </w:tcPr>
          <w:p>
            <w:pPr>
              <w:spacing w:after="0" w:line="20" w:lineRule="exact"/>
              <w:rPr>
                <w:sz w:val="1"/>
                <w:szCs w:val="1"/>
                <w:color w:val="auto"/>
              </w:rPr>
            </w:pPr>
          </w:p>
        </w:tc>
        <w:tc>
          <w:tcPr>
            <w:tcW w:w="1060" w:type="dxa"/>
            <w:vAlign w:val="bottom"/>
            <w:tcBorders>
              <w:top w:val="single" w:sz="8" w:color="B6B6B6"/>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0"/>
        </w:trPr>
        <w:tc>
          <w:tcPr>
            <w:tcW w:w="8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Less: net income from discontinued operations</w:t>
            </w: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4,111</w:t>
            </w: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13,710</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11,372</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Net amortization of premium/discount on investment securities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0" w:type="dxa"/>
            <w:vAlign w:val="bottom"/>
          </w:tcPr>
          <w:p>
            <w:pPr>
              <w:spacing w:after="0"/>
              <w:rPr>
                <w:sz w:val="1"/>
                <w:szCs w:val="1"/>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Loss on sale of investment securities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in current income tax liability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(Increase) decrease in accounts receivable</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0" w:type="dxa"/>
            <w:vAlign w:val="bottom"/>
          </w:tcPr>
          <w:p>
            <w:pPr>
              <w:spacing w:after="0"/>
              <w:rPr>
                <w:sz w:val="1"/>
                <w:szCs w:val="1"/>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B6B6B6"/>
            </w:tcBorders>
            <w:shd w:val="clear" w:color="auto" w:fill="B6B6B6"/>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 - continuing operations</w:t>
            </w: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21,538</w:t>
            </w: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19,781</w:t>
            </w:r>
          </w:p>
        </w:tc>
        <w:tc>
          <w:tcPr>
            <w:tcW w:w="0" w:type="dxa"/>
            <w:vAlign w:val="bottom"/>
          </w:tcPr>
          <w:p>
            <w:pPr>
              <w:spacing w:after="0"/>
              <w:rPr>
                <w:sz w:val="1"/>
                <w:szCs w:val="1"/>
                <w:color w:val="auto"/>
              </w:rPr>
            </w:pPr>
          </w:p>
        </w:tc>
      </w:tr>
      <w:tr>
        <w:trPr>
          <w:trHeight w:val="210"/>
        </w:trPr>
        <w:tc>
          <w:tcPr>
            <w:tcW w:w="8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provided by operating activities - discontinued operations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tcBorders>
              <w:bottom w:val="single" w:sz="8" w:color="B6B6B6"/>
            </w:tcBorders>
            <w:shd w:val="clear" w:color="auto" w:fill="B6B6B6"/>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20,274</w:t>
            </w:r>
          </w:p>
        </w:tc>
        <w:tc>
          <w:tcPr>
            <w:tcW w:w="10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20,517</w:t>
            </w:r>
          </w:p>
        </w:tc>
        <w:tc>
          <w:tcPr>
            <w:tcW w:w="0" w:type="dxa"/>
            <w:vAlign w:val="bottom"/>
          </w:tcPr>
          <w:p>
            <w:pPr>
              <w:spacing w:after="0"/>
              <w:rPr>
                <w:sz w:val="1"/>
                <w:szCs w:val="1"/>
                <w:color w:val="auto"/>
              </w:rPr>
            </w:pPr>
          </w:p>
        </w:tc>
      </w:tr>
      <w:tr>
        <w:trPr>
          <w:trHeight w:val="34"/>
        </w:trPr>
        <w:tc>
          <w:tcPr>
            <w:tcW w:w="81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investment securities available-for-sale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24,985</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Proceeds from maturities of investment securities available-for-sale</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40,037</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103,621</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investment securities available-for-sale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(46,959)</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increase in loans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(35,015)</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(47,674)</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TEM business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Decrease (increase) in payments in advance of funding</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30,929</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(15,720)</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premises and equipment,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(6,287)</w:t>
            </w:r>
          </w:p>
        </w:tc>
        <w:tc>
          <w:tcPr>
            <w:tcW w:w="0" w:type="dxa"/>
            <w:vAlign w:val="bottom"/>
          </w:tcPr>
          <w:p>
            <w:pPr>
              <w:spacing w:after="0"/>
              <w:rPr>
                <w:sz w:val="1"/>
                <w:szCs w:val="1"/>
                <w:color w:val="auto"/>
              </w:rPr>
            </w:pP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Net cash (used in) provided by investing activities - continuing operations</w:t>
            </w: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(50,038)</w:t>
            </w: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11,966</w:t>
            </w:r>
          </w:p>
        </w:tc>
        <w:tc>
          <w:tcPr>
            <w:tcW w:w="0" w:type="dxa"/>
            <w:vAlign w:val="bottom"/>
          </w:tcPr>
          <w:p>
            <w:pPr>
              <w:spacing w:after="0"/>
              <w:rPr>
                <w:sz w:val="1"/>
                <w:szCs w:val="1"/>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provided by investing activities - discontinued operations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(50,137)</w:t>
            </w:r>
          </w:p>
        </w:tc>
        <w:tc>
          <w:tcPr>
            <w:tcW w:w="10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12,553</w:t>
            </w:r>
          </w:p>
        </w:tc>
        <w:tc>
          <w:tcPr>
            <w:tcW w:w="0" w:type="dxa"/>
            <w:vAlign w:val="bottom"/>
          </w:tcPr>
          <w:p>
            <w:pPr>
              <w:spacing w:after="0"/>
              <w:rPr>
                <w:sz w:val="1"/>
                <w:szCs w:val="1"/>
                <w:color w:val="auto"/>
              </w:rPr>
            </w:pPr>
          </w:p>
        </w:tc>
      </w:tr>
      <w:tr>
        <w:trPr>
          <w:trHeight w:val="88"/>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Borders>
              <w:top w:val="single" w:sz="8" w:color="auto"/>
            </w:tcBorders>
            <w:shd w:val="clear" w:color="auto" w:fill="B6B6B6"/>
          </w:tcPr>
          <w:p>
            <w:pPr>
              <w:spacing w:after="0"/>
              <w:rPr>
                <w:sz w:val="7"/>
                <w:szCs w:val="7"/>
                <w:color w:val="auto"/>
              </w:rPr>
            </w:pPr>
          </w:p>
        </w:tc>
        <w:tc>
          <w:tcPr>
            <w:tcW w:w="1140" w:type="dxa"/>
            <w:vAlign w:val="bottom"/>
            <w:tcBorders>
              <w:top w:val="single" w:sz="8" w:color="auto"/>
            </w:tcBorders>
            <w:shd w:val="clear" w:color="auto" w:fill="B6B6B6"/>
          </w:tcPr>
          <w:p>
            <w:pPr>
              <w:spacing w:after="0"/>
              <w:rPr>
                <w:sz w:val="7"/>
                <w:szCs w:val="7"/>
                <w:color w:val="auto"/>
              </w:rPr>
            </w:pPr>
          </w:p>
        </w:tc>
        <w:tc>
          <w:tcPr>
            <w:tcW w:w="100" w:type="dxa"/>
            <w:vAlign w:val="bottom"/>
            <w:tcBorders>
              <w:top w:val="single" w:sz="8" w:color="B6B6B6"/>
            </w:tcBorders>
            <w:shd w:val="clear" w:color="auto" w:fill="B6B6B6"/>
          </w:tcPr>
          <w:p>
            <w:pPr>
              <w:spacing w:after="0"/>
              <w:rPr>
                <w:sz w:val="7"/>
                <w:szCs w:val="7"/>
                <w:color w:val="auto"/>
              </w:rPr>
            </w:pPr>
          </w:p>
        </w:tc>
        <w:tc>
          <w:tcPr>
            <w:tcW w:w="340" w:type="dxa"/>
            <w:vAlign w:val="bottom"/>
            <w:tcBorders>
              <w:top w:val="single" w:sz="8" w:color="auto"/>
            </w:tcBorders>
            <w:shd w:val="clear" w:color="auto" w:fill="B6B6B6"/>
          </w:tcPr>
          <w:p>
            <w:pPr>
              <w:spacing w:after="0"/>
              <w:rPr>
                <w:sz w:val="7"/>
                <w:szCs w:val="7"/>
                <w:color w:val="auto"/>
              </w:rPr>
            </w:pPr>
          </w:p>
        </w:tc>
        <w:tc>
          <w:tcPr>
            <w:tcW w:w="1140" w:type="dxa"/>
            <w:vAlign w:val="bottom"/>
            <w:tcBorders>
              <w:top w:val="single" w:sz="8" w:color="auto"/>
            </w:tcBorders>
            <w:shd w:val="clear" w:color="auto" w:fill="B6B6B6"/>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1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increase (decrease) in noninterest-bearing demand deposits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119,377</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(152,328)</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interest-bearing demand and savings deposits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22,681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increase in time deposits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4,641</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accounts and drafts receivable from customers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32,244</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decrease in accounts and drafts payable</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(92,816)</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(78,576)</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(8,182)</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Purchase of common shares for treasury</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(10,996)</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0" w:type="dxa"/>
            <w:vAlign w:val="bottom"/>
          </w:tcPr>
          <w:p>
            <w:pPr>
              <w:spacing w:after="0"/>
              <w:rPr>
                <w:sz w:val="1"/>
                <w:szCs w:val="1"/>
                <w:color w:val="auto"/>
              </w:rPr>
            </w:pP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80" w:type="dxa"/>
            <w:vAlign w:val="bottom"/>
            <w:tcBorders>
              <w:bottom w:val="single" w:sz="8" w:color="B6B6B6"/>
            </w:tcBorders>
            <w:shd w:val="clear" w:color="auto" w:fill="B6B6B6"/>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 - continuing operations</w:t>
            </w: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(82,035)</w:t>
            </w: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(185,851)</w:t>
            </w:r>
          </w:p>
        </w:tc>
        <w:tc>
          <w:tcPr>
            <w:tcW w:w="0" w:type="dxa"/>
            <w:vAlign w:val="bottom"/>
          </w:tcPr>
          <w:p>
            <w:pPr>
              <w:spacing w:after="0"/>
              <w:rPr>
                <w:sz w:val="1"/>
                <w:szCs w:val="1"/>
                <w:color w:val="auto"/>
              </w:rPr>
            </w:pPr>
          </w:p>
        </w:tc>
      </w:tr>
      <w:tr>
        <w:trPr>
          <w:trHeight w:val="210"/>
        </w:trPr>
        <w:tc>
          <w:tcPr>
            <w:tcW w:w="8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provided by financing activities - discontinued operations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0" w:type="dxa"/>
            <w:vAlign w:val="bottom"/>
          </w:tcPr>
          <w:p>
            <w:pPr>
              <w:spacing w:after="0"/>
              <w:rPr>
                <w:sz w:val="1"/>
                <w:szCs w:val="1"/>
                <w:color w:val="auto"/>
              </w:rPr>
            </w:pP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tcBorders>
              <w:bottom w:val="single" w:sz="8" w:color="B6B6B6"/>
            </w:tcBorders>
            <w:shd w:val="clear" w:color="auto" w:fill="B6B6B6"/>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(101,700)</w:t>
            </w:r>
          </w:p>
        </w:tc>
        <w:tc>
          <w:tcPr>
            <w:tcW w:w="10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(181,811)</w:t>
            </w:r>
          </w:p>
        </w:tc>
        <w:tc>
          <w:tcPr>
            <w:tcW w:w="0" w:type="dxa"/>
            <w:vAlign w:val="bottom"/>
          </w:tcPr>
          <w:p>
            <w:pPr>
              <w:spacing w:after="0"/>
              <w:rPr>
                <w:sz w:val="1"/>
                <w:szCs w:val="1"/>
                <w:color w:val="auto"/>
              </w:rPr>
            </w:pP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(131,563)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(148,741)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349,728</w:t>
            </w: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372,468</w:t>
            </w:r>
          </w:p>
        </w:tc>
        <w:tc>
          <w:tcPr>
            <w:tcW w:w="0" w:type="dxa"/>
            <w:vAlign w:val="bottom"/>
          </w:tcPr>
          <w:p>
            <w:pPr>
              <w:spacing w:after="0"/>
              <w:rPr>
                <w:sz w:val="1"/>
                <w:szCs w:val="1"/>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218,165</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223,727</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8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4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4,673</w:t>
            </w:r>
          </w:p>
        </w:tc>
        <w:tc>
          <w:tcPr>
            <w:tcW w:w="10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3,035</w:t>
            </w:r>
          </w:p>
        </w:tc>
        <w:tc>
          <w:tcPr>
            <w:tcW w:w="0" w:type="dxa"/>
            <w:vAlign w:val="bottom"/>
          </w:tcPr>
          <w:p>
            <w:pPr>
              <w:spacing w:after="0"/>
              <w:rPr>
                <w:sz w:val="1"/>
                <w:szCs w:val="1"/>
                <w:color w:val="auto"/>
              </w:rPr>
            </w:pPr>
          </w:p>
        </w:tc>
      </w:tr>
      <w:tr>
        <w:trPr>
          <w:trHeight w:val="33"/>
        </w:trPr>
        <w:tc>
          <w:tcPr>
            <w:tcW w:w="8180" w:type="dxa"/>
            <w:vAlign w:val="bottom"/>
            <w:shd w:val="clear" w:color="auto" w:fill="B6B6B6"/>
          </w:tcPr>
          <w:p>
            <w:pPr>
              <w:spacing w:after="0"/>
              <w:rPr>
                <w:sz w:val="2"/>
                <w:szCs w:val="2"/>
                <w:color w:val="auto"/>
              </w:rPr>
            </w:pPr>
          </w:p>
        </w:tc>
        <w:tc>
          <w:tcPr>
            <w:tcW w:w="340" w:type="dxa"/>
            <w:vAlign w:val="bottom"/>
            <w:shd w:val="clear" w:color="auto" w:fill="B6B6B6"/>
          </w:tcPr>
          <w:p>
            <w:pPr>
              <w:spacing w:after="0"/>
              <w:rPr>
                <w:sz w:val="2"/>
                <w:szCs w:val="2"/>
                <w:color w:val="auto"/>
              </w:rPr>
            </w:pPr>
          </w:p>
        </w:tc>
        <w:tc>
          <w:tcPr>
            <w:tcW w:w="1140" w:type="dxa"/>
            <w:vAlign w:val="bottom"/>
            <w:shd w:val="clear" w:color="auto" w:fill="B6B6B6"/>
          </w:tcPr>
          <w:p>
            <w:pPr>
              <w:spacing w:after="0"/>
              <w:rPr>
                <w:sz w:val="2"/>
                <w:szCs w:val="2"/>
                <w:color w:val="auto"/>
              </w:rPr>
            </w:pPr>
          </w:p>
        </w:tc>
        <w:tc>
          <w:tcPr>
            <w:tcW w:w="100" w:type="dxa"/>
            <w:vAlign w:val="bottom"/>
            <w:shd w:val="clear" w:color="auto" w:fill="B6B6B6"/>
          </w:tcPr>
          <w:p>
            <w:pPr>
              <w:spacing w:after="0"/>
              <w:rPr>
                <w:sz w:val="2"/>
                <w:szCs w:val="2"/>
                <w:color w:val="auto"/>
              </w:rPr>
            </w:pPr>
          </w:p>
        </w:tc>
        <w:tc>
          <w:tcPr>
            <w:tcW w:w="340" w:type="dxa"/>
            <w:vAlign w:val="bottom"/>
            <w:shd w:val="clear" w:color="auto" w:fill="B6B6B6"/>
          </w:tcPr>
          <w:p>
            <w:pPr>
              <w:spacing w:after="0"/>
              <w:rPr>
                <w:sz w:val="2"/>
                <w:szCs w:val="2"/>
                <w:color w:val="auto"/>
              </w:rPr>
            </w:pPr>
          </w:p>
        </w:tc>
        <w:tc>
          <w:tcPr>
            <w:tcW w:w="1140" w:type="dxa"/>
            <w:vAlign w:val="bottom"/>
            <w:shd w:val="clear" w:color="auto" w:fill="B6B6B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3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31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40" w:type="dxa"/>
            <w:vAlign w:val="bottom"/>
          </w:tcPr>
          <w:p>
            <w:pPr>
              <w:spacing w:after="0"/>
              <w:rPr>
                <w:sz w:val="16"/>
                <w:szCs w:val="16"/>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204,361</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148,845</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(82,316)</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(49,156)</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229,487</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dividends ($0.30 per share)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0" w:type="dxa"/>
            <w:vAlign w:val="bottom"/>
          </w:tcPr>
          <w:p>
            <w:pPr>
              <w:spacing w:after="0"/>
              <w:rPr>
                <w:sz w:val="1"/>
                <w:szCs w:val="1"/>
                <w:color w:val="auto"/>
              </w:rPr>
            </w:pPr>
          </w:p>
        </w:tc>
      </w:tr>
      <w:tr>
        <w:trPr>
          <w:trHeight w:val="176"/>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17,610 common shares pursuant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share-based compensation plans, net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06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204,128</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149,236</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(81,554)</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(49,638)</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229,925</w:t>
            </w:r>
          </w:p>
        </w:tc>
        <w:tc>
          <w:tcPr>
            <w:tcW w:w="0" w:type="dxa"/>
            <w:vAlign w:val="bottom"/>
          </w:tcPr>
          <w:p>
            <w:pPr>
              <w:spacing w:after="0"/>
              <w:rPr>
                <w:sz w:val="1"/>
                <w:szCs w:val="1"/>
                <w:color w:val="auto"/>
              </w:rPr>
            </w:pPr>
          </w:p>
        </w:tc>
      </w:tr>
      <w:tr>
        <w:trPr>
          <w:trHeight w:val="20"/>
        </w:trPr>
        <w:tc>
          <w:tcPr>
            <w:tcW w:w="33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3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203,755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153,278</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(39,514)</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234,247</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($0.31 per share)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175"/>
        </w:trPr>
        <w:tc>
          <w:tcPr>
            <w:tcW w:w="33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24,038 common shares pursuant</w:t>
            </w: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11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to share-based compensation plans, net</w:t>
            </w: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140,269 common shares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204,842</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158,005</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(97,103)</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(32,675)</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240,822</w:t>
            </w:r>
          </w:p>
        </w:tc>
        <w:tc>
          <w:tcPr>
            <w:tcW w:w="0" w:type="dxa"/>
            <w:vAlign w:val="bottom"/>
          </w:tcPr>
          <w:p>
            <w:pPr>
              <w:spacing w:after="0"/>
              <w:rPr>
                <w:sz w:val="1"/>
                <w:szCs w:val="1"/>
                <w:color w:val="auto"/>
              </w:rPr>
            </w:pPr>
          </w:p>
        </w:tc>
      </w:tr>
      <w:tr>
        <w:trPr>
          <w:trHeight w:val="20"/>
        </w:trPr>
        <w:tc>
          <w:tcPr>
            <w:tcW w:w="33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80" w:type="dxa"/>
            <w:vAlign w:val="bottom"/>
          </w:tcPr>
          <w:p>
            <w:pPr>
              <w:spacing w:after="0"/>
              <w:rPr>
                <w:sz w:val="15"/>
                <w:szCs w:val="15"/>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4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8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2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208,007</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145,782</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(84,264)</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(47,469)</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229,809</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dividends ($.60 per share)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123,296 common shares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pursuant to share-based compensation</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 net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23,271 common shares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110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204,128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149,236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229,925</w:t>
            </w:r>
          </w:p>
        </w:tc>
        <w:tc>
          <w:tcPr>
            <w:tcW w:w="0" w:type="dxa"/>
            <w:vAlign w:val="bottom"/>
          </w:tcPr>
          <w:p>
            <w:pPr>
              <w:spacing w:after="0"/>
              <w:rPr>
                <w:sz w:val="1"/>
                <w:szCs w:val="1"/>
                <w:color w:val="auto"/>
              </w:rPr>
            </w:pPr>
          </w:p>
        </w:tc>
      </w:tr>
      <w:tr>
        <w:trPr>
          <w:trHeight w:val="21"/>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205,593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148,487</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(45,188)</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229,030</w:t>
            </w:r>
          </w:p>
        </w:tc>
        <w:tc>
          <w:tcPr>
            <w:tcW w:w="0" w:type="dxa"/>
            <w:vAlign w:val="bottom"/>
          </w:tcPr>
          <w:p>
            <w:pPr>
              <w:spacing w:after="0"/>
              <w:rPr>
                <w:sz w:val="1"/>
                <w:szCs w:val="1"/>
                <w:color w:val="auto"/>
              </w:rPr>
            </w:pPr>
          </w:p>
        </w:tc>
      </w:tr>
      <w:tr>
        <w:trPr>
          <w:trHeight w:val="229"/>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($.62 per share)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0" w:type="dxa"/>
            <w:vAlign w:val="bottom"/>
          </w:tcPr>
          <w:p>
            <w:pPr>
              <w:spacing w:after="0"/>
              <w:rPr>
                <w:sz w:val="1"/>
                <w:szCs w:val="1"/>
                <w:color w:val="auto"/>
              </w:rPr>
            </w:pPr>
          </w:p>
        </w:tc>
      </w:tr>
      <w:tr>
        <w:trPr>
          <w:trHeight w:val="175"/>
        </w:trPr>
        <w:tc>
          <w:tcPr>
            <w:tcW w:w="332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119,152 common shares pursuant</w:t>
            </w: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11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to share-based compensation plans, net</w:t>
            </w: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30"/>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256,378 common shares</w:t>
            </w: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12,513</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12,513</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204,842</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158,005</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(97,103)</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(32,675)</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240,822</w:t>
            </w:r>
          </w:p>
        </w:tc>
        <w:tc>
          <w:tcPr>
            <w:tcW w:w="0" w:type="dxa"/>
            <w:vAlign w:val="bottom"/>
          </w:tcPr>
          <w:p>
            <w:pPr>
              <w:spacing w:after="0"/>
              <w:rPr>
                <w:sz w:val="1"/>
                <w:szCs w:val="1"/>
                <w:color w:val="auto"/>
              </w:rPr>
            </w:pPr>
          </w:p>
        </w:tc>
      </w:tr>
      <w:tr>
        <w:trPr>
          <w:trHeight w:val="20"/>
        </w:trPr>
        <w:tc>
          <w:tcPr>
            <w:tcW w:w="33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Basis of Presentation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For further information, refer to the audited consolidated financial statements and related footnotes included in Cass Information System, Inc.’s (the “Company” or “Cass”) Annual Report on Form 10-K for the year ended December 31, 2024 ("2024 Form 10-K").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Discontinued Operations and Assets and Liabilities Held for Sale</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7, 2025, the Company signed an Asset Purchase Agreement providing for the sale of its telecom expense management and managed mobility solutions business unit ("TEM Business Unit") to Asignet USA Inc ("Asignet"). The Asset Purchase Agreement with Asignet reflects a purchase price of $18.0 million, which closed on June 30, 2025. The Company also signed a Transition Services Agreement with Asignet to provide certain information technology, data ingestion, and payment processing services for a period of time not to exceed 18 months after closing.</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applied discontinued operations accounting in accordance with Accounting Standards Codification, or ASC, Topic 205-20, “Presentation of Financial Statements – Discontinued Operations,” to the assets and liabilities being sold related to the Company's TEM Business Unit as of June 30, 2025 and December 31, 2024, and for the three and six months ended June 30, 2025, and 2024, as applicable. The sale of the TEM Business Unit represents a strategic shift due to the Company completely exiting both the telecom expense management and managed mobility solutions businesses. The Company did not allocate any consolidated interest that is not directly attributable to or related to discontinued operations. All financial information in the consolidated financial statements and notes to the consolidated financial statements is reported on a continuing operations basis, unless otherwise noted. The TEM Business Unit is included in the Information Services operating segment.</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 of major classes of assets and liabilities included as part of discontinued operations at June 30, 2025, and December 31, 2024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38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4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0" w:type="dxa"/>
            <w:vAlign w:val="bottom"/>
            <w:shd w:val="clear" w:color="auto" w:fill="B6B6B6"/>
          </w:tcPr>
          <w:p>
            <w:pPr>
              <w:spacing w:after="0"/>
              <w:rPr>
                <w:sz w:val="19"/>
                <w:szCs w:val="19"/>
                <w:color w:val="auto"/>
              </w:rPr>
            </w:pPr>
          </w:p>
        </w:tc>
        <w:tc>
          <w:tcPr>
            <w:tcW w:w="140" w:type="dxa"/>
            <w:vAlign w:val="bottom"/>
            <w:shd w:val="clear" w:color="auto" w:fill="B6B6B6"/>
          </w:tcPr>
          <w:p>
            <w:pPr>
              <w:spacing w:after="0"/>
              <w:rPr>
                <w:sz w:val="19"/>
                <w:szCs w:val="19"/>
                <w:color w:val="auto"/>
              </w:rPr>
            </w:pPr>
          </w:p>
        </w:tc>
        <w:tc>
          <w:tcPr>
            <w:tcW w:w="124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52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0" w:type="dxa"/>
            <w:vAlign w:val="bottom"/>
          </w:tcPr>
          <w:p>
            <w:pPr>
              <w:spacing w:after="0"/>
              <w:rPr>
                <w:sz w:val="1"/>
                <w:szCs w:val="1"/>
                <w:color w:val="auto"/>
              </w:rPr>
            </w:pPr>
          </w:p>
        </w:tc>
      </w:tr>
      <w:tr>
        <w:trPr>
          <w:trHeight w:val="230"/>
        </w:trPr>
        <w:tc>
          <w:tcPr>
            <w:tcW w:w="4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0" w:type="dxa"/>
            <w:vAlign w:val="bottom"/>
            <w:shd w:val="clear" w:color="auto" w:fill="B6B6B6"/>
          </w:tcPr>
          <w:p>
            <w:pPr>
              <w:spacing w:after="0"/>
              <w:rPr>
                <w:sz w:val="19"/>
                <w:szCs w:val="19"/>
                <w:color w:val="auto"/>
              </w:rPr>
            </w:pPr>
          </w:p>
        </w:tc>
        <w:tc>
          <w:tcPr>
            <w:tcW w:w="140" w:type="dxa"/>
            <w:vAlign w:val="bottom"/>
            <w:shd w:val="clear" w:color="auto" w:fill="B6B6B6"/>
          </w:tcPr>
          <w:p>
            <w:pPr>
              <w:spacing w:after="0"/>
              <w:rPr>
                <w:sz w:val="19"/>
                <w:szCs w:val="19"/>
                <w:color w:val="auto"/>
              </w:rPr>
            </w:pPr>
          </w:p>
        </w:tc>
        <w:tc>
          <w:tcPr>
            <w:tcW w:w="1340" w:type="dxa"/>
            <w:vAlign w:val="bottom"/>
            <w:gridSpan w:val="2"/>
            <w:shd w:val="clear" w:color="auto" w:fill="B6B6B6"/>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4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0" w:type="dxa"/>
            <w:vAlign w:val="bottom"/>
            <w:shd w:val="clear" w:color="auto" w:fill="B6B6B6"/>
          </w:tcPr>
          <w:p>
            <w:pPr>
              <w:spacing w:after="0"/>
              <w:rPr>
                <w:sz w:val="19"/>
                <w:szCs w:val="19"/>
                <w:color w:val="auto"/>
              </w:rPr>
            </w:pPr>
          </w:p>
        </w:tc>
        <w:tc>
          <w:tcPr>
            <w:tcW w:w="140" w:type="dxa"/>
            <w:vAlign w:val="bottom"/>
            <w:shd w:val="clear" w:color="auto" w:fill="B6B6B6"/>
          </w:tcPr>
          <w:p>
            <w:pPr>
              <w:spacing w:after="0"/>
              <w:rPr>
                <w:sz w:val="19"/>
                <w:szCs w:val="19"/>
                <w:color w:val="auto"/>
              </w:rPr>
            </w:pPr>
          </w:p>
        </w:tc>
        <w:tc>
          <w:tcPr>
            <w:tcW w:w="1340" w:type="dxa"/>
            <w:vAlign w:val="bottom"/>
            <w:gridSpan w:val="2"/>
            <w:shd w:val="clear" w:color="auto" w:fill="B6B6B6"/>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0" w:type="dxa"/>
            <w:vAlign w:val="bottom"/>
          </w:tcPr>
          <w:p>
            <w:pPr>
              <w:spacing w:after="0"/>
              <w:rPr>
                <w:sz w:val="1"/>
                <w:szCs w:val="1"/>
                <w:color w:val="auto"/>
              </w:rPr>
            </w:pPr>
          </w:p>
        </w:tc>
      </w:tr>
      <w:tr>
        <w:trPr>
          <w:trHeight w:val="223"/>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3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0" w:type="dxa"/>
            <w:vAlign w:val="bottom"/>
          </w:tcPr>
          <w:p>
            <w:pPr>
              <w:spacing w:after="0"/>
              <w:rPr>
                <w:sz w:val="1"/>
                <w:szCs w:val="1"/>
                <w:color w:val="auto"/>
              </w:rPr>
            </w:pPr>
          </w:p>
        </w:tc>
      </w:tr>
      <w:tr>
        <w:trPr>
          <w:trHeight w:val="20"/>
        </w:trPr>
        <w:tc>
          <w:tcPr>
            <w:tcW w:w="4460" w:type="dxa"/>
            <w:vAlign w:val="bottom"/>
            <w:tcBorders>
              <w:bottom w:val="single" w:sz="8" w:color="B6B6B6"/>
            </w:tcBorders>
          </w:tcPr>
          <w:p>
            <w:pPr>
              <w:spacing w:after="0" w:line="20" w:lineRule="exact"/>
              <w:rPr>
                <w:sz w:val="1"/>
                <w:szCs w:val="1"/>
                <w:color w:val="auto"/>
              </w:rPr>
            </w:pPr>
          </w:p>
        </w:tc>
        <w:tc>
          <w:tcPr>
            <w:tcW w:w="3800" w:type="dxa"/>
            <w:vAlign w:val="bottom"/>
            <w:tcBorders>
              <w:bottom w:val="single" w:sz="8" w:color="B6B6B6"/>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6B6B6"/>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460" w:type="dxa"/>
            <w:vAlign w:val="bottom"/>
            <w:shd w:val="clear" w:color="auto" w:fill="B6B6B6"/>
          </w:tcPr>
          <w:p>
            <w:pPr>
              <w:spacing w:after="0"/>
              <w:rPr>
                <w:sz w:val="5"/>
                <w:szCs w:val="5"/>
                <w:color w:val="auto"/>
              </w:rPr>
            </w:pPr>
          </w:p>
        </w:tc>
        <w:tc>
          <w:tcPr>
            <w:tcW w:w="3800" w:type="dxa"/>
            <w:vAlign w:val="bottom"/>
            <w:shd w:val="clear" w:color="auto" w:fill="B6B6B6"/>
          </w:tcPr>
          <w:p>
            <w:pPr>
              <w:spacing w:after="0"/>
              <w:rPr>
                <w:sz w:val="5"/>
                <w:szCs w:val="5"/>
                <w:color w:val="auto"/>
              </w:rPr>
            </w:pPr>
          </w:p>
        </w:tc>
        <w:tc>
          <w:tcPr>
            <w:tcW w:w="140" w:type="dxa"/>
            <w:vAlign w:val="bottom"/>
            <w:shd w:val="clear" w:color="auto" w:fill="B6B6B6"/>
          </w:tcPr>
          <w:p>
            <w:pPr>
              <w:spacing w:after="0"/>
              <w:rPr>
                <w:sz w:val="5"/>
                <w:szCs w:val="5"/>
                <w:color w:val="auto"/>
              </w:rPr>
            </w:pPr>
          </w:p>
        </w:tc>
        <w:tc>
          <w:tcPr>
            <w:tcW w:w="1240" w:type="dxa"/>
            <w:vAlign w:val="bottom"/>
            <w:shd w:val="clear" w:color="auto" w:fill="B6B6B6"/>
          </w:tcPr>
          <w:p>
            <w:pPr>
              <w:spacing w:after="0"/>
              <w:rPr>
                <w:sz w:val="5"/>
                <w:szCs w:val="5"/>
                <w:color w:val="auto"/>
              </w:rPr>
            </w:pPr>
          </w:p>
        </w:tc>
        <w:tc>
          <w:tcPr>
            <w:tcW w:w="100" w:type="dxa"/>
            <w:vAlign w:val="bottom"/>
            <w:shd w:val="clear" w:color="auto" w:fill="B6B6B6"/>
          </w:tcPr>
          <w:p>
            <w:pPr>
              <w:spacing w:after="0"/>
              <w:rPr>
                <w:sz w:val="5"/>
                <w:szCs w:val="5"/>
                <w:color w:val="auto"/>
              </w:rPr>
            </w:pPr>
          </w:p>
        </w:tc>
        <w:tc>
          <w:tcPr>
            <w:tcW w:w="520" w:type="dxa"/>
            <w:vAlign w:val="bottom"/>
            <w:shd w:val="clear" w:color="auto" w:fill="B6B6B6"/>
          </w:tcPr>
          <w:p>
            <w:pPr>
              <w:spacing w:after="0"/>
              <w:rPr>
                <w:sz w:val="5"/>
                <w:szCs w:val="5"/>
                <w:color w:val="auto"/>
              </w:rPr>
            </w:pPr>
          </w:p>
        </w:tc>
        <w:tc>
          <w:tcPr>
            <w:tcW w:w="980" w:type="dxa"/>
            <w:vAlign w:val="bottom"/>
            <w:shd w:val="clear" w:color="auto" w:fill="B6B6B6"/>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394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B6B6B6"/>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19,665</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0" w:type="dxa"/>
            <w:vAlign w:val="bottom"/>
          </w:tcPr>
          <w:p>
            <w:pPr>
              <w:spacing w:after="0"/>
              <w:rPr>
                <w:sz w:val="1"/>
                <w:szCs w:val="1"/>
                <w:color w:val="auto"/>
              </w:rPr>
            </w:pPr>
          </w:p>
        </w:tc>
      </w:tr>
      <w:tr>
        <w:trPr>
          <w:trHeight w:val="248"/>
        </w:trPr>
        <w:tc>
          <w:tcPr>
            <w:tcW w:w="4460" w:type="dxa"/>
            <w:vAlign w:val="bottom"/>
            <w:tcBorders>
              <w:top w:val="single" w:sz="8" w:color="B6B6B6"/>
              <w:bottom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Liabilities of discontinued operations</w:t>
            </w:r>
          </w:p>
        </w:tc>
        <w:tc>
          <w:tcPr>
            <w:tcW w:w="3800" w:type="dxa"/>
            <w:vAlign w:val="bottom"/>
            <w:tcBorders>
              <w:top w:val="single" w:sz="8" w:color="B6B6B6"/>
              <w:bottom w:val="single" w:sz="8" w:color="B6B6B6"/>
            </w:tcBorders>
            <w:shd w:val="clear" w:color="auto" w:fill="B6B6B6"/>
          </w:tcPr>
          <w:p>
            <w:pPr>
              <w:spacing w:after="0"/>
              <w:rPr>
                <w:sz w:val="21"/>
                <w:szCs w:val="21"/>
                <w:color w:val="auto"/>
              </w:rPr>
            </w:pPr>
          </w:p>
        </w:tc>
        <w:tc>
          <w:tcPr>
            <w:tcW w:w="14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B6B6B6"/>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B6B6B6"/>
              <w:bottom w:val="single" w:sz="8" w:color="B6B6B6"/>
            </w:tcBorders>
            <w:shd w:val="clear" w:color="auto" w:fill="B6B6B6"/>
          </w:tcPr>
          <w:p>
            <w:pPr>
              <w:spacing w:after="0"/>
              <w:rPr>
                <w:sz w:val="21"/>
                <w:szCs w:val="21"/>
                <w:color w:val="auto"/>
              </w:rPr>
            </w:pPr>
          </w:p>
        </w:tc>
        <w:tc>
          <w:tcPr>
            <w:tcW w:w="520" w:type="dxa"/>
            <w:vAlign w:val="bottom"/>
            <w:tcBorders>
              <w:top w:val="single" w:sz="8" w:color="auto"/>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0" w:type="dxa"/>
            <w:vAlign w:val="bottom"/>
          </w:tcPr>
          <w:p>
            <w:pPr>
              <w:spacing w:after="0"/>
              <w:rPr>
                <w:sz w:val="1"/>
                <w:szCs w:val="1"/>
                <w:color w:val="auto"/>
              </w:rPr>
            </w:pPr>
          </w:p>
        </w:tc>
      </w:tr>
      <w:tr>
        <w:trPr>
          <w:trHeight w:val="20"/>
        </w:trPr>
        <w:tc>
          <w:tcPr>
            <w:tcW w:w="4460" w:type="dxa"/>
            <w:vAlign w:val="bottom"/>
            <w:tcBorders>
              <w:top w:val="single" w:sz="8" w:color="B6B6B6"/>
            </w:tcBorders>
          </w:tcPr>
          <w:p>
            <w:pPr>
              <w:spacing w:after="0" w:line="20" w:lineRule="exact"/>
              <w:rPr>
                <w:sz w:val="1"/>
                <w:szCs w:val="1"/>
                <w:color w:val="auto"/>
              </w:rPr>
            </w:pPr>
          </w:p>
        </w:tc>
        <w:tc>
          <w:tcPr>
            <w:tcW w:w="3800" w:type="dxa"/>
            <w:vAlign w:val="bottom"/>
            <w:tcBorders>
              <w:top w:val="single" w:sz="8" w:color="B6B6B6"/>
              <w:bottom w:val="single" w:sz="8" w:color="B6B6B6"/>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B6B6B6"/>
              <w:bottom w:val="single" w:sz="8" w:color="auto"/>
            </w:tcBorders>
          </w:tcPr>
          <w:p>
            <w:pPr>
              <w:spacing w:after="0" w:line="20" w:lineRule="exact"/>
              <w:rPr>
                <w:sz w:val="1"/>
                <w:szCs w:val="1"/>
                <w:color w:val="auto"/>
              </w:rPr>
            </w:pPr>
          </w:p>
        </w:tc>
        <w:tc>
          <w:tcPr>
            <w:tcW w:w="12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52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4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60" w:type="dxa"/>
            <w:vAlign w:val="bottom"/>
            <w:tcBorders>
              <w:bottom w:val="single" w:sz="8" w:color="9A9A9A"/>
            </w:tcBorders>
          </w:tcPr>
          <w:p>
            <w:pPr>
              <w:spacing w:after="0"/>
              <w:rPr>
                <w:sz w:val="8"/>
                <w:szCs w:val="8"/>
                <w:color w:val="auto"/>
              </w:rPr>
            </w:pPr>
          </w:p>
        </w:tc>
        <w:tc>
          <w:tcPr>
            <w:tcW w:w="3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discontinued operations, net of tax, for the three and six months ended June 30, 2025, and 2024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5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2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23"/>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B6B6B6"/>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tc>
        <w:tc>
          <w:tcPr>
            <w:tcW w:w="260" w:type="dxa"/>
            <w:vAlign w:val="bottom"/>
            <w:shd w:val="clear" w:color="auto" w:fill="B6B6B6"/>
          </w:tcPr>
          <w:p>
            <w:pPr>
              <w:spacing w:after="0"/>
              <w:rPr>
                <w:sz w:val="19"/>
                <w:szCs w:val="19"/>
                <w:color w:val="auto"/>
              </w:rPr>
            </w:pPr>
          </w:p>
        </w:tc>
        <w:tc>
          <w:tcPr>
            <w:tcW w:w="90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9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102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spacing w:after="0"/>
              <w:rPr>
                <w:sz w:val="19"/>
                <w:szCs w:val="19"/>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8,178</w:t>
            </w:r>
          </w:p>
        </w:tc>
      </w:tr>
      <w:tr>
        <w:trPr>
          <w:trHeight w:val="230"/>
        </w:trPr>
        <w:tc>
          <w:tcPr>
            <w:tcW w:w="6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26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9"/>
        </w:trPr>
        <w:tc>
          <w:tcPr>
            <w:tcW w:w="6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Gain on sale of TEM business</w:t>
            </w:r>
          </w:p>
        </w:tc>
        <w:tc>
          <w:tcPr>
            <w:tcW w:w="26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8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100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B6B6"/>
          </w:tcPr>
          <w:p>
            <w:pPr>
              <w:spacing w:after="0"/>
              <w:rPr>
                <w:sz w:val="19"/>
                <w:szCs w:val="19"/>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bottom w:val="single" w:sz="8" w:color="B6B6B6"/>
            </w:tcBorders>
          </w:tcPr>
          <w:p>
            <w:pPr>
              <w:ind w:left="36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80" w:type="dxa"/>
            <w:vAlign w:val="bottom"/>
            <w:tcBorders>
              <w:bottom w:val="single" w:sz="8" w:color="B6B6B6"/>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tcBorders>
              <w:bottom w:val="single" w:sz="8" w:color="B6B6B6"/>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13,904</w:t>
            </w:r>
          </w:p>
        </w:tc>
        <w:tc>
          <w:tcPr>
            <w:tcW w:w="100" w:type="dxa"/>
            <w:vAlign w:val="bottom"/>
            <w:tcBorders>
              <w:bottom w:val="single" w:sz="8" w:color="B6B6B6"/>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r>
      <w:tr>
        <w:trPr>
          <w:trHeight w:val="183"/>
        </w:trPr>
        <w:tc>
          <w:tcPr>
            <w:tcW w:w="636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102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Salaries and commissions</w:t>
            </w:r>
          </w:p>
        </w:tc>
        <w:tc>
          <w:tcPr>
            <w:tcW w:w="26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8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5,969</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6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benefits</w:t>
            </w:r>
          </w:p>
        </w:tc>
        <w:tc>
          <w:tcPr>
            <w:tcW w:w="26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B6B6B6"/>
          </w:tcPr>
          <w:p>
            <w:pPr>
              <w:spacing w:after="0"/>
              <w:rPr>
                <w:sz w:val="19"/>
                <w:szCs w:val="19"/>
                <w:color w:val="auto"/>
              </w:rPr>
            </w:pPr>
          </w:p>
        </w:tc>
        <w:tc>
          <w:tcPr>
            <w:tcW w:w="26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B6B6B6"/>
          </w:tcPr>
          <w:p>
            <w:pPr>
              <w:spacing w:after="0"/>
              <w:rPr>
                <w:sz w:val="19"/>
                <w:szCs w:val="19"/>
                <w:color w:val="auto"/>
              </w:rPr>
            </w:pPr>
          </w:p>
        </w:tc>
        <w:tc>
          <w:tcPr>
            <w:tcW w:w="120" w:type="dxa"/>
            <w:vAlign w:val="bottom"/>
            <w:tcBorders>
              <w:bottom w:val="single" w:sz="8" w:color="auto"/>
            </w:tcBorders>
            <w:shd w:val="clear" w:color="auto" w:fill="B6B6B6"/>
          </w:tcPr>
          <w:p>
            <w:pPr>
              <w:spacing w:after="0"/>
              <w:rPr>
                <w:sz w:val="19"/>
                <w:szCs w:val="19"/>
                <w:color w:val="auto"/>
              </w:rPr>
            </w:pPr>
          </w:p>
        </w:tc>
        <w:tc>
          <w:tcPr>
            <w:tcW w:w="10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2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personnel expenses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w:t>
            </w:r>
          </w:p>
        </w:tc>
      </w:tr>
      <w:tr>
        <w:trPr>
          <w:trHeight w:val="229"/>
        </w:trPr>
        <w:tc>
          <w:tcPr>
            <w:tcW w:w="6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26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6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636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tcBorders>
              <w:bottom w:val="single" w:sz="8" w:color="B6B6B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B6B6B6"/>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23"/>
        </w:trPr>
        <w:tc>
          <w:tcPr>
            <w:tcW w:w="63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6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80" w:type="dxa"/>
            <w:vAlign w:val="bottom"/>
            <w:shd w:val="clear" w:color="auto" w:fill="B6B6B6"/>
          </w:tcPr>
          <w:p>
            <w:pPr>
              <w:spacing w:after="0"/>
              <w:rPr>
                <w:sz w:val="19"/>
                <w:szCs w:val="19"/>
                <w:color w:val="auto"/>
              </w:rPr>
            </w:pPr>
          </w:p>
        </w:tc>
        <w:tc>
          <w:tcPr>
            <w:tcW w:w="26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00" w:type="dxa"/>
            <w:vAlign w:val="bottom"/>
            <w:shd w:val="clear" w:color="auto" w:fill="B6B6B6"/>
          </w:tcPr>
          <w:p>
            <w:pPr>
              <w:spacing w:after="0"/>
              <w:rPr>
                <w:sz w:val="19"/>
                <w:szCs w:val="19"/>
                <w:color w:val="auto"/>
              </w:rPr>
            </w:pPr>
          </w:p>
        </w:tc>
        <w:tc>
          <w:tcPr>
            <w:tcW w:w="120" w:type="dxa"/>
            <w:vAlign w:val="bottom"/>
            <w:tcBorders>
              <w:bottom w:val="single" w:sz="8" w:color="auto"/>
            </w:tcBorders>
            <w:shd w:val="clear" w:color="auto" w:fill="B6B6B6"/>
          </w:tcPr>
          <w:p>
            <w:pPr>
              <w:spacing w:after="0"/>
              <w:rPr>
                <w:sz w:val="19"/>
                <w:szCs w:val="19"/>
                <w:color w:val="auto"/>
              </w:rPr>
            </w:pPr>
          </w:p>
        </w:tc>
        <w:tc>
          <w:tcPr>
            <w:tcW w:w="10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0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8,847</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income tax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63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shd w:val="clear" w:color="auto" w:fill="B6B6B6"/>
          </w:tcPr>
          <w:p>
            <w:pPr>
              <w:spacing w:after="0"/>
              <w:rPr>
                <w:sz w:val="19"/>
                <w:szCs w:val="19"/>
                <w:color w:val="auto"/>
              </w:rPr>
            </w:pPr>
          </w:p>
        </w:tc>
        <w:tc>
          <w:tcPr>
            <w:tcW w:w="26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B6B6B6"/>
          </w:tcPr>
          <w:p>
            <w:pPr>
              <w:spacing w:after="0"/>
              <w:rPr>
                <w:sz w:val="19"/>
                <w:szCs w:val="19"/>
                <w:color w:val="auto"/>
              </w:rPr>
            </w:pPr>
          </w:p>
        </w:tc>
        <w:tc>
          <w:tcPr>
            <w:tcW w:w="120" w:type="dxa"/>
            <w:vAlign w:val="bottom"/>
            <w:tcBorders>
              <w:bottom w:val="single" w:sz="8" w:color="auto"/>
            </w:tcBorders>
            <w:shd w:val="clear" w:color="auto" w:fill="B6B6B6"/>
          </w:tcPr>
          <w:p>
            <w:pPr>
              <w:spacing w:after="0"/>
              <w:rPr>
                <w:sz w:val="19"/>
                <w:szCs w:val="19"/>
                <w:color w:val="auto"/>
              </w:rPr>
            </w:pPr>
          </w:p>
        </w:tc>
        <w:tc>
          <w:tcPr>
            <w:tcW w:w="10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Intangible Assets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intangible assets in accordance with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which requires that intangibles with indefinite useful lives be tested annually for impairment, or when management deems there is a triggering event, and those with finite useful lives be amortized over their useful lives.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Company’s intangible assets are as follows: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4"/>
          </w:tcPr>
          <w:p>
            <w:pPr>
              <w:ind w:left="8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4"/>
                <w:szCs w:val="24"/>
                <w:color w:val="auto"/>
              </w:rPr>
            </w:pPr>
          </w:p>
        </w:tc>
        <w:tc>
          <w:tcPr>
            <w:tcW w:w="29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7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Assets eligible for amortization:</w:t>
            </w:r>
          </w:p>
        </w:tc>
        <w:tc>
          <w:tcPr>
            <w:tcW w:w="14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4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lists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5,512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5,412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16,164</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16,333</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28,264</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00" w:type="dxa"/>
            <w:vAlign w:val="bottom"/>
            <w:tcBorders>
              <w:bottom w:val="single" w:sz="8" w:color="auto"/>
            </w:tcBorders>
            <w:shd w:val="clear" w:color="auto" w:fill="B6B6B6"/>
          </w:tcPr>
          <w:p>
            <w:pPr>
              <w:spacing w:after="0"/>
              <w:rPr>
                <w:sz w:val="21"/>
                <w:szCs w:val="21"/>
                <w:color w:val="auto"/>
              </w:rPr>
            </w:pPr>
          </w:p>
        </w:tc>
        <w:tc>
          <w:tcPr>
            <w:tcW w:w="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28,432</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customer lists are amortized over 5 to 10 years; software over 3 to 7 years; the trade names over 10 to 20 years; and other intangible assets over 15 years. Amortization of intangible assets amounted to $293,000 and $586,000 for the three and six months ended June 30, 2025, respectively. Amortization of intangible assets amounted to $173,000 and $346,000</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respectively. Estimated annual amortization of intangibles is $1.2 million in 2025, $1.1 million in 2026, $738,000 in 2027, $730,000 in 2028, and $699,000 in 2029.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Earnings Per Share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340" w:type="dxa"/>
            <w:vAlign w:val="bottom"/>
          </w:tcPr>
          <w:p>
            <w:pPr>
              <w:spacing w:after="0"/>
              <w:rPr>
                <w:sz w:val="17"/>
                <w:szCs w:val="17"/>
                <w:color w:val="auto"/>
              </w:rPr>
            </w:pPr>
          </w:p>
        </w:tc>
        <w:tc>
          <w:tcPr>
            <w:tcW w:w="28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72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5020" w:type="dxa"/>
            <w:vAlign w:val="bottom"/>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spacing w:after="0"/>
              <w:rPr>
                <w:sz w:val="21"/>
                <w:szCs w:val="21"/>
                <w:color w:val="auto"/>
              </w:rPr>
            </w:pPr>
          </w:p>
        </w:tc>
        <w:tc>
          <w:tcPr>
            <w:tcW w:w="100" w:type="dxa"/>
            <w:vAlign w:val="bottom"/>
            <w:tcBorders>
              <w:bottom w:val="single" w:sz="8" w:color="B6B6B6"/>
            </w:tcBorders>
            <w:shd w:val="clear" w:color="auto" w:fill="B6B6B6"/>
          </w:tcPr>
          <w:p>
            <w:pPr>
              <w:spacing w:after="0"/>
              <w:rPr>
                <w:sz w:val="21"/>
                <w:szCs w:val="21"/>
                <w:color w:val="auto"/>
              </w:rPr>
            </w:pPr>
          </w:p>
        </w:tc>
        <w:tc>
          <w:tcPr>
            <w:tcW w:w="420" w:type="dxa"/>
            <w:vAlign w:val="bottom"/>
            <w:tcBorders>
              <w:bottom w:val="single" w:sz="8" w:color="B6B6B6"/>
            </w:tcBorders>
            <w:shd w:val="clear" w:color="auto" w:fill="B6B6B6"/>
          </w:tcPr>
          <w:p>
            <w:pPr>
              <w:spacing w:after="0"/>
              <w:rPr>
                <w:sz w:val="21"/>
                <w:szCs w:val="21"/>
                <w:color w:val="auto"/>
              </w:rPr>
            </w:pPr>
          </w:p>
        </w:tc>
        <w:tc>
          <w:tcPr>
            <w:tcW w:w="1060" w:type="dxa"/>
            <w:vAlign w:val="bottom"/>
            <w:tcBorders>
              <w:bottom w:val="single" w:sz="8" w:color="B6B6B6"/>
            </w:tcBorders>
            <w:shd w:val="clear" w:color="auto" w:fill="B6B6B6"/>
          </w:tcPr>
          <w:p>
            <w:pPr>
              <w:spacing w:after="0"/>
              <w:rPr>
                <w:sz w:val="21"/>
                <w:szCs w:val="21"/>
                <w:color w:val="auto"/>
              </w:rPr>
            </w:pP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spacing w:after="0"/>
              <w:rPr>
                <w:sz w:val="21"/>
                <w:szCs w:val="21"/>
                <w:color w:val="auto"/>
              </w:rPr>
            </w:pPr>
          </w:p>
        </w:tc>
        <w:tc>
          <w:tcPr>
            <w:tcW w:w="100" w:type="dxa"/>
            <w:vAlign w:val="bottom"/>
            <w:tcBorders>
              <w:bottom w:val="single" w:sz="8" w:color="B6B6B6"/>
            </w:tcBorders>
            <w:shd w:val="clear" w:color="auto" w:fill="B6B6B6"/>
          </w:tcPr>
          <w:p>
            <w:pPr>
              <w:spacing w:after="0"/>
              <w:rPr>
                <w:sz w:val="21"/>
                <w:szCs w:val="21"/>
                <w:color w:val="auto"/>
              </w:rPr>
            </w:pPr>
          </w:p>
        </w:tc>
        <w:tc>
          <w:tcPr>
            <w:tcW w:w="420" w:type="dxa"/>
            <w:vAlign w:val="bottom"/>
            <w:tcBorders>
              <w:bottom w:val="single" w:sz="8" w:color="B6B6B6"/>
            </w:tcBorders>
            <w:shd w:val="clear" w:color="auto" w:fill="B6B6B6"/>
          </w:tcPr>
          <w:p>
            <w:pPr>
              <w:spacing w:after="0"/>
              <w:rPr>
                <w:sz w:val="21"/>
                <w:szCs w:val="21"/>
                <w:color w:val="auto"/>
              </w:rPr>
            </w:pPr>
          </w:p>
        </w:tc>
        <w:tc>
          <w:tcPr>
            <w:tcW w:w="1060" w:type="dxa"/>
            <w:vAlign w:val="bottom"/>
            <w:tcBorders>
              <w:bottom w:val="single" w:sz="8" w:color="B6B6B6"/>
            </w:tcBorders>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0" w:type="dxa"/>
            <w:vAlign w:val="bottom"/>
          </w:tcPr>
          <w:p>
            <w:pPr>
              <w:spacing w:after="0"/>
              <w:rPr>
                <w:sz w:val="1"/>
                <w:szCs w:val="1"/>
                <w:color w:val="auto"/>
              </w:rPr>
            </w:pPr>
          </w:p>
        </w:tc>
      </w:tr>
      <w:tr>
        <w:trPr>
          <w:trHeight w:val="257"/>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shd w:val="clear" w:color="auto" w:fill="B6B6B6"/>
          </w:tcPr>
          <w:p>
            <w:pPr>
              <w:spacing w:after="0"/>
              <w:rPr>
                <w:sz w:val="22"/>
                <w:szCs w:val="22"/>
                <w:color w:val="auto"/>
              </w:rPr>
            </w:pPr>
          </w:p>
        </w:tc>
        <w:tc>
          <w:tcPr>
            <w:tcW w:w="42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shd w:val="clear" w:color="auto" w:fill="B6B6B6"/>
          </w:tcPr>
          <w:p>
            <w:pPr>
              <w:spacing w:after="0"/>
              <w:rPr>
                <w:sz w:val="22"/>
                <w:szCs w:val="22"/>
                <w:color w:val="auto"/>
              </w:rPr>
            </w:pPr>
          </w:p>
        </w:tc>
        <w:tc>
          <w:tcPr>
            <w:tcW w:w="42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13,269,415</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13,538,283</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13,333,443</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13,534,256</w:t>
            </w:r>
          </w:p>
        </w:tc>
        <w:tc>
          <w:tcPr>
            <w:tcW w:w="0" w:type="dxa"/>
            <w:vAlign w:val="bottom"/>
          </w:tcPr>
          <w:p>
            <w:pPr>
              <w:spacing w:after="0"/>
              <w:rPr>
                <w:sz w:val="1"/>
                <w:szCs w:val="1"/>
                <w:color w:val="auto"/>
              </w:rPr>
            </w:pPr>
          </w:p>
        </w:tc>
      </w:tr>
      <w:tr>
        <w:trPr>
          <w:trHeight w:val="25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earnings per share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57"/>
        </w:trPr>
        <w:tc>
          <w:tcPr>
            <w:tcW w:w="502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Basic earnings per share from discontinued operations</w:t>
            </w: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B6B6B6"/>
          </w:tcPr>
          <w:p>
            <w:pPr>
              <w:spacing w:after="0"/>
              <w:rPr>
                <w:sz w:val="22"/>
                <w:szCs w:val="22"/>
                <w:color w:val="auto"/>
              </w:rPr>
            </w:pPr>
          </w:p>
        </w:tc>
        <w:tc>
          <w:tcPr>
            <w:tcW w:w="420" w:type="dxa"/>
            <w:vAlign w:val="bottom"/>
            <w:tcBorders>
              <w:bottom w:val="single" w:sz="8" w:color="auto"/>
            </w:tcBorders>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B6B6B6"/>
          </w:tcPr>
          <w:p>
            <w:pPr>
              <w:spacing w:after="0"/>
              <w:rPr>
                <w:sz w:val="22"/>
                <w:szCs w:val="22"/>
                <w:color w:val="auto"/>
              </w:rPr>
            </w:pPr>
          </w:p>
        </w:tc>
        <w:tc>
          <w:tcPr>
            <w:tcW w:w="420" w:type="dxa"/>
            <w:vAlign w:val="bottom"/>
            <w:tcBorders>
              <w:bottom w:val="single" w:sz="8" w:color="auto"/>
            </w:tcBorders>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56"/>
        </w:trPr>
        <w:tc>
          <w:tcPr>
            <w:tcW w:w="5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B6B6B6"/>
          </w:tcPr>
          <w:p>
            <w:pPr>
              <w:spacing w:after="0"/>
              <w:rPr>
                <w:sz w:val="21"/>
                <w:szCs w:val="21"/>
                <w:color w:val="auto"/>
              </w:rPr>
            </w:pPr>
          </w:p>
        </w:tc>
        <w:tc>
          <w:tcPr>
            <w:tcW w:w="114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420" w:type="dxa"/>
            <w:vAlign w:val="bottom"/>
            <w:shd w:val="clear" w:color="auto" w:fill="B6B6B6"/>
          </w:tcPr>
          <w:p>
            <w:pPr>
              <w:spacing w:after="0"/>
              <w:rPr>
                <w:sz w:val="21"/>
                <w:szCs w:val="21"/>
                <w:color w:val="auto"/>
              </w:rPr>
            </w:pPr>
          </w:p>
        </w:tc>
        <w:tc>
          <w:tcPr>
            <w:tcW w:w="10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340" w:type="dxa"/>
            <w:vAlign w:val="bottom"/>
            <w:shd w:val="clear" w:color="auto" w:fill="B6B6B6"/>
          </w:tcPr>
          <w:p>
            <w:pPr>
              <w:spacing w:after="0"/>
              <w:rPr>
                <w:sz w:val="21"/>
                <w:szCs w:val="21"/>
                <w:color w:val="auto"/>
              </w:rPr>
            </w:pPr>
          </w:p>
        </w:tc>
        <w:tc>
          <w:tcPr>
            <w:tcW w:w="114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420" w:type="dxa"/>
            <w:vAlign w:val="bottom"/>
            <w:shd w:val="clear" w:color="auto" w:fill="B6B6B6"/>
          </w:tcPr>
          <w:p>
            <w:pPr>
              <w:spacing w:after="0"/>
              <w:rPr>
                <w:sz w:val="21"/>
                <w:szCs w:val="21"/>
                <w:color w:val="auto"/>
              </w:rPr>
            </w:pPr>
          </w:p>
        </w:tc>
        <w:tc>
          <w:tcPr>
            <w:tcW w:w="10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0" w:type="dxa"/>
            <w:vAlign w:val="bottom"/>
          </w:tcPr>
          <w:p>
            <w:pPr>
              <w:spacing w:after="0"/>
              <w:rPr>
                <w:sz w:val="1"/>
                <w:szCs w:val="1"/>
                <w:color w:val="auto"/>
              </w:rPr>
            </w:pPr>
          </w:p>
        </w:tc>
      </w:tr>
      <w:tr>
        <w:trPr>
          <w:trHeight w:val="257"/>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shd w:val="clear" w:color="auto" w:fill="B6B6B6"/>
          </w:tcPr>
          <w:p>
            <w:pPr>
              <w:spacing w:after="0"/>
              <w:rPr>
                <w:sz w:val="22"/>
                <w:szCs w:val="22"/>
                <w:color w:val="auto"/>
              </w:rPr>
            </w:pPr>
          </w:p>
        </w:tc>
        <w:tc>
          <w:tcPr>
            <w:tcW w:w="42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shd w:val="clear" w:color="auto" w:fill="B6B6B6"/>
          </w:tcPr>
          <w:p>
            <w:pPr>
              <w:spacing w:after="0"/>
              <w:rPr>
                <w:sz w:val="22"/>
                <w:szCs w:val="22"/>
                <w:color w:val="auto"/>
              </w:rPr>
            </w:pPr>
          </w:p>
        </w:tc>
        <w:tc>
          <w:tcPr>
            <w:tcW w:w="42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17,821</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13,269,415</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13,538,283</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13,333,443</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13,534,256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Effect of dilutive restricted stock and stock appreciation rights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248,164</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283,793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246,638</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269,421</w:t>
            </w:r>
          </w:p>
        </w:tc>
        <w:tc>
          <w:tcPr>
            <w:tcW w:w="0" w:type="dxa"/>
            <w:vAlign w:val="bottom"/>
          </w:tcPr>
          <w:p>
            <w:pPr>
              <w:spacing w:after="0"/>
              <w:rPr>
                <w:sz w:val="1"/>
                <w:szCs w:val="1"/>
                <w:color w:val="auto"/>
              </w:rPr>
            </w:pPr>
          </w:p>
        </w:tc>
      </w:tr>
      <w:tr>
        <w:trPr>
          <w:trHeight w:val="257"/>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13,517,579</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13,822,076</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13,580,081</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13,803,677</w:t>
            </w:r>
          </w:p>
        </w:tc>
        <w:tc>
          <w:tcPr>
            <w:tcW w:w="0" w:type="dxa"/>
            <w:vAlign w:val="bottom"/>
          </w:tcPr>
          <w:p>
            <w:pPr>
              <w:spacing w:after="0"/>
              <w:rPr>
                <w:sz w:val="1"/>
                <w:szCs w:val="1"/>
                <w:color w:val="auto"/>
              </w:rPr>
            </w:pPr>
          </w:p>
        </w:tc>
      </w:tr>
      <w:tr>
        <w:trPr>
          <w:trHeight w:val="25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57"/>
        </w:trPr>
        <w:tc>
          <w:tcPr>
            <w:tcW w:w="502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Diluted earnings per share from discontinued operations</w:t>
            </w: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B6B6B6"/>
          </w:tcPr>
          <w:p>
            <w:pPr>
              <w:spacing w:after="0"/>
              <w:rPr>
                <w:sz w:val="22"/>
                <w:szCs w:val="22"/>
                <w:color w:val="auto"/>
              </w:rPr>
            </w:pPr>
          </w:p>
        </w:tc>
        <w:tc>
          <w:tcPr>
            <w:tcW w:w="420" w:type="dxa"/>
            <w:vAlign w:val="bottom"/>
            <w:tcBorders>
              <w:bottom w:val="single" w:sz="8" w:color="auto"/>
            </w:tcBorders>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B6B6B6"/>
          </w:tcPr>
          <w:p>
            <w:pPr>
              <w:spacing w:after="0"/>
              <w:rPr>
                <w:sz w:val="22"/>
                <w:szCs w:val="22"/>
                <w:color w:val="auto"/>
              </w:rPr>
            </w:pPr>
          </w:p>
        </w:tc>
        <w:tc>
          <w:tcPr>
            <w:tcW w:w="420" w:type="dxa"/>
            <w:vAlign w:val="bottom"/>
            <w:tcBorders>
              <w:bottom w:val="single" w:sz="8" w:color="auto"/>
            </w:tcBorders>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Stock Repurchases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a treasury stock buyback program pursuant to which, in October 2023, the Board of Directors authorized the repurchase of up to 500,000 shares of the Company’s common stock with no expiration date. As of June 30, 2025, the Company had 62,203 shares remaining available for repurchase under the program. On July 15, 2025, the Board of Directors authorized the repurchase of up to 500,000 shares of the Company's common stock with no expiration date. This authorization replaces the October 2023 authorization, and as such, the Company has 500,000 shares available for repurchase effective with the July 15, 2025 authorization. The Company repurchased 140,269 and 256,378 shares during the three and six months ended June 30, 2025, respectively and 0 and 23,271 shares during the three and six months ended June 30, 2024, respectively. Repurchases may be made in the open market or through negotiated transactions from time to time depending on market conditions.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Industry Segment Information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services provided by the Company are classified into two reportable segments: Information Services and Banking Services. Each of these segments provides distinct services that are marketed through different channels and are consistent with the presentation of financial information to the chief operating decision maker to evaluate segment performance, develop strategy, and allocate resources. They are managed separately due to their unique service and processing requirements. The Company's chief operating decision maker is the President and Chief Executive Officer of Cass Information Systems' Inc.</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Services segment provides transportation, energy, telecommunication, and environmental invoice processing and payment services to large corporations. In addition, this segment provides church management software and on-line generosity services primarily for faith-based ministries. As discussed in Note 2 to the consolidated financial statements, the Company applied discontinued operations accounting to the assets and liabilities being sold related to the TEM Business Unit as of and for the three and six months ended June 30, 2025 and 2024, as applicable. The TEM Business Unit is included in the Information Services operating segment. The Banking Services segment provides banking services primarily to privately held businesses, franchise restaurants and faith-based ministries, as well as supporting the banking needs of the Information Services segment.</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policies for segments are the same as those described in the summary of significant accounting policies in the Company’s 2024 Form 10-K. Management and the chief operating decision maker evaluates segment performance based on pre-tax income after allocations for corporate expenses. Transactions between segments are accounted for at what management believes to be fair value.</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Funding sources represent average balances and deposits generated by Information Services and Banking Services and there is no allocation methodology used. Banking Services interest income is determined by actual interest income on loans minus actual interest expense paid on deposits plus/minus an allocation for interest income or expense dependent on the remaining available liquidity of the segment. Information Services interest income is determined by multiplying available liquidity by actual yields on short-term investments and investment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difference between total segment interest income and overall total Company interest income is included in Corporate, Eliminations, and Other.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information about the Company’s operations in each industry segment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280" w:type="dxa"/>
            <w:vAlign w:val="bottom"/>
          </w:tcPr>
          <w:p>
            <w:pPr>
              <w:spacing w:after="0"/>
              <w:rPr>
                <w:sz w:val="17"/>
                <w:szCs w:val="17"/>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20" w:type="dxa"/>
            <w:vAlign w:val="bottom"/>
          </w:tcPr>
          <w:p>
            <w:pPr>
              <w:spacing w:after="0"/>
              <w:rPr>
                <w:sz w:val="15"/>
                <w:szCs w:val="15"/>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1"/>
        </w:trPr>
        <w:tc>
          <w:tcPr>
            <w:tcW w:w="49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2025:</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27,348</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28,506</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Loss on sale of investment securities</w:t>
            </w:r>
          </w:p>
        </w:tc>
        <w:tc>
          <w:tcPr>
            <w:tcW w:w="200" w:type="dxa"/>
            <w:vAlign w:val="bottom"/>
            <w:shd w:val="clear" w:color="auto" w:fill="B6B6B6"/>
          </w:tcPr>
          <w:p>
            <w:pPr>
              <w:spacing w:after="0"/>
              <w:rPr>
                <w:sz w:val="22"/>
                <w:szCs w:val="22"/>
                <w:color w:val="auto"/>
              </w:rPr>
            </w:pPr>
          </w:p>
        </w:tc>
        <w:tc>
          <w:tcPr>
            <w:tcW w:w="138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7"/>
        </w:trPr>
        <w:tc>
          <w:tcPr>
            <w:tcW w:w="4980" w:type="dxa"/>
            <w:vAlign w:val="bottom"/>
            <w:tcBorders>
              <w:top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37,978</w:t>
            </w:r>
          </w:p>
        </w:tc>
        <w:tc>
          <w:tcPr>
            <w:tcW w:w="80" w:type="dxa"/>
            <w:vAlign w:val="bottom"/>
            <w:tcBorders>
              <w:top w:val="single" w:sz="8" w:color="B6B6B6"/>
            </w:tcBorders>
            <w:shd w:val="clear" w:color="auto" w:fill="B6B6B6"/>
          </w:tcPr>
          <w:p>
            <w:pPr>
              <w:spacing w:after="0"/>
              <w:rPr>
                <w:sz w:val="22"/>
                <w:szCs w:val="22"/>
                <w:color w:val="auto"/>
              </w:rPr>
            </w:pPr>
          </w:p>
        </w:tc>
        <w:tc>
          <w:tcPr>
            <w:tcW w:w="280" w:type="dxa"/>
            <w:vAlign w:val="bottom"/>
            <w:tcBorders>
              <w:top w:val="single" w:sz="8" w:color="auto"/>
            </w:tcBorders>
            <w:shd w:val="clear" w:color="auto" w:fill="B6B6B6"/>
          </w:tcPr>
          <w:p>
            <w:pPr>
              <w:spacing w:after="0"/>
              <w:rPr>
                <w:sz w:val="22"/>
                <w:szCs w:val="22"/>
                <w:color w:val="auto"/>
              </w:rPr>
            </w:pPr>
          </w:p>
        </w:tc>
        <w:tc>
          <w:tcPr>
            <w:tcW w:w="12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9,338</w:t>
            </w:r>
          </w:p>
        </w:tc>
        <w:tc>
          <w:tcPr>
            <w:tcW w:w="100" w:type="dxa"/>
            <w:vAlign w:val="bottom"/>
            <w:tcBorders>
              <w:top w:val="single" w:sz="8" w:color="B6B6B6"/>
            </w:tcBorders>
            <w:shd w:val="clear" w:color="auto" w:fill="B6B6B6"/>
          </w:tcPr>
          <w:p>
            <w:pPr>
              <w:spacing w:after="0"/>
              <w:rPr>
                <w:sz w:val="22"/>
                <w:szCs w:val="22"/>
                <w:color w:val="auto"/>
              </w:rPr>
            </w:pPr>
          </w:p>
        </w:tc>
        <w:tc>
          <w:tcPr>
            <w:tcW w:w="18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tcBorders>
              <w:top w:val="single" w:sz="8" w:color="B6B6B6"/>
            </w:tcBorders>
            <w:shd w:val="clear" w:color="auto" w:fill="B6B6B6"/>
          </w:tcPr>
          <w:p>
            <w:pPr>
              <w:spacing w:after="0"/>
              <w:rPr>
                <w:sz w:val="22"/>
                <w:szCs w:val="22"/>
                <w:color w:val="auto"/>
              </w:rPr>
            </w:pPr>
          </w:p>
        </w:tc>
        <w:tc>
          <w:tcPr>
            <w:tcW w:w="320" w:type="dxa"/>
            <w:vAlign w:val="bottom"/>
            <w:tcBorders>
              <w:top w:val="single" w:sz="8" w:color="auto"/>
            </w:tcBorders>
            <w:shd w:val="clear" w:color="auto" w:fill="B6B6B6"/>
          </w:tcPr>
          <w:p>
            <w:pPr>
              <w:spacing w:after="0"/>
              <w:rPr>
                <w:sz w:val="22"/>
                <w:szCs w:val="22"/>
                <w:color w:val="auto"/>
              </w:rPr>
            </w:pPr>
          </w:p>
        </w:tc>
        <w:tc>
          <w:tcPr>
            <w:tcW w:w="1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44,398</w:t>
            </w:r>
          </w:p>
        </w:tc>
        <w:tc>
          <w:tcPr>
            <w:tcW w:w="0" w:type="dxa"/>
            <w:vAlign w:val="bottom"/>
          </w:tcPr>
          <w:p>
            <w:pPr>
              <w:spacing w:after="0"/>
              <w:rPr>
                <w:sz w:val="1"/>
                <w:szCs w:val="1"/>
                <w:color w:val="auto"/>
              </w:rPr>
            </w:pPr>
          </w:p>
        </w:tc>
      </w:tr>
      <w:tr>
        <w:trPr>
          <w:trHeight w:val="94"/>
        </w:trPr>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Personnel expenses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24,792</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27,752</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Intersegment expense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80" w:type="dxa"/>
            <w:vAlign w:val="bottom"/>
            <w:shd w:val="clear" w:color="auto" w:fill="B6B6B6"/>
          </w:tcPr>
          <w:p>
            <w:pPr>
              <w:spacing w:after="0"/>
              <w:rPr>
                <w:sz w:val="22"/>
                <w:szCs w:val="22"/>
                <w:color w:val="auto"/>
              </w:rPr>
            </w:pPr>
          </w:p>
        </w:tc>
        <w:tc>
          <w:tcPr>
            <w:tcW w:w="28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shd w:val="clear" w:color="auto" w:fill="B6B6B6"/>
          </w:tcPr>
          <w:p>
            <w:pPr>
              <w:spacing w:after="0"/>
              <w:rPr>
                <w:sz w:val="22"/>
                <w:szCs w:val="22"/>
                <w:color w:val="auto"/>
              </w:rPr>
            </w:pPr>
          </w:p>
        </w:tc>
        <w:tc>
          <w:tcPr>
            <w:tcW w:w="18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0" w:type="dxa"/>
            <w:vAlign w:val="bottom"/>
          </w:tcPr>
          <w:p>
            <w:pPr>
              <w:spacing w:after="0"/>
              <w:rPr>
                <w:sz w:val="1"/>
                <w:szCs w:val="1"/>
                <w:color w:val="auto"/>
              </w:rPr>
            </w:pPr>
          </w:p>
        </w:tc>
      </w:tr>
      <w:tr>
        <w:trPr>
          <w:trHeight w:val="250"/>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38,119</w:t>
            </w:r>
          </w:p>
        </w:tc>
        <w:tc>
          <w:tcPr>
            <w:tcW w:w="0" w:type="dxa"/>
            <w:vAlign w:val="bottom"/>
          </w:tcPr>
          <w:p>
            <w:pPr>
              <w:spacing w:after="0"/>
              <w:rPr>
                <w:sz w:val="1"/>
                <w:szCs w:val="1"/>
                <w:color w:val="auto"/>
              </w:rPr>
            </w:pPr>
          </w:p>
        </w:tc>
      </w:tr>
      <w:tr>
        <w:trPr>
          <w:trHeight w:val="257"/>
        </w:trPr>
        <w:tc>
          <w:tcPr>
            <w:tcW w:w="4980" w:type="dxa"/>
            <w:vAlign w:val="bottom"/>
            <w:tcBorders>
              <w:top w:val="single" w:sz="8" w:color="B6B6B6"/>
            </w:tcBorders>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Pre-tax income from continuing operations</w:t>
            </w:r>
          </w:p>
        </w:tc>
        <w:tc>
          <w:tcPr>
            <w:tcW w:w="20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80" w:type="dxa"/>
            <w:vAlign w:val="bottom"/>
            <w:tcBorders>
              <w:top w:val="single" w:sz="8" w:color="B6B6B6"/>
            </w:tcBorders>
            <w:shd w:val="clear" w:color="auto" w:fill="B6B6B6"/>
          </w:tcPr>
          <w:p>
            <w:pPr>
              <w:spacing w:after="0"/>
              <w:rPr>
                <w:sz w:val="22"/>
                <w:szCs w:val="22"/>
                <w:color w:val="auto"/>
              </w:rPr>
            </w:pPr>
          </w:p>
        </w:tc>
        <w:tc>
          <w:tcPr>
            <w:tcW w:w="280" w:type="dxa"/>
            <w:vAlign w:val="bottom"/>
            <w:tcBorders>
              <w:top w:val="single" w:sz="8" w:color="auto"/>
            </w:tcBorders>
            <w:shd w:val="clear" w:color="auto" w:fill="B6B6B6"/>
          </w:tcPr>
          <w:p>
            <w:pPr>
              <w:spacing w:after="0"/>
              <w:rPr>
                <w:sz w:val="22"/>
                <w:szCs w:val="22"/>
                <w:color w:val="auto"/>
              </w:rPr>
            </w:pPr>
          </w:p>
        </w:tc>
        <w:tc>
          <w:tcPr>
            <w:tcW w:w="12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tcBorders>
              <w:top w:val="single" w:sz="8" w:color="B6B6B6"/>
            </w:tcBorders>
            <w:shd w:val="clear" w:color="auto" w:fill="B6B6B6"/>
          </w:tcPr>
          <w:p>
            <w:pPr>
              <w:spacing w:after="0"/>
              <w:rPr>
                <w:sz w:val="22"/>
                <w:szCs w:val="22"/>
                <w:color w:val="auto"/>
              </w:rPr>
            </w:pPr>
          </w:p>
        </w:tc>
        <w:tc>
          <w:tcPr>
            <w:tcW w:w="18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tcBorders>
              <w:top w:val="single" w:sz="8" w:color="B6B6B6"/>
            </w:tcBorders>
            <w:shd w:val="clear" w:color="auto" w:fill="B6B6B6"/>
          </w:tcPr>
          <w:p>
            <w:pPr>
              <w:spacing w:after="0"/>
              <w:rPr>
                <w:sz w:val="22"/>
                <w:szCs w:val="22"/>
                <w:color w:val="auto"/>
              </w:rPr>
            </w:pPr>
          </w:p>
        </w:tc>
        <w:tc>
          <w:tcPr>
            <w:tcW w:w="320" w:type="dxa"/>
            <w:vAlign w:val="bottom"/>
            <w:tcBorders>
              <w:top w:val="single" w:sz="8" w:color="auto"/>
            </w:tcBorders>
            <w:shd w:val="clear" w:color="auto" w:fill="B6B6B6"/>
          </w:tcPr>
          <w:p>
            <w:pPr>
              <w:spacing w:after="0"/>
              <w:rPr>
                <w:sz w:val="22"/>
                <w:szCs w:val="22"/>
                <w:color w:val="auto"/>
              </w:rPr>
            </w:pPr>
          </w:p>
        </w:tc>
        <w:tc>
          <w:tcPr>
            <w:tcW w:w="1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0" w:type="dxa"/>
            <w:vAlign w:val="bottom"/>
          </w:tcPr>
          <w:p>
            <w:pPr>
              <w:spacing w:after="0"/>
              <w:rPr>
                <w:sz w:val="1"/>
                <w:szCs w:val="1"/>
                <w:color w:val="auto"/>
              </w:rPr>
            </w:pPr>
          </w:p>
        </w:tc>
      </w:tr>
      <w:tr>
        <w:trPr>
          <w:trHeight w:val="250"/>
        </w:trPr>
        <w:tc>
          <w:tcPr>
            <w:tcW w:w="4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Pre-tax income from discontinued operations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0" w:type="dxa"/>
            <w:vAlign w:val="bottom"/>
          </w:tcPr>
          <w:p>
            <w:pPr>
              <w:spacing w:after="0"/>
              <w:rPr>
                <w:sz w:val="1"/>
                <w:szCs w:val="1"/>
                <w:color w:val="auto"/>
              </w:rPr>
            </w:pPr>
          </w:p>
        </w:tc>
      </w:tr>
      <w:tr>
        <w:trPr>
          <w:trHeight w:val="101"/>
        </w:trPr>
        <w:tc>
          <w:tcPr>
            <w:tcW w:w="4980" w:type="dxa"/>
            <w:vAlign w:val="bottom"/>
            <w:shd w:val="clear" w:color="auto" w:fill="B6B6B6"/>
          </w:tcPr>
          <w:p>
            <w:pPr>
              <w:spacing w:after="0"/>
              <w:rPr>
                <w:sz w:val="8"/>
                <w:szCs w:val="8"/>
                <w:color w:val="auto"/>
              </w:rPr>
            </w:pPr>
          </w:p>
        </w:tc>
        <w:tc>
          <w:tcPr>
            <w:tcW w:w="200" w:type="dxa"/>
            <w:vAlign w:val="bottom"/>
            <w:shd w:val="clear" w:color="auto" w:fill="B6B6B6"/>
          </w:tcPr>
          <w:p>
            <w:pPr>
              <w:spacing w:after="0"/>
              <w:rPr>
                <w:sz w:val="8"/>
                <w:szCs w:val="8"/>
                <w:color w:val="auto"/>
              </w:rPr>
            </w:pPr>
          </w:p>
        </w:tc>
        <w:tc>
          <w:tcPr>
            <w:tcW w:w="1300" w:type="dxa"/>
            <w:vAlign w:val="bottom"/>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280" w:type="dxa"/>
            <w:vAlign w:val="bottom"/>
            <w:shd w:val="clear" w:color="auto" w:fill="B6B6B6"/>
          </w:tcPr>
          <w:p>
            <w:pPr>
              <w:spacing w:after="0"/>
              <w:rPr>
                <w:sz w:val="8"/>
                <w:szCs w:val="8"/>
                <w:color w:val="auto"/>
              </w:rPr>
            </w:pPr>
          </w:p>
        </w:tc>
        <w:tc>
          <w:tcPr>
            <w:tcW w:w="122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180" w:type="dxa"/>
            <w:vAlign w:val="bottom"/>
            <w:shd w:val="clear" w:color="auto" w:fill="B6B6B6"/>
          </w:tcPr>
          <w:p>
            <w:pPr>
              <w:spacing w:after="0"/>
              <w:rPr>
                <w:sz w:val="8"/>
                <w:szCs w:val="8"/>
                <w:color w:val="auto"/>
              </w:rPr>
            </w:pPr>
          </w:p>
        </w:tc>
        <w:tc>
          <w:tcPr>
            <w:tcW w:w="1300" w:type="dxa"/>
            <w:vAlign w:val="bottom"/>
            <w:shd w:val="clear" w:color="auto" w:fill="B6B6B6"/>
          </w:tcPr>
          <w:p>
            <w:pPr>
              <w:spacing w:after="0"/>
              <w:rPr>
                <w:sz w:val="8"/>
                <w:szCs w:val="8"/>
                <w:color w:val="auto"/>
              </w:rPr>
            </w:pPr>
          </w:p>
        </w:tc>
        <w:tc>
          <w:tcPr>
            <w:tcW w:w="120" w:type="dxa"/>
            <w:vAlign w:val="bottom"/>
            <w:shd w:val="clear" w:color="auto" w:fill="B6B6B6"/>
          </w:tcPr>
          <w:p>
            <w:pPr>
              <w:spacing w:after="0"/>
              <w:rPr>
                <w:sz w:val="8"/>
                <w:szCs w:val="8"/>
                <w:color w:val="auto"/>
              </w:rPr>
            </w:pPr>
          </w:p>
        </w:tc>
        <w:tc>
          <w:tcPr>
            <w:tcW w:w="320" w:type="dxa"/>
            <w:vAlign w:val="bottom"/>
            <w:shd w:val="clear" w:color="auto" w:fill="B6B6B6"/>
          </w:tcPr>
          <w:p>
            <w:pPr>
              <w:spacing w:after="0"/>
              <w:rPr>
                <w:sz w:val="8"/>
                <w:szCs w:val="8"/>
                <w:color w:val="auto"/>
              </w:rPr>
            </w:pPr>
          </w:p>
        </w:tc>
        <w:tc>
          <w:tcPr>
            <w:tcW w:w="116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1,438,612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2,316,018</w:t>
            </w:r>
          </w:p>
        </w:tc>
        <w:tc>
          <w:tcPr>
            <w:tcW w:w="0" w:type="dxa"/>
            <w:vAlign w:val="bottom"/>
          </w:tcPr>
          <w:p>
            <w:pPr>
              <w:spacing w:after="0"/>
              <w:rPr>
                <w:sz w:val="1"/>
                <w:szCs w:val="1"/>
                <w:color w:val="auto"/>
              </w:rPr>
            </w:pPr>
          </w:p>
        </w:tc>
      </w:tr>
      <w:tr>
        <w:trPr>
          <w:trHeight w:val="257"/>
        </w:trPr>
        <w:tc>
          <w:tcPr>
            <w:tcW w:w="498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1,339,550</w:t>
            </w:r>
          </w:p>
        </w:tc>
        <w:tc>
          <w:tcPr>
            <w:tcW w:w="80" w:type="dxa"/>
            <w:vAlign w:val="bottom"/>
            <w:tcBorders>
              <w:bottom w:val="single" w:sz="8" w:color="auto"/>
            </w:tcBorders>
            <w:shd w:val="clear" w:color="auto" w:fill="B6B6B6"/>
          </w:tcPr>
          <w:p>
            <w:pPr>
              <w:spacing w:after="0"/>
              <w:rPr>
                <w:sz w:val="22"/>
                <w:szCs w:val="22"/>
                <w:color w:val="auto"/>
              </w:rPr>
            </w:pPr>
          </w:p>
        </w:tc>
        <w:tc>
          <w:tcPr>
            <w:tcW w:w="28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766,622</w:t>
            </w:r>
          </w:p>
        </w:tc>
        <w:tc>
          <w:tcPr>
            <w:tcW w:w="100" w:type="dxa"/>
            <w:vAlign w:val="bottom"/>
            <w:tcBorders>
              <w:bottom w:val="single" w:sz="8" w:color="auto"/>
            </w:tcBorders>
            <w:shd w:val="clear" w:color="auto" w:fill="B6B6B6"/>
          </w:tcPr>
          <w:p>
            <w:pPr>
              <w:spacing w:after="0"/>
              <w:rPr>
                <w:sz w:val="22"/>
                <w:szCs w:val="22"/>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2,106,172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7"/>
        </w:trPr>
        <w:tc>
          <w:tcPr>
            <w:tcW w:w="1360" w:type="dxa"/>
            <w:vAlign w:val="bottom"/>
            <w:tcBorders>
              <w:top w:val="single" w:sz="8" w:color="0000FF"/>
            </w:tcBorders>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280" w:type="dxa"/>
            <w:vAlign w:val="bottom"/>
          </w:tcPr>
          <w:p>
            <w:pPr>
              <w:spacing w:after="0"/>
              <w:rPr>
                <w:sz w:val="24"/>
                <w:szCs w:val="24"/>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8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20" w:type="dxa"/>
            <w:vAlign w:val="bottom"/>
          </w:tcPr>
          <w:p>
            <w:pPr>
              <w:spacing w:after="0"/>
              <w:rPr>
                <w:sz w:val="16"/>
                <w:szCs w:val="16"/>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27,451</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28,461</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Loss on sale of investment securities</w:t>
            </w:r>
          </w:p>
        </w:tc>
        <w:tc>
          <w:tcPr>
            <w:tcW w:w="200" w:type="dxa"/>
            <w:vAlign w:val="bottom"/>
            <w:shd w:val="clear" w:color="auto" w:fill="B6B6B6"/>
          </w:tcPr>
          <w:p>
            <w:pPr>
              <w:spacing w:after="0"/>
              <w:rPr>
                <w:sz w:val="22"/>
                <w:szCs w:val="22"/>
                <w:color w:val="auto"/>
              </w:rPr>
            </w:pPr>
          </w:p>
        </w:tc>
        <w:tc>
          <w:tcPr>
            <w:tcW w:w="138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57"/>
        </w:trPr>
        <w:tc>
          <w:tcPr>
            <w:tcW w:w="4980" w:type="dxa"/>
            <w:vAlign w:val="bottom"/>
            <w:tcBorders>
              <w:top w:val="single" w:sz="8" w:color="B6B6B6"/>
            </w:tcBorders>
            <w:gridSpan w:val="2"/>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36,889</w:t>
            </w:r>
          </w:p>
        </w:tc>
        <w:tc>
          <w:tcPr>
            <w:tcW w:w="80" w:type="dxa"/>
            <w:vAlign w:val="bottom"/>
            <w:tcBorders>
              <w:top w:val="single" w:sz="8" w:color="B6B6B6"/>
            </w:tcBorders>
            <w:shd w:val="clear" w:color="auto" w:fill="B6B6B6"/>
          </w:tcPr>
          <w:p>
            <w:pPr>
              <w:spacing w:after="0"/>
              <w:rPr>
                <w:sz w:val="22"/>
                <w:szCs w:val="22"/>
                <w:color w:val="auto"/>
              </w:rPr>
            </w:pPr>
          </w:p>
        </w:tc>
        <w:tc>
          <w:tcPr>
            <w:tcW w:w="280" w:type="dxa"/>
            <w:vAlign w:val="bottom"/>
            <w:tcBorders>
              <w:top w:val="single" w:sz="8" w:color="auto"/>
            </w:tcBorders>
            <w:shd w:val="clear" w:color="auto" w:fill="B6B6B6"/>
          </w:tcPr>
          <w:p>
            <w:pPr>
              <w:spacing w:after="0"/>
              <w:rPr>
                <w:sz w:val="22"/>
                <w:szCs w:val="22"/>
                <w:color w:val="auto"/>
              </w:rPr>
            </w:pPr>
          </w:p>
        </w:tc>
        <w:tc>
          <w:tcPr>
            <w:tcW w:w="12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tcBorders>
              <w:top w:val="single" w:sz="8" w:color="B6B6B6"/>
            </w:tcBorders>
            <w:shd w:val="clear" w:color="auto" w:fill="B6B6B6"/>
          </w:tcPr>
          <w:p>
            <w:pPr>
              <w:spacing w:after="0"/>
              <w:rPr>
                <w:sz w:val="22"/>
                <w:szCs w:val="22"/>
                <w:color w:val="auto"/>
              </w:rPr>
            </w:pPr>
          </w:p>
        </w:tc>
        <w:tc>
          <w:tcPr>
            <w:tcW w:w="18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top w:val="single" w:sz="8" w:color="B6B6B6"/>
            </w:tcBorders>
            <w:shd w:val="clear" w:color="auto" w:fill="B6B6B6"/>
          </w:tcPr>
          <w:p>
            <w:pPr>
              <w:spacing w:after="0"/>
              <w:rPr>
                <w:sz w:val="22"/>
                <w:szCs w:val="22"/>
                <w:color w:val="auto"/>
              </w:rPr>
            </w:pPr>
          </w:p>
        </w:tc>
        <w:tc>
          <w:tcPr>
            <w:tcW w:w="320" w:type="dxa"/>
            <w:vAlign w:val="bottom"/>
            <w:tcBorders>
              <w:top w:val="single" w:sz="8" w:color="auto"/>
            </w:tcBorders>
            <w:shd w:val="clear" w:color="auto" w:fill="B6B6B6"/>
          </w:tcPr>
          <w:p>
            <w:pPr>
              <w:spacing w:after="0"/>
              <w:rPr>
                <w:sz w:val="22"/>
                <w:szCs w:val="22"/>
                <w:color w:val="auto"/>
              </w:rPr>
            </w:pPr>
          </w:p>
        </w:tc>
        <w:tc>
          <w:tcPr>
            <w:tcW w:w="1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43,977</w:t>
            </w:r>
          </w:p>
        </w:tc>
        <w:tc>
          <w:tcPr>
            <w:tcW w:w="0" w:type="dxa"/>
            <w:vAlign w:val="bottom"/>
          </w:tcPr>
          <w:p>
            <w:pPr>
              <w:spacing w:after="0"/>
              <w:rPr>
                <w:sz w:val="1"/>
                <w:szCs w:val="1"/>
                <w:color w:val="auto"/>
              </w:rPr>
            </w:pPr>
          </w:p>
        </w:tc>
      </w:tr>
      <w:tr>
        <w:trPr>
          <w:trHeight w:val="94"/>
        </w:trPr>
        <w:tc>
          <w:tcPr>
            <w:tcW w:w="49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Personnel expenses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23,369</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26,244</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Intersegment expense (income)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B6B6B6"/>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80" w:type="dxa"/>
            <w:vAlign w:val="bottom"/>
            <w:tcBorders>
              <w:bottom w:val="single" w:sz="8" w:color="B6B6B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Borders>
              <w:bottom w:val="single" w:sz="8" w:color="B6B6B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B6B6B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0" w:type="dxa"/>
            <w:vAlign w:val="bottom"/>
          </w:tcPr>
          <w:p>
            <w:pPr>
              <w:spacing w:after="0"/>
              <w:rPr>
                <w:sz w:val="1"/>
                <w:szCs w:val="1"/>
                <w:color w:val="auto"/>
              </w:rPr>
            </w:pPr>
          </w:p>
        </w:tc>
      </w:tr>
      <w:tr>
        <w:trPr>
          <w:trHeight w:val="250"/>
        </w:trPr>
        <w:tc>
          <w:tcPr>
            <w:tcW w:w="4980" w:type="dxa"/>
            <w:vAlign w:val="bottom"/>
            <w:gridSpan w:val="2"/>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33,939</w:t>
            </w: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38,409</w:t>
            </w:r>
          </w:p>
        </w:tc>
        <w:tc>
          <w:tcPr>
            <w:tcW w:w="0" w:type="dxa"/>
            <w:vAlign w:val="bottom"/>
          </w:tcPr>
          <w:p>
            <w:pPr>
              <w:spacing w:after="0"/>
              <w:rPr>
                <w:sz w:val="1"/>
                <w:szCs w:val="1"/>
                <w:color w:val="auto"/>
              </w:rPr>
            </w:pPr>
          </w:p>
        </w:tc>
      </w:tr>
      <w:tr>
        <w:trPr>
          <w:trHeight w:val="250"/>
        </w:trPr>
        <w:tc>
          <w:tcPr>
            <w:tcW w:w="49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Pre-tax income from continuing operations</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Pre-tax income from discontinued operations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94"/>
        </w:trPr>
        <w:tc>
          <w:tcPr>
            <w:tcW w:w="49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1,420,254</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1,130,548</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(268,206)</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2,282,596</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1,235,016</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785,893</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2,020,909</w:t>
            </w:r>
          </w:p>
        </w:tc>
        <w:tc>
          <w:tcPr>
            <w:tcW w:w="0" w:type="dxa"/>
            <w:vAlign w:val="bottom"/>
          </w:tcPr>
          <w:p>
            <w:pPr>
              <w:spacing w:after="0"/>
              <w:rPr>
                <w:sz w:val="1"/>
                <w:szCs w:val="1"/>
                <w:color w:val="auto"/>
              </w:rPr>
            </w:pPr>
          </w:p>
        </w:tc>
      </w:tr>
      <w:tr>
        <w:trPr>
          <w:trHeight w:val="918"/>
        </w:trPr>
        <w:tc>
          <w:tcPr>
            <w:tcW w:w="13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36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7"/>
        </w:trPr>
        <w:tc>
          <w:tcPr>
            <w:tcW w:w="1360" w:type="dxa"/>
            <w:vAlign w:val="bottom"/>
            <w:tcBorders>
              <w:top w:val="single" w:sz="8" w:color="0000FF"/>
            </w:tcBorders>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280" w:type="dxa"/>
            <w:vAlign w:val="bottom"/>
          </w:tcPr>
          <w:p>
            <w:pPr>
              <w:spacing w:after="0"/>
              <w:rPr>
                <w:sz w:val="24"/>
                <w:szCs w:val="24"/>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8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20" w:type="dxa"/>
            <w:vAlign w:val="bottom"/>
          </w:tcPr>
          <w:p>
            <w:pPr>
              <w:spacing w:after="0"/>
              <w:rPr>
                <w:sz w:val="16"/>
                <w:szCs w:val="16"/>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2025:</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54,354</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56,562</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Loss on sale of investment securities</w:t>
            </w:r>
          </w:p>
        </w:tc>
        <w:tc>
          <w:tcPr>
            <w:tcW w:w="200" w:type="dxa"/>
            <w:vAlign w:val="bottom"/>
            <w:shd w:val="clear" w:color="auto" w:fill="B6B6B6"/>
          </w:tcPr>
          <w:p>
            <w:pPr>
              <w:spacing w:after="0"/>
              <w:rPr>
                <w:sz w:val="22"/>
                <w:szCs w:val="22"/>
                <w:color w:val="auto"/>
              </w:rPr>
            </w:pPr>
          </w:p>
        </w:tc>
        <w:tc>
          <w:tcPr>
            <w:tcW w:w="138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47,028</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57"/>
        </w:trPr>
        <w:tc>
          <w:tcPr>
            <w:tcW w:w="4980" w:type="dxa"/>
            <w:vAlign w:val="bottom"/>
            <w:tcBorders>
              <w:top w:val="single" w:sz="8" w:color="B6B6B6"/>
            </w:tcBorders>
            <w:gridSpan w:val="2"/>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75,282</w:t>
            </w:r>
          </w:p>
        </w:tc>
        <w:tc>
          <w:tcPr>
            <w:tcW w:w="80" w:type="dxa"/>
            <w:vAlign w:val="bottom"/>
            <w:tcBorders>
              <w:top w:val="single" w:sz="8" w:color="B6B6B6"/>
            </w:tcBorders>
            <w:shd w:val="clear" w:color="auto" w:fill="B6B6B6"/>
          </w:tcPr>
          <w:p>
            <w:pPr>
              <w:spacing w:after="0"/>
              <w:rPr>
                <w:sz w:val="22"/>
                <w:szCs w:val="22"/>
                <w:color w:val="auto"/>
              </w:rPr>
            </w:pPr>
          </w:p>
        </w:tc>
        <w:tc>
          <w:tcPr>
            <w:tcW w:w="280" w:type="dxa"/>
            <w:vAlign w:val="bottom"/>
            <w:tcBorders>
              <w:top w:val="single" w:sz="8" w:color="auto"/>
            </w:tcBorders>
            <w:shd w:val="clear" w:color="auto" w:fill="B6B6B6"/>
          </w:tcPr>
          <w:p>
            <w:pPr>
              <w:spacing w:after="0"/>
              <w:rPr>
                <w:sz w:val="22"/>
                <w:szCs w:val="22"/>
                <w:color w:val="auto"/>
              </w:rPr>
            </w:pPr>
          </w:p>
        </w:tc>
        <w:tc>
          <w:tcPr>
            <w:tcW w:w="12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17,535</w:t>
            </w:r>
          </w:p>
        </w:tc>
        <w:tc>
          <w:tcPr>
            <w:tcW w:w="100" w:type="dxa"/>
            <w:vAlign w:val="bottom"/>
            <w:tcBorders>
              <w:top w:val="single" w:sz="8" w:color="B6B6B6"/>
            </w:tcBorders>
            <w:shd w:val="clear" w:color="auto" w:fill="B6B6B6"/>
          </w:tcPr>
          <w:p>
            <w:pPr>
              <w:spacing w:after="0"/>
              <w:rPr>
                <w:sz w:val="22"/>
                <w:szCs w:val="22"/>
                <w:color w:val="auto"/>
              </w:rPr>
            </w:pPr>
          </w:p>
        </w:tc>
        <w:tc>
          <w:tcPr>
            <w:tcW w:w="18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Borders>
              <w:top w:val="single" w:sz="8" w:color="B6B6B6"/>
            </w:tcBorders>
            <w:shd w:val="clear" w:color="auto" w:fill="B6B6B6"/>
          </w:tcPr>
          <w:p>
            <w:pPr>
              <w:spacing w:after="0"/>
              <w:rPr>
                <w:sz w:val="22"/>
                <w:szCs w:val="22"/>
                <w:color w:val="auto"/>
              </w:rPr>
            </w:pPr>
          </w:p>
        </w:tc>
        <w:tc>
          <w:tcPr>
            <w:tcW w:w="320" w:type="dxa"/>
            <w:vAlign w:val="bottom"/>
            <w:tcBorders>
              <w:top w:val="single" w:sz="8" w:color="auto"/>
            </w:tcBorders>
            <w:shd w:val="clear" w:color="auto" w:fill="B6B6B6"/>
          </w:tcPr>
          <w:p>
            <w:pPr>
              <w:spacing w:after="0"/>
              <w:rPr>
                <w:sz w:val="22"/>
                <w:szCs w:val="22"/>
                <w:color w:val="auto"/>
              </w:rPr>
            </w:pPr>
          </w:p>
        </w:tc>
        <w:tc>
          <w:tcPr>
            <w:tcW w:w="1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90,804</w:t>
            </w:r>
          </w:p>
        </w:tc>
        <w:tc>
          <w:tcPr>
            <w:tcW w:w="0" w:type="dxa"/>
            <w:vAlign w:val="bottom"/>
          </w:tcPr>
          <w:p>
            <w:pPr>
              <w:spacing w:after="0"/>
              <w:rPr>
                <w:sz w:val="1"/>
                <w:szCs w:val="1"/>
                <w:color w:val="auto"/>
              </w:rPr>
            </w:pPr>
          </w:p>
        </w:tc>
      </w:tr>
      <w:tr>
        <w:trPr>
          <w:trHeight w:val="94"/>
        </w:trPr>
        <w:tc>
          <w:tcPr>
            <w:tcW w:w="49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Personnel expenses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48,913</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55,031</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Bad debt recovery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B6B6B6"/>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80" w:type="dxa"/>
            <w:vAlign w:val="bottom"/>
            <w:tcBorders>
              <w:bottom w:val="single" w:sz="8" w:color="B6B6B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00" w:type="dxa"/>
            <w:vAlign w:val="bottom"/>
            <w:tcBorders>
              <w:bottom w:val="single" w:sz="8" w:color="B6B6B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B6B6B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w:t>
            </w:r>
          </w:p>
        </w:tc>
        <w:tc>
          <w:tcPr>
            <w:tcW w:w="0" w:type="dxa"/>
            <w:vAlign w:val="bottom"/>
          </w:tcPr>
          <w:p>
            <w:pPr>
              <w:spacing w:after="0"/>
              <w:rPr>
                <w:sz w:val="1"/>
                <w:szCs w:val="1"/>
                <w:color w:val="auto"/>
              </w:rPr>
            </w:pPr>
          </w:p>
        </w:tc>
      </w:tr>
      <w:tr>
        <w:trPr>
          <w:trHeight w:val="250"/>
        </w:trPr>
        <w:tc>
          <w:tcPr>
            <w:tcW w:w="4980" w:type="dxa"/>
            <w:vAlign w:val="bottom"/>
            <w:gridSpan w:val="2"/>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65,028</w:t>
            </w: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73,649</w:t>
            </w:r>
          </w:p>
        </w:tc>
        <w:tc>
          <w:tcPr>
            <w:tcW w:w="0" w:type="dxa"/>
            <w:vAlign w:val="bottom"/>
          </w:tcPr>
          <w:p>
            <w:pPr>
              <w:spacing w:after="0"/>
              <w:rPr>
                <w:sz w:val="1"/>
                <w:szCs w:val="1"/>
                <w:color w:val="auto"/>
              </w:rPr>
            </w:pPr>
          </w:p>
        </w:tc>
      </w:tr>
      <w:tr>
        <w:trPr>
          <w:trHeight w:val="250"/>
        </w:trPr>
        <w:tc>
          <w:tcPr>
            <w:tcW w:w="49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Pre-tax income from continuing operations</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17,155</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Pre-tax income from discontinued operations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0" w:type="dxa"/>
            <w:vAlign w:val="bottom"/>
          </w:tcPr>
          <w:p>
            <w:pPr>
              <w:spacing w:after="0"/>
              <w:rPr>
                <w:sz w:val="1"/>
                <w:szCs w:val="1"/>
                <w:color w:val="auto"/>
              </w:rPr>
            </w:pPr>
          </w:p>
        </w:tc>
      </w:tr>
      <w:tr>
        <w:trPr>
          <w:trHeight w:val="94"/>
        </w:trPr>
        <w:tc>
          <w:tcPr>
            <w:tcW w:w="49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1,438,612</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1,183,758</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(306,352)</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2,316,018</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1,338,846</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766,947</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2,105,793</w:t>
            </w:r>
          </w:p>
        </w:tc>
        <w:tc>
          <w:tcPr>
            <w:tcW w:w="0" w:type="dxa"/>
            <w:vAlign w:val="bottom"/>
          </w:tcPr>
          <w:p>
            <w:pPr>
              <w:spacing w:after="0"/>
              <w:rPr>
                <w:sz w:val="1"/>
                <w:szCs w:val="1"/>
                <w:color w:val="auto"/>
              </w:rPr>
            </w:pPr>
          </w:p>
        </w:tc>
      </w:tr>
      <w:tr>
        <w:trPr>
          <w:trHeight w:val="918"/>
        </w:trPr>
        <w:tc>
          <w:tcPr>
            <w:tcW w:w="13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36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16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80" w:type="dxa"/>
            <w:vAlign w:val="bottom"/>
            <w:gridSpan w:val="2"/>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0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4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160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6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w:t>
            </w:r>
          </w:p>
        </w:tc>
        <w:tc>
          <w:tcPr>
            <w:tcW w:w="15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150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55,198</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57,185</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Loss on sale of investment securities</w:t>
            </w:r>
          </w:p>
        </w:tc>
        <w:tc>
          <w:tcPr>
            <w:tcW w:w="158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B6B6B6"/>
          </w:tcPr>
          <w:p>
            <w:pPr>
              <w:spacing w:after="0"/>
              <w:rPr>
                <w:sz w:val="22"/>
                <w:szCs w:val="22"/>
                <w:color w:val="auto"/>
              </w:rPr>
            </w:pP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0"/>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19,943</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42,895</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shd w:val="clear" w:color="auto" w:fill="B6B6B6"/>
          </w:tcPr>
          <w:p>
            <w:pPr>
              <w:spacing w:after="0"/>
              <w:rPr>
                <w:sz w:val="22"/>
                <w:szCs w:val="22"/>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16,463</w:t>
            </w:r>
          </w:p>
        </w:tc>
        <w:tc>
          <w:tcPr>
            <w:tcW w:w="100" w:type="dxa"/>
            <w:vAlign w:val="bottom"/>
            <w:shd w:val="clear" w:color="auto" w:fill="B6B6B6"/>
          </w:tcPr>
          <w:p>
            <w:pPr>
              <w:spacing w:after="0"/>
              <w:rPr>
                <w:sz w:val="22"/>
                <w:szCs w:val="22"/>
                <w:color w:val="auto"/>
              </w:rPr>
            </w:pP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20" w:type="dxa"/>
            <w:vAlign w:val="bottom"/>
            <w:shd w:val="clear" w:color="auto" w:fill="B6B6B6"/>
          </w:tcPr>
          <w:p>
            <w:pPr>
              <w:spacing w:after="0"/>
              <w:rPr>
                <w:sz w:val="22"/>
                <w:szCs w:val="22"/>
                <w:color w:val="auto"/>
              </w:rPr>
            </w:pP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57"/>
        </w:trPr>
        <w:tc>
          <w:tcPr>
            <w:tcW w:w="4980" w:type="dxa"/>
            <w:vAlign w:val="bottom"/>
            <w:tcBorders>
              <w:top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15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74,229</w:t>
            </w:r>
          </w:p>
        </w:tc>
        <w:tc>
          <w:tcPr>
            <w:tcW w:w="80" w:type="dxa"/>
            <w:vAlign w:val="bottom"/>
            <w:tcBorders>
              <w:top w:val="single" w:sz="8" w:color="B6B6B6"/>
            </w:tcBorders>
            <w:shd w:val="clear" w:color="auto" w:fill="B6B6B6"/>
          </w:tcPr>
          <w:p>
            <w:pPr>
              <w:spacing w:after="0"/>
              <w:rPr>
                <w:sz w:val="22"/>
                <w:szCs w:val="22"/>
                <w:color w:val="auto"/>
              </w:rPr>
            </w:pPr>
          </w:p>
        </w:tc>
        <w:tc>
          <w:tcPr>
            <w:tcW w:w="15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100" w:type="dxa"/>
            <w:vAlign w:val="bottom"/>
            <w:tcBorders>
              <w:top w:val="single" w:sz="8" w:color="B6B6B6"/>
            </w:tcBorders>
            <w:shd w:val="clear" w:color="auto" w:fill="B6B6B6"/>
          </w:tcPr>
          <w:p>
            <w:pPr>
              <w:spacing w:after="0"/>
              <w:rPr>
                <w:sz w:val="22"/>
                <w:szCs w:val="22"/>
                <w:color w:val="auto"/>
              </w:rPr>
            </w:pPr>
          </w:p>
        </w:tc>
        <w:tc>
          <w:tcPr>
            <w:tcW w:w="14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20" w:type="dxa"/>
            <w:vAlign w:val="bottom"/>
            <w:tcBorders>
              <w:top w:val="single" w:sz="8" w:color="B6B6B6"/>
            </w:tcBorders>
            <w:shd w:val="clear" w:color="auto" w:fill="B6B6B6"/>
          </w:tcPr>
          <w:p>
            <w:pPr>
              <w:spacing w:after="0"/>
              <w:rPr>
                <w:sz w:val="22"/>
                <w:szCs w:val="22"/>
                <w:color w:val="auto"/>
              </w:rPr>
            </w:pPr>
          </w:p>
        </w:tc>
        <w:tc>
          <w:tcPr>
            <w:tcW w:w="14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89,082</w:t>
            </w:r>
          </w:p>
        </w:tc>
        <w:tc>
          <w:tcPr>
            <w:tcW w:w="0" w:type="dxa"/>
            <w:vAlign w:val="bottom"/>
          </w:tcPr>
          <w:p>
            <w:pPr>
              <w:spacing w:after="0"/>
              <w:rPr>
                <w:sz w:val="1"/>
                <w:szCs w:val="1"/>
                <w:color w:val="auto"/>
              </w:rPr>
            </w:pPr>
          </w:p>
        </w:tc>
      </w:tr>
      <w:tr>
        <w:trPr>
          <w:trHeight w:val="94"/>
        </w:trPr>
        <w:tc>
          <w:tcPr>
            <w:tcW w:w="49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Personnel expenses</w:t>
            </w: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47,250</w:t>
            </w:r>
          </w:p>
        </w:tc>
        <w:tc>
          <w:tcPr>
            <w:tcW w:w="80" w:type="dxa"/>
            <w:vAlign w:val="bottom"/>
            <w:shd w:val="clear" w:color="auto" w:fill="B6B6B6"/>
          </w:tcPr>
          <w:p>
            <w:pPr>
              <w:spacing w:after="0"/>
              <w:rPr>
                <w:sz w:val="22"/>
                <w:szCs w:val="22"/>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shd w:val="clear" w:color="auto" w:fill="B6B6B6"/>
          </w:tcPr>
          <w:p>
            <w:pPr>
              <w:spacing w:after="0"/>
              <w:rPr>
                <w:sz w:val="22"/>
                <w:szCs w:val="22"/>
                <w:color w:val="auto"/>
              </w:rPr>
            </w:pPr>
          </w:p>
        </w:tc>
        <w:tc>
          <w:tcPr>
            <w:tcW w:w="160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53,151</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80" w:type="dxa"/>
            <w:vAlign w:val="bottom"/>
            <w:shd w:val="clear" w:color="auto" w:fill="B6B6B6"/>
          </w:tcPr>
          <w:p>
            <w:pPr>
              <w:spacing w:after="0"/>
              <w:rPr>
                <w:sz w:val="22"/>
                <w:szCs w:val="22"/>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B6B6B6"/>
          </w:tcPr>
          <w:p>
            <w:pPr>
              <w:spacing w:after="0"/>
              <w:rPr>
                <w:sz w:val="22"/>
                <w:szCs w:val="22"/>
                <w:color w:val="auto"/>
              </w:rPr>
            </w:pPr>
          </w:p>
        </w:tc>
        <w:tc>
          <w:tcPr>
            <w:tcW w:w="160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80" w:type="dxa"/>
            <w:vAlign w:val="bottom"/>
            <w:shd w:val="clear" w:color="auto" w:fill="B6B6B6"/>
          </w:tcPr>
          <w:p>
            <w:pPr>
              <w:spacing w:after="0"/>
              <w:rPr>
                <w:sz w:val="22"/>
                <w:szCs w:val="22"/>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shd w:val="clear" w:color="auto" w:fill="B6B6B6"/>
          </w:tcPr>
          <w:p>
            <w:pPr>
              <w:spacing w:after="0"/>
              <w:rPr>
                <w:sz w:val="22"/>
                <w:szCs w:val="22"/>
                <w:color w:val="auto"/>
              </w:rPr>
            </w:pPr>
          </w:p>
        </w:tc>
        <w:tc>
          <w:tcPr>
            <w:tcW w:w="160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B6B6B6"/>
            </w:tcBorders>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80" w:type="dxa"/>
            <w:vAlign w:val="bottom"/>
            <w:tcBorders>
              <w:bottom w:val="single" w:sz="8" w:color="B6B6B6"/>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00" w:type="dxa"/>
            <w:vAlign w:val="bottom"/>
            <w:tcBorders>
              <w:bottom w:val="single" w:sz="8" w:color="B6B6B6"/>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B6B6B6"/>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15,094</w:t>
            </w:r>
          </w:p>
        </w:tc>
        <w:tc>
          <w:tcPr>
            <w:tcW w:w="0" w:type="dxa"/>
            <w:vAlign w:val="bottom"/>
          </w:tcPr>
          <w:p>
            <w:pPr>
              <w:spacing w:after="0"/>
              <w:rPr>
                <w:sz w:val="1"/>
                <w:szCs w:val="1"/>
                <w:color w:val="auto"/>
              </w:rPr>
            </w:pPr>
          </w:p>
        </w:tc>
      </w:tr>
      <w:tr>
        <w:trPr>
          <w:trHeight w:val="250"/>
        </w:trPr>
        <w:tc>
          <w:tcPr>
            <w:tcW w:w="49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65,783</w:t>
            </w:r>
          </w:p>
        </w:tc>
        <w:tc>
          <w:tcPr>
            <w:tcW w:w="80" w:type="dxa"/>
            <w:vAlign w:val="bottom"/>
            <w:shd w:val="clear" w:color="auto" w:fill="B6B6B6"/>
          </w:tcPr>
          <w:p>
            <w:pPr>
              <w:spacing w:after="0"/>
              <w:rPr>
                <w:sz w:val="21"/>
                <w:szCs w:val="21"/>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8,834</w:t>
            </w:r>
          </w:p>
        </w:tc>
        <w:tc>
          <w:tcPr>
            <w:tcW w:w="100" w:type="dxa"/>
            <w:vAlign w:val="bottom"/>
            <w:shd w:val="clear" w:color="auto" w:fill="B6B6B6"/>
          </w:tcPr>
          <w:p>
            <w:pPr>
              <w:spacing w:after="0"/>
              <w:rPr>
                <w:sz w:val="21"/>
                <w:szCs w:val="21"/>
                <w:color w:val="auto"/>
              </w:rPr>
            </w:pPr>
          </w:p>
        </w:tc>
        <w:tc>
          <w:tcPr>
            <w:tcW w:w="160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74,617</w:t>
            </w:r>
          </w:p>
        </w:tc>
        <w:tc>
          <w:tcPr>
            <w:tcW w:w="0" w:type="dxa"/>
            <w:vAlign w:val="bottom"/>
          </w:tcPr>
          <w:p>
            <w:pPr>
              <w:spacing w:after="0"/>
              <w:rPr>
                <w:sz w:val="1"/>
                <w:szCs w:val="1"/>
                <w:color w:val="auto"/>
              </w:rPr>
            </w:pPr>
          </w:p>
        </w:tc>
      </w:tr>
      <w:tr>
        <w:trPr>
          <w:trHeight w:val="250"/>
        </w:trPr>
        <w:tc>
          <w:tcPr>
            <w:tcW w:w="4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Pre-tax income from continuing operations</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80" w:type="dxa"/>
            <w:vAlign w:val="bottom"/>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0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2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14,465</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Pre-tax income from discontinued operations</w:t>
            </w: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B6B6B6"/>
          </w:tcPr>
          <w:p>
            <w:pPr>
              <w:spacing w:after="0"/>
              <w:rPr>
                <w:sz w:val="22"/>
                <w:szCs w:val="22"/>
                <w:color w:val="auto"/>
              </w:rPr>
            </w:pPr>
          </w:p>
        </w:tc>
        <w:tc>
          <w:tcPr>
            <w:tcW w:w="160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94"/>
        </w:trPr>
        <w:tc>
          <w:tcPr>
            <w:tcW w:w="49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80" w:type="dxa"/>
            <w:vAlign w:val="bottom"/>
            <w:shd w:val="clear" w:color="auto" w:fill="B6B6B6"/>
          </w:tcPr>
          <w:p>
            <w:pPr>
              <w:spacing w:after="0"/>
              <w:rPr>
                <w:sz w:val="22"/>
                <w:szCs w:val="22"/>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B6B6B6"/>
          </w:tcPr>
          <w:p>
            <w:pPr>
              <w:spacing w:after="0"/>
              <w:rPr>
                <w:sz w:val="22"/>
                <w:szCs w:val="22"/>
                <w:color w:val="auto"/>
              </w:rPr>
            </w:pPr>
          </w:p>
        </w:tc>
        <w:tc>
          <w:tcPr>
            <w:tcW w:w="160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0" w:type="dxa"/>
            <w:vAlign w:val="bottom"/>
          </w:tcPr>
          <w:p>
            <w:pPr>
              <w:spacing w:after="0"/>
              <w:rPr>
                <w:sz w:val="1"/>
                <w:szCs w:val="1"/>
                <w:color w:val="auto"/>
              </w:rPr>
            </w:pPr>
          </w:p>
        </w:tc>
      </w:tr>
      <w:tr>
        <w:trPr>
          <w:trHeight w:val="250"/>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8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1,420,254</w:t>
            </w:r>
          </w:p>
        </w:tc>
        <w:tc>
          <w:tcPr>
            <w:tcW w:w="80" w:type="dxa"/>
            <w:vAlign w:val="bottom"/>
            <w:shd w:val="clear" w:color="auto" w:fill="B6B6B6"/>
          </w:tcPr>
          <w:p>
            <w:pPr>
              <w:spacing w:after="0"/>
              <w:rPr>
                <w:sz w:val="22"/>
                <w:szCs w:val="22"/>
                <w:color w:val="auto"/>
              </w:rPr>
            </w:pPr>
          </w:p>
        </w:tc>
        <w:tc>
          <w:tcPr>
            <w:tcW w:w="15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1,130,548</w:t>
            </w:r>
          </w:p>
        </w:tc>
        <w:tc>
          <w:tcPr>
            <w:tcW w:w="100" w:type="dxa"/>
            <w:vAlign w:val="bottom"/>
            <w:shd w:val="clear" w:color="auto" w:fill="B6B6B6"/>
          </w:tcPr>
          <w:p>
            <w:pPr>
              <w:spacing w:after="0"/>
              <w:rPr>
                <w:sz w:val="22"/>
                <w:szCs w:val="22"/>
                <w:color w:val="auto"/>
              </w:rPr>
            </w:pP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(268,206)</w:t>
            </w:r>
          </w:p>
        </w:tc>
        <w:tc>
          <w:tcPr>
            <w:tcW w:w="120" w:type="dxa"/>
            <w:vAlign w:val="bottom"/>
            <w:shd w:val="clear" w:color="auto" w:fill="B6B6B6"/>
          </w:tcPr>
          <w:p>
            <w:pPr>
              <w:spacing w:after="0"/>
              <w:rPr>
                <w:sz w:val="22"/>
                <w:szCs w:val="22"/>
                <w:color w:val="auto"/>
              </w:rPr>
            </w:pPr>
          </w:p>
        </w:tc>
        <w:tc>
          <w:tcPr>
            <w:tcW w:w="14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2,282,596</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Average funding sources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1,264,432</w:t>
            </w:r>
          </w:p>
        </w:tc>
        <w:tc>
          <w:tcPr>
            <w:tcW w:w="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792,816</w:t>
            </w: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2,057,248</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Intersegment income (expense) primarily relates to payment processing fees paid by the Information Services segment to the Banking services segment. The Corporate elimination for total assets and interest income and interest expense primarily relates to allocated funds and related interest depending on funding needs of the operating segments.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2"/>
          </w:tcPr>
          <w:p>
            <w:pPr>
              <w:jc w:val="center"/>
              <w:ind w:right="2150"/>
              <w:spacing w:after="0"/>
              <w:rPr>
                <w:sz w:val="20"/>
                <w:szCs w:val="20"/>
                <w:color w:val="auto"/>
              </w:rPr>
            </w:pPr>
            <w:r>
              <w:rPr>
                <w:rFonts w:ascii="Times New Roman" w:cs="Times New Roman" w:eastAsia="Times New Roman" w:hAnsi="Times New Roman"/>
                <w:sz w:val="18"/>
                <w:szCs w:val="18"/>
                <w:color w:val="auto"/>
                <w:w w:val="99"/>
              </w:rPr>
              <w:t>Note 7 – Loans by Type</w:t>
            </w:r>
          </w:p>
        </w:tc>
        <w:tc>
          <w:tcPr>
            <w:tcW w:w="4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loans is as follows:</w:t>
            </w:r>
          </w:p>
        </w:tc>
        <w:tc>
          <w:tcPr>
            <w:tcW w:w="4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20" w:type="dxa"/>
            <w:vAlign w:val="bottom"/>
          </w:tcPr>
          <w:p>
            <w:pPr>
              <w:spacing w:after="0"/>
              <w:rPr>
                <w:sz w:val="24"/>
                <w:szCs w:val="24"/>
                <w:color w:val="auto"/>
              </w:rPr>
            </w:pPr>
          </w:p>
        </w:tc>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4100" w:type="dxa"/>
            <w:vAlign w:val="bottom"/>
          </w:tcPr>
          <w:p>
            <w:pPr>
              <w:spacing w:after="0"/>
              <w:rPr>
                <w:sz w:val="24"/>
                <w:szCs w:val="24"/>
                <w:color w:val="auto"/>
              </w:rPr>
            </w:pPr>
          </w:p>
        </w:tc>
        <w:tc>
          <w:tcPr>
            <w:tcW w:w="13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3760" w:type="dxa"/>
            <w:vAlign w:val="bottom"/>
            <w:tcBorders>
              <w:bottom w:val="single" w:sz="8" w:color="auto"/>
            </w:tcBorders>
            <w:vMerge w:val="continue"/>
          </w:tcPr>
          <w:p>
            <w:pPr>
              <w:spacing w:after="0"/>
              <w:rPr>
                <w:sz w:val="21"/>
                <w:szCs w:val="21"/>
                <w:color w:val="auto"/>
              </w:rPr>
            </w:pPr>
          </w:p>
        </w:tc>
        <w:tc>
          <w:tcPr>
            <w:tcW w:w="4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3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10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583,582</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559,262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4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3760" w:type="dxa"/>
            <w:vAlign w:val="bottom"/>
            <w:shd w:val="clear" w:color="auto" w:fill="B6B6B6"/>
          </w:tcPr>
          <w:p>
            <w:pPr>
              <w:jc w:val="center"/>
              <w:ind w:right="2330"/>
              <w:spacing w:after="0"/>
              <w:rPr>
                <w:sz w:val="20"/>
                <w:szCs w:val="20"/>
                <w:color w:val="auto"/>
              </w:rPr>
            </w:pPr>
            <w:r>
              <w:rPr>
                <w:rFonts w:ascii="Times New Roman" w:cs="Times New Roman" w:eastAsia="Times New Roman" w:hAnsi="Times New Roman"/>
                <w:sz w:val="18"/>
                <w:szCs w:val="18"/>
                <w:color w:val="auto"/>
                <w:w w:val="99"/>
              </w:rPr>
              <w:t>Commercial:</w:t>
            </w:r>
          </w:p>
        </w:tc>
        <w:tc>
          <w:tcPr>
            <w:tcW w:w="410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41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113,385</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376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410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9,132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rPr>
              <w:t>Faith-based:</w:t>
            </w:r>
          </w:p>
        </w:tc>
        <w:tc>
          <w:tcPr>
            <w:tcW w:w="4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376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410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388,268</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368,881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4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22,637</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 loans</w:t>
            </w:r>
          </w:p>
        </w:tc>
        <w:tc>
          <w:tcPr>
            <w:tcW w:w="410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1,117,004</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1,081,989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10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2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41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past due by category at June 30, 2025 and December 31,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90</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30-59</w:t>
            </w:r>
          </w:p>
        </w:tc>
        <w:tc>
          <w:tcPr>
            <w:tcW w:w="460" w:type="dxa"/>
            <w:vAlign w:val="bottom"/>
          </w:tcPr>
          <w:p>
            <w:pPr>
              <w:spacing w:after="0"/>
              <w:rPr>
                <w:sz w:val="15"/>
                <w:szCs w:val="15"/>
                <w:color w:val="auto"/>
              </w:rPr>
            </w:pP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60-89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320" w:type="dxa"/>
            <w:vAlign w:val="bottom"/>
          </w:tcPr>
          <w:p>
            <w:pPr>
              <w:spacing w:after="0"/>
              <w:rPr>
                <w:sz w:val="15"/>
                <w:szCs w:val="15"/>
                <w:color w:val="auto"/>
              </w:rPr>
            </w:pPr>
          </w:p>
        </w:tc>
        <w:tc>
          <w:tcPr>
            <w:tcW w:w="11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Non-</w:t>
            </w:r>
          </w:p>
        </w:tc>
        <w:tc>
          <w:tcPr>
            <w:tcW w:w="360" w:type="dxa"/>
            <w:vAlign w:val="bottom"/>
          </w:tcPr>
          <w:p>
            <w:pPr>
              <w:spacing w:after="0"/>
              <w:rPr>
                <w:sz w:val="15"/>
                <w:szCs w:val="15"/>
                <w:color w:val="auto"/>
              </w:rPr>
            </w:pPr>
          </w:p>
        </w:tc>
        <w:tc>
          <w:tcPr>
            <w:tcW w:w="10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15"/>
                <w:szCs w:val="15"/>
                <w:color w:val="auto"/>
              </w:rPr>
            </w:pP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Days</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Over</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0" w:type="dxa"/>
            <w:vAlign w:val="bottom"/>
          </w:tcPr>
          <w:p>
            <w:pPr>
              <w:spacing w:after="0"/>
              <w:rPr>
                <w:sz w:val="1"/>
                <w:szCs w:val="1"/>
                <w:color w:val="auto"/>
              </w:rPr>
            </w:pPr>
          </w:p>
        </w:tc>
      </w:tr>
      <w:tr>
        <w:trPr>
          <w:trHeight w:val="257"/>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June 30, 2025</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583,582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583,582</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110,005</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113,385</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9,132</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388,268</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388,268</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22,637</w:t>
            </w:r>
          </w:p>
        </w:tc>
        <w:tc>
          <w:tcPr>
            <w:tcW w:w="2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22,637</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1,113,624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1,117,004</w:t>
            </w:r>
          </w:p>
        </w:tc>
        <w:tc>
          <w:tcPr>
            <w:tcW w:w="0" w:type="dxa"/>
            <w:vAlign w:val="bottom"/>
          </w:tcPr>
          <w:p>
            <w:pPr>
              <w:spacing w:after="0"/>
              <w:rPr>
                <w:sz w:val="1"/>
                <w:szCs w:val="1"/>
                <w:color w:val="auto"/>
              </w:rPr>
            </w:pPr>
          </w:p>
        </w:tc>
      </w:tr>
      <w:tr>
        <w:trPr>
          <w:trHeight w:val="256"/>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2024</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559,262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559,262</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119,194</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119,194</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9,134</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368,881</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368,881</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25,518</w:t>
            </w:r>
          </w:p>
        </w:tc>
        <w:tc>
          <w:tcPr>
            <w:tcW w:w="2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25,518</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1,081,989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1,081,989</w:t>
            </w:r>
          </w:p>
        </w:tc>
        <w:tc>
          <w:tcPr>
            <w:tcW w:w="0" w:type="dxa"/>
            <w:vAlign w:val="bottom"/>
          </w:tcPr>
          <w:p>
            <w:pPr>
              <w:spacing w:after="0"/>
              <w:rPr>
                <w:sz w:val="1"/>
                <w:szCs w:val="1"/>
                <w:color w:val="auto"/>
              </w:rPr>
            </w:pPr>
          </w:p>
        </w:tc>
      </w:tr>
      <w:tr>
        <w:trPr>
          <w:trHeight w:val="905"/>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-17-</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by internally assigned credit grade as of June 30, 2025 and December 31, 2024: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17"/>
                <w:szCs w:val="17"/>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260" w:type="dxa"/>
            <w:vAlign w:val="bottom"/>
          </w:tcPr>
          <w:p>
            <w:pPr>
              <w:spacing w:after="0"/>
              <w:rPr>
                <w:sz w:val="17"/>
                <w:szCs w:val="17"/>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Nonperforming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Subject to</w:t>
            </w:r>
          </w:p>
        </w:tc>
        <w:tc>
          <w:tcPr>
            <w:tcW w:w="240" w:type="dxa"/>
            <w:vAlign w:val="bottom"/>
          </w:tcPr>
          <w:p>
            <w:pPr>
              <w:spacing w:after="0"/>
              <w:rPr>
                <w:sz w:val="17"/>
                <w:szCs w:val="17"/>
                <w:color w:val="auto"/>
              </w:rPr>
            </w:pPr>
          </w:p>
        </w:tc>
        <w:tc>
          <w:tcPr>
            <w:tcW w:w="136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60" w:type="dxa"/>
            <w:vAlign w:val="bottom"/>
          </w:tcPr>
          <w:p>
            <w:pPr>
              <w:spacing w:after="0"/>
              <w:rPr>
                <w:sz w:val="17"/>
                <w:szCs w:val="17"/>
                <w:color w:val="auto"/>
              </w:rPr>
            </w:pPr>
          </w:p>
        </w:tc>
        <w:tc>
          <w:tcPr>
            <w:tcW w:w="154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5"/>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Normal</w:t>
            </w:r>
          </w:p>
        </w:tc>
        <w:tc>
          <w:tcPr>
            <w:tcW w:w="24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6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3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1</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9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1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57"/>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June 30, 2025</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553,237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30,345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583,582</w:t>
            </w: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105,722</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4,283</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3,380</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113,385</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9,132</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w:t>
            </w: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376,528</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11,740</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388,268</w:t>
            </w:r>
          </w:p>
        </w:tc>
      </w:tr>
      <w:tr>
        <w:trPr>
          <w:trHeight w:val="257"/>
        </w:trPr>
        <w:tc>
          <w:tcPr>
            <w:tcW w:w="332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22,637</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15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22,637</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1,067,256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46,368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3,380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1,117,004</w:t>
            </w:r>
          </w:p>
        </w:tc>
      </w:tr>
      <w:tr>
        <w:trPr>
          <w:trHeight w:val="257"/>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2024</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527,690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31,572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559,262</w:t>
            </w: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116,063</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3,131</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119,194</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9,134</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w:t>
            </w: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352,356</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16,525</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368,881</w:t>
            </w:r>
          </w:p>
        </w:tc>
      </w:tr>
      <w:tr>
        <w:trPr>
          <w:trHeight w:val="257"/>
        </w:trPr>
        <w:tc>
          <w:tcPr>
            <w:tcW w:w="332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25,518</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15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25,518</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1,030,761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51,228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1,081,989</w:t>
            </w:r>
          </w:p>
        </w:tc>
      </w:tr>
    </w:tbl>
    <w:p>
      <w:pPr>
        <w:spacing w:after="0" w:line="292" w:lineRule="exact"/>
        <w:rPr>
          <w:sz w:val="20"/>
          <w:szCs w:val="20"/>
          <w:color w:val="auto"/>
        </w:rPr>
      </w:pPr>
    </w:p>
    <w:p>
      <w:pPr>
        <w:ind w:left="20" w:right="120" w:firstLine="6"/>
        <w:spacing w:after="0" w:line="208" w:lineRule="auto"/>
        <w:tabs>
          <w:tab w:leader="none" w:pos="123"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normal monitoring involve borrowers of acceptable-to-strong credit quality and risk, who have the apparent ability to satisfy their loan obligations.</w:t>
      </w:r>
    </w:p>
    <w:p>
      <w:pPr>
        <w:ind w:left="120" w:hanging="94"/>
        <w:spacing w:after="0" w:line="233" w:lineRule="auto"/>
        <w:tabs>
          <w:tab w:leader="none" w:pos="1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special monitoring possess some credit deficiency or potential weakness which requires a high level of management attention.</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84" w:lineRule="exact"/>
        <w:rPr>
          <w:rFonts w:ascii="Times New Roman" w:cs="Times New Roman" w:eastAsia="Times New Roman" w:hAnsi="Times New Roman"/>
          <w:sz w:val="23"/>
          <w:szCs w:val="23"/>
          <w:color w:val="auto"/>
          <w:vertAlign w:val="superscript"/>
        </w:rPr>
      </w:pPr>
    </w:p>
    <w:p>
      <w:pPr>
        <w:ind w:left="54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 modifications to borrowers experiencing financial difficulty may be in the form of principal forgiveness, an interest rate reduction, an other-than-insignificant payment delay, a term extension, or a combination thereof, among other things.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amortized cost of loans that were both experiencing financial difficulty and modified during the six months ended June 30, 2025, segregated by category and type of modification.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168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Term Extension</w:t>
            </w:r>
          </w:p>
        </w:tc>
        <w:tc>
          <w:tcPr>
            <w:tcW w:w="16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Percentage of Total</w:t>
            </w:r>
          </w:p>
        </w:tc>
      </w:tr>
      <w:tr>
        <w:trPr>
          <w:trHeight w:val="203"/>
        </w:trPr>
        <w:tc>
          <w:tcPr>
            <w:tcW w:w="2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6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and Interest Rate</w:t>
            </w:r>
          </w:p>
        </w:tc>
        <w:tc>
          <w:tcPr>
            <w:tcW w:w="16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Loans Held for</w:t>
            </w:r>
          </w:p>
        </w:tc>
      </w:tr>
      <w:tr>
        <w:trPr>
          <w:trHeight w:val="259"/>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7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Payment Delay</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Term Extension</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Reduction</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r>
      <w:tr>
        <w:trPr>
          <w:trHeight w:val="250"/>
        </w:trPr>
        <w:tc>
          <w:tcPr>
            <w:tcW w:w="26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29,007</w:t>
            </w:r>
          </w:p>
        </w:tc>
        <w:tc>
          <w:tcPr>
            <w:tcW w:w="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B6B6B6"/>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4.97 %</w:t>
            </w:r>
          </w:p>
        </w:tc>
      </w:tr>
      <w:tr>
        <w:trPr>
          <w:trHeight w:val="250"/>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2.60 %</w:t>
            </w: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two loans modified during the six months ended June 30, 2025. There were no loans modified during the six months ended June 30, 2024. Both loans modified during the six months ended June 30, 2025 were due to term extensions coupled with an interest rate increase.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payment status of loans that have been modified to borrowers experiencing financial difficulty in the last twelve months: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30-59 Days Past</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60-89 Days Past</w:t>
            </w:r>
          </w:p>
        </w:tc>
        <w:tc>
          <w:tcPr>
            <w:tcW w:w="200" w:type="dxa"/>
            <w:vAlign w:val="bottom"/>
          </w:tcPr>
          <w:p>
            <w:pPr>
              <w:spacing w:after="0"/>
              <w:rPr>
                <w:sz w:val="17"/>
                <w:szCs w:val="17"/>
                <w:color w:val="auto"/>
              </w:rPr>
            </w:pPr>
          </w:p>
        </w:tc>
        <w:tc>
          <w:tcPr>
            <w:tcW w:w="17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90 Days or More</w:t>
            </w:r>
          </w:p>
        </w:tc>
        <w:tc>
          <w:tcPr>
            <w:tcW w:w="1440" w:type="dxa"/>
            <w:vAlign w:val="bottom"/>
          </w:tcPr>
          <w:p>
            <w:pPr>
              <w:spacing w:after="0"/>
              <w:rPr>
                <w:sz w:val="17"/>
                <w:szCs w:val="17"/>
                <w:color w:val="auto"/>
              </w:rPr>
            </w:pPr>
          </w:p>
        </w:tc>
      </w:tr>
      <w:tr>
        <w:trPr>
          <w:trHeight w:val="245"/>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Past Due</w:t>
            </w:r>
          </w:p>
        </w:tc>
      </w:tr>
      <w:tr>
        <w:trPr>
          <w:trHeight w:val="250"/>
        </w:trPr>
        <w:tc>
          <w:tcPr>
            <w:tcW w:w="27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98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29,007</w:t>
            </w:r>
          </w:p>
        </w:tc>
        <w:tc>
          <w:tcPr>
            <w:tcW w:w="40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6B6B6"/>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B6B6B6"/>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B6B6B6"/>
          </w:tcPr>
          <w:p>
            <w:pPr>
              <w:ind w:left="1040"/>
              <w:spacing w:after="0"/>
              <w:rPr>
                <w:sz w:val="20"/>
                <w:szCs w:val="20"/>
                <w:color w:val="auto"/>
              </w:rPr>
            </w:pPr>
            <w:r>
              <w:rPr>
                <w:rFonts w:ascii="Times New Roman" w:cs="Times New Roman" w:eastAsia="Times New Roman" w:hAnsi="Times New Roman"/>
                <w:sz w:val="18"/>
                <w:szCs w:val="18"/>
                <w:color w:val="auto"/>
              </w:rPr>
              <w:t>— %</w:t>
            </w:r>
          </w:p>
        </w:tc>
      </w:tr>
      <w:tr>
        <w:trPr>
          <w:trHeight w:val="250"/>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29,007</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the Company had no commitments to lend additional funds to borrowers experiencing financial difficulty for which the Company modified the terms of the loans in the form of principal forgiveness, an interest rate reduction, an other-than-insignificant payment delay, or a term extension during the current period.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modified loans that had a payment default during the six months ended June 30, 2025 that had been modified due to the borrower experiencing financial difficulty within the 12 previous months preceding the default.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Company's determination that a modified loan has subsequently been deemed uncollectible, the loan is written off. There were no loans written off during the six months ended June 30, 2025.</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the Company had two non-accrual loans totaling $3.4 million that had an allowance for credit losses specifically allocated to them of $160,000 based on an evaluation of expected credit losses. There were no non-accrual loans at December 31, 2024. The Company did not record any interest income on non-accrual loans during the three and six months ended June 30, 2025 or June 30,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foreclosed loans recorded as other real estate owned as of June 30, 2025 or December 31, 2024.</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the activity in the allowance for credit losses (“ACL”) by category for the six months ended June 30, 2025 and year-ended December 31, 2024 is as follows: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800" w:type="dxa"/>
            <w:vAlign w:val="bottom"/>
          </w:tcPr>
          <w:p>
            <w:pPr>
              <w:spacing w:after="0"/>
              <w:rPr>
                <w:sz w:val="18"/>
                <w:szCs w:val="18"/>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C&amp;I</w:t>
            </w:r>
          </w:p>
        </w:tc>
        <w:tc>
          <w:tcPr>
            <w:tcW w:w="380" w:type="dxa"/>
            <w:vAlign w:val="bottom"/>
          </w:tcPr>
          <w:p>
            <w:pPr>
              <w:spacing w:after="0"/>
              <w:rPr>
                <w:sz w:val="18"/>
                <w:szCs w:val="18"/>
                <w:color w:val="auto"/>
              </w:rPr>
            </w:pPr>
          </w:p>
        </w:tc>
        <w:tc>
          <w:tcPr>
            <w:tcW w:w="11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w:t>
            </w:r>
          </w:p>
        </w:tc>
        <w:tc>
          <w:tcPr>
            <w:tcW w:w="200" w:type="dxa"/>
            <w:vAlign w:val="bottom"/>
          </w:tcPr>
          <w:p>
            <w:pPr>
              <w:spacing w:after="0"/>
              <w:rPr>
                <w:sz w:val="18"/>
                <w:szCs w:val="18"/>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Faith-based</w:t>
            </w:r>
          </w:p>
        </w:tc>
        <w:tc>
          <w:tcPr>
            <w:tcW w:w="220" w:type="dxa"/>
            <w:vAlign w:val="bottom"/>
          </w:tcPr>
          <w:p>
            <w:pPr>
              <w:spacing w:after="0"/>
              <w:rPr>
                <w:sz w:val="18"/>
                <w:szCs w:val="18"/>
                <w:color w:val="auto"/>
              </w:rPr>
            </w:pPr>
          </w:p>
        </w:tc>
        <w:tc>
          <w:tcPr>
            <w:tcW w:w="13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380" w:type="dxa"/>
            <w:vAlign w:val="bottom"/>
          </w:tcPr>
          <w:p>
            <w:pPr>
              <w:spacing w:after="0"/>
              <w:rPr>
                <w:sz w:val="18"/>
                <w:szCs w:val="18"/>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CRE</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80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38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6,476</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8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0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38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6,258</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8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0" w:type="dxa"/>
            <w:vAlign w:val="bottom"/>
          </w:tcPr>
          <w:p>
            <w:pPr>
              <w:spacing w:after="0"/>
              <w:rPr>
                <w:sz w:val="1"/>
                <w:szCs w:val="1"/>
                <w:color w:val="auto"/>
              </w:rPr>
            </w:pPr>
          </w:p>
        </w:tc>
      </w:tr>
      <w:tr>
        <w:trPr>
          <w:trHeight w:val="256"/>
        </w:trPr>
        <w:tc>
          <w:tcPr>
            <w:tcW w:w="3500" w:type="dxa"/>
            <w:vAlign w:val="bottom"/>
            <w:tcBorders>
              <w:bottom w:val="single" w:sz="8" w:color="auto"/>
            </w:tcBorders>
          </w:tcPr>
          <w:p>
            <w:pPr>
              <w:ind w:left="200"/>
              <w:spacing w:after="0" w:line="256" w:lineRule="exact"/>
              <w:rPr>
                <w:sz w:val="20"/>
                <w:szCs w:val="20"/>
                <w:color w:val="auto"/>
              </w:rPr>
            </w:pPr>
            <w:r>
              <w:rPr>
                <w:rFonts w:ascii="Times New Roman" w:cs="Times New Roman" w:eastAsia="Times New Roman" w:hAnsi="Times New Roman"/>
                <w:sz w:val="18"/>
                <w:szCs w:val="18"/>
                <w:color w:val="auto"/>
              </w:rPr>
              <w:t xml:space="preserve">Provision for credit losses </w:t>
            </w:r>
            <w:r>
              <w:rPr>
                <w:rFonts w:ascii="Times New Roman" w:cs="Times New Roman" w:eastAsia="Times New Roman" w:hAnsi="Times New Roman"/>
                <w:sz w:val="23"/>
                <w:szCs w:val="23"/>
                <w:color w:val="auto"/>
                <w:vertAlign w:val="superscript"/>
              </w:rPr>
              <w:t>(1)</w:t>
            </w:r>
          </w:p>
        </w:tc>
        <w:tc>
          <w:tcPr>
            <w:tcW w:w="8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June 30, 2025</w:t>
            </w:r>
          </w:p>
        </w:tc>
        <w:tc>
          <w:tcPr>
            <w:tcW w:w="80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38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1,149</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6,489</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38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14,296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980" w:hanging="95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2025, there was a provision for credit losses of $29,000 for unfunded commitments.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Commitments and Contingencies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is party to activities that contain credit, market and operational risks that are not reflected in whole or in part in the Company’s consolidated financial statements. As more fully described in the Form 10-K, such activities include traditional off-balance sheet credit-related financial instruments.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Commitments to extend credit and letters of credit are subject to the same underwriting standards as those financial instruments included on the consolidated balance sheets. An allowance for unfunded commitments of $302,000 and $273,000 had been recorded at June 30, 2025 and December 31, 2024,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the balances of unfunded commitments, standby and commercial letters of credit were $172.5 million, $12.4 million, and $1.4 million, respectively. Since some of the financial instruments may expire without being drawn upon, the total amounts do not necessarily represent future cash requirements.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19, 2024, the Company filed a claim against Rubicon Technologies, Inc. ("Rubicon") for failed reimbursement of invoices that were processed and paid by the Company on Rubicon's behalf and unpaid fees for Company services that were due for invoice management services and bill pay services, together with interest and penalties related to the foregoing amounts. On April 22, 2024, Rubicon filed a counterclaim against the Company for failure to perform its obligations under the Master Services Agreement between the Company and Rubicon. The Company recorded a write-off to bad debt expense of $7.8 million for the year ended December 31, 2024 related to this matter.</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28, 2025, the Company and Rubicon, in order to fully resolve the above matters, signed a Settlement Agreement and Mutual Release whereby Rubicon made an initial payment to the Company of $2.0 million. The Company recorded a bad debt recovery of $2.0 million in the consolidated statement of income for the six months ended June 30, 2025 upon receipt of the initial payment of $2.0 million. Rubicon also agreed to a fully amortizing, interest-bearing Promissory Note of $5.0 million, with annual payments, maturing July 1, 2029.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Share-Based Compensation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16, 2023, the Board of Directors adopted the 2023 Omnibus Stock and Performance Compensation Plan (the "2023 Omnibus Plan"), which was approved by the Company's shareholders on April 18, 2023. The 2023 Omnibus Plan permits the issuance of up to 1.0 million shares of the Company’s common stock in the form of stock options, SARs, restricted stock, restricted stock units, phantom stock, and performance awards. During the six months ended June 30, 2025, 63,804 time-based restricted shares and 56,339 performance-based restricted shares were granted under the 2023 Omnibus Plan. Share-based compensation expense was $918,000 and $2.2 million for the three and six months ended June 30, 2025, respectively, and $450,000 and $1.6 million for the three and six months ended June 30, 2024,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shares granted to Company employees are amortized to expense over a three-year cliff vesting period, or until vesting occurs upon retirement.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total unrecognized compensation expense related to non-vested restricted shares was $2.8 million, and the related weighted-average period over which it is expected to be recognized is approximately 0.71 years.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Following is a summary of the activity of the Company's restricted stock for the six months ended June 30, 2025, with total shares and weighted-average fair value: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06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180" w:type="dxa"/>
            <w:vAlign w:val="bottom"/>
          </w:tcPr>
          <w:p>
            <w:pPr>
              <w:spacing w:after="0"/>
              <w:rPr>
                <w:sz w:val="21"/>
                <w:szCs w:val="21"/>
                <w:color w:val="auto"/>
              </w:rPr>
            </w:pPr>
          </w:p>
        </w:tc>
        <w:tc>
          <w:tcPr>
            <w:tcW w:w="306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50"/>
        </w:trPr>
        <w:tc>
          <w:tcPr>
            <w:tcW w:w="8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5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254,808</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63,804</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(43,526)</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39.62</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w:t>
            </w:r>
          </w:p>
        </w:tc>
      </w:tr>
      <w:tr>
        <w:trPr>
          <w:trHeight w:val="250"/>
        </w:trPr>
        <w:tc>
          <w:tcPr>
            <w:tcW w:w="81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5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272,528</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42.88</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granted three-year performance-based restricted stock (“PBRS”) awards which are contingent upon the Company’s achievement of pre-established financial goals over a three-year cliff vesting period. The number of shares issued ranges from 0% to 150% of the target opportunity based on the actual achievement of financial goals for the three-year performance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activity of the PBRS for the six months ended June 30, 2025, based on 100% of target value: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06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8180" w:type="dxa"/>
            <w:vAlign w:val="bottom"/>
          </w:tcPr>
          <w:p>
            <w:pPr>
              <w:spacing w:after="0"/>
              <w:rPr>
                <w:sz w:val="21"/>
                <w:szCs w:val="21"/>
                <w:color w:val="auto"/>
              </w:rPr>
            </w:pPr>
          </w:p>
        </w:tc>
        <w:tc>
          <w:tcPr>
            <w:tcW w:w="306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50"/>
        </w:trPr>
        <w:tc>
          <w:tcPr>
            <w:tcW w:w="8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5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158,428</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43.87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56,339</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(55,848)</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39.58</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50"/>
        </w:trPr>
        <w:tc>
          <w:tcPr>
            <w:tcW w:w="81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5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154,719</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44.52</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PBRS that vested during the six months ended June 30, 2025 were based on the Company's achievement of 99.1% of target financial goals for the 2022-2024 performance period, resulting in the issuance of 55,348 shares of common stock. The outstanding PBRS at June 30, 2025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Defined Pension Plans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a noncontributory defined-benefit pension plan (the “Plan”), which covered eligible employees that was terminated in 2024. The Company recorded no net periodic pension cost for the three and six months ended June 30, 2025, and $191,000 and $386,000 for the three and six months ended June 30, 2024, respectively related to the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Plan, the Company has an unfunded supplemental executive retirement plan (the "SERP"). There are no current employees earning benefits and therefore, there is no service cost associated with the SERP. The following table represents the components of the net periodic cost for the SERP:</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241"/>
        </w:trPr>
        <w:tc>
          <w:tcPr>
            <w:tcW w:w="5680" w:type="dxa"/>
            <w:vAlign w:val="bottom"/>
            <w:tcBorders>
              <w:bottom w:val="single" w:sz="8" w:color="auto"/>
            </w:tcBorders>
            <w:vMerge w:val="continue"/>
          </w:tcPr>
          <w:p>
            <w:pPr>
              <w:spacing w:after="0"/>
              <w:rPr>
                <w:sz w:val="20"/>
                <w:szCs w:val="20"/>
                <w:color w:val="auto"/>
              </w:rPr>
            </w:pPr>
          </w:p>
        </w:tc>
        <w:tc>
          <w:tcPr>
            <w:tcW w:w="3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2"/>
        </w:trPr>
        <w:tc>
          <w:tcPr>
            <w:tcW w:w="5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640" w:type="dxa"/>
            <w:vAlign w:val="bottom"/>
            <w:shd w:val="clear" w:color="auto" w:fill="B6B6B6"/>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0"/>
                <w:szCs w:val="20"/>
                <w:color w:val="auto"/>
              </w:rPr>
            </w:pPr>
            <w:r>
              <w:rPr>
                <w:rFonts w:ascii="Times New Roman" w:cs="Times New Roman" w:eastAsia="Times New Roman" w:hAnsi="Times New Roman"/>
                <w:sz w:val="18"/>
                <w:szCs w:val="18"/>
                <w:color w:val="auto"/>
              </w:rPr>
              <w:t>463</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36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640" w:type="dxa"/>
            <w:vAlign w:val="bottom"/>
            <w:tcBorders>
              <w:bottom w:val="single" w:sz="8" w:color="auto"/>
            </w:tcBorders>
            <w:shd w:val="clear" w:color="auto" w:fill="B6B6B6"/>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B6B6B6"/>
          </w:tcPr>
          <w:p>
            <w:pPr>
              <w:spacing w:after="0"/>
              <w:rPr>
                <w:sz w:val="20"/>
                <w:szCs w:val="20"/>
                <w:color w:val="auto"/>
              </w:rPr>
            </w:pPr>
            <w:r>
              <w:rPr>
                <w:rFonts w:ascii="Times New Roman" w:cs="Times New Roman" w:eastAsia="Times New Roman" w:hAnsi="Times New Roman"/>
                <w:sz w:val="18"/>
                <w:szCs w:val="18"/>
                <w:color w:val="auto"/>
              </w:rPr>
              <w:t>450</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SERP cost recorded to expense was $112,000 and $225,000 for the three and six month periods ended June 30, 2025,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Income Taxes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for continuing operations was 17.8% and 20.1% for the three and six months ended June 30, 2025, respectively and was 22.6% and 21.4% for the three and six months ended June 30, 2024, respectively. The effective tax rate can differ from the statutory rate of 21% primarily due to the impact of state income taxes, the tax-exempt interest received from municipal bonds and bank-owned life insurance, and other factors.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Investment Securities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The Company’s investment securities available-for-sale are measured at fair value using Level 2 inputs including observable trade data, market data, etc.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Pr>
          <w:p>
            <w:pPr>
              <w:spacing w:after="0"/>
              <w:rPr>
                <w:sz w:val="15"/>
                <w:szCs w:val="15"/>
                <w:color w:val="auto"/>
              </w:rPr>
            </w:pPr>
          </w:p>
        </w:tc>
        <w:tc>
          <w:tcPr>
            <w:tcW w:w="13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5"/>
                <w:szCs w:val="15"/>
                <w:color w:val="auto"/>
              </w:rPr>
            </w:pPr>
          </w:p>
        </w:tc>
        <w:tc>
          <w:tcPr>
            <w:tcW w:w="12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7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00" w:type="dxa"/>
            <w:vAlign w:val="bottom"/>
          </w:tcPr>
          <w:p>
            <w:pPr>
              <w:spacing w:after="0"/>
              <w:rPr>
                <w:sz w:val="15"/>
                <w:szCs w:val="15"/>
                <w:color w:val="auto"/>
              </w:rPr>
            </w:pPr>
          </w:p>
        </w:tc>
        <w:tc>
          <w:tcPr>
            <w:tcW w:w="13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208,709</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(14,174)</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194,692</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365,860</w:t>
            </w:r>
          </w:p>
        </w:tc>
        <w:tc>
          <w:tcPr>
            <w:tcW w:w="3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1,427</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339,069</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39,024</w:t>
            </w:r>
          </w:p>
        </w:tc>
        <w:tc>
          <w:tcPr>
            <w:tcW w:w="30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36,475</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29,795</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29,305</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643,388</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1,585</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(45,432)</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599,541</w:t>
            </w:r>
          </w:p>
        </w:tc>
        <w:tc>
          <w:tcPr>
            <w:tcW w:w="0" w:type="dxa"/>
            <w:vAlign w:val="bottom"/>
          </w:tcPr>
          <w:p>
            <w:pPr>
              <w:spacing w:after="0"/>
              <w:rPr>
                <w:sz w:val="1"/>
                <w:szCs w:val="1"/>
                <w:color w:val="auto"/>
              </w:rPr>
            </w:pPr>
          </w:p>
        </w:tc>
      </w:tr>
      <w:tr>
        <w:trPr>
          <w:trHeight w:val="547"/>
        </w:trPr>
        <w:tc>
          <w:tcPr>
            <w:tcW w:w="5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Pr>
          <w:p>
            <w:pPr>
              <w:spacing w:after="0"/>
              <w:rPr>
                <w:sz w:val="15"/>
                <w:szCs w:val="15"/>
                <w:color w:val="auto"/>
              </w:rPr>
            </w:pPr>
          </w:p>
        </w:tc>
        <w:tc>
          <w:tcPr>
            <w:tcW w:w="13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00" w:type="dxa"/>
            <w:vAlign w:val="bottom"/>
          </w:tcPr>
          <w:p>
            <w:pPr>
              <w:spacing w:after="0"/>
              <w:rPr>
                <w:sz w:val="15"/>
                <w:szCs w:val="15"/>
                <w:color w:val="auto"/>
              </w:rPr>
            </w:pPr>
          </w:p>
        </w:tc>
        <w:tc>
          <w:tcPr>
            <w:tcW w:w="13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5"/>
                <w:szCs w:val="15"/>
                <w:color w:val="auto"/>
              </w:rPr>
            </w:pPr>
          </w:p>
        </w:tc>
        <w:tc>
          <w:tcPr>
            <w:tcW w:w="12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188,933</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171,964</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267,359</w:t>
            </w:r>
          </w:p>
        </w:tc>
        <w:tc>
          <w:tcPr>
            <w:tcW w:w="3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(34,095)</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233,275</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95,841</w:t>
            </w:r>
          </w:p>
        </w:tc>
        <w:tc>
          <w:tcPr>
            <w:tcW w:w="30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87,786</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35,575</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587,708</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(59,705)</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528,021</w:t>
            </w:r>
          </w:p>
        </w:tc>
        <w:tc>
          <w:tcPr>
            <w:tcW w:w="0" w:type="dxa"/>
            <w:vAlign w:val="bottom"/>
          </w:tcPr>
          <w:p>
            <w:pPr>
              <w:spacing w:after="0"/>
              <w:rPr>
                <w:sz w:val="1"/>
                <w:szCs w:val="1"/>
                <w:color w:val="auto"/>
              </w:rPr>
            </w:pPr>
          </w:p>
        </w:tc>
      </w:tr>
      <w:tr>
        <w:trPr>
          <w:trHeight w:val="905"/>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investment securities with unrealized losses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6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0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16,938</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153,575</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14,087</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170,513</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14,174</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70,155</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131,594</w:t>
            </w:r>
          </w:p>
        </w:tc>
        <w:tc>
          <w:tcPr>
            <w:tcW w:w="2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27,494</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201,749</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28,218</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2,999</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28,475</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2,549</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31,474</w:t>
            </w: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29,305</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29,305</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90,092</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812</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342,949</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44,620</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433,041</w:t>
            </w:r>
          </w:p>
        </w:tc>
        <w:tc>
          <w:tcPr>
            <w:tcW w:w="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45,432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6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0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4,082</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163,893</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16,964</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167,975</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16,972</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85,272</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2,086</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139,676</w:t>
            </w:r>
          </w:p>
        </w:tc>
        <w:tc>
          <w:tcPr>
            <w:tcW w:w="2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32,009</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224,948</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34,095</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7,901</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66,860</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7,960</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74,761</w:t>
            </w: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30,575</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30,575</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97,255</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2,193</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401,004</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57,512</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498,259</w:t>
            </w:r>
          </w:p>
        </w:tc>
        <w:tc>
          <w:tcPr>
            <w:tcW w:w="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59,705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were 219 investment securities, or 81.4% (187 of which for greater than 12 months), in an unrealized loss position as of June 30, 2025. The unrealized losses at June 30, 2025 were primarily attributable to changes in market interest rates after the investment securities were purchased. The Company does not currently intend to sell, and based on current conditions, the Company does not believe it will be required to sell these available-for-sale investment securities before the recovery of the amortized cost basis, which may be the maturity dates of the investment securities. Therefore, the unrealized losses are recorded in accumulated other comprehensive loss. There were 241 investment securities, or 96.0% (215 of which for greater than 12 months), in an unrealized loss position as of December 31, 2024. At June 30, 2025 and December 31, 2024, the Company had not recorded an allowance for credit losses on investment securities.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7,123</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7,120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85,437</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82,614</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after 5 years through 10 years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213,352</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199,107</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337,476</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310,700</w:t>
            </w:r>
          </w:p>
        </w:tc>
      </w:tr>
      <w:tr>
        <w:trPr>
          <w:trHeight w:val="250"/>
        </w:trPr>
        <w:tc>
          <w:tcPr>
            <w:tcW w:w="81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643,388</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599,541</w:t>
            </w: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Proceeds from sales of investment securities classified as available-for-sale were $30.1 million and $53.1 million for the three and six months ended June 30, 2025, and were $25.0 million for both the three and six months ended June 30, 2024, respectively. Gross realized losses were $3.6 million for both the three and six months ended June 30, 2025 and $13,000 for both the three and six months ended June 30, 2024, respectively. There were no gross realized gains for the three and six months ended June 30, 2025, and 2024, respectively. There were no investment securities pledged to secure public deposits or for other purposes at June 30,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Fair Value of Financial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carrying amounts and fair values of the Company’s financial instruments: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80"/>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15"/>
                <w:szCs w:val="15"/>
                <w:color w:val="auto"/>
              </w:rPr>
            </w:pPr>
          </w:p>
        </w:tc>
        <w:tc>
          <w:tcPr>
            <w:tcW w:w="1240" w:type="dxa"/>
            <w:vAlign w:val="bottom"/>
          </w:tcPr>
          <w:p>
            <w:pPr>
              <w:jc w:val="right"/>
              <w:ind w:right="310"/>
              <w:spacing w:after="0" w:line="180"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5"/>
                <w:szCs w:val="15"/>
                <w:color w:val="auto"/>
              </w:rPr>
            </w:pPr>
          </w:p>
        </w:tc>
        <w:tc>
          <w:tcPr>
            <w:tcW w:w="1260" w:type="dxa"/>
            <w:vAlign w:val="bottom"/>
          </w:tcPr>
          <w:p>
            <w:pPr>
              <w:jc w:val="right"/>
              <w:ind w:right="310"/>
              <w:spacing w:after="0" w:line="180"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2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5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assets:</w:t>
            </w:r>
          </w:p>
        </w:tc>
        <w:tc>
          <w:tcPr>
            <w:tcW w:w="260" w:type="dxa"/>
            <w:vAlign w:val="bottom"/>
            <w:shd w:val="clear" w:color="auto" w:fill="B6B6B6"/>
          </w:tcPr>
          <w:p>
            <w:pPr>
              <w:spacing w:after="0"/>
              <w:rPr>
                <w:sz w:val="21"/>
                <w:szCs w:val="21"/>
                <w:color w:val="auto"/>
              </w:rPr>
            </w:pPr>
          </w:p>
        </w:tc>
        <w:tc>
          <w:tcPr>
            <w:tcW w:w="124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218,165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218,165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349,728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349,728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599,541</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599,541</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528,021</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528,021</w:t>
            </w: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1,102,708</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1,086,635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1,068,594</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1,046,406</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6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9,077</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9,077</w:t>
            </w:r>
          </w:p>
        </w:tc>
        <w:tc>
          <w:tcPr>
            <w:tcW w:w="100" w:type="dxa"/>
            <w:vAlign w:val="bottom"/>
            <w:tcBorders>
              <w:bottom w:val="single" w:sz="8" w:color="auto"/>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7,979</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1,929,491</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1,913,418</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1,954,322</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1,932,134</w:t>
            </w:r>
          </w:p>
        </w:tc>
        <w:tc>
          <w:tcPr>
            <w:tcW w:w="0" w:type="dxa"/>
            <w:vAlign w:val="bottom"/>
          </w:tcPr>
          <w:p>
            <w:pPr>
              <w:spacing w:after="0"/>
              <w:rPr>
                <w:sz w:val="1"/>
                <w:szCs w:val="1"/>
                <w:color w:val="auto"/>
              </w:rPr>
            </w:pPr>
          </w:p>
        </w:tc>
      </w:tr>
      <w:tr>
        <w:trPr>
          <w:trHeight w:val="256"/>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liabilities: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1,003,795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1,003,795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967,916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967,916</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1,036,795</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1,036,795</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1,129,610</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1,129,610</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465</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2,041,055</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2,041,055</w:t>
            </w:r>
          </w:p>
        </w:tc>
        <w:tc>
          <w:tcPr>
            <w:tcW w:w="10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2,098,192</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2,098,192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that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carrying amount approximates fair value.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 The fair value is measured on a recurring basis using Level 2 inputs including observable trade data, market data, etc. Refer to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“Investment Securities,” for fair value and unrealized gains and losses by investment type.</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 The fair value is estimated using present values of future cash flows discounted at risk-adjusted interest rates for each loan category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is therefore a Level 3 valuation. Management believes that the risk factor embedded in the interest rates along with the allowance for credit losses result in a fair valuation.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Receivable </w:t>
      </w:r>
      <w:r>
        <w:rPr>
          <w:rFonts w:ascii="Times New Roman" w:cs="Times New Roman" w:eastAsia="Times New Roman" w:hAnsi="Times New Roman"/>
          <w:sz w:val="18"/>
          <w:szCs w:val="18"/>
          <w:color w:val="auto"/>
        </w:rPr>
        <w:t>- The carrying amount approximates fair value.</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 The fair value of demand deposits, savings deposits and certain money market deposits is the amount payable on demand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fixed-maturity certificates of deposit is estimated using the rates currently offered for deposits of similar remaining maturities and therefore, is a Level 2 valuation. The fair value estimates above do</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 include the benefit that results from the low-cost funding provided by the deposit liabilities compared to the cost of borrowing funds in the market or the benefit derived from the customer relationship inherent in existing deposits.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Accounts and Drafts Payable </w:t>
      </w:r>
      <w:r>
        <w:rPr>
          <w:rFonts w:ascii="Times New Roman" w:cs="Times New Roman" w:eastAsia="Times New Roman" w:hAnsi="Times New Roman"/>
          <w:sz w:val="18"/>
          <w:szCs w:val="18"/>
          <w:color w:val="auto"/>
        </w:rPr>
        <w:t>- The carrying amount approximates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Payable </w:t>
      </w:r>
      <w:r>
        <w:rPr>
          <w:rFonts w:ascii="Times New Roman" w:cs="Times New Roman" w:eastAsia="Times New Roman" w:hAnsi="Times New Roman"/>
          <w:sz w:val="18"/>
          <w:szCs w:val="18"/>
          <w:color w:val="auto"/>
        </w:rPr>
        <w:t>- The carrying amount approximates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Revenue from Contracts with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as the obligation to the customer is satisfied. The Company’s revenue from contracts with clients is as follows: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Processing fees </w:t>
      </w:r>
      <w:r>
        <w:rPr>
          <w:rFonts w:ascii="Times New Roman" w:cs="Times New Roman" w:eastAsia="Times New Roman" w:hAnsi="Times New Roman"/>
          <w:sz w:val="18"/>
          <w:szCs w:val="18"/>
          <w:color w:val="auto"/>
        </w:rPr>
        <w:t>– The Company earns fees on a per-item or monthly basis for the invoice processing services rendered on behalf of customers. Per-item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are recognized at the point in time when the performance obligation is satisfied. Monthly fees are earned over the course of a month, representing the period over which the performance obligation is satisfied. The contracts have no significant variable consideration or financing components.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fees </w:t>
      </w:r>
      <w:r>
        <w:rPr>
          <w:rFonts w:ascii="Times New Roman" w:cs="Times New Roman" w:eastAsia="Times New Roman" w:hAnsi="Times New Roman"/>
          <w:sz w:val="18"/>
          <w:szCs w:val="18"/>
          <w:color w:val="auto"/>
        </w:rPr>
        <w:t>– The Company earns fees on a transaction level basis for invoice payment services when making customer payments. Fees are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point in time when the payment transactions are made, which is when the performance obligation is satisfied. The contracts have no significant impact of variable consideration and no significant financing components.</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Bank service fees </w:t>
      </w:r>
      <w:r>
        <w:rPr>
          <w:rFonts w:ascii="Times New Roman" w:cs="Times New Roman" w:eastAsia="Times New Roman" w:hAnsi="Times New Roman"/>
          <w:sz w:val="18"/>
          <w:szCs w:val="18"/>
          <w:color w:val="auto"/>
        </w:rPr>
        <w:t>– Revenue from service fees consists of service charges and fees on deposit accounts under depository agreements with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access to deposited funds. Service charges on deposit accounts are transaction-based fees that are recognized at the point in time when the performance obligation is satisfied. The contracts have no significant impact of variable consideration and no significant financing components.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non-interest income, segregated by revenue streams in-scope and out-of-scope for the periods ended June 30,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92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For the Three Months Ended June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5"/>
        </w:trPr>
        <w:tc>
          <w:tcPr>
            <w:tcW w:w="55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5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55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300" w:type="dxa"/>
            <w:vAlign w:val="bottom"/>
            <w:shd w:val="clear" w:color="auto" w:fill="B6B6B6"/>
          </w:tcPr>
          <w:p>
            <w:pPr>
              <w:spacing w:after="0"/>
              <w:rPr>
                <w:sz w:val="22"/>
                <w:szCs w:val="22"/>
                <w:color w:val="auto"/>
              </w:rPr>
            </w:pPr>
          </w:p>
        </w:tc>
        <w:tc>
          <w:tcPr>
            <w:tcW w:w="1000" w:type="dxa"/>
            <w:vAlign w:val="bottom"/>
            <w:shd w:val="clear" w:color="auto" w:fill="B6B6B6"/>
          </w:tcPr>
          <w:p>
            <w:pPr>
              <w:spacing w:after="0"/>
              <w:rPr>
                <w:sz w:val="22"/>
                <w:szCs w:val="22"/>
                <w:color w:val="auto"/>
              </w:rPr>
            </w:pPr>
          </w:p>
        </w:tc>
        <w:tc>
          <w:tcPr>
            <w:tcW w:w="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r>
      <w:tr>
        <w:trPr>
          <w:trHeight w:val="25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In-scope of FASB ASC 606</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550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Processing fees</w:t>
            </w:r>
          </w:p>
        </w:tc>
        <w:tc>
          <w:tcPr>
            <w:tcW w:w="30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17,082</w:t>
            </w:r>
          </w:p>
        </w:tc>
        <w:tc>
          <w:tcPr>
            <w:tcW w:w="460" w:type="dxa"/>
            <w:vAlign w:val="bottom"/>
            <w:gridSpan w:val="3"/>
            <w:shd w:val="clear" w:color="auto" w:fill="B6B6B6"/>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16,816</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33,551</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33,675</w:t>
            </w:r>
          </w:p>
        </w:tc>
      </w:tr>
      <w:tr>
        <w:trPr>
          <w:trHeight w:val="250"/>
        </w:trPr>
        <w:tc>
          <w:tcPr>
            <w:tcW w:w="550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Financial fees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21,058</w:t>
            </w:r>
          </w:p>
        </w:tc>
      </w:tr>
      <w:tr>
        <w:trPr>
          <w:trHeight w:val="256"/>
        </w:trPr>
        <w:tc>
          <w:tcPr>
            <w:tcW w:w="550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300" w:type="dxa"/>
            <w:vAlign w:val="bottom"/>
            <w:shd w:val="clear" w:color="auto" w:fill="B6B6B6"/>
          </w:tcPr>
          <w:p>
            <w:pPr>
              <w:spacing w:after="0"/>
              <w:rPr>
                <w:sz w:val="22"/>
                <w:szCs w:val="22"/>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27,243</w:t>
            </w:r>
          </w:p>
        </w:tc>
        <w:tc>
          <w:tcPr>
            <w:tcW w:w="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27,276</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53,673</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54,733</w:t>
            </w:r>
          </w:p>
        </w:tc>
      </w:tr>
      <w:tr>
        <w:trPr>
          <w:trHeight w:val="250"/>
        </w:trPr>
        <w:tc>
          <w:tcPr>
            <w:tcW w:w="5500" w:type="dxa"/>
            <w:vAlign w:val="bottom"/>
            <w:tcBorders>
              <w:bottom w:val="single" w:sz="8" w:color="B6B6B6"/>
            </w:tcBorders>
          </w:tcPr>
          <w:p>
            <w:pPr>
              <w:ind w:left="360"/>
              <w:spacing w:after="0"/>
              <w:rPr>
                <w:sz w:val="20"/>
                <w:szCs w:val="20"/>
                <w:color w:val="auto"/>
              </w:rPr>
            </w:pPr>
            <w:r>
              <w:rPr>
                <w:rFonts w:ascii="Times New Roman" w:cs="Times New Roman" w:eastAsia="Times New Roman" w:hAnsi="Times New Roman"/>
                <w:sz w:val="18"/>
                <w:szCs w:val="18"/>
                <w:color w:val="auto"/>
              </w:rPr>
              <w:t>Bank service fees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bottom w:val="single" w:sz="8" w:color="B6B6B6"/>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57"/>
        </w:trPr>
        <w:tc>
          <w:tcPr>
            <w:tcW w:w="550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Fee revenue (in-scope of FASB ASC 606)</w:t>
            </w:r>
          </w:p>
        </w:tc>
        <w:tc>
          <w:tcPr>
            <w:tcW w:w="300" w:type="dxa"/>
            <w:vAlign w:val="bottom"/>
            <w:shd w:val="clear" w:color="auto" w:fill="B6B6B6"/>
          </w:tcPr>
          <w:p>
            <w:pPr>
              <w:spacing w:after="0"/>
              <w:rPr>
                <w:sz w:val="22"/>
                <w:szCs w:val="22"/>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27,593</w:t>
            </w:r>
          </w:p>
        </w:tc>
        <w:tc>
          <w:tcPr>
            <w:tcW w:w="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54,359</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55,334</w:t>
            </w:r>
          </w:p>
        </w:tc>
      </w:tr>
      <w:tr>
        <w:trPr>
          <w:trHeight w:val="25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(out-of-scope of FASB ASC 606)</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57"/>
        </w:trPr>
        <w:tc>
          <w:tcPr>
            <w:tcW w:w="550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Loss on sale of investment securities</w:t>
            </w:r>
          </w:p>
        </w:tc>
        <w:tc>
          <w:tcPr>
            <w:tcW w:w="30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shd w:val="clear" w:color="auto" w:fill="B6B6B6"/>
          </w:tcPr>
          <w:p>
            <w:pPr>
              <w:spacing w:after="0"/>
              <w:rPr>
                <w:sz w:val="22"/>
                <w:szCs w:val="22"/>
                <w:color w:val="auto"/>
              </w:rPr>
            </w:pPr>
          </w:p>
        </w:tc>
        <w:tc>
          <w:tcPr>
            <w:tcW w:w="30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B6B6B6"/>
          </w:tcPr>
          <w:p>
            <w:pPr>
              <w:spacing w:after="0"/>
              <w:rPr>
                <w:sz w:val="22"/>
                <w:szCs w:val="22"/>
                <w:color w:val="auto"/>
              </w:rPr>
            </w:pPr>
          </w:p>
        </w:tc>
        <w:tc>
          <w:tcPr>
            <w:tcW w:w="30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shd w:val="clear" w:color="auto" w:fill="B6B6B6"/>
          </w:tcPr>
          <w:p>
            <w:pPr>
              <w:spacing w:after="0"/>
              <w:rPr>
                <w:sz w:val="22"/>
                <w:szCs w:val="22"/>
                <w:color w:val="auto"/>
              </w:rPr>
            </w:pPr>
          </w:p>
        </w:tc>
        <w:tc>
          <w:tcPr>
            <w:tcW w:w="30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55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24,948</w:t>
            </w:r>
          </w:p>
        </w:tc>
        <w:tc>
          <w:tcPr>
            <w:tcW w:w="4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28,448</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52,986</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57,172</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Leases</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leases certain premises under operating leases. As of June 30, 2025, the Company had lease liabilities of $4.9 million and right-of-use assets of $4.7 million. Lease liabilities and right-of-use assets are reflected in other liabilities and other assets, respectively. Presented within occupancy expense on the Consolidated Statements of Income for the three and six months ended June 30, 2025, operating lease cost was $214,000 and $428,000, short-term lease cost was $52,000 and $106,000, and there was no variable lease cost. At June 30, 2025, the weighted-average remaining lease term for the operating leases was 6.6 years and the weighted-average discount rate used in the measurement of operating lease liabilities was 2.75%. Certain of the Company’s leases contain options to renew the lease; however, these renewal options are not included in the calculation of the lease liabilities as they are not reasonably certain to be exercised. See the Company’s 2024 Form 10-K for information regarding these commitments.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 maturity analysis of operating lease liabilities and undiscounted cash flows as of June 30, 2025 is as follows:</w:t>
            </w: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20" w:type="dxa"/>
            <w:vAlign w:val="bottom"/>
          </w:tcPr>
          <w:p>
            <w:pPr>
              <w:spacing w:after="0"/>
              <w:rPr>
                <w:sz w:val="24"/>
                <w:szCs w:val="24"/>
                <w:color w:val="auto"/>
              </w:rPr>
            </w:pP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86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52"/>
        </w:trPr>
        <w:tc>
          <w:tcPr>
            <w:tcW w:w="86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Lease payments due</w:t>
            </w:r>
          </w:p>
        </w:tc>
        <w:tc>
          <w:tcPr>
            <w:tcW w:w="920" w:type="dxa"/>
            <w:vAlign w:val="bottom"/>
            <w:shd w:val="clear" w:color="auto" w:fill="B6B6B6"/>
          </w:tcPr>
          <w:p>
            <w:pPr>
              <w:spacing w:after="0"/>
              <w:rPr>
                <w:sz w:val="21"/>
                <w:szCs w:val="21"/>
                <w:color w:val="auto"/>
              </w:rPr>
            </w:pPr>
          </w:p>
        </w:tc>
        <w:tc>
          <w:tcPr>
            <w:tcW w:w="14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1 year</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63"/>
        </w:trPr>
        <w:tc>
          <w:tcPr>
            <w:tcW w:w="86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1-2 years</w:t>
            </w:r>
          </w:p>
        </w:tc>
        <w:tc>
          <w:tcPr>
            <w:tcW w:w="920" w:type="dxa"/>
            <w:vAlign w:val="bottom"/>
            <w:shd w:val="clear" w:color="auto" w:fill="B6B6B6"/>
          </w:tcPr>
          <w:p>
            <w:pPr>
              <w:spacing w:after="0"/>
              <w:rPr>
                <w:sz w:val="22"/>
                <w:szCs w:val="22"/>
                <w:color w:val="auto"/>
              </w:rPr>
            </w:pPr>
          </w:p>
        </w:tc>
        <w:tc>
          <w:tcPr>
            <w:tcW w:w="14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50"/>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 years</w:t>
            </w: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63"/>
        </w:trPr>
        <w:tc>
          <w:tcPr>
            <w:tcW w:w="86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3-4 years</w:t>
            </w:r>
          </w:p>
        </w:tc>
        <w:tc>
          <w:tcPr>
            <w:tcW w:w="920" w:type="dxa"/>
            <w:vAlign w:val="bottom"/>
            <w:shd w:val="clear" w:color="auto" w:fill="B6B6B6"/>
          </w:tcPr>
          <w:p>
            <w:pPr>
              <w:spacing w:after="0"/>
              <w:rPr>
                <w:sz w:val="22"/>
                <w:szCs w:val="22"/>
                <w:color w:val="auto"/>
              </w:rPr>
            </w:pPr>
          </w:p>
        </w:tc>
        <w:tc>
          <w:tcPr>
            <w:tcW w:w="14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50"/>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 years</w:t>
            </w: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57"/>
        </w:trPr>
        <w:tc>
          <w:tcPr>
            <w:tcW w:w="862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Over 5 years</w:t>
            </w:r>
          </w:p>
        </w:tc>
        <w:tc>
          <w:tcPr>
            <w:tcW w:w="920" w:type="dxa"/>
            <w:vAlign w:val="bottom"/>
            <w:tcBorders>
              <w:bottom w:val="single" w:sz="8" w:color="auto"/>
            </w:tcBorders>
            <w:shd w:val="clear" w:color="auto" w:fill="B6B6B6"/>
          </w:tcPr>
          <w:p>
            <w:pPr>
              <w:spacing w:after="0"/>
              <w:rPr>
                <w:sz w:val="22"/>
                <w:szCs w:val="22"/>
                <w:color w:val="auto"/>
              </w:rPr>
            </w:pPr>
          </w:p>
        </w:tc>
        <w:tc>
          <w:tcPr>
            <w:tcW w:w="14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5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9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0" w:type="dxa"/>
            <w:vAlign w:val="bottom"/>
          </w:tcPr>
          <w:p>
            <w:pPr>
              <w:spacing w:after="0"/>
              <w:rPr>
                <w:sz w:val="1"/>
                <w:szCs w:val="1"/>
                <w:color w:val="auto"/>
              </w:rPr>
            </w:pPr>
          </w:p>
        </w:tc>
      </w:tr>
      <w:tr>
        <w:trPr>
          <w:trHeight w:val="257"/>
        </w:trPr>
        <w:tc>
          <w:tcPr>
            <w:tcW w:w="86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Discount on cash flows</w:t>
            </w:r>
          </w:p>
        </w:tc>
        <w:tc>
          <w:tcPr>
            <w:tcW w:w="920" w:type="dxa"/>
            <w:vAlign w:val="bottom"/>
            <w:tcBorders>
              <w:bottom w:val="single" w:sz="8" w:color="auto"/>
            </w:tcBorders>
            <w:shd w:val="clear" w:color="auto" w:fill="B6B6B6"/>
          </w:tcPr>
          <w:p>
            <w:pPr>
              <w:spacing w:after="0"/>
              <w:rPr>
                <w:sz w:val="22"/>
                <w:szCs w:val="22"/>
                <w:color w:val="auto"/>
              </w:rPr>
            </w:pPr>
          </w:p>
        </w:tc>
        <w:tc>
          <w:tcPr>
            <w:tcW w:w="14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50"/>
        </w:trPr>
        <w:tc>
          <w:tcPr>
            <w:tcW w:w="8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00"/>
        <w:spacing w:after="0" w:line="452" w:lineRule="auto"/>
        <w:rPr>
          <w:sz w:val="20"/>
          <w:szCs w:val="20"/>
          <w:color w:val="auto"/>
        </w:rPr>
      </w:pPr>
      <w:r>
        <w:rPr>
          <w:rFonts w:ascii="Times New Roman" w:cs="Times New Roman" w:eastAsia="Times New Roman" w:hAnsi="Times New Roman"/>
          <w:sz w:val="18"/>
          <w:szCs w:val="18"/>
          <w:color w:val="auto"/>
        </w:rPr>
        <w:t>There were no sale and leaseback transactions, leveraged leases, or lease transactions with related parties during the six months ended June 30, 2025. Note 16 – Subsequent Events</w:t>
      </w:r>
    </w:p>
    <w:p>
      <w:pPr>
        <w:spacing w:after="0" w:line="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has evaluated subsequent events after the consolidated balance sheet date of June 30, 2025. There were no other events identified that would require additional disclosures to prevent the Company’s unaudited consolidated financial statements from being misleading.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4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jc w:val="both"/>
        <w:spacing w:after="0" w:line="254" w:lineRule="auto"/>
        <w:rPr>
          <w:sz w:val="20"/>
          <w:szCs w:val="20"/>
          <w:color w:val="auto"/>
        </w:rPr>
      </w:pPr>
      <w:r>
        <w:rPr>
          <w:rFonts w:ascii="Times New Roman" w:cs="Times New Roman" w:eastAsia="Times New Roman" w:hAnsi="Times New Roman"/>
          <w:sz w:val="18"/>
          <w:szCs w:val="18"/>
          <w:color w:val="auto"/>
        </w:rPr>
        <w:t>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Cass solutions include integrated payments, a B2B payment platform for clients that require an agile fintech partner. Additionally, the Company offers a church management software solution and an on-line platform to provide generosity services for faith-based and non-profit organizations. The Company’s bank subsidiary, Cass Commercial Bank (the “Bank”), supports the Company’s payment operations. The Bank also provides banking services to its target markets, which include privately held businesses in the St. Louis metropolitan area and restaurant franchises and faith-based ministries within the United States.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Cass is compensated for its information processing services through service fees, transactional level payment services, and investment of account balances generated during the payment process. Both the number of transactions processed and the dollar volume processed are therefore key metrics followed by management. The Bank earns most of its revenue from net interest income.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factors will influence the Company’s revenue and profitability, such as changes in the general level of interest rates, which has a significant effect on net interest income; industry-wide factors, such as the willingness of large corporations to outsource key business functions, and the general level of transportation and energy costs; and economic factors that include the general level of economic activity, the ability to hire and retain qualified staff, the growth and quality of the Bank’s loan portfolio, and the effects of tariffs or other domestic or international governmental policies. For a more detailed discussion of the Company’s revenue drivers and factors that impact the Company’s results of operation and financial condition generally, see Item 7, “Management’s Discussion and Analysis of Financial Condition and Results of Operations” in the Company’s 2024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Industry Developments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freight rates have recently begun gradually increasing after several quarters of decline since 2023, volumes continue to decline on a year over year basis which continues to put pressure on transportation related processing fees. In addition, carrier consolidation with small and medium-sized trucking companies exiting the market or selling to larger carriers continues to put downward pressure on financial fees as the smaller trucking companies were larger users of our quick pay solutions.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Items of Note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interest income increased $3.5 million, or 22.3%. The increase in net interest income was attributable to the net interest margin improving to 3.78% as compared to 3.32% in the same period last year, in addition to an increase in average interest-earning assets of $131.9 million, or 6.7%. The Company generally benefits from a higher interest rate environment due to a large percentage of its funding sources being non-interest bearing.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7, 2025, the Company signed an Asset Purchase Agreement providing for the sale of its telecom expense management and managed mobility solutions business unit (TEM Business Unit) to Asignet USA Inc for $18.0 million in cash. The sale closed on June 30, 2025 and resulted in a gain on sale of $3.6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sold $34.0 million of corporate investment securities with a weighted-average yield of 2.29% at a pretax loss of $3.6 million in an effort to reposition the investment portfolio and improve the net interest margin in future periods.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president signed into law the One Big Beautiful Bill Act which makes various changes to the tax law. The most significant impacts relate to the deductibility of interest expense, research and experimentation expenses and accelerated deprecation deductions, among others. The full impact of the bill is being analyzed by the Company and could have an impact on income tax expense in future periods.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paragraphs more fully discuss the results of operations and changes in financial condition for the three months ended June 30, 2025 (“second quarter of 2025”) compared to the three months ended June 30, 2024 (“second quarter of 2024”) and the six months ended June 30, 2025 ("first half of 2025") compared to the six months ended June 30, 2024 ("first half of 2024"). The following discussion and analysis should be read in conjunction with the unaudited consolidated financial statements and related notes and with the statistical information and financial data appearing in this report, as well as in the Company’s 2024 Form 10-K. Results of operations for the three months ended June 30, 2025 are not necessarily indicative of the results to be attained for any other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has applied discontinued operations accounting in accordance with Accounting Standards Codification, or ASC, Topic 205-20, “Presentation of Financial Statements – Discontinued Operations,” to the assets and liabilities being sold related to the Company's TEM Business Unit as of June 30, 2025 and December 31, 2024, and for the three and six months ended June 30, 2025, and 2024, as applicable. All financial information in this Quarterly Report on Form 10-Q is reported on a continuing operations basis, unless otherwise noted. See Note 2 to our consolidated financial statements for further discussion regarding discontinued operations and subsequent events associated with discontinued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operating results: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9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Second Quarter of</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First Half of</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280" w:type="dxa"/>
            <w:vAlign w:val="bottom"/>
          </w:tcPr>
          <w:p>
            <w:pPr>
              <w:spacing w:after="0"/>
              <w:rPr>
                <w:sz w:val="15"/>
                <w:szCs w:val="15"/>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15"/>
                <w:szCs w:val="15"/>
                <w:color w:val="auto"/>
              </w:rPr>
            </w:pPr>
          </w:p>
        </w:tc>
        <w:tc>
          <w:tcPr>
            <w:tcW w:w="126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Pr>
          <w:p>
            <w:pPr>
              <w:jc w:val="right"/>
              <w:ind w:right="47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5"/>
                <w:szCs w:val="15"/>
                <w:color w:val="auto"/>
              </w:rPr>
            </w:pPr>
          </w:p>
        </w:tc>
        <w:tc>
          <w:tcPr>
            <w:tcW w:w="138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Pr>
          <w:p>
            <w:pPr>
              <w:jc w:val="right"/>
              <w:ind w:right="47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296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0"/>
        </w:trPr>
        <w:tc>
          <w:tcPr>
            <w:tcW w:w="2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2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17,082</w:t>
            </w:r>
          </w:p>
        </w:tc>
        <w:tc>
          <w:tcPr>
            <w:tcW w:w="3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ind w:right="390"/>
              <w:spacing w:after="0"/>
              <w:rPr>
                <w:sz w:val="20"/>
                <w:szCs w:val="20"/>
                <w:color w:val="auto"/>
              </w:rPr>
            </w:pPr>
            <w:r>
              <w:rPr>
                <w:rFonts w:ascii="Times New Roman" w:cs="Times New Roman" w:eastAsia="Times New Roman" w:hAnsi="Times New Roman"/>
                <w:sz w:val="18"/>
                <w:szCs w:val="18"/>
                <w:color w:val="auto"/>
              </w:rPr>
              <w:t>16,816</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B6B6B6"/>
          </w:tcPr>
          <w:p>
            <w:pPr>
              <w:spacing w:after="0"/>
              <w:rPr>
                <w:sz w:val="21"/>
                <w:szCs w:val="21"/>
                <w:color w:val="auto"/>
              </w:rPr>
            </w:pPr>
          </w:p>
        </w:tc>
        <w:tc>
          <w:tcPr>
            <w:tcW w:w="2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33,551</w:t>
            </w:r>
          </w:p>
        </w:tc>
        <w:tc>
          <w:tcPr>
            <w:tcW w:w="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33,675</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28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10,161</w:t>
            </w:r>
          </w:p>
        </w:tc>
        <w:tc>
          <w:tcPr>
            <w:tcW w:w="380" w:type="dxa"/>
            <w:vAlign w:val="bottom"/>
          </w:tcPr>
          <w:p>
            <w:pPr>
              <w:spacing w:after="0"/>
              <w:rPr>
                <w:sz w:val="21"/>
                <w:szCs w:val="21"/>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10,460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20,122</w:t>
            </w:r>
          </w:p>
        </w:tc>
        <w:tc>
          <w:tcPr>
            <w:tcW w:w="180" w:type="dxa"/>
            <w:vAlign w:val="bottom"/>
          </w:tcPr>
          <w:p>
            <w:pPr>
              <w:spacing w:after="0"/>
              <w:rPr>
                <w:sz w:val="21"/>
                <w:szCs w:val="21"/>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21,058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63"/>
        </w:trPr>
        <w:tc>
          <w:tcPr>
            <w:tcW w:w="2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80" w:type="dxa"/>
            <w:vAlign w:val="bottom"/>
            <w:shd w:val="clear" w:color="auto" w:fill="B6B6B6"/>
          </w:tcPr>
          <w:p>
            <w:pPr>
              <w:spacing w:after="0"/>
              <w:rPr>
                <w:sz w:val="22"/>
                <w:szCs w:val="22"/>
                <w:color w:val="auto"/>
              </w:rPr>
            </w:pPr>
          </w:p>
        </w:tc>
        <w:tc>
          <w:tcPr>
            <w:tcW w:w="10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19,475</w:t>
            </w:r>
          </w:p>
        </w:tc>
        <w:tc>
          <w:tcPr>
            <w:tcW w:w="38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390"/>
              <w:spacing w:after="0"/>
              <w:rPr>
                <w:sz w:val="20"/>
                <w:szCs w:val="20"/>
                <w:color w:val="auto"/>
              </w:rPr>
            </w:pPr>
            <w:r>
              <w:rPr>
                <w:rFonts w:ascii="Times New Roman" w:cs="Times New Roman" w:eastAsia="Times New Roman" w:hAnsi="Times New Roman"/>
                <w:sz w:val="18"/>
                <w:szCs w:val="18"/>
                <w:color w:val="auto"/>
              </w:rPr>
              <w:t>15,929</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38,748</w:t>
            </w:r>
          </w:p>
        </w:tc>
        <w:tc>
          <w:tcPr>
            <w:tcW w:w="1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32,405</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w:t>
            </w:r>
          </w:p>
        </w:tc>
        <w:tc>
          <w:tcPr>
            <w:tcW w:w="28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spacing w:after="0"/>
              <w:rPr>
                <w:sz w:val="21"/>
                <w:szCs w:val="21"/>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930</w:t>
            </w:r>
          </w:p>
        </w:tc>
        <w:tc>
          <w:tcPr>
            <w:tcW w:w="180" w:type="dxa"/>
            <w:vAlign w:val="bottom"/>
          </w:tcPr>
          <w:p>
            <w:pPr>
              <w:spacing w:after="0"/>
              <w:rPr>
                <w:sz w:val="21"/>
                <w:szCs w:val="21"/>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495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0" w:type="dxa"/>
            <w:vAlign w:val="bottom"/>
          </w:tcPr>
          <w:p>
            <w:pPr>
              <w:spacing w:after="0"/>
              <w:rPr>
                <w:sz w:val="1"/>
                <w:szCs w:val="1"/>
                <w:color w:val="auto"/>
              </w:rPr>
            </w:pPr>
          </w:p>
        </w:tc>
      </w:tr>
      <w:tr>
        <w:trPr>
          <w:trHeight w:val="263"/>
        </w:trPr>
        <w:tc>
          <w:tcPr>
            <w:tcW w:w="2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Loss on sale of investment securities</w:t>
            </w:r>
          </w:p>
        </w:tc>
        <w:tc>
          <w:tcPr>
            <w:tcW w:w="280" w:type="dxa"/>
            <w:vAlign w:val="bottom"/>
            <w:shd w:val="clear" w:color="auto" w:fill="B6B6B6"/>
          </w:tcPr>
          <w:p>
            <w:pPr>
              <w:spacing w:after="0"/>
              <w:rPr>
                <w:sz w:val="22"/>
                <w:szCs w:val="22"/>
                <w:color w:val="auto"/>
              </w:rPr>
            </w:pPr>
          </w:p>
        </w:tc>
        <w:tc>
          <w:tcPr>
            <w:tcW w:w="104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(3,558)</w:t>
            </w:r>
          </w:p>
        </w:tc>
        <w:tc>
          <w:tcPr>
            <w:tcW w:w="38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27,269.2 %</w:t>
            </w: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(3,576)</w:t>
            </w:r>
          </w:p>
        </w:tc>
        <w:tc>
          <w:tcPr>
            <w:tcW w:w="1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color w:val="auto"/>
              </w:rPr>
              <w:t>(13)</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27,407.7 %</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1,263</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1,185</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Borders>
              <w:bottom w:val="single" w:sz="8" w:color="B6B6B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2,889</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2,452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56"/>
        </w:trPr>
        <w:tc>
          <w:tcPr>
            <w:tcW w:w="2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280" w:type="dxa"/>
            <w:vAlign w:val="bottom"/>
            <w:shd w:val="clear" w:color="auto" w:fill="B6B6B6"/>
          </w:tcPr>
          <w:p>
            <w:pPr>
              <w:spacing w:after="0"/>
              <w:rPr>
                <w:sz w:val="22"/>
                <w:szCs w:val="22"/>
                <w:color w:val="auto"/>
              </w:rPr>
            </w:pPr>
          </w:p>
        </w:tc>
        <w:tc>
          <w:tcPr>
            <w:tcW w:w="10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44,398</w:t>
            </w:r>
          </w:p>
        </w:tc>
        <w:tc>
          <w:tcPr>
            <w:tcW w:w="38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390"/>
              <w:spacing w:after="0"/>
              <w:rPr>
                <w:sz w:val="20"/>
                <w:szCs w:val="20"/>
                <w:color w:val="auto"/>
              </w:rPr>
            </w:pPr>
            <w:r>
              <w:rPr>
                <w:rFonts w:ascii="Times New Roman" w:cs="Times New Roman" w:eastAsia="Times New Roman" w:hAnsi="Times New Roman"/>
                <w:sz w:val="18"/>
                <w:szCs w:val="18"/>
                <w:color w:val="auto"/>
              </w:rPr>
              <w:t>43,977</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90,804</w:t>
            </w:r>
          </w:p>
        </w:tc>
        <w:tc>
          <w:tcPr>
            <w:tcW w:w="1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89,082</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38,119</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38,409</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B6B6B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73,649</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74,617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2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80" w:type="dxa"/>
            <w:vAlign w:val="bottom"/>
            <w:shd w:val="clear" w:color="auto" w:fill="B6B6B6"/>
          </w:tcPr>
          <w:p>
            <w:pPr>
              <w:spacing w:after="0"/>
              <w:rPr>
                <w:sz w:val="22"/>
                <w:szCs w:val="22"/>
                <w:color w:val="auto"/>
              </w:rPr>
            </w:pPr>
          </w:p>
        </w:tc>
        <w:tc>
          <w:tcPr>
            <w:tcW w:w="10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6,279</w:t>
            </w:r>
          </w:p>
        </w:tc>
        <w:tc>
          <w:tcPr>
            <w:tcW w:w="38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390"/>
              <w:spacing w:after="0"/>
              <w:rPr>
                <w:sz w:val="20"/>
                <w:szCs w:val="20"/>
                <w:color w:val="auto"/>
              </w:rPr>
            </w:pPr>
            <w:r>
              <w:rPr>
                <w:rFonts w:ascii="Times New Roman" w:cs="Times New Roman" w:eastAsia="Times New Roman" w:hAnsi="Times New Roman"/>
                <w:sz w:val="18"/>
                <w:szCs w:val="18"/>
                <w:color w:val="auto"/>
              </w:rPr>
              <w:t>5,568</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17,155</w:t>
            </w:r>
          </w:p>
        </w:tc>
        <w:tc>
          <w:tcPr>
            <w:tcW w:w="1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14,465</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1,119</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1,260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B6B6B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3,445</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3,093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8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5,160</w:t>
            </w:r>
          </w:p>
        </w:tc>
        <w:tc>
          <w:tcPr>
            <w:tcW w:w="38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ind w:right="390"/>
              <w:spacing w:after="0"/>
              <w:rPr>
                <w:sz w:val="20"/>
                <w:szCs w:val="20"/>
                <w:color w:val="auto"/>
              </w:rPr>
            </w:pPr>
            <w:r>
              <w:rPr>
                <w:rFonts w:ascii="Times New Roman" w:cs="Times New Roman" w:eastAsia="Times New Roman" w:hAnsi="Times New Roman"/>
                <w:sz w:val="18"/>
                <w:szCs w:val="18"/>
                <w:color w:val="auto"/>
              </w:rPr>
              <w:t>4,308</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shd w:val="clear" w:color="auto" w:fill="B6B6B6"/>
          </w:tcPr>
          <w:p>
            <w:pPr>
              <w:spacing w:after="0"/>
              <w:rPr>
                <w:sz w:val="21"/>
                <w:szCs w:val="21"/>
                <w:color w:val="auto"/>
              </w:rPr>
            </w:pPr>
          </w:p>
        </w:tc>
        <w:tc>
          <w:tcPr>
            <w:tcW w:w="28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13,710</w:t>
            </w: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11,372</w:t>
            </w: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11"/>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3,695</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1,999.4 %</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1,457.2 %</w:t>
            </w:r>
          </w:p>
        </w:tc>
        <w:tc>
          <w:tcPr>
            <w:tcW w:w="0" w:type="dxa"/>
            <w:vAlign w:val="bottom"/>
          </w:tcPr>
          <w:p>
            <w:pPr>
              <w:spacing w:after="0"/>
              <w:rPr>
                <w:sz w:val="1"/>
                <w:szCs w:val="1"/>
                <w:color w:val="auto"/>
              </w:rPr>
            </w:pPr>
          </w:p>
        </w:tc>
      </w:tr>
      <w:tr>
        <w:trPr>
          <w:trHeight w:val="241"/>
        </w:trPr>
        <w:tc>
          <w:tcPr>
            <w:tcW w:w="2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of tax</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B6B6B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8,855</w:t>
            </w:r>
          </w:p>
        </w:tc>
        <w:tc>
          <w:tcPr>
            <w:tcW w:w="38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ind w:right="390"/>
              <w:spacing w:after="0"/>
              <w:rPr>
                <w:sz w:val="20"/>
                <w:szCs w:val="20"/>
                <w:color w:val="auto"/>
              </w:rPr>
            </w:pPr>
            <w:r>
              <w:rPr>
                <w:rFonts w:ascii="Times New Roman" w:cs="Times New Roman" w:eastAsia="Times New Roman" w:hAnsi="Times New Roman"/>
                <w:sz w:val="18"/>
                <w:szCs w:val="18"/>
                <w:color w:val="auto"/>
              </w:rPr>
              <w:t>4,484</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97.5 %</w:t>
            </w:r>
          </w:p>
        </w:tc>
        <w:tc>
          <w:tcPr>
            <w:tcW w:w="100" w:type="dxa"/>
            <w:vAlign w:val="bottom"/>
            <w:shd w:val="clear" w:color="auto" w:fill="B6B6B6"/>
          </w:tcPr>
          <w:p>
            <w:pPr>
              <w:spacing w:after="0"/>
              <w:rPr>
                <w:sz w:val="21"/>
                <w:szCs w:val="21"/>
                <w:color w:val="auto"/>
              </w:rPr>
            </w:pPr>
          </w:p>
        </w:tc>
        <w:tc>
          <w:tcPr>
            <w:tcW w:w="28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17,821</w:t>
            </w: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11,636</w:t>
            </w: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11"/>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0.38</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0.31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0.82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41"/>
        </w:trPr>
        <w:tc>
          <w:tcPr>
            <w:tcW w:w="29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B6B6B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w:t>
            </w:r>
          </w:p>
        </w:tc>
        <w:tc>
          <w:tcPr>
            <w:tcW w:w="2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ind w:right="390"/>
              <w:spacing w:after="0"/>
              <w:rPr>
                <w:sz w:val="20"/>
                <w:szCs w:val="20"/>
                <w:color w:val="auto"/>
              </w:rPr>
            </w:pPr>
            <w:r>
              <w:rPr>
                <w:rFonts w:ascii="Times New Roman" w:cs="Times New Roman" w:eastAsia="Times New Roman" w:hAnsi="Times New Roman"/>
                <w:sz w:val="18"/>
                <w:szCs w:val="18"/>
                <w:color w:val="auto"/>
              </w:rPr>
              <w:t>0.01</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2,700.0 %</w:t>
            </w:r>
          </w:p>
        </w:tc>
        <w:tc>
          <w:tcPr>
            <w:tcW w:w="100" w:type="dxa"/>
            <w:vAlign w:val="bottom"/>
            <w:shd w:val="clear" w:color="auto" w:fill="B6B6B6"/>
          </w:tcPr>
          <w:p>
            <w:pPr>
              <w:spacing w:after="0"/>
              <w:rPr>
                <w:sz w:val="18"/>
                <w:szCs w:val="18"/>
                <w:color w:val="auto"/>
              </w:rPr>
            </w:pPr>
          </w:p>
        </w:tc>
        <w:tc>
          <w:tcPr>
            <w:tcW w:w="2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0.02</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1,400.0 %</w:t>
            </w:r>
          </w:p>
        </w:tc>
        <w:tc>
          <w:tcPr>
            <w:tcW w:w="0" w:type="dxa"/>
            <w:vAlign w:val="bottom"/>
          </w:tcPr>
          <w:p>
            <w:pPr>
              <w:spacing w:after="0"/>
              <w:rPr>
                <w:sz w:val="1"/>
                <w:szCs w:val="1"/>
                <w:color w:val="auto"/>
              </w:rPr>
            </w:pPr>
          </w:p>
        </w:tc>
      </w:tr>
      <w:tr>
        <w:trPr>
          <w:trHeight w:val="241"/>
        </w:trPr>
        <w:tc>
          <w:tcPr>
            <w:tcW w:w="2960" w:type="dxa"/>
            <w:vAlign w:val="bottom"/>
            <w:tcBorders>
              <w:bottom w:val="single" w:sz="8" w:color="auto"/>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Borders>
              <w:bottom w:val="single" w:sz="8" w:color="auto"/>
            </w:tcBorders>
            <w:shd w:val="clear" w:color="auto" w:fill="B6B6B6"/>
          </w:tcPr>
          <w:p>
            <w:pPr>
              <w:spacing w:after="0"/>
              <w:rPr>
                <w:sz w:val="20"/>
                <w:szCs w:val="20"/>
                <w:color w:val="auto"/>
              </w:rPr>
            </w:pPr>
          </w:p>
        </w:tc>
        <w:tc>
          <w:tcPr>
            <w:tcW w:w="1040" w:type="dxa"/>
            <w:vAlign w:val="bottom"/>
            <w:tcBorders>
              <w:bottom w:val="single" w:sz="8" w:color="auto"/>
            </w:tcBorders>
            <w:shd w:val="clear" w:color="auto" w:fill="B6B6B6"/>
          </w:tcPr>
          <w:p>
            <w:pPr>
              <w:spacing w:after="0"/>
              <w:rPr>
                <w:sz w:val="20"/>
                <w:szCs w:val="20"/>
                <w:color w:val="auto"/>
              </w:rPr>
            </w:pPr>
          </w:p>
        </w:tc>
        <w:tc>
          <w:tcPr>
            <w:tcW w:w="380" w:type="dxa"/>
            <w:vAlign w:val="bottom"/>
            <w:tcBorders>
              <w:bottom w:val="single" w:sz="8" w:color="auto"/>
            </w:tcBorders>
            <w:shd w:val="clear" w:color="auto" w:fill="B6B6B6"/>
          </w:tcPr>
          <w:p>
            <w:pPr>
              <w:spacing w:after="0"/>
              <w:rPr>
                <w:sz w:val="20"/>
                <w:szCs w:val="20"/>
                <w:color w:val="auto"/>
              </w:rPr>
            </w:pPr>
          </w:p>
        </w:tc>
        <w:tc>
          <w:tcPr>
            <w:tcW w:w="1260" w:type="dxa"/>
            <w:vAlign w:val="bottom"/>
            <w:tcBorders>
              <w:bottom w:val="single" w:sz="8" w:color="auto"/>
            </w:tcBorders>
            <w:shd w:val="clear" w:color="auto" w:fill="B6B6B6"/>
          </w:tcPr>
          <w:p>
            <w:pPr>
              <w:spacing w:after="0"/>
              <w:rPr>
                <w:sz w:val="20"/>
                <w:szCs w:val="20"/>
                <w:color w:val="auto"/>
              </w:rPr>
            </w:pPr>
          </w:p>
        </w:tc>
        <w:tc>
          <w:tcPr>
            <w:tcW w:w="1140" w:type="dxa"/>
            <w:vAlign w:val="bottom"/>
            <w:tcBorders>
              <w:bottom w:val="single" w:sz="8" w:color="auto"/>
            </w:tcBorders>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280" w:type="dxa"/>
            <w:vAlign w:val="bottom"/>
            <w:tcBorders>
              <w:bottom w:val="single" w:sz="8" w:color="auto"/>
            </w:tcBorders>
            <w:shd w:val="clear" w:color="auto" w:fill="B6B6B6"/>
          </w:tcPr>
          <w:p>
            <w:pPr>
              <w:spacing w:after="0"/>
              <w:rPr>
                <w:sz w:val="20"/>
                <w:szCs w:val="20"/>
                <w:color w:val="auto"/>
              </w:rPr>
            </w:pPr>
          </w:p>
        </w:tc>
        <w:tc>
          <w:tcPr>
            <w:tcW w:w="1060" w:type="dxa"/>
            <w:vAlign w:val="bottom"/>
            <w:tcBorders>
              <w:bottom w:val="single" w:sz="8" w:color="auto"/>
            </w:tcBorders>
            <w:shd w:val="clear" w:color="auto" w:fill="B6B6B6"/>
          </w:tcPr>
          <w:p>
            <w:pPr>
              <w:spacing w:after="0"/>
              <w:rPr>
                <w:sz w:val="20"/>
                <w:szCs w:val="20"/>
                <w:color w:val="auto"/>
              </w:rPr>
            </w:pPr>
          </w:p>
        </w:tc>
        <w:tc>
          <w:tcPr>
            <w:tcW w:w="180" w:type="dxa"/>
            <w:vAlign w:val="bottom"/>
            <w:tcBorders>
              <w:bottom w:val="single" w:sz="8" w:color="auto"/>
            </w:tcBorders>
            <w:shd w:val="clear" w:color="auto" w:fill="B6B6B6"/>
          </w:tcPr>
          <w:p>
            <w:pPr>
              <w:spacing w:after="0"/>
              <w:rPr>
                <w:sz w:val="20"/>
                <w:szCs w:val="20"/>
                <w:color w:val="auto"/>
              </w:rPr>
            </w:pPr>
          </w:p>
        </w:tc>
        <w:tc>
          <w:tcPr>
            <w:tcW w:w="1380" w:type="dxa"/>
            <w:vAlign w:val="bottom"/>
            <w:tcBorders>
              <w:bottom w:val="single" w:sz="8" w:color="auto"/>
            </w:tcBorders>
            <w:shd w:val="clear" w:color="auto" w:fill="B6B6B6"/>
          </w:tcPr>
          <w:p>
            <w:pPr>
              <w:spacing w:after="0"/>
              <w:rPr>
                <w:sz w:val="20"/>
                <w:szCs w:val="20"/>
                <w:color w:val="auto"/>
              </w:rPr>
            </w:pPr>
          </w:p>
        </w:tc>
        <w:tc>
          <w:tcPr>
            <w:tcW w:w="1180" w:type="dxa"/>
            <w:vAlign w:val="bottom"/>
            <w:tcBorders>
              <w:bottom w:val="single" w:sz="8" w:color="auto"/>
            </w:tcBorders>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0.66</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0.32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106.3 %</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0.84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0" w:type="dxa"/>
            <w:vAlign w:val="bottom"/>
          </w:tcPr>
          <w:p>
            <w:pPr>
              <w:spacing w:after="0"/>
              <w:rPr>
                <w:sz w:val="1"/>
                <w:szCs w:val="1"/>
                <w:color w:val="auto"/>
              </w:rPr>
            </w:pPr>
          </w:p>
        </w:tc>
      </w:tr>
      <w:tr>
        <w:trPr>
          <w:trHeight w:val="263"/>
        </w:trPr>
        <w:tc>
          <w:tcPr>
            <w:tcW w:w="2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Return on average assets</w:t>
            </w:r>
          </w:p>
        </w:tc>
        <w:tc>
          <w:tcPr>
            <w:tcW w:w="28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38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0.78 %</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89.7 %</w:t>
            </w: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1.00 %</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Return on average equity</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15.35 %</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8.01 %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91.6 %</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15.62 %</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10.36 %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of 2025 compared to second quarter of 2024:</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net revenue of $44.4 million during the second quarter of 2025, up 1.0% from the second quarter of 2024, primarily driven by an increase in net interest income, partially offset by a loss on the sale of investment securities. Operating expense decreased 0.8% primarily driven by $1.3 million of bad debt expense and an additional $1.3 million of</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expense related to late fees incurred on facility transactions in the second quarter of 2024, partially offset by an increase in personnel expenses of $1.5 million and an increase in other expenses related to technology initiatives. Income from discontinued operations was up due to the $3.6 million gain on sale of the TEM business and $1.5 million of other non-recurring fee income. Net income was $8.9 million and diluted EPS was $0.66 per share, increases of 97.5% and 106.3% from the three months period ended June 30, 2024,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posted a 1.48% return on average assets and 15.35% return on average equity.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half of 2025 compared to first half of 2024:</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net revenue of $90.8 million during the first half of 2025, up 1.9% from the first half of 2024, primarily driven by net interest income, partially offset by a loss on the sale of investment securities. Operating expense decreased 1.3% primarily driven by a bad debt recovery of $2.0 million related to partial consideration received in a litigation settlement. Net income was $17.8 million and diluted EPS was $1.31 per share, increases of 53.2% and 56.0% from the first half of June 30, 2024,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posted a 1.49% return on average assets and 15.62% return on average equity.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fee revenue is derived mainly from transportation and facility processing and financial fees. As the Company provides its processing and payment services, it is compensated by service fees which are typically calculated on a per-item basis, discounts received for services provided to carriers and by the accounts and drafts payable balances generated in the payment process which can be used to generate interest income. Processing volumes, average payments in advance of funding, and fee revenue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Second Quarter of</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First Half of</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Pr>
          <w:p>
            <w:pPr>
              <w:spacing w:after="0"/>
              <w:rPr>
                <w:sz w:val="15"/>
                <w:szCs w:val="15"/>
                <w:color w:val="auto"/>
              </w:rPr>
            </w:pPr>
          </w:p>
        </w:tc>
        <w:tc>
          <w:tcPr>
            <w:tcW w:w="1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5"/>
                <w:szCs w:val="15"/>
                <w:color w:val="auto"/>
              </w:rPr>
            </w:pPr>
          </w:p>
        </w:tc>
        <w:tc>
          <w:tcPr>
            <w:tcW w:w="128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Pr>
          <w:p>
            <w:pPr>
              <w:jc w:val="right"/>
              <w:ind w:right="5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5"/>
                <w:szCs w:val="15"/>
                <w:color w:val="auto"/>
              </w:rPr>
            </w:pPr>
          </w:p>
        </w:tc>
        <w:tc>
          <w:tcPr>
            <w:tcW w:w="138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Pr>
          <w:p>
            <w:pPr>
              <w:jc w:val="right"/>
              <w:ind w:right="5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28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2"/>
        </w:trPr>
        <w:tc>
          <w:tcPr>
            <w:tcW w:w="2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Transportation invoice volume</w:t>
            </w:r>
          </w:p>
        </w:tc>
        <w:tc>
          <w:tcPr>
            <w:tcW w:w="300" w:type="dxa"/>
            <w:vAlign w:val="bottom"/>
            <w:shd w:val="clear" w:color="auto" w:fill="B6B6B6"/>
          </w:tcPr>
          <w:p>
            <w:pPr>
              <w:spacing w:after="0"/>
              <w:rPr>
                <w:sz w:val="21"/>
                <w:szCs w:val="21"/>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360" w:type="dxa"/>
            <w:vAlign w:val="bottom"/>
            <w:shd w:val="clear" w:color="auto" w:fill="B6B6B6"/>
          </w:tcPr>
          <w:p>
            <w:pPr>
              <w:spacing w:after="0"/>
              <w:rPr>
                <w:sz w:val="21"/>
                <w:szCs w:val="21"/>
                <w:color w:val="auto"/>
              </w:rPr>
            </w:pPr>
          </w:p>
        </w:tc>
        <w:tc>
          <w:tcPr>
            <w:tcW w:w="1280" w:type="dxa"/>
            <w:vAlign w:val="bottom"/>
            <w:shd w:val="clear" w:color="auto" w:fill="B6B6B6"/>
          </w:tcPr>
          <w:p>
            <w:pPr>
              <w:jc w:val="right"/>
              <w:ind w:right="290"/>
              <w:spacing w:after="0"/>
              <w:rPr>
                <w:sz w:val="20"/>
                <w:szCs w:val="20"/>
                <w:color w:val="auto"/>
              </w:rPr>
            </w:pPr>
            <w:r>
              <w:rPr>
                <w:rFonts w:ascii="Times New Roman" w:cs="Times New Roman" w:eastAsia="Times New Roman" w:hAnsi="Times New Roman"/>
                <w:sz w:val="18"/>
                <w:szCs w:val="18"/>
                <w:color w:val="auto"/>
              </w:rPr>
              <w:t>8,879</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B6B6B6"/>
          </w:tcPr>
          <w:p>
            <w:pPr>
              <w:spacing w:after="0"/>
              <w:rPr>
                <w:sz w:val="21"/>
                <w:szCs w:val="21"/>
                <w:color w:val="auto"/>
              </w:rPr>
            </w:pPr>
          </w:p>
        </w:tc>
        <w:tc>
          <w:tcPr>
            <w:tcW w:w="260" w:type="dxa"/>
            <w:vAlign w:val="bottom"/>
            <w:shd w:val="clear" w:color="auto" w:fill="B6B6B6"/>
          </w:tcPr>
          <w:p>
            <w:pPr>
              <w:spacing w:after="0"/>
              <w:rPr>
                <w:sz w:val="21"/>
                <w:szCs w:val="21"/>
                <w:color w:val="auto"/>
              </w:rPr>
            </w:pP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17,192</w:t>
            </w:r>
          </w:p>
        </w:tc>
        <w:tc>
          <w:tcPr>
            <w:tcW w:w="240" w:type="dxa"/>
            <w:vAlign w:val="bottom"/>
            <w:shd w:val="clear" w:color="auto" w:fill="B6B6B6"/>
          </w:tcPr>
          <w:p>
            <w:pPr>
              <w:spacing w:after="0"/>
              <w:rPr>
                <w:sz w:val="21"/>
                <w:szCs w:val="21"/>
                <w:color w:val="auto"/>
              </w:rPr>
            </w:pPr>
          </w:p>
        </w:tc>
        <w:tc>
          <w:tcPr>
            <w:tcW w:w="138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17,649</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invoice dollar volume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9,370,535</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9,081,343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18,013,673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18,020,989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2800" w:type="dxa"/>
            <w:vAlign w:val="bottom"/>
            <w:shd w:val="clear" w:color="auto" w:fill="B6B6B6"/>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Facility-related transaction volume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B6B6B6"/>
          </w:tcPr>
          <w:p>
            <w:pPr>
              <w:spacing w:after="0"/>
              <w:rPr>
                <w:sz w:val="22"/>
                <w:szCs w:val="22"/>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36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290"/>
              <w:spacing w:after="0"/>
              <w:rPr>
                <w:sz w:val="20"/>
                <w:szCs w:val="20"/>
                <w:color w:val="auto"/>
              </w:rPr>
            </w:pPr>
            <w:r>
              <w:rPr>
                <w:rFonts w:ascii="Times New Roman" w:cs="Times New Roman" w:eastAsia="Times New Roman" w:hAnsi="Times New Roman"/>
                <w:sz w:val="18"/>
                <w:szCs w:val="18"/>
                <w:color w:val="auto"/>
              </w:rPr>
              <w:t>4,197</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8,366</w:t>
            </w: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8,311</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56"/>
        </w:trPr>
        <w:tc>
          <w:tcPr>
            <w:tcW w:w="280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Facility-related dollar volume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5,513,143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4,750,511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11,336,078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9,766,719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11"/>
        </w:trPr>
        <w:tc>
          <w:tcPr>
            <w:tcW w:w="2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payments in advance of</w:t>
            </w:r>
          </w:p>
        </w:tc>
        <w:tc>
          <w:tcPr>
            <w:tcW w:w="300" w:type="dxa"/>
            <w:vAlign w:val="bottom"/>
            <w:shd w:val="clear" w:color="auto" w:fill="B6B6B6"/>
          </w:tcPr>
          <w:p>
            <w:pPr>
              <w:spacing w:after="0"/>
              <w:rPr>
                <w:sz w:val="18"/>
                <w:szCs w:val="18"/>
                <w:color w:val="auto"/>
              </w:rPr>
            </w:pPr>
          </w:p>
        </w:tc>
        <w:tc>
          <w:tcPr>
            <w:tcW w:w="1020" w:type="dxa"/>
            <w:vAlign w:val="bottom"/>
            <w:shd w:val="clear" w:color="auto" w:fill="B6B6B6"/>
          </w:tcPr>
          <w:p>
            <w:pPr>
              <w:spacing w:after="0"/>
              <w:rPr>
                <w:sz w:val="18"/>
                <w:szCs w:val="18"/>
                <w:color w:val="auto"/>
              </w:rPr>
            </w:pPr>
          </w:p>
        </w:tc>
        <w:tc>
          <w:tcPr>
            <w:tcW w:w="36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116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240" w:type="dxa"/>
            <w:vAlign w:val="bottom"/>
            <w:shd w:val="clear" w:color="auto" w:fill="B6B6B6"/>
          </w:tcPr>
          <w:p>
            <w:pPr>
              <w:spacing w:after="0"/>
              <w:rPr>
                <w:sz w:val="18"/>
                <w:szCs w:val="18"/>
                <w:color w:val="auto"/>
              </w:rPr>
            </w:pPr>
          </w:p>
        </w:tc>
        <w:tc>
          <w:tcPr>
            <w:tcW w:w="13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funding</w:t>
            </w:r>
          </w:p>
        </w:tc>
        <w:tc>
          <w:tcPr>
            <w:tcW w:w="30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176,191</w:t>
            </w:r>
          </w:p>
        </w:tc>
        <w:tc>
          <w:tcPr>
            <w:tcW w:w="3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290"/>
              <w:spacing w:after="0"/>
              <w:rPr>
                <w:sz w:val="20"/>
                <w:szCs w:val="20"/>
                <w:color w:val="auto"/>
              </w:rPr>
            </w:pPr>
            <w:r>
              <w:rPr>
                <w:rFonts w:ascii="Times New Roman" w:cs="Times New Roman" w:eastAsia="Times New Roman" w:hAnsi="Times New Roman"/>
                <w:sz w:val="18"/>
                <w:szCs w:val="18"/>
                <w:color w:val="auto"/>
              </w:rPr>
              <w:t>213,185</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B6B6B6"/>
          </w:tcPr>
          <w:p>
            <w:pPr>
              <w:spacing w:after="0"/>
              <w:rPr>
                <w:sz w:val="21"/>
                <w:szCs w:val="21"/>
                <w:color w:val="auto"/>
              </w:rPr>
            </w:pPr>
          </w:p>
        </w:tc>
        <w:tc>
          <w:tcPr>
            <w:tcW w:w="2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174,898</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203,761</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5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17,082</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16,816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33,551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33,675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57"/>
        </w:trPr>
        <w:tc>
          <w:tcPr>
            <w:tcW w:w="2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30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3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290"/>
              <w:spacing w:after="0"/>
              <w:rPr>
                <w:sz w:val="20"/>
                <w:szCs w:val="20"/>
                <w:color w:val="auto"/>
              </w:rPr>
            </w:pPr>
            <w:r>
              <w:rPr>
                <w:rFonts w:ascii="Times New Roman" w:cs="Times New Roman" w:eastAsia="Times New Roman" w:hAnsi="Times New Roman"/>
                <w:sz w:val="18"/>
                <w:szCs w:val="18"/>
                <w:color w:val="auto"/>
              </w:rPr>
              <w:t>10,460</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B6B6B6"/>
          </w:tcPr>
          <w:p>
            <w:pPr>
              <w:spacing w:after="0"/>
              <w:rPr>
                <w:sz w:val="22"/>
                <w:szCs w:val="22"/>
                <w:color w:val="auto"/>
              </w:rPr>
            </w:pPr>
          </w:p>
        </w:tc>
        <w:tc>
          <w:tcPr>
            <w:tcW w:w="2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20,122</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21,058</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1,185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2,452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56"/>
        </w:trPr>
        <w:tc>
          <w:tcPr>
            <w:tcW w:w="28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Loss on sale of investment securities</w:t>
            </w:r>
          </w:p>
        </w:tc>
        <w:tc>
          <w:tcPr>
            <w:tcW w:w="30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36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tcBorders>
              <w:bottom w:val="single" w:sz="8" w:color="auto"/>
            </w:tcBorders>
            <w:gridSpan w:val="2"/>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utility and waste.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of 2025 compared to second quarter of 2024:</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Processing fees increased $266,000, or 1.6% over the same period in the prior year reflecting flat transportation and facility transaction volumes when comparing the periods.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fees decreased $299,000, or 2.9%, primarily attributable to a decline in average payments in advance of funding of 17.4%.</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sold $34.0 million of corporate investment securities with a weighted-average yield of 2.29% at a loss of $3.6 million. These sales occurred at the end of June 2025. The proceeds from these sales will be redeployed into higher yielding interest-earning assets.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half of 2025 compared to first half of 2024:</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Processing fees decreased $124,000, or 0.4% over the same period in the prior year reflecting flat transportation and facility transaction volumes when comparing the periods.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fees decreased $936,000, or 4.4%, primarily attributable to a decline in average payments in advance of funding of 14.2%.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Second Quarter of</w:t>
            </w:r>
          </w:p>
        </w:tc>
        <w:tc>
          <w:tcPr>
            <w:tcW w:w="5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First Half of</w:t>
            </w:r>
          </w:p>
        </w:tc>
        <w:tc>
          <w:tcPr>
            <w:tcW w:w="1060" w:type="dxa"/>
            <w:vAlign w:val="bottom"/>
            <w:tcBorders>
              <w:bottom w:val="single" w:sz="8" w:color="auto"/>
            </w:tcBorders>
          </w:tcPr>
          <w:p>
            <w:pPr>
              <w:spacing w:after="0"/>
              <w:rPr>
                <w:sz w:val="22"/>
                <w:szCs w:val="22"/>
                <w:color w:val="auto"/>
              </w:rPr>
            </w:pPr>
          </w:p>
        </w:tc>
      </w:tr>
      <w:tr>
        <w:trPr>
          <w:trHeight w:val="250"/>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4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earning assets</w:t>
            </w:r>
          </w:p>
        </w:tc>
        <w:tc>
          <w:tcPr>
            <w:tcW w:w="3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2,090,366</w:t>
            </w:r>
          </w:p>
        </w:tc>
        <w:tc>
          <w:tcPr>
            <w:tcW w:w="52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1,958,427</w:t>
            </w:r>
          </w:p>
        </w:tc>
        <w:tc>
          <w:tcPr>
            <w:tcW w:w="50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2,097,445</w:t>
            </w:r>
          </w:p>
        </w:tc>
        <w:tc>
          <w:tcPr>
            <w:tcW w:w="660" w:type="dxa"/>
            <w:vAlign w:val="bottom"/>
            <w:shd w:val="clear" w:color="auto" w:fill="B6B6B6"/>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2,010,833</w:t>
            </w: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interest-bearing liabilities</w:t>
            </w:r>
          </w:p>
        </w:tc>
        <w:tc>
          <w:tcPr>
            <w:tcW w:w="36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615,932</w:t>
            </w:r>
          </w:p>
        </w:tc>
        <w:tc>
          <w:tcPr>
            <w:tcW w:w="5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638,339</w:t>
            </w:r>
          </w:p>
        </w:tc>
        <w:tc>
          <w:tcPr>
            <w:tcW w:w="5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622,045</w:t>
            </w:r>
          </w:p>
        </w:tc>
        <w:tc>
          <w:tcPr>
            <w:tcW w:w="66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634,986</w:t>
            </w:r>
          </w:p>
        </w:tc>
      </w:tr>
      <w:tr>
        <w:trPr>
          <w:trHeight w:val="263"/>
        </w:trPr>
        <w:tc>
          <w:tcPr>
            <w:tcW w:w="4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19,690</w:t>
            </w:r>
          </w:p>
        </w:tc>
        <w:tc>
          <w:tcPr>
            <w:tcW w:w="52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16,168</w:t>
            </w:r>
          </w:p>
        </w:tc>
        <w:tc>
          <w:tcPr>
            <w:tcW w:w="50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39,132</w:t>
            </w:r>
          </w:p>
        </w:tc>
        <w:tc>
          <w:tcPr>
            <w:tcW w:w="66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32,888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w:t>
            </w:r>
          </w:p>
        </w:tc>
        <w:tc>
          <w:tcPr>
            <w:tcW w:w="27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3.78 %</w:t>
            </w:r>
          </w:p>
        </w:tc>
        <w:tc>
          <w:tcPr>
            <w:tcW w:w="1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3.32 %</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3.76 %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r>
      <w:tr>
        <w:trPr>
          <w:trHeight w:val="263"/>
        </w:trPr>
        <w:tc>
          <w:tcPr>
            <w:tcW w:w="40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Yield on earning assets*</w:t>
            </w:r>
          </w:p>
        </w:tc>
        <w:tc>
          <w:tcPr>
            <w:tcW w:w="2720" w:type="dxa"/>
            <w:vAlign w:val="bottom"/>
            <w:shd w:val="clear" w:color="auto" w:fill="B6B6B6"/>
          </w:tcPr>
          <w:p>
            <w:pPr>
              <w:jc w:val="right"/>
              <w:ind w:right="490"/>
              <w:spacing w:after="0"/>
              <w:rPr>
                <w:sz w:val="20"/>
                <w:szCs w:val="20"/>
                <w:color w:val="auto"/>
              </w:rPr>
            </w:pPr>
            <w:r>
              <w:rPr>
                <w:rFonts w:ascii="Times New Roman" w:cs="Times New Roman" w:eastAsia="Times New Roman" w:hAnsi="Times New Roman"/>
                <w:sz w:val="18"/>
                <w:szCs w:val="18"/>
                <w:color w:val="auto"/>
              </w:rPr>
              <w:t>4.58 %</w:t>
            </w:r>
          </w:p>
        </w:tc>
        <w:tc>
          <w:tcPr>
            <w:tcW w:w="1680" w:type="dxa"/>
            <w:vAlign w:val="bottom"/>
            <w:shd w:val="clear" w:color="auto" w:fill="B6B6B6"/>
          </w:tcPr>
          <w:p>
            <w:pPr>
              <w:jc w:val="right"/>
              <w:ind w:right="490"/>
              <w:spacing w:after="0"/>
              <w:rPr>
                <w:sz w:val="20"/>
                <w:szCs w:val="20"/>
                <w:color w:val="auto"/>
              </w:rPr>
            </w:pPr>
            <w:r>
              <w:rPr>
                <w:rFonts w:ascii="Times New Roman" w:cs="Times New Roman" w:eastAsia="Times New Roman" w:hAnsi="Times New Roman"/>
                <w:sz w:val="18"/>
                <w:szCs w:val="18"/>
                <w:color w:val="auto"/>
              </w:rPr>
              <w:t>4.41 %</w:t>
            </w:r>
          </w:p>
        </w:tc>
        <w:tc>
          <w:tcPr>
            <w:tcW w:w="1660" w:type="dxa"/>
            <w:vAlign w:val="bottom"/>
            <w:shd w:val="clear" w:color="auto" w:fill="B6B6B6"/>
          </w:tcPr>
          <w:p>
            <w:pPr>
              <w:jc w:val="right"/>
              <w:ind w:right="490"/>
              <w:spacing w:after="0"/>
              <w:rPr>
                <w:sz w:val="20"/>
                <w:szCs w:val="20"/>
                <w:color w:val="auto"/>
              </w:rPr>
            </w:pPr>
            <w:r>
              <w:rPr>
                <w:rFonts w:ascii="Times New Roman" w:cs="Times New Roman" w:eastAsia="Times New Roman" w:hAnsi="Times New Roman"/>
                <w:sz w:val="18"/>
                <w:szCs w:val="18"/>
                <w:color w:val="auto"/>
              </w:rPr>
              <w:t>4.56 %</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4.34 %</w:t>
            </w:r>
          </w:p>
        </w:tc>
      </w:tr>
      <w:tr>
        <w:trPr>
          <w:trHeight w:val="25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interest-bearing liabilities</w:t>
            </w:r>
          </w:p>
        </w:tc>
        <w:tc>
          <w:tcPr>
            <w:tcW w:w="27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2.71 %</w:t>
            </w:r>
          </w:p>
        </w:tc>
        <w:tc>
          <w:tcPr>
            <w:tcW w:w="1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3.35 %</w:t>
            </w:r>
          </w:p>
        </w:tc>
        <w:tc>
          <w:tcPr>
            <w:tcW w:w="16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2.68 %</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on a tax-equivalent basis assuming a tax rate of 21% for both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of 2025 compared to second quarter of 2024:</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interest income is primarily attributable to the net interest margin improving to 3.78% as compared to 3.32% in the same period last year, in addition to an increase in average earning assets of $131.9 million, or 6.7%. The yield on interest-earning assets increased 17 basis points from 4.41% to 4.58% while the cost of interest-bearing liabilities decreased 64 basis points from 3.35% to 2.71%.</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loans increased $86.4 million, or 8.3%, to $1.13 billion. The increase in average loans was primarily due to growth in the Company's commercial and industrial and faith-based loan portfolios. The average yield on loans increased 38 basis points to 5.64%, primarily due to loan growth at current market interest rates and continued maturing and re-pricing of existing fixed rate loans to current market interest rates.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investment securities increased $11.9 million, or 1.8%, to $665.6 million. The average yield on taxable investment securities increased 33 basis points to 3.05% as a result of purchases of new investment securities at current market interest rates, which were higher than the average interest rate in the current investment portfolio. The average yield on tax-exempt investment securities declined 45 basis points to 2.91% driven by maturities of higher rate investment securities.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short-term investments, consisting of interest-bearing deposits in other financial institutions and federal funds sold, increased $33.6 million, or 12.7%, to $298.9 million. The increase is primarily a result of the increase in average funding sources, partially offset by the increase in average loans and average investment securities. The average yield on short-term investments decreased 92 basis points to 4.03%, primarily due to the decrease in the Federal Funds rate that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 in the last four months of 2024. The majority of these short-term investments are held at the Federal Reserve Bank.</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balance of interest-bearing deposits decreased $22.4 million, or 3.5%, to $615.9 million. Average non-interest-bearing demand deposits decreased $14.0 million, or 3.4%, to $393.1 million. The Company has experienced deposit attrition due to a decrease in the overall level of some larger commercial deposits due to client funding needs for acquisitions and other purposes. The average rate paid on interest-bearing deposits decreased 64 basis points to 2.71% due to the reduction in short-term interest rates in the last four months of 2024.</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accounts and drafts payable increased $129.7 million, or 13.3%, to $1.11 billion. The increase in average accounts and drafts payable was primarily driven by the increase in facility dollar volumes of 16.1%.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half of 2025 compared to first half of 2024:</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interest income is primarily attributable to the net interest margin improving to 3.76% as compared to 3.29% in the same period last year, in addition to an increase in average earning assets of $86.6 million, or 4.3%. The yield on interest-earning assets increased 22 basis points from 4.34% to 4.56% while the cost of interest-bearing liabilities decreased 64 basis points from 3.32% to 2.68%.</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loans increased $89.9 million, or 8.7%, to $1.12 billion. The increase in average loans was primarily due to growth in the Company's commercial and industrial and faith-based loan portfolios. The average yield on loans increased 47 basis points to 5.63%, primarily due to loan growth at current market interest rates and continued maturing and re-pricing of existing fixed rate loans to current market interest rates.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investment securities decreased $35.7 million, or 5.3%, to $638.6 million due to the sale and maturity of investment securities throughout 2024 and the first half of 2025 exceeding new purchases. The average yield on taxable investment securities increased 36 basis points to 3.00% as a result of purchases of new investment securities at current market interest rates, which were higher than the average interest rate in the current investment portfolio. The average yield on tax-exempt investment securities declined 56 basis points to 2.74% driven by maturities of higher rate investment securities.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Average short-term investments, consisting of interest-bearing deposits in other financial institutions and federal funds sold, increased $32.4 million, or 10.5%, to $341.1 million. The increase is primarily a result of the decrease in average investment securities and the increase in average funding sources, partially offset by the increase in average loans. The average yield on short-term investments decreased 94 basis points to 4.08%, primarily due to the decrease in the Federal Funds rate that occurred in the last four months of 2024. The majority of these short-term investments are held at the Federal Reserve Bank.</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balance of interest-bearing deposits decreased $12.9 million, or 2.0%, to $622.0 million. Average non-interest-bearing demand deposits decreased $28.4 million, or 6.6%, to $399.1 million. The Company has experienced deposit attrition due to a decrease in the overall level of some larger commercial deposits due to client funding needs for acquisitions and other purposes. The average rate paid on interest-bearing deposits decreased 64 basis points to 2.68% due to the reduction in short-term interest rates in the last four months of 2024.</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Average accounts and drafts payable increased $94.0 million, or 9.4%, to $1.09 billion. The increase in average accounts and drafts payable was primarily driven by the increase in facility dollar volumes of 16.1%.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Assets, Liabilities and Shareholders' Equity; Interest Rate and Interest Differential</w:t>
      </w:r>
    </w:p>
    <w:p>
      <w:pPr>
        <w:spacing w:after="0" w:line="189" w:lineRule="exact"/>
        <w:rPr>
          <w:sz w:val="20"/>
          <w:szCs w:val="20"/>
          <w:color w:val="auto"/>
        </w:rPr>
      </w:pPr>
    </w:p>
    <w:p>
      <w:pPr>
        <w:jc w:val="both"/>
        <w:ind w:firstLine="9"/>
        <w:spacing w:after="0" w:line="266" w:lineRule="auto"/>
        <w:rPr>
          <w:sz w:val="20"/>
          <w:szCs w:val="20"/>
          <w:color w:val="auto"/>
        </w:rPr>
      </w:pPr>
      <w:r>
        <w:rPr>
          <w:rFonts w:ascii="Times New Roman" w:cs="Times New Roman" w:eastAsia="Times New Roman" w:hAnsi="Times New Roman"/>
          <w:sz w:val="18"/>
          <w:szCs w:val="18"/>
          <w:color w:val="auto"/>
        </w:rPr>
        <w:t>The following tables show the condensed average balance sheets for each of the periods reported, the tax-equivalent interest income and expense for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Second Quarter of 2025</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Second Quarter of 2024</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26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26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18"/>
                <w:szCs w:val="18"/>
                <w:color w:val="auto"/>
                <w:vertAlign w:val="superscript"/>
              </w:rPr>
              <w:t>1</w:t>
            </w: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60" w:type="dxa"/>
            <w:vAlign w:val="bottom"/>
            <w:shd w:val="clear" w:color="auto" w:fill="B6B6B6"/>
          </w:tcPr>
          <w:p>
            <w:pPr>
              <w:spacing w:after="0"/>
              <w:rPr>
                <w:sz w:val="18"/>
                <w:szCs w:val="18"/>
                <w:color w:val="auto"/>
              </w:rPr>
            </w:pPr>
          </w:p>
        </w:tc>
        <w:tc>
          <w:tcPr>
            <w:tcW w:w="92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6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22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1,125,899</w:t>
            </w:r>
          </w:p>
        </w:tc>
        <w:tc>
          <w:tcPr>
            <w:tcW w:w="28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15,837</w:t>
            </w: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5.64 %</w:t>
            </w: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1,039,461</w:t>
            </w:r>
          </w:p>
        </w:tc>
        <w:tc>
          <w:tcPr>
            <w:tcW w:w="28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13,592</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5.26 %</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524,666</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3,991</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3.05 %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487,164</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3,484</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2.88 %</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Tax-exempt</w:t>
            </w:r>
            <w:r>
              <w:rPr>
                <w:rFonts w:ascii="Times New Roman" w:cs="Times New Roman" w:eastAsia="Times New Roman" w:hAnsi="Times New Roman"/>
                <w:sz w:val="18"/>
                <w:szCs w:val="18"/>
                <w:color w:val="auto"/>
                <w:vertAlign w:val="superscript"/>
              </w:rPr>
              <w:t>4</w:t>
            </w:r>
          </w:p>
        </w:tc>
        <w:tc>
          <w:tcPr>
            <w:tcW w:w="2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140,926</w:t>
            </w:r>
          </w:p>
        </w:tc>
        <w:tc>
          <w:tcPr>
            <w:tcW w:w="280" w:type="dxa"/>
            <w:vAlign w:val="bottom"/>
          </w:tcPr>
          <w:p>
            <w:pPr>
              <w:spacing w:after="0"/>
              <w:rPr>
                <w:sz w:val="18"/>
                <w:szCs w:val="18"/>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1,023</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166,511</w:t>
            </w:r>
          </w:p>
        </w:tc>
        <w:tc>
          <w:tcPr>
            <w:tcW w:w="280" w:type="dxa"/>
            <w:vAlign w:val="bottom"/>
          </w:tcPr>
          <w:p>
            <w:pPr>
              <w:spacing w:after="0"/>
              <w:rPr>
                <w:sz w:val="18"/>
                <w:szCs w:val="18"/>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1,137</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2.75 %</w:t>
            </w:r>
          </w:p>
        </w:tc>
        <w:tc>
          <w:tcPr>
            <w:tcW w:w="0" w:type="dxa"/>
            <w:vAlign w:val="bottom"/>
          </w:tcPr>
          <w:p>
            <w:pPr>
              <w:spacing w:after="0"/>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298,875</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3,002</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4.03 %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265,291</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3,267</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2,090,366</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23,853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1,958,427</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21,480</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19,735</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22,196</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31,891</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31,123</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50,924</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49,622</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Goodwill and other intangibles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20,634</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15,252</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in advance of funding</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176,191</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213,185</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Unrealized loss on investment securities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(51,810)</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(64,196)</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64,833</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80,956</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(14,287)</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(13,302)</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 of discontinued operations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14,031</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14,782</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2,402,508</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spacing w:after="0"/>
              <w:rPr>
                <w:sz w:val="18"/>
                <w:szCs w:val="18"/>
                <w:color w:val="auto"/>
              </w:rPr>
            </w:pPr>
          </w:p>
        </w:tc>
        <w:tc>
          <w:tcPr>
            <w:tcW w:w="92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2,308,045</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r>
              <w:rPr>
                <w:rFonts w:ascii="Times New Roman" w:cs="Times New Roman" w:eastAsia="Times New Roman" w:hAnsi="Times New Roman"/>
                <w:sz w:val="18"/>
                <w:szCs w:val="18"/>
                <w:b w:val="1"/>
                <w:bCs w:val="1"/>
                <w:color w:val="auto"/>
                <w:vertAlign w:val="superscript"/>
              </w:rPr>
              <w:t>1</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523,604</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3,394</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554,813</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4,526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Savings deposits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6,816</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23</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7,040</w:t>
            </w: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31</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Time deposits &gt;= $100</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25,446</w:t>
            </w:r>
          </w:p>
        </w:tc>
        <w:tc>
          <w:tcPr>
            <w:tcW w:w="280" w:type="dxa"/>
            <w:vAlign w:val="bottom"/>
          </w:tcPr>
          <w:p>
            <w:pPr>
              <w:spacing w:after="0"/>
              <w:rPr>
                <w:sz w:val="16"/>
                <w:szCs w:val="16"/>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208</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26,959</w:t>
            </w:r>
          </w:p>
        </w:tc>
        <w:tc>
          <w:tcPr>
            <w:tcW w:w="280" w:type="dxa"/>
            <w:vAlign w:val="bottom"/>
          </w:tcPr>
          <w:p>
            <w:pPr>
              <w:spacing w:after="0"/>
              <w:rPr>
                <w:sz w:val="16"/>
                <w:szCs w:val="16"/>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246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Other time deposits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60,055</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538</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3.59 %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49,516</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509</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4.13 %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615,921</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4,163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638,328</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5,312</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Borders>
              <w:bottom w:val="single" w:sz="8" w:color="B6B6B6"/>
            </w:tcBorders>
            <w:shd w:val="clear" w:color="auto" w:fill="B6B6B6"/>
          </w:tcPr>
          <w:p>
            <w:pPr>
              <w:spacing w:after="0"/>
              <w:rPr>
                <w:sz w:val="19"/>
                <w:szCs w:val="19"/>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bottom w:val="single" w:sz="8" w:color="B6B6B6"/>
            </w:tcBorders>
            <w:shd w:val="clear" w:color="auto" w:fill="B6B6B6"/>
          </w:tcPr>
          <w:p>
            <w:pPr>
              <w:spacing w:after="0"/>
              <w:rPr>
                <w:sz w:val="19"/>
                <w:szCs w:val="19"/>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B6B6B6"/>
            </w:tcBorders>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bottom w:val="single" w:sz="8" w:color="B6B6B6"/>
            </w:tcBorders>
            <w:shd w:val="clear" w:color="auto" w:fill="B6B6B6"/>
          </w:tcPr>
          <w:p>
            <w:pPr>
              <w:spacing w:after="0"/>
              <w:rPr>
                <w:sz w:val="19"/>
                <w:szCs w:val="19"/>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bottom w:val="single" w:sz="8" w:color="B6B6B6"/>
            </w:tcBorders>
            <w:shd w:val="clear" w:color="auto" w:fill="B6B6B6"/>
          </w:tcPr>
          <w:p>
            <w:pPr>
              <w:spacing w:after="0"/>
              <w:rPr>
                <w:sz w:val="19"/>
                <w:szCs w:val="19"/>
                <w:color w:val="auto"/>
              </w:rPr>
            </w:pP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615,932</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4,163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638,339</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5,312</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Demand deposits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393,054</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407,079</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1,105,201</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spacing w:after="0"/>
              <w:rPr>
                <w:sz w:val="18"/>
                <w:szCs w:val="18"/>
                <w:color w:val="auto"/>
              </w:rPr>
            </w:pPr>
          </w:p>
        </w:tc>
        <w:tc>
          <w:tcPr>
            <w:tcW w:w="92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975,468</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36,940</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37,550</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Liabilities of discontinued operations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19,967</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spacing w:after="0"/>
              <w:rPr>
                <w:sz w:val="18"/>
                <w:szCs w:val="18"/>
                <w:color w:val="auto"/>
              </w:rPr>
            </w:pPr>
          </w:p>
        </w:tc>
        <w:tc>
          <w:tcPr>
            <w:tcW w:w="92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24,344</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2,171,094</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2,082,780</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231,414</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spacing w:after="0"/>
              <w:rPr>
                <w:sz w:val="18"/>
                <w:szCs w:val="18"/>
                <w:color w:val="auto"/>
              </w:rPr>
            </w:pPr>
          </w:p>
        </w:tc>
        <w:tc>
          <w:tcPr>
            <w:tcW w:w="92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225,265</w:t>
            </w:r>
          </w:p>
        </w:tc>
        <w:tc>
          <w:tcPr>
            <w:tcW w:w="280" w:type="dxa"/>
            <w:vAlign w:val="bottom"/>
            <w:tcBorders>
              <w:bottom w:val="single" w:sz="8" w:color="B6B6B6"/>
            </w:tcBorders>
            <w:shd w:val="clear" w:color="auto" w:fill="B6B6B6"/>
          </w:tcPr>
          <w:p>
            <w:pPr>
              <w:spacing w:after="0"/>
              <w:rPr>
                <w:sz w:val="18"/>
                <w:szCs w:val="18"/>
                <w:color w:val="auto"/>
              </w:rPr>
            </w:pPr>
          </w:p>
        </w:tc>
        <w:tc>
          <w:tcPr>
            <w:tcW w:w="126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2,402,508</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2,308,045</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19,690</w:t>
            </w:r>
          </w:p>
        </w:tc>
        <w:tc>
          <w:tcPr>
            <w:tcW w:w="92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B6B6B6"/>
            </w:tcBorders>
            <w:shd w:val="clear" w:color="auto" w:fill="B6B6B6"/>
          </w:tcPr>
          <w:p>
            <w:pPr>
              <w:jc w:val="right"/>
              <w:ind w:right="268"/>
              <w:spacing w:after="0"/>
              <w:rPr>
                <w:sz w:val="20"/>
                <w:szCs w:val="20"/>
                <w:color w:val="auto"/>
              </w:rPr>
            </w:pPr>
            <w:r>
              <w:rPr>
                <w:rFonts w:ascii="Times New Roman" w:cs="Times New Roman" w:eastAsia="Times New Roman" w:hAnsi="Times New Roman"/>
                <w:sz w:val="14"/>
                <w:szCs w:val="14"/>
                <w:color w:val="auto"/>
              </w:rPr>
              <w:t>16,168</w:t>
            </w:r>
          </w:p>
        </w:tc>
        <w:tc>
          <w:tcPr>
            <w:tcW w:w="94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 spread</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2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1.87 %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6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spacing w:after="0" w:line="2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on loans includes net loan fees of $118,000 and $146,000 for the second quarter of 2025 and 2024, respectively.</w:t>
      </w:r>
    </w:p>
    <w:p>
      <w:pPr>
        <w:spacing w:after="0" w:line="1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14" w:lineRule="exact"/>
        <w:rPr>
          <w:rFonts w:ascii="Times New Roman" w:cs="Times New Roman" w:eastAsia="Times New Roman" w:hAnsi="Times New Roman"/>
          <w:sz w:val="14"/>
          <w:szCs w:val="14"/>
          <w:color w:val="auto"/>
        </w:rPr>
      </w:pPr>
    </w:p>
    <w:p>
      <w:pPr>
        <w:ind w:left="340" w:right="100" w:hanging="332"/>
        <w:spacing w:after="0" w:line="283"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both 2025 and 2024. The tax-equivalent adjustment was approximately $215,000 and $239,000 for the second quarter of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First Half of 2025</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First Half of 2024</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1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20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1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01"/>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9"/>
                <w:szCs w:val="9"/>
                <w:color w:val="auto"/>
              </w:rPr>
              <w:t>1</w:t>
            </w:r>
          </w:p>
        </w:tc>
        <w:tc>
          <w:tcPr>
            <w:tcW w:w="220" w:type="dxa"/>
            <w:vAlign w:val="bottom"/>
            <w:shd w:val="clear" w:color="auto" w:fill="B6B6B6"/>
          </w:tcPr>
          <w:p>
            <w:pPr>
              <w:spacing w:after="0"/>
              <w:rPr>
                <w:sz w:val="17"/>
                <w:szCs w:val="17"/>
                <w:color w:val="auto"/>
              </w:rPr>
            </w:pPr>
          </w:p>
        </w:tc>
        <w:tc>
          <w:tcPr>
            <w:tcW w:w="1040" w:type="dxa"/>
            <w:vAlign w:val="bottom"/>
            <w:shd w:val="clear" w:color="auto" w:fill="B6B6B6"/>
          </w:tcPr>
          <w:p>
            <w:pPr>
              <w:spacing w:after="0"/>
              <w:rPr>
                <w:sz w:val="17"/>
                <w:szCs w:val="17"/>
                <w:color w:val="auto"/>
              </w:rPr>
            </w:pPr>
          </w:p>
        </w:tc>
        <w:tc>
          <w:tcPr>
            <w:tcW w:w="280" w:type="dxa"/>
            <w:vAlign w:val="bottom"/>
            <w:shd w:val="clear" w:color="auto" w:fill="B6B6B6"/>
          </w:tcPr>
          <w:p>
            <w:pPr>
              <w:spacing w:after="0"/>
              <w:rPr>
                <w:sz w:val="17"/>
                <w:szCs w:val="17"/>
                <w:color w:val="auto"/>
              </w:rPr>
            </w:pPr>
          </w:p>
        </w:tc>
        <w:tc>
          <w:tcPr>
            <w:tcW w:w="1180" w:type="dxa"/>
            <w:vAlign w:val="bottom"/>
            <w:shd w:val="clear" w:color="auto" w:fill="B6B6B6"/>
          </w:tcPr>
          <w:p>
            <w:pPr>
              <w:spacing w:after="0"/>
              <w:rPr>
                <w:sz w:val="17"/>
                <w:szCs w:val="17"/>
                <w:color w:val="auto"/>
              </w:rPr>
            </w:pPr>
          </w:p>
        </w:tc>
        <w:tc>
          <w:tcPr>
            <w:tcW w:w="100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220" w:type="dxa"/>
            <w:vAlign w:val="bottom"/>
            <w:shd w:val="clear" w:color="auto" w:fill="B6B6B6"/>
          </w:tcPr>
          <w:p>
            <w:pPr>
              <w:spacing w:after="0"/>
              <w:rPr>
                <w:sz w:val="17"/>
                <w:szCs w:val="17"/>
                <w:color w:val="auto"/>
              </w:rPr>
            </w:pPr>
          </w:p>
        </w:tc>
        <w:tc>
          <w:tcPr>
            <w:tcW w:w="1040" w:type="dxa"/>
            <w:vAlign w:val="bottom"/>
            <w:shd w:val="clear" w:color="auto" w:fill="B6B6B6"/>
          </w:tcPr>
          <w:p>
            <w:pPr>
              <w:spacing w:after="0"/>
              <w:rPr>
                <w:sz w:val="17"/>
                <w:szCs w:val="17"/>
                <w:color w:val="auto"/>
              </w:rPr>
            </w:pPr>
          </w:p>
        </w:tc>
        <w:tc>
          <w:tcPr>
            <w:tcW w:w="280" w:type="dxa"/>
            <w:vAlign w:val="bottom"/>
            <w:shd w:val="clear" w:color="auto" w:fill="B6B6B6"/>
          </w:tcPr>
          <w:p>
            <w:pPr>
              <w:spacing w:after="0"/>
              <w:rPr>
                <w:sz w:val="17"/>
                <w:szCs w:val="17"/>
                <w:color w:val="auto"/>
              </w:rPr>
            </w:pPr>
          </w:p>
        </w:tc>
        <w:tc>
          <w:tcPr>
            <w:tcW w:w="1200" w:type="dxa"/>
            <w:vAlign w:val="bottom"/>
            <w:shd w:val="clear" w:color="auto" w:fill="B6B6B6"/>
          </w:tcPr>
          <w:p>
            <w:pPr>
              <w:spacing w:after="0"/>
              <w:rPr>
                <w:sz w:val="17"/>
                <w:szCs w:val="17"/>
                <w:color w:val="auto"/>
              </w:rPr>
            </w:pPr>
          </w:p>
        </w:tc>
        <w:tc>
          <w:tcPr>
            <w:tcW w:w="100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1,117,758</w:t>
            </w:r>
          </w:p>
        </w:tc>
        <w:tc>
          <w:tcPr>
            <w:tcW w:w="280" w:type="dxa"/>
            <w:vAlign w:val="bottom"/>
            <w:tcBorders>
              <w:bottom w:val="single" w:sz="8" w:color="B6B6B6"/>
            </w:tcBorders>
            <w:shd w:val="clear" w:color="auto" w:fill="B6B6B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31,187</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5.63 %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1,027,854</w:t>
            </w:r>
          </w:p>
        </w:tc>
        <w:tc>
          <w:tcPr>
            <w:tcW w:w="280" w:type="dxa"/>
            <w:vAlign w:val="bottom"/>
            <w:tcBorders>
              <w:bottom w:val="single" w:sz="8" w:color="B6B6B6"/>
            </w:tcBorders>
            <w:shd w:val="clear" w:color="auto" w:fill="B6B6B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26,368</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5.16 %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504,215</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7,505</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504,154</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7,004</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Tax-exempt</w:t>
            </w:r>
            <w:r>
              <w:rPr>
                <w:rFonts w:ascii="Times New Roman" w:cs="Times New Roman" w:eastAsia="Times New Roman" w:hAnsi="Times New Roman"/>
                <w:sz w:val="9"/>
                <w:szCs w:val="9"/>
                <w:color w:val="auto"/>
              </w:rPr>
              <w:t>4</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134,352</w:t>
            </w:r>
          </w:p>
        </w:tc>
        <w:tc>
          <w:tcPr>
            <w:tcW w:w="2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1,824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170,098</w:t>
            </w:r>
          </w:p>
        </w:tc>
        <w:tc>
          <w:tcPr>
            <w:tcW w:w="280" w:type="dxa"/>
            <w:vAlign w:val="bottom"/>
          </w:tcPr>
          <w:p>
            <w:pPr>
              <w:spacing w:after="0"/>
              <w:rPr>
                <w:sz w:val="16"/>
                <w:szCs w:val="16"/>
                <w:color w:val="auto"/>
              </w:rPr>
            </w:pP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2,298</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341,120</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6,895</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4.08 %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308,727</w:t>
            </w:r>
          </w:p>
        </w:tc>
        <w:tc>
          <w:tcPr>
            <w:tcW w:w="280" w:type="dxa"/>
            <w:vAlign w:val="bottom"/>
            <w:tcBorders>
              <w:bottom w:val="single" w:sz="8" w:color="B6B6B6"/>
            </w:tcBorders>
            <w:shd w:val="clear" w:color="auto" w:fill="B6B6B6"/>
          </w:tcPr>
          <w:p>
            <w:pPr>
              <w:spacing w:after="0"/>
              <w:rPr>
                <w:sz w:val="18"/>
                <w:szCs w:val="18"/>
                <w:color w:val="auto"/>
              </w:rPr>
            </w:pP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7,708</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2,097,445</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47,411</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2,010,833</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43,378</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20,170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22,711</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31,395</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30,399</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50,712</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49,453</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Goodwill and other intangibles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20,846</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15,339</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in advance of funding</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174,898</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203,761</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Unrealized loss on investment securities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(54,061)</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(61,801)</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63,673</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72,739</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(13,848)</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(13,197)</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 of discontinued operations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14,211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14,576</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2,405,441</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2,344,813</w:t>
            </w:r>
          </w:p>
        </w:tc>
        <w:tc>
          <w:tcPr>
            <w:tcW w:w="280" w:type="dxa"/>
            <w:vAlign w:val="bottom"/>
            <w:tcBorders>
              <w:bottom w:val="single" w:sz="8" w:color="B6B6B6"/>
            </w:tcBorders>
            <w:shd w:val="clear" w:color="auto" w:fill="B6B6B6"/>
          </w:tcPr>
          <w:p>
            <w:pPr>
              <w:spacing w:after="0"/>
              <w:rPr>
                <w:sz w:val="18"/>
                <w:szCs w:val="18"/>
                <w:color w:val="auto"/>
              </w:rPr>
            </w:pPr>
          </w:p>
        </w:tc>
        <w:tc>
          <w:tcPr>
            <w:tcW w:w="120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r>
              <w:rPr>
                <w:rFonts w:ascii="Times New Roman" w:cs="Times New Roman" w:eastAsia="Times New Roman" w:hAnsi="Times New Roman"/>
                <w:sz w:val="9"/>
                <w:szCs w:val="9"/>
                <w:b w:val="1"/>
                <w:bCs w:val="1"/>
                <w:color w:val="auto"/>
              </w:rPr>
              <w:t>1</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530,731</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6,767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551,442</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8,930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Savings deposits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7,323</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47</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1.29 %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7,242</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63</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Time deposits &gt;= $100</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25,592</w:t>
            </w:r>
          </w:p>
        </w:tc>
        <w:tc>
          <w:tcPr>
            <w:tcW w:w="2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420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27,293</w:t>
            </w:r>
          </w:p>
        </w:tc>
        <w:tc>
          <w:tcPr>
            <w:tcW w:w="280" w:type="dxa"/>
            <w:vAlign w:val="bottom"/>
          </w:tcPr>
          <w:p>
            <w:pPr>
              <w:spacing w:after="0"/>
              <w:rPr>
                <w:sz w:val="16"/>
                <w:szCs w:val="16"/>
                <w:color w:val="auto"/>
              </w:rPr>
            </w:pP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503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Other time deposits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58,388</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1,045</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3.61 %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48,998</w:t>
            </w:r>
          </w:p>
        </w:tc>
        <w:tc>
          <w:tcPr>
            <w:tcW w:w="280" w:type="dxa"/>
            <w:vAlign w:val="bottom"/>
            <w:tcBorders>
              <w:bottom w:val="single" w:sz="8" w:color="B6B6B6"/>
            </w:tcBorders>
            <w:shd w:val="clear" w:color="auto" w:fill="B6B6B6"/>
          </w:tcPr>
          <w:p>
            <w:pPr>
              <w:spacing w:after="0"/>
              <w:rPr>
                <w:sz w:val="18"/>
                <w:szCs w:val="18"/>
                <w:color w:val="auto"/>
              </w:rPr>
            </w:pP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994</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4.08 %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622,034</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8,279</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634,975</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10,490</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Borders>
              <w:bottom w:val="single" w:sz="8" w:color="B6B6B6"/>
            </w:tcBorders>
            <w:shd w:val="clear" w:color="auto" w:fill="B6B6B6"/>
          </w:tcPr>
          <w:p>
            <w:pPr>
              <w:spacing w:after="0"/>
              <w:rPr>
                <w:sz w:val="19"/>
                <w:szCs w:val="19"/>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bottom w:val="single" w:sz="8" w:color="B6B6B6"/>
            </w:tcBorders>
            <w:shd w:val="clear" w:color="auto" w:fill="B6B6B6"/>
          </w:tcPr>
          <w:p>
            <w:pPr>
              <w:spacing w:after="0"/>
              <w:rPr>
                <w:sz w:val="19"/>
                <w:szCs w:val="19"/>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B6B6B6"/>
            </w:tcBorders>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bottom w:val="single" w:sz="8" w:color="B6B6B6"/>
            </w:tcBorders>
            <w:shd w:val="clear" w:color="auto" w:fill="B6B6B6"/>
          </w:tcPr>
          <w:p>
            <w:pPr>
              <w:spacing w:after="0"/>
              <w:rPr>
                <w:sz w:val="19"/>
                <w:szCs w:val="19"/>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bottom w:val="single" w:sz="8" w:color="B6B6B6"/>
            </w:tcBorders>
            <w:shd w:val="clear" w:color="auto" w:fill="B6B6B6"/>
          </w:tcPr>
          <w:p>
            <w:pPr>
              <w:spacing w:after="0"/>
              <w:rPr>
                <w:sz w:val="19"/>
                <w:szCs w:val="19"/>
                <w:color w:val="auto"/>
              </w:rPr>
            </w:pP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622,045</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8,279</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634,986</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10,490</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Demand deposits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399,085</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427,489</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1,088,699</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994,709</w:t>
            </w:r>
          </w:p>
        </w:tc>
        <w:tc>
          <w:tcPr>
            <w:tcW w:w="280" w:type="dxa"/>
            <w:vAlign w:val="bottom"/>
            <w:tcBorders>
              <w:bottom w:val="single" w:sz="8" w:color="B6B6B6"/>
            </w:tcBorders>
            <w:shd w:val="clear" w:color="auto" w:fill="B6B6B6"/>
          </w:tcPr>
          <w:p>
            <w:pPr>
              <w:spacing w:after="0"/>
              <w:rPr>
                <w:sz w:val="18"/>
                <w:szCs w:val="18"/>
                <w:color w:val="auto"/>
              </w:rPr>
            </w:pPr>
          </w:p>
        </w:tc>
        <w:tc>
          <w:tcPr>
            <w:tcW w:w="120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44,784</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37,111</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Liabilities of discontinued operations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20,806</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24,551</w:t>
            </w:r>
          </w:p>
        </w:tc>
        <w:tc>
          <w:tcPr>
            <w:tcW w:w="280" w:type="dxa"/>
            <w:vAlign w:val="bottom"/>
            <w:tcBorders>
              <w:bottom w:val="single" w:sz="8" w:color="B6B6B6"/>
            </w:tcBorders>
            <w:shd w:val="clear" w:color="auto" w:fill="B6B6B6"/>
          </w:tcPr>
          <w:p>
            <w:pPr>
              <w:spacing w:after="0"/>
              <w:rPr>
                <w:sz w:val="18"/>
                <w:szCs w:val="18"/>
                <w:color w:val="auto"/>
              </w:rPr>
            </w:pPr>
          </w:p>
        </w:tc>
        <w:tc>
          <w:tcPr>
            <w:tcW w:w="120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2,175,419</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2,118,846</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230,022</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225,967</w:t>
            </w:r>
          </w:p>
        </w:tc>
        <w:tc>
          <w:tcPr>
            <w:tcW w:w="280" w:type="dxa"/>
            <w:vAlign w:val="bottom"/>
            <w:tcBorders>
              <w:bottom w:val="single" w:sz="8" w:color="B6B6B6"/>
            </w:tcBorders>
            <w:shd w:val="clear" w:color="auto" w:fill="B6B6B6"/>
          </w:tcPr>
          <w:p>
            <w:pPr>
              <w:spacing w:after="0"/>
              <w:rPr>
                <w:sz w:val="18"/>
                <w:szCs w:val="18"/>
                <w:color w:val="auto"/>
              </w:rPr>
            </w:pPr>
          </w:p>
        </w:tc>
        <w:tc>
          <w:tcPr>
            <w:tcW w:w="120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2,405,441</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2,344,813</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39,132</w:t>
            </w:r>
          </w:p>
        </w:tc>
        <w:tc>
          <w:tcPr>
            <w:tcW w:w="100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32,888</w:t>
            </w:r>
          </w:p>
        </w:tc>
        <w:tc>
          <w:tcPr>
            <w:tcW w:w="100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 spread</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1.88 %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spacing w:after="0" w:line="2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on loans includes net loan fees of $485,000 and $229,000 for the six months ended June 30, 2025 and 2024, respectively.</w:t>
      </w:r>
    </w:p>
    <w:p>
      <w:pPr>
        <w:spacing w:after="0" w:line="1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4" w:lineRule="exact"/>
        <w:rPr>
          <w:rFonts w:ascii="Times New Roman" w:cs="Times New Roman" w:eastAsia="Times New Roman" w:hAnsi="Times New Roman"/>
          <w:sz w:val="14"/>
          <w:szCs w:val="14"/>
          <w:color w:val="auto"/>
        </w:rPr>
      </w:pPr>
    </w:p>
    <w:p>
      <w:pPr>
        <w:ind w:left="340" w:right="140" w:hanging="332"/>
        <w:spacing w:after="0" w:line="278"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both the six months ended June 30, 2025 and 2024. The tax-equivalent adjustment was approximately $383,000 and $483,000 for the six months ended June 30, 2025 and 2024,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Net Interest Income Changes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44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Second Quarter of 2025 Compared to Second Quarter of</w:t>
            </w: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7"/>
        </w:trPr>
        <w:tc>
          <w:tcPr>
            <w:tcW w:w="6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1,201</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57"/>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63"/>
        </w:trPr>
        <w:tc>
          <w:tcPr>
            <w:tcW w:w="6760" w:type="dxa"/>
            <w:vAlign w:val="bottom"/>
            <w:shd w:val="clear" w:color="auto" w:fill="B6B6B6"/>
          </w:tcPr>
          <w:p>
            <w:pPr>
              <w:ind w:left="360"/>
              <w:spacing w:after="0" w:line="263"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3"/>
                <w:szCs w:val="23"/>
                <w:color w:val="auto"/>
                <w:vertAlign w:val="superscript"/>
              </w:rPr>
              <w:t>2</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260" w:type="dxa"/>
            <w:vAlign w:val="bottom"/>
            <w:tcBorders>
              <w:bottom w:val="single" w:sz="8" w:color="auto"/>
            </w:tcBorders>
            <w:shd w:val="clear" w:color="auto" w:fill="B6B6B6"/>
          </w:tcPr>
          <w:p>
            <w:pPr>
              <w:spacing w:after="0"/>
              <w:rPr>
                <w:sz w:val="21"/>
                <w:szCs w:val="21"/>
                <w:color w:val="auto"/>
              </w:rPr>
            </w:pPr>
          </w:p>
        </w:tc>
        <w:tc>
          <w:tcPr>
            <w:tcW w:w="1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1,693</w:t>
            </w:r>
          </w:p>
        </w:tc>
        <w:tc>
          <w:tcPr>
            <w:tcW w:w="3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680</w:t>
            </w:r>
          </w:p>
        </w:tc>
        <w:tc>
          <w:tcPr>
            <w:tcW w:w="360" w:type="dxa"/>
            <w:vAlign w:val="bottom"/>
            <w:tcBorders>
              <w:bottom w:val="single" w:sz="8" w:color="auto"/>
            </w:tcBorders>
            <w:shd w:val="clear" w:color="auto" w:fill="B6B6B6"/>
          </w:tcPr>
          <w:p>
            <w:pPr>
              <w:spacing w:after="0"/>
              <w:rPr>
                <w:sz w:val="21"/>
                <w:szCs w:val="21"/>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5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expense:</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3"/>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7"/>
        </w:trPr>
        <w:tc>
          <w:tcPr>
            <w:tcW w:w="676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6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1,849</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1,673</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spacing w:after="0" w:line="1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the three months ended June 30, 2025 and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First Half of 2025 Compared to</w:t>
            </w:r>
          </w:p>
        </w:tc>
        <w:tc>
          <w:tcPr>
            <w:tcW w:w="960" w:type="dxa"/>
            <w:vAlign w:val="bottom"/>
          </w:tcPr>
          <w:p>
            <w:pPr>
              <w:spacing w:after="0"/>
              <w:rPr>
                <w:sz w:val="18"/>
                <w:szCs w:val="18"/>
                <w:color w:val="auto"/>
              </w:rPr>
            </w:pPr>
          </w:p>
        </w:tc>
      </w:tr>
      <w:tr>
        <w:trPr>
          <w:trHeight w:val="238"/>
        </w:trPr>
        <w:tc>
          <w:tcPr>
            <w:tcW w:w="6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First Half of 2024</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48"/>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7"/>
        </w:trPr>
        <w:tc>
          <w:tcPr>
            <w:tcW w:w="6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520" w:type="dxa"/>
            <w:vAlign w:val="bottom"/>
            <w:shd w:val="clear" w:color="auto" w:fill="B6B6B6"/>
          </w:tcPr>
          <w:p>
            <w:pPr>
              <w:spacing w:after="0"/>
              <w:rPr>
                <w:sz w:val="22"/>
                <w:szCs w:val="22"/>
                <w:color w:val="auto"/>
              </w:rPr>
            </w:pPr>
          </w:p>
        </w:tc>
        <w:tc>
          <w:tcPr>
            <w:tcW w:w="960" w:type="dxa"/>
            <w:vAlign w:val="bottom"/>
            <w:shd w:val="clear" w:color="auto" w:fill="B6B6B6"/>
          </w:tcPr>
          <w:p>
            <w:pPr>
              <w:spacing w:after="0"/>
              <w:rPr>
                <w:sz w:val="22"/>
                <w:szCs w:val="22"/>
                <w:color w:val="auto"/>
              </w:rPr>
            </w:pPr>
          </w:p>
        </w:tc>
      </w:tr>
      <w:tr>
        <w:trPr>
          <w:trHeight w:val="256"/>
        </w:trPr>
        <w:tc>
          <w:tcPr>
            <w:tcW w:w="6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2,361</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2,458</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r>
      <w:tr>
        <w:trPr>
          <w:trHeight w:val="257"/>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520" w:type="dxa"/>
            <w:vAlign w:val="bottom"/>
            <w:shd w:val="clear" w:color="auto" w:fill="B6B6B6"/>
          </w:tcPr>
          <w:p>
            <w:pPr>
              <w:spacing w:after="0"/>
              <w:rPr>
                <w:sz w:val="22"/>
                <w:szCs w:val="22"/>
                <w:color w:val="auto"/>
              </w:rPr>
            </w:pPr>
          </w:p>
        </w:tc>
        <w:tc>
          <w:tcPr>
            <w:tcW w:w="960" w:type="dxa"/>
            <w:vAlign w:val="bottom"/>
            <w:shd w:val="clear" w:color="auto" w:fill="B6B6B6"/>
          </w:tcPr>
          <w:p>
            <w:pPr>
              <w:spacing w:after="0"/>
              <w:rPr>
                <w:sz w:val="22"/>
                <w:szCs w:val="22"/>
                <w:color w:val="auto"/>
              </w:rPr>
            </w:pPr>
          </w:p>
        </w:tc>
      </w:tr>
      <w:tr>
        <w:trPr>
          <w:trHeight w:val="25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63"/>
        </w:trPr>
        <w:tc>
          <w:tcPr>
            <w:tcW w:w="6760" w:type="dxa"/>
            <w:vAlign w:val="bottom"/>
            <w:shd w:val="clear" w:color="auto" w:fill="B6B6B6"/>
          </w:tcPr>
          <w:p>
            <w:pPr>
              <w:ind w:left="360"/>
              <w:spacing w:after="0" w:line="263"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3"/>
                <w:szCs w:val="23"/>
                <w:color w:val="auto"/>
                <w:vertAlign w:val="superscript"/>
              </w:rPr>
              <w:t>2</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50"/>
        </w:trPr>
        <w:tc>
          <w:tcPr>
            <w:tcW w:w="6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739</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260" w:type="dxa"/>
            <w:vAlign w:val="bottom"/>
            <w:tcBorders>
              <w:bottom w:val="single" w:sz="8" w:color="auto"/>
            </w:tcBorders>
            <w:shd w:val="clear" w:color="auto" w:fill="B6B6B6"/>
          </w:tcPr>
          <w:p>
            <w:pPr>
              <w:spacing w:after="0"/>
              <w:rPr>
                <w:sz w:val="21"/>
                <w:szCs w:val="21"/>
                <w:color w:val="auto"/>
              </w:rPr>
            </w:pPr>
          </w:p>
        </w:tc>
        <w:tc>
          <w:tcPr>
            <w:tcW w:w="1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2,611</w:t>
            </w:r>
          </w:p>
        </w:tc>
        <w:tc>
          <w:tcPr>
            <w:tcW w:w="3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1,422</w:t>
            </w:r>
          </w:p>
        </w:tc>
        <w:tc>
          <w:tcPr>
            <w:tcW w:w="520" w:type="dxa"/>
            <w:vAlign w:val="bottom"/>
            <w:tcBorders>
              <w:bottom w:val="single" w:sz="8" w:color="auto"/>
            </w:tcBorders>
            <w:shd w:val="clear" w:color="auto" w:fill="B6B6B6"/>
          </w:tcPr>
          <w:p>
            <w:pPr>
              <w:spacing w:after="0"/>
              <w:rPr>
                <w:sz w:val="21"/>
                <w:szCs w:val="21"/>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4,033</w:t>
            </w:r>
          </w:p>
        </w:tc>
      </w:tr>
      <w:tr>
        <w:trPr>
          <w:trHeight w:val="25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52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3"/>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26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2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7"/>
        </w:trPr>
        <w:tc>
          <w:tcPr>
            <w:tcW w:w="676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6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B6B6B6"/>
          </w:tcPr>
          <w:p>
            <w:pPr>
              <w:spacing w:after="0"/>
              <w:rPr>
                <w:sz w:val="22"/>
                <w:szCs w:val="22"/>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26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2,792</w:t>
            </w:r>
          </w:p>
        </w:tc>
        <w:tc>
          <w:tcPr>
            <w:tcW w:w="36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3,452</w:t>
            </w:r>
          </w:p>
        </w:tc>
        <w:tc>
          <w:tcPr>
            <w:tcW w:w="520" w:type="dxa"/>
            <w:vAlign w:val="bottom"/>
            <w:tcBorders>
              <w:bottom w:val="single" w:sz="8" w:color="auto"/>
            </w:tcBorders>
            <w:shd w:val="clear" w:color="auto" w:fill="B6B6B6"/>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6,244</w:t>
            </w:r>
          </w:p>
        </w:tc>
      </w:tr>
    </w:tbl>
    <w:p>
      <w:pPr>
        <w:spacing w:after="0" w:line="5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spacing w:after="0" w:line="2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the six months ended June 30, 2025 and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and Allowance for Credit Losses and Allowance for Unfunded Commitments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recorded a provision for credit losses and off-balance sheet credit exposures of $25,000 and $400,000 for the second quarter of 2025 and 2024, respectively. The Company recorded a provision for credit losses and off-balance sheet credit exposures of $930,000 and $495,000 for the first half of 2025 and 2024, respectively. The amount of the provision for credit losses is derived from the Company’s quarterly Current Expected Credit Loss (“CECL”) model. The amount of the provision for credit losses will fluctuate as determined by these quarterly analyses. The provision for credit losses in the second quarter of 2025 was driven by an increase in nonaccrual loans of $3.4 million, partially offset by the decrease in total loans of $24.9 million, or 2.2%, as compared to March, 31, 2025.</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experienced no loan charge-offs in the second quarter of 2025 and 2024. The ACL was $14.3 million at June 30, 2025 and $13.4 million at December 31, 2024. The ACL represented 1.28% of outstanding loans at June 30, 2025 and 1.24% of outstanding loans at December 31, 2024. The allowance for unfunded commitments was $302,000 at June 30, 2025 and $273,000 at December 31, 2024. There were $3.4 million of nonperforming loans outstanding at June 30, 2025 and $0 at December 31, 2024. The Company has a specific allowance for credit losses of $160,000 allocated to its nonaccrual loans at June 30, 2025.</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has been established and is maintained to estimate the lifetime expected credit losses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utilizes ratio analyses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Credit Loss Experience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the Company's provision for (release of) credit losses and analysis of the ACL:</w:t>
      </w:r>
    </w:p>
    <w:p>
      <w:pPr>
        <w:spacing w:after="0" w:line="241"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b w:val="1"/>
          <w:bCs w:val="1"/>
          <w:color w:val="auto"/>
        </w:rPr>
        <w:t>First Half of</w:t>
      </w:r>
    </w:p>
    <w:tbl>
      <w:tblPr>
        <w:tblLayout w:type="fixed"/>
        <w:tblInd w:w="0" w:type="dxa"/>
        <w:tblCellMar>
          <w:top w:w="0" w:type="dxa"/>
          <w:left w:w="0" w:type="dxa"/>
          <w:bottom w:w="0" w:type="dxa"/>
          <w:right w:w="0" w:type="dxa"/>
        </w:tblCellMar>
      </w:tblPr>
      <w:tr>
        <w:trPr>
          <w:trHeight w:val="240"/>
        </w:trPr>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Second Quarter of</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4"/>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5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period</w:t>
            </w: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14,286</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13,299</w:t>
            </w: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13,395</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13,089</w:t>
            </w:r>
          </w:p>
        </w:tc>
      </w:tr>
      <w:tr>
        <w:trPr>
          <w:trHeight w:val="25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B6B6B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901</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545</w:t>
            </w:r>
          </w:p>
        </w:tc>
      </w:tr>
      <w:tr>
        <w:trPr>
          <w:trHeight w:val="250"/>
        </w:trPr>
        <w:tc>
          <w:tcPr>
            <w:tcW w:w="50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period</w:t>
            </w:r>
          </w:p>
        </w:tc>
        <w:tc>
          <w:tcPr>
            <w:tcW w:w="30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14,296</w:t>
            </w:r>
          </w:p>
        </w:tc>
        <w:tc>
          <w:tcPr>
            <w:tcW w:w="3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13,634</w:t>
            </w:r>
          </w:p>
        </w:tc>
        <w:tc>
          <w:tcPr>
            <w:tcW w:w="100" w:type="dxa"/>
            <w:vAlign w:val="bottom"/>
            <w:tcBorders>
              <w:bottom w:val="single" w:sz="8" w:color="auto"/>
            </w:tcBorders>
            <w:shd w:val="clear" w:color="auto" w:fill="B6B6B6"/>
          </w:tcPr>
          <w:p>
            <w:pPr>
              <w:spacing w:after="0"/>
              <w:rPr>
                <w:sz w:val="21"/>
                <w:szCs w:val="21"/>
                <w:color w:val="auto"/>
              </w:rPr>
            </w:pPr>
          </w:p>
        </w:tc>
        <w:tc>
          <w:tcPr>
            <w:tcW w:w="32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14,296</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13,634</w:t>
            </w:r>
          </w:p>
        </w:tc>
      </w:tr>
      <w:tr>
        <w:trPr>
          <w:trHeight w:val="148"/>
        </w:trPr>
        <w:tc>
          <w:tcPr>
            <w:tcW w:w="5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57"/>
        </w:trPr>
        <w:tc>
          <w:tcPr>
            <w:tcW w:w="5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beginning of period</w:t>
            </w: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287</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273</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r>
      <w:tr>
        <w:trPr>
          <w:trHeight w:val="25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50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end of period</w:t>
            </w:r>
          </w:p>
        </w:tc>
        <w:tc>
          <w:tcPr>
            <w:tcW w:w="30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302</w:t>
            </w:r>
          </w:p>
        </w:tc>
        <w:tc>
          <w:tcPr>
            <w:tcW w:w="3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auto"/>
            </w:tcBorders>
            <w:shd w:val="clear" w:color="auto" w:fill="B6B6B6"/>
          </w:tcPr>
          <w:p>
            <w:pPr>
              <w:spacing w:after="0"/>
              <w:rPr>
                <w:sz w:val="21"/>
                <w:szCs w:val="21"/>
                <w:color w:val="auto"/>
              </w:rPr>
            </w:pPr>
          </w:p>
        </w:tc>
        <w:tc>
          <w:tcPr>
            <w:tcW w:w="32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302</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r>
      <w:tr>
        <w:trPr>
          <w:trHeight w:val="149"/>
        </w:trPr>
        <w:tc>
          <w:tcPr>
            <w:tcW w:w="5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56"/>
        </w:trPr>
        <w:tc>
          <w:tcPr>
            <w:tcW w:w="5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Loans outstanding:</w:t>
            </w:r>
          </w:p>
        </w:tc>
        <w:tc>
          <w:tcPr>
            <w:tcW w:w="300" w:type="dxa"/>
            <w:vAlign w:val="bottom"/>
            <w:shd w:val="clear" w:color="auto" w:fill="B6B6B6"/>
          </w:tcPr>
          <w:p>
            <w:pPr>
              <w:spacing w:after="0"/>
              <w:rPr>
                <w:sz w:val="22"/>
                <w:szCs w:val="22"/>
                <w:color w:val="auto"/>
              </w:rPr>
            </w:pPr>
          </w:p>
        </w:tc>
        <w:tc>
          <w:tcPr>
            <w:tcW w:w="12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2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r>
      <w:tr>
        <w:trPr>
          <w:trHeight w:val="250"/>
        </w:trPr>
        <w:tc>
          <w:tcPr>
            <w:tcW w:w="5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Average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1,125,899</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1,039,461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1,117,758</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1,027,854</w:t>
            </w:r>
          </w:p>
        </w:tc>
      </w:tr>
      <w:tr>
        <w:trPr>
          <w:trHeight w:val="263"/>
        </w:trPr>
        <w:tc>
          <w:tcPr>
            <w:tcW w:w="5080" w:type="dxa"/>
            <w:vAlign w:val="bottom"/>
            <w:shd w:val="clear" w:color="auto" w:fill="B6B6B6"/>
          </w:tcPr>
          <w:p>
            <w:pPr>
              <w:ind w:left="440"/>
              <w:spacing w:after="0"/>
              <w:rPr>
                <w:sz w:val="20"/>
                <w:szCs w:val="20"/>
                <w:color w:val="auto"/>
              </w:rPr>
            </w:pPr>
            <w:r>
              <w:rPr>
                <w:rFonts w:ascii="Times New Roman" w:cs="Times New Roman" w:eastAsia="Times New Roman" w:hAnsi="Times New Roman"/>
                <w:sz w:val="18"/>
                <w:szCs w:val="18"/>
                <w:color w:val="auto"/>
              </w:rPr>
              <w:t>June 30</w:t>
            </w: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1,117,004</w:t>
            </w:r>
          </w:p>
        </w:tc>
        <w:tc>
          <w:tcPr>
            <w:tcW w:w="3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1,061,991</w:t>
            </w: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1,117,004</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1,061,991</w:t>
            </w:r>
          </w:p>
        </w:tc>
      </w:tr>
      <w:tr>
        <w:trPr>
          <w:trHeight w:val="25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Ratio of allowance for credit losses to loans outstanding at June 30</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for the second quarter of 2025 decreased $290,000, or 0.8%, as compared to the second quarter of 2024. Total operating expenses for the first half of 2025 decreased $968,000, or 1.3%, as compared to the first half of 2024. The following table details the components of operating expenses: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Second Quarter of</w:t>
            </w:r>
          </w:p>
        </w:tc>
        <w:tc>
          <w:tcPr>
            <w:tcW w:w="26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First Half of</w:t>
            </w:r>
          </w:p>
        </w:tc>
        <w:tc>
          <w:tcPr>
            <w:tcW w:w="780" w:type="dxa"/>
            <w:vAlign w:val="bottom"/>
          </w:tcPr>
          <w:p>
            <w:pPr>
              <w:spacing w:after="0"/>
              <w:rPr>
                <w:sz w:val="21"/>
                <w:szCs w:val="21"/>
                <w:color w:val="auto"/>
              </w:rPr>
            </w:pPr>
          </w:p>
        </w:tc>
      </w:tr>
      <w:tr>
        <w:trPr>
          <w:trHeight w:val="237"/>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B6B6B6"/>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23"/>
        </w:trPr>
        <w:tc>
          <w:tcPr>
            <w:tcW w:w="6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Salaries and commissions</w:t>
            </w:r>
          </w:p>
        </w:tc>
        <w:tc>
          <w:tcPr>
            <w:tcW w:w="2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20,638</w:t>
            </w:r>
          </w:p>
        </w:tc>
        <w:tc>
          <w:tcPr>
            <w:tcW w:w="100" w:type="dxa"/>
            <w:vAlign w:val="bottom"/>
            <w:shd w:val="clear" w:color="auto" w:fill="B6B6B6"/>
          </w:tcPr>
          <w:p>
            <w:pPr>
              <w:spacing w:after="0"/>
              <w:rPr>
                <w:sz w:val="19"/>
                <w:szCs w:val="19"/>
                <w:color w:val="auto"/>
              </w:rPr>
            </w:pPr>
          </w:p>
        </w:tc>
        <w:tc>
          <w:tcPr>
            <w:tcW w:w="2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20,393</w:t>
            </w:r>
          </w:p>
        </w:tc>
        <w:tc>
          <w:tcPr>
            <w:tcW w:w="160" w:type="dxa"/>
            <w:vAlign w:val="bottom"/>
            <w:shd w:val="clear" w:color="auto" w:fill="B6B6B6"/>
          </w:tcPr>
          <w:p>
            <w:pPr>
              <w:spacing w:after="0"/>
              <w:rPr>
                <w:sz w:val="19"/>
                <w:szCs w:val="19"/>
                <w:color w:val="auto"/>
              </w:rPr>
            </w:pPr>
          </w:p>
        </w:tc>
        <w:tc>
          <w:tcPr>
            <w:tcW w:w="2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40,301</w:t>
            </w:r>
          </w:p>
        </w:tc>
        <w:tc>
          <w:tcPr>
            <w:tcW w:w="48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39,915</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2,159</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29"/>
        </w:trPr>
        <w:tc>
          <w:tcPr>
            <w:tcW w:w="6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Employee profit sharing</w:t>
            </w:r>
          </w:p>
        </w:tc>
        <w:tc>
          <w:tcPr>
            <w:tcW w:w="280" w:type="dxa"/>
            <w:vAlign w:val="bottom"/>
            <w:shd w:val="clear" w:color="auto" w:fill="B6B6B6"/>
          </w:tcPr>
          <w:p>
            <w:pPr>
              <w:spacing w:after="0"/>
              <w:rPr>
                <w:sz w:val="19"/>
                <w:szCs w:val="19"/>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6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10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3,085</w:t>
            </w:r>
          </w:p>
        </w:tc>
        <w:tc>
          <w:tcPr>
            <w:tcW w:w="480" w:type="dxa"/>
            <w:vAlign w:val="bottom"/>
            <w:shd w:val="clear" w:color="auto" w:fill="B6B6B6"/>
          </w:tcPr>
          <w:p>
            <w:pPr>
              <w:spacing w:after="0"/>
              <w:rPr>
                <w:sz w:val="19"/>
                <w:szCs w:val="19"/>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60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benefits</w:t>
            </w:r>
          </w:p>
        </w:tc>
        <w:tc>
          <w:tcPr>
            <w:tcW w:w="280" w:type="dxa"/>
            <w:vAlign w:val="bottom"/>
            <w:tcBorders>
              <w:bottom w:val="single" w:sz="8" w:color="auto"/>
            </w:tcBorders>
            <w:shd w:val="clear" w:color="auto" w:fill="B6B6B6"/>
          </w:tcPr>
          <w:p>
            <w:pPr>
              <w:spacing w:after="0"/>
              <w:rPr>
                <w:sz w:val="19"/>
                <w:szCs w:val="19"/>
                <w:color w:val="auto"/>
              </w:rPr>
            </w:pP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00" w:type="dxa"/>
            <w:vAlign w:val="bottom"/>
            <w:shd w:val="clear" w:color="auto" w:fill="B6B6B6"/>
          </w:tcPr>
          <w:p>
            <w:pPr>
              <w:spacing w:after="0"/>
              <w:rPr>
                <w:sz w:val="19"/>
                <w:szCs w:val="19"/>
                <w:color w:val="auto"/>
              </w:rPr>
            </w:pPr>
          </w:p>
        </w:tc>
        <w:tc>
          <w:tcPr>
            <w:tcW w:w="260" w:type="dxa"/>
            <w:vAlign w:val="bottom"/>
            <w:tcBorders>
              <w:bottom w:val="single" w:sz="8" w:color="auto"/>
            </w:tcBorders>
            <w:shd w:val="clear" w:color="auto" w:fill="B6B6B6"/>
          </w:tcPr>
          <w:p>
            <w:pPr>
              <w:spacing w:after="0"/>
              <w:rPr>
                <w:sz w:val="19"/>
                <w:szCs w:val="19"/>
                <w:color w:val="auto"/>
              </w:rPr>
            </w:pP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60" w:type="dxa"/>
            <w:vAlign w:val="bottom"/>
            <w:shd w:val="clear" w:color="auto" w:fill="B6B6B6"/>
          </w:tcPr>
          <w:p>
            <w:pPr>
              <w:spacing w:after="0"/>
              <w:rPr>
                <w:sz w:val="19"/>
                <w:szCs w:val="19"/>
                <w:color w:val="auto"/>
              </w:rPr>
            </w:pPr>
          </w:p>
        </w:tc>
        <w:tc>
          <w:tcPr>
            <w:tcW w:w="260" w:type="dxa"/>
            <w:vAlign w:val="bottom"/>
            <w:tcBorders>
              <w:bottom w:val="single" w:sz="8" w:color="auto"/>
            </w:tcBorders>
            <w:shd w:val="clear" w:color="auto" w:fill="B6B6B6"/>
          </w:tcPr>
          <w:p>
            <w:pPr>
              <w:spacing w:after="0"/>
              <w:rPr>
                <w:sz w:val="19"/>
                <w:szCs w:val="19"/>
                <w:color w:val="auto"/>
              </w:rPr>
            </w:pPr>
          </w:p>
        </w:tc>
        <w:tc>
          <w:tcPr>
            <w:tcW w:w="10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9,486</w:t>
            </w:r>
          </w:p>
        </w:tc>
        <w:tc>
          <w:tcPr>
            <w:tcW w:w="480" w:type="dxa"/>
            <w:vAlign w:val="bottom"/>
            <w:tcBorders>
              <w:bottom w:val="single" w:sz="8" w:color="auto"/>
            </w:tcBorders>
            <w:shd w:val="clear" w:color="auto" w:fill="B6B6B6"/>
          </w:tcPr>
          <w:p>
            <w:pPr>
              <w:spacing w:after="0"/>
              <w:rPr>
                <w:sz w:val="19"/>
                <w:szCs w:val="19"/>
                <w:color w:val="auto"/>
              </w:rPr>
            </w:pPr>
          </w:p>
        </w:tc>
        <w:tc>
          <w:tcPr>
            <w:tcW w:w="7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8,854</w:t>
            </w:r>
          </w:p>
        </w:tc>
      </w:tr>
      <w:tr>
        <w:trPr>
          <w:trHeight w:val="223"/>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Personnel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26,244</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55,031</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53,151</w:t>
            </w:r>
          </w:p>
        </w:tc>
      </w:tr>
      <w:tr>
        <w:trPr>
          <w:trHeight w:val="230"/>
        </w:trPr>
        <w:tc>
          <w:tcPr>
            <w:tcW w:w="6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280" w:type="dxa"/>
            <w:vAlign w:val="bottom"/>
            <w:shd w:val="clear" w:color="auto" w:fill="B6B6B6"/>
          </w:tcPr>
          <w:p>
            <w:pPr>
              <w:spacing w:after="0"/>
              <w:rPr>
                <w:sz w:val="19"/>
                <w:szCs w:val="19"/>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6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10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1,390</w:t>
            </w:r>
          </w:p>
        </w:tc>
        <w:tc>
          <w:tcPr>
            <w:tcW w:w="480" w:type="dxa"/>
            <w:vAlign w:val="bottom"/>
            <w:shd w:val="clear" w:color="auto" w:fill="B6B6B6"/>
          </w:tcPr>
          <w:p>
            <w:pPr>
              <w:spacing w:after="0"/>
              <w:rPr>
                <w:sz w:val="19"/>
                <w:szCs w:val="19"/>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1,317</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r>
      <w:tr>
        <w:trPr>
          <w:trHeight w:val="229"/>
        </w:trPr>
        <w:tc>
          <w:tcPr>
            <w:tcW w:w="6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Bad debt expense (recovery)</w:t>
            </w:r>
          </w:p>
        </w:tc>
        <w:tc>
          <w:tcPr>
            <w:tcW w:w="280" w:type="dxa"/>
            <w:vAlign w:val="bottom"/>
            <w:shd w:val="clear" w:color="auto" w:fill="B6B6B6"/>
          </w:tcPr>
          <w:p>
            <w:pPr>
              <w:spacing w:after="0"/>
              <w:rPr>
                <w:sz w:val="19"/>
                <w:szCs w:val="19"/>
                <w:color w:val="auto"/>
              </w:rPr>
            </w:pPr>
          </w:p>
        </w:tc>
        <w:tc>
          <w:tcPr>
            <w:tcW w:w="104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19"/>
                <w:szCs w:val="19"/>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6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80" w:type="dxa"/>
            <w:vAlign w:val="bottom"/>
            <w:shd w:val="clear" w:color="auto" w:fill="B6B6B6"/>
          </w:tcPr>
          <w:p>
            <w:pPr>
              <w:spacing w:after="0"/>
              <w:rPr>
                <w:sz w:val="19"/>
                <w:szCs w:val="19"/>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60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280" w:type="dxa"/>
            <w:vAlign w:val="bottom"/>
            <w:tcBorders>
              <w:bottom w:val="single" w:sz="8" w:color="auto"/>
            </w:tcBorders>
            <w:shd w:val="clear" w:color="auto" w:fill="B6B6B6"/>
          </w:tcPr>
          <w:p>
            <w:pPr>
              <w:spacing w:after="0"/>
              <w:rPr>
                <w:sz w:val="19"/>
                <w:szCs w:val="19"/>
                <w:color w:val="auto"/>
              </w:rPr>
            </w:pP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100" w:type="dxa"/>
            <w:vAlign w:val="bottom"/>
            <w:tcBorders>
              <w:bottom w:val="single" w:sz="8" w:color="auto"/>
            </w:tcBorders>
            <w:shd w:val="clear" w:color="auto" w:fill="B6B6B6"/>
          </w:tcPr>
          <w:p>
            <w:pPr>
              <w:spacing w:after="0"/>
              <w:rPr>
                <w:sz w:val="19"/>
                <w:szCs w:val="19"/>
                <w:color w:val="auto"/>
              </w:rPr>
            </w:pPr>
          </w:p>
        </w:tc>
        <w:tc>
          <w:tcPr>
            <w:tcW w:w="260" w:type="dxa"/>
            <w:vAlign w:val="bottom"/>
            <w:tcBorders>
              <w:bottom w:val="single" w:sz="8" w:color="auto"/>
            </w:tcBorders>
            <w:shd w:val="clear" w:color="auto" w:fill="B6B6B6"/>
          </w:tcPr>
          <w:p>
            <w:pPr>
              <w:spacing w:after="0"/>
              <w:rPr>
                <w:sz w:val="19"/>
                <w:szCs w:val="19"/>
                <w:color w:val="auto"/>
              </w:rPr>
            </w:pP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160" w:type="dxa"/>
            <w:vAlign w:val="bottom"/>
            <w:shd w:val="clear" w:color="auto" w:fill="B6B6B6"/>
          </w:tcPr>
          <w:p>
            <w:pPr>
              <w:spacing w:after="0"/>
              <w:rPr>
                <w:sz w:val="19"/>
                <w:szCs w:val="19"/>
                <w:color w:val="auto"/>
              </w:rPr>
            </w:pPr>
          </w:p>
        </w:tc>
        <w:tc>
          <w:tcPr>
            <w:tcW w:w="260" w:type="dxa"/>
            <w:vAlign w:val="bottom"/>
            <w:tcBorders>
              <w:bottom w:val="single" w:sz="8" w:color="auto"/>
            </w:tcBorders>
            <w:shd w:val="clear" w:color="auto" w:fill="B6B6B6"/>
          </w:tcPr>
          <w:p>
            <w:pPr>
              <w:spacing w:after="0"/>
              <w:rPr>
                <w:sz w:val="19"/>
                <w:szCs w:val="19"/>
                <w:color w:val="auto"/>
              </w:rPr>
            </w:pPr>
          </w:p>
        </w:tc>
        <w:tc>
          <w:tcPr>
            <w:tcW w:w="10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13,786</w:t>
            </w:r>
          </w:p>
        </w:tc>
        <w:tc>
          <w:tcPr>
            <w:tcW w:w="480" w:type="dxa"/>
            <w:vAlign w:val="bottom"/>
            <w:tcBorders>
              <w:bottom w:val="single" w:sz="8" w:color="auto"/>
            </w:tcBorders>
            <w:shd w:val="clear" w:color="auto" w:fill="B6B6B6"/>
          </w:tcPr>
          <w:p>
            <w:pPr>
              <w:spacing w:after="0"/>
              <w:rPr>
                <w:sz w:val="19"/>
                <w:szCs w:val="19"/>
                <w:color w:val="auto"/>
              </w:rPr>
            </w:pPr>
          </w:p>
        </w:tc>
        <w:tc>
          <w:tcPr>
            <w:tcW w:w="7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14,748</w:t>
            </w:r>
          </w:p>
        </w:tc>
      </w:tr>
      <w:tr>
        <w:trPr>
          <w:trHeight w:val="223"/>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38,119</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38,409</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73,649</w:t>
            </w: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74,617</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of 2025 compared to second quarter of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Personnel expenses increased $1.5 million, or 5.7%. Salaries and commissions increased $245,000, or 1.2%, as a result of merit increases and the December 2024 acquisition of AcuAudit, partially offset by a decrease in average full-time equivalent employees of 5.9% due to strategic investments in various technology initiatives. Share-based compensation and employee profit sharing increased $468,000 and $682,000, respectively, due to the improvement in earnings. Other benefits increased $304,000, or 7.1%, due to higher health insurance costs, partially offset by the decline in average FTEs.</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Equipment expense increased $626,000, primarily due to an increase in depreciation expense on software related to recently completed technology initiatives.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bad debt expense of $1.3 million during the second quarter of 2024 and $0 in the second quarter of 2025.</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expense declined $1.3 million as a result of $1.3 million of expense related to late fees incurred on facility transactions during the second quarter of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half of 2025 compared to first half of 2024:</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Personnel expenses increased $1.9 million, or 3.5%. Salaries and commissions increased $386,000, or 1.0%, as a result of merit increases and the December 2024 acquisition of AcuAudit, partially offset by a decrease in average full-time equivalent employees of 4.7% due to strategic investments in various technology initiatives. Share-based compensation and employee profit sharing increased $514,000 and $734,000, respectively, due to the improvement in earnings. Other benefits increased $632,000, or 7.1%, due to higher health insurance costs, partially offset by the decline in average FTEs.</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Equipment expense increased $1.1 million primarily due to an increase in depreciation expense on software related to recently completed technology initiatives.</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recorded a bad debt recovery during the first half of 2025 of $2.0 million related to partial consideration received in a litigation settlement as more fully described in Note 8 to the consolidated financial statements. The Company incurred $1.3 million of bad debt expense in the first half of 2024 related to the same matter.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82"/>
        </w:trPr>
        <w:tc>
          <w:tcPr>
            <w:tcW w:w="3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Second Quarter of</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First Half of</w:t>
            </w:r>
          </w:p>
        </w:tc>
        <w:tc>
          <w:tcPr>
            <w:tcW w:w="1220" w:type="dxa"/>
            <w:vAlign w:val="bottom"/>
            <w:tcBorders>
              <w:bottom w:val="single" w:sz="8" w:color="auto"/>
            </w:tcBorders>
          </w:tcPr>
          <w:p>
            <w:pPr>
              <w:spacing w:after="0"/>
              <w:rPr>
                <w:sz w:val="24"/>
                <w:szCs w:val="24"/>
                <w:color w:val="auto"/>
              </w:rPr>
            </w:pPr>
          </w:p>
        </w:tc>
      </w:tr>
      <w:tr>
        <w:trPr>
          <w:trHeight w:val="25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21"/>
                <w:szCs w:val="21"/>
                <w:color w:val="auto"/>
              </w:rPr>
            </w:pPr>
          </w:p>
        </w:tc>
        <w:tc>
          <w:tcPr>
            <w:tcW w:w="11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7"/>
        </w:trPr>
        <w:tc>
          <w:tcPr>
            <w:tcW w:w="364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240" w:type="dxa"/>
            <w:vAlign w:val="bottom"/>
            <w:tcBorders>
              <w:top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360" w:type="dxa"/>
            <w:vAlign w:val="bottom"/>
            <w:tcBorders>
              <w:top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3,941</w:t>
            </w:r>
          </w:p>
        </w:tc>
        <w:tc>
          <w:tcPr>
            <w:tcW w:w="10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B6B6B6"/>
            </w:tcBorders>
            <w:shd w:val="clear" w:color="auto" w:fill="B6B6B6"/>
          </w:tcPr>
          <w:p>
            <w:pPr>
              <w:spacing w:after="0"/>
              <w:rPr>
                <w:sz w:val="22"/>
                <w:szCs w:val="22"/>
                <w:color w:val="auto"/>
              </w:rPr>
            </w:pPr>
          </w:p>
        </w:tc>
        <w:tc>
          <w:tcPr>
            <w:tcW w:w="240" w:type="dxa"/>
            <w:vAlign w:val="bottom"/>
            <w:tcBorders>
              <w:top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7,630</w:t>
            </w:r>
          </w:p>
        </w:tc>
        <w:tc>
          <w:tcPr>
            <w:tcW w:w="24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8,178</w:t>
            </w:r>
          </w:p>
        </w:tc>
        <w:tc>
          <w:tcPr>
            <w:tcW w:w="12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60" w:type="dxa"/>
            <w:vAlign w:val="bottom"/>
          </w:tcPr>
          <w:p>
            <w:pPr>
              <w:spacing w:after="0"/>
              <w:rPr>
                <w:sz w:val="22"/>
                <w:szCs w:val="22"/>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tcPr>
          <w:p>
            <w:pPr>
              <w:spacing w:after="0"/>
              <w:rPr>
                <w:sz w:val="22"/>
                <w:szCs w:val="22"/>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155.2 %</w:t>
            </w:r>
          </w:p>
        </w:tc>
      </w:tr>
      <w:tr>
        <w:trPr>
          <w:trHeight w:val="257"/>
        </w:trPr>
        <w:tc>
          <w:tcPr>
            <w:tcW w:w="3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24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503</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189.1 %</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1,836</w:t>
            </w:r>
          </w:p>
        </w:tc>
        <w:tc>
          <w:tcPr>
            <w:tcW w:w="24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660</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178.2 %</w:t>
            </w:r>
          </w:p>
        </w:tc>
      </w:tr>
      <w:tr>
        <w:trPr>
          <w:trHeight w:val="256"/>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TEM business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3,550</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3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B6B6B6"/>
          </w:tcPr>
          <w:p>
            <w:pPr>
              <w:spacing w:after="0"/>
              <w:rPr>
                <w:sz w:val="21"/>
                <w:szCs w:val="21"/>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360" w:type="dxa"/>
            <w:vAlign w:val="bottom"/>
            <w:shd w:val="clear" w:color="auto" w:fill="B6B6B6"/>
          </w:tcPr>
          <w:p>
            <w:pPr>
              <w:spacing w:after="0"/>
              <w:rPr>
                <w:sz w:val="21"/>
                <w:szCs w:val="21"/>
                <w:color w:val="auto"/>
              </w:rPr>
            </w:pPr>
          </w:p>
        </w:tc>
        <w:tc>
          <w:tcPr>
            <w:tcW w:w="114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4,613</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101.3 %</w:t>
            </w:r>
          </w:p>
        </w:tc>
        <w:tc>
          <w:tcPr>
            <w:tcW w:w="1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13,904</w:t>
            </w:r>
          </w:p>
        </w:tc>
        <w:tc>
          <w:tcPr>
            <w:tcW w:w="240" w:type="dxa"/>
            <w:vAlign w:val="bottom"/>
            <w:shd w:val="clear" w:color="auto" w:fill="B6B6B6"/>
          </w:tcPr>
          <w:p>
            <w:pPr>
              <w:spacing w:after="0"/>
              <w:rPr>
                <w:sz w:val="21"/>
                <w:szCs w:val="21"/>
                <w:color w:val="auto"/>
              </w:rPr>
            </w:pPr>
          </w:p>
        </w:tc>
        <w:tc>
          <w:tcPr>
            <w:tcW w:w="122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9,186</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51.4 %</w:t>
            </w:r>
          </w:p>
        </w:tc>
      </w:tr>
      <w:tr>
        <w:trPr>
          <w:trHeight w:val="257"/>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4,385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B6B6B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8,448</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8,847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0"/>
        </w:trPr>
        <w:tc>
          <w:tcPr>
            <w:tcW w:w="3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40" w:type="dxa"/>
            <w:vAlign w:val="bottom"/>
            <w:shd w:val="clear" w:color="auto" w:fill="B6B6B6"/>
          </w:tcPr>
          <w:p>
            <w:pPr>
              <w:spacing w:after="0"/>
              <w:rPr>
                <w:sz w:val="21"/>
                <w:szCs w:val="21"/>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360" w:type="dxa"/>
            <w:vAlign w:val="bottom"/>
            <w:shd w:val="clear" w:color="auto" w:fill="B6B6B6"/>
          </w:tcPr>
          <w:p>
            <w:pPr>
              <w:spacing w:after="0"/>
              <w:rPr>
                <w:sz w:val="21"/>
                <w:szCs w:val="21"/>
                <w:color w:val="auto"/>
              </w:rPr>
            </w:pPr>
          </w:p>
        </w:tc>
        <w:tc>
          <w:tcPr>
            <w:tcW w:w="114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228</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2061.0 %</w:t>
            </w:r>
          </w:p>
        </w:tc>
        <w:tc>
          <w:tcPr>
            <w:tcW w:w="1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5,456</w:t>
            </w:r>
          </w:p>
        </w:tc>
        <w:tc>
          <w:tcPr>
            <w:tcW w:w="240" w:type="dxa"/>
            <w:vAlign w:val="bottom"/>
            <w:shd w:val="clear" w:color="auto" w:fill="B6B6B6"/>
          </w:tcPr>
          <w:p>
            <w:pPr>
              <w:spacing w:after="0"/>
              <w:rPr>
                <w:sz w:val="21"/>
                <w:szCs w:val="21"/>
                <w:color w:val="auto"/>
              </w:rPr>
            </w:pPr>
          </w:p>
        </w:tc>
        <w:tc>
          <w:tcPr>
            <w:tcW w:w="122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339</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1509.4 %</w:t>
            </w:r>
          </w:p>
        </w:tc>
      </w:tr>
      <w:tr>
        <w:trPr>
          <w:trHeight w:val="257"/>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2269.2 %</w:t>
            </w:r>
          </w:p>
        </w:tc>
        <w:tc>
          <w:tcPr>
            <w:tcW w:w="100" w:type="dxa"/>
            <w:vAlign w:val="bottom"/>
            <w:tcBorders>
              <w:bottom w:val="single" w:sz="8" w:color="B6B6B6"/>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1,345</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1717.6 %</w:t>
            </w:r>
          </w:p>
        </w:tc>
      </w:tr>
      <w:tr>
        <w:trPr>
          <w:trHeight w:val="243"/>
        </w:trPr>
        <w:tc>
          <w:tcPr>
            <w:tcW w:w="36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36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176</w:t>
            </w: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1999.4 %</w:t>
            </w:r>
          </w:p>
        </w:tc>
        <w:tc>
          <w:tcPr>
            <w:tcW w:w="100" w:type="dxa"/>
            <w:vAlign w:val="bottom"/>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4,111</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265</w:t>
            </w: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1451.3 %</w:t>
            </w:r>
          </w:p>
        </w:tc>
      </w:tr>
      <w:tr>
        <w:trPr>
          <w:trHeight w:val="25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transaction volume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60" w:type="dxa"/>
            <w:vAlign w:val="bottom"/>
          </w:tcPr>
          <w:p>
            <w:pPr>
              <w:spacing w:after="0"/>
              <w:rPr>
                <w:sz w:val="21"/>
                <w:szCs w:val="21"/>
                <w:color w:val="auto"/>
              </w:rPr>
            </w:pPr>
          </w:p>
        </w:tc>
        <w:tc>
          <w:tcPr>
            <w:tcW w:w="11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63"/>
        </w:trPr>
        <w:tc>
          <w:tcPr>
            <w:tcW w:w="3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Facility dollar volume</w:t>
            </w:r>
          </w:p>
        </w:tc>
        <w:tc>
          <w:tcPr>
            <w:tcW w:w="24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244,782</w:t>
            </w:r>
          </w:p>
        </w:tc>
        <w:tc>
          <w:tcPr>
            <w:tcW w:w="36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288,772</w:t>
            </w: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501,626</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602,130</w:t>
            </w: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50"/>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full-time equivalent employees</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151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of 2025 compared to second quarter of 2024:</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income from discontinued operations was $3.7 million, an increase of $3.5 million over the same period in the prior year. The increase is primarily due to the gain on sale of the TEM Business Unit of $3.6 million in the second quarter of 2025 in addition to $1.5 million of other non-recurring fee income during the second quarter of 2025 as compared to $503,000 in the same quarter in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half of 2025 compared to first half of 2024:</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income from discontinued operations was $4.1 million, an increase of $3.8 million over the same period in the prior year. The increase is primarily due to the gain on sale of the TEM Business Unit of $3.6 million in the second quarter of 2025 in addition to $1.8 million of other non-recurring fee income during the first half of 2025 as compared to $660,000 in the same period in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at June 30, 2025 were $2.32 billion, a decrease of $79.1 million, or 3.3%, from December 31, 2024.</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experienced a decrease in cash and cash equivalents of $131.6 million, or 37.6%, during the first half of 2025. The change in cash and cash equivalents reflects the Company’s daily liquidity position and is primarily affected by changes in funding sources, mainly accounts and drafts payable and deposits, cash flows in and out of loans, investment securities and payments in advance of funding.</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investment securities portfolio increased $71.5 million, or 13.5%, during the first half of 2025. The increase is due to purchases of $153.2 million and a decrease in unrealized losses of $15.8 million, partially offset by sales of $53.1 million and maturities of $40.0 million.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increased $35.0 million, or 3.2%, from December 31, 2024. The Company experienced growth in its commercial and industrial and faith-based loan portfolios during the first half of 2025.</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Payments in advance of funding decreased $30.9 million, or 14.8%, primarily due to the continued consolidation of freight carriers, partially offset by the 3.2% increase in transportation dollar volumes.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and drafts receivable from customers increased $4.4 million, or 7.8%, from December 31, 2024. The increase is solely due to timing of customer funding.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of discontinued operations declined $14.4 million due to the sale of the TEM business on June 30, 2025.</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deposits at June 30, 2025 were $1.00 billion, an increase of $35.9 million, or 3.7%, from December 31, 2024. The increase is primarily due to the increase in noninterest-bearing deposits of $119.4 million.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and drafts payable at June 30, 2025 were $1.04 billion, a decrease of $92.8 million, or 8.2%, from December 31, 2024. Accounts and drafts payable are a stable source of funding generated by payment float from transportation and facility clients. Accounts and drafts payable will fluctuate from period-end to period-end due to the payment processing cycle, which results in lower balances on days when payments clear and higher balances on days when payments are issued. For this reason, average balances are generally a more meaningful measure of accounts and drafts payable.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of discontinued operations declined $22.3 million due to the sale of the TEM business on June 30, 2025.</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liabilities at June 30, 2025 were $2.08 billion, a decrease of $90.9 million, or 4.2%, from December 31, 2024, reflective of the decrease in accounts and drafts payable, partially offset by the increase in deposits.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shareholders’ equity at June 30, 2025 was $240.8 million, an $11.8 million increase from December 31, 2024. The increase in shareholders’ equity is a result of first half of 2025 earnings of $17.8 million, and a decrease in accumulated other comprehensive loss of $12.5 million primarily related to the fair value of available-for-sale investment securities, partially offset by the repurchase of Company stock of $11.0 million, and dividends paid of $8.3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investment securities and the ability to obtain funds from external sources. The Company's Asset/Liability Committee has direct oversight responsibility for the Company's liquidity position and profile. Management considers both on-balance sheet and off-balance sheet items in its evaluation of liquidity.</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of liquid assets consists of cash and cash equivalents, which include cash and due from banks, interest-bearing deposits in other financial institutions, federal funds sold and money market funds. Cash and cash equivalents totaled $218.2 million at June 30, 2025, a decrease of $131.6 million, or 37.6%, from December 31, 2024. At June 30, 2025, these assets represented 9.4% of total assets and are the Company’s and its subsidiaries’ primary source of liquidity to meet future expected and unexpected loan demand, depositor withdrawals or reductions in accounts and drafts payable.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Secondary sources of liquidity include the investment portfolio and borrowing lines. Total investment securities were $599.5 million at June 30, 2025, an increase of $71.5 million from December 31, 2024. These assets represented 25.9% of total assets at June 30, 2025. Of the total portfolio, 1.2% mature in one year, 13.8% mature in one to five years, and 85.0% mature in five or more years</w:t>
      </w:r>
      <w:r>
        <w:rPr>
          <w:rFonts w:ascii="Times New Roman" w:cs="Times New Roman" w:eastAsia="Times New Roman" w:hAnsi="Times New Roman"/>
          <w:sz w:val="18"/>
          <w:szCs w:val="18"/>
          <w:i w:val="1"/>
          <w:iCs w:val="1"/>
          <w:color w:val="auto"/>
        </w:rPr>
        <w: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has unsecured lines of credit at six correspondent banks to purchase federal funds up to a maximum of $83.0 million in aggregate. As of June 30, 2025, the Bank also has secured lines of credit with the Federal Home Loan Bank of $228.5 million collateralized by mortgage loans. The Company also has secured lines of credit from three banks up to a maximum of $225.0 million in aggregate collateralized by investment securities. There were no amounts outstanding under any line of credit as of June 30, 2025 or December 31, 2024.</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deposits of the Company's banking subsidiary have historically been stable, consisting of a sizable volume of core deposits related to customers that utilize other commercial products of the Bank, including CassPay and faith-based customers. The accounts and drafts payable generated by the Company has also historically been a stable source of funds. The Company is part of the Certificate of Deposit Account Registry Service (“CDARS”) and Insured Cash Sweep (“ICS”) deposit placement programs. Time deposits include $58.3 million of CDARS deposits and interest-bearing demand deposits include $161.8 million of ICS deposits. These programs offer the Bank’s customers the ability to maximize Federal Deposit Insurance Corporation (“FDIC”) insurance coverage. The Company uses these programs to retain or attract deposits from existing customers.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flows provided by operating activities were $20.3 million for the first half of June 30, 2025, compared to $20.5 million for the first half of June 30, 2024, a decrease of $243,000.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and cash from operations will continue to be sufficient to fund the Company’s operations and capital expenditures in 2025, which are estimated to range from $6 million to $8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plus amortization of intangible assets, net amortization of premium/discount on investment securities and depreciation of premises and equipment was $22.2 million and $16.2 million for the first half of 2025 and 2024, respectively. The first half of 2025 reflected higher net income of $6.2 million and higher depreciation of $811,000, partially offset by a decrease in net amortization of premium/discount on investment securities of $1.2 million. The net amortization of premium/discount on investment securities is dependent on the type of securities purchased and changes in the prevailing market interest rate environment.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loss on sale of investment securities of $3.6 million also had a positive impact on net cash provided by operating activities. These factors positively impacting net cash provided by operating activities were partially offset by:</w:t>
      </w:r>
    </w:p>
    <w:p>
      <w:pPr>
        <w:spacing w:after="0" w:line="189" w:lineRule="exact"/>
        <w:rPr>
          <w:sz w:val="20"/>
          <w:szCs w:val="20"/>
          <w:color w:val="auto"/>
        </w:rPr>
      </w:pPr>
    </w:p>
    <w:p>
      <w:pPr>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other operating activities, net of $2.9 million, primarily due to changes in various other assets and liabilities related to client funding and reimbursements;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change in accounts receivable of $1.5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cash (used in) provided by discontinued operations of $2.0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several trends and uncertainties that may impact the Company’s ability to generate revenues and income at the levels that it has in the past. Those that could significantly impact the Company include the general levels of interest rates, business activity, inflation, and energy costs as well as new business opportunities available to the Company. For more detailed information on these trends and uncertainties and how they can generally affect the Company’s available liquidity, see Item 7, “Management’s Discussion and Analysis of Financial Condition and Results of Operations—Liquidity” in the Company’s 2024 Form 10-K.</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bank holding company, the Company and the Bank are subject to capital requirements administered by state and federal banking agencies. Capital adequacy guidelines, and, for banks, prompt corrective action regulations, involve quantitative measures of assets, liabilities, and certain off-balance sheet items calculated under regulatory accounting practices. Capital amounts and classifications are subject to qualitative judgments by regulators about components, risk weighting, and other factors. In addition, the calculation of all types of regulatory capital is subject to deductions and adjustments specified in the regulations. For example, as allowed under the Basel III Capital Rules, the Company has elected to opt-out of the requirement to include most components of accumulated other comprehensive income in common equity Tier 1 capital. For more information on these regulatory requirements, including the Basel III Capital Rules and capital classifications, see Item 1, "Business-Supervision and Regulation" and Item 8, Note 2, "Financial Statements and Supplementary Data" of the Company's 2024 Form 10-K.</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Bank continue to exceed all regulatory capital requirements, as evidenced by the following capital amounts and ratios: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7"/>
              </w:rPr>
              <w:t>Requirement to be</w:t>
            </w:r>
          </w:p>
        </w:tc>
        <w:tc>
          <w:tcPr>
            <w:tcW w:w="0" w:type="dxa"/>
            <w:vAlign w:val="bottom"/>
          </w:tcPr>
          <w:p>
            <w:pPr>
              <w:spacing w:after="0"/>
              <w:rPr>
                <w:sz w:val="1"/>
                <w:szCs w:val="1"/>
                <w:color w:val="auto"/>
              </w:rPr>
            </w:pPr>
          </w:p>
        </w:tc>
      </w:tr>
      <w:tr>
        <w:trPr>
          <w:trHeight w:val="238"/>
        </w:trPr>
        <w:tc>
          <w:tcPr>
            <w:tcW w:w="3780" w:type="dxa"/>
            <w:vAlign w:val="bottom"/>
            <w:tcBorders>
              <w:bottom w:val="single" w:sz="8" w:color="B6B6B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Requirements</w:t>
            </w: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Well-Capitalized</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shd w:val="clear" w:color="auto" w:fill="B6B6B6"/>
          </w:tcPr>
          <w:p>
            <w:pPr>
              <w:spacing w:after="0"/>
              <w:rPr>
                <w:sz w:val="19"/>
                <w:szCs w:val="19"/>
                <w:color w:val="auto"/>
              </w:rPr>
            </w:pPr>
          </w:p>
        </w:tc>
        <w:tc>
          <w:tcPr>
            <w:tcW w:w="1380" w:type="dxa"/>
            <w:vAlign w:val="bottom"/>
            <w:tcBorders>
              <w:bottom w:val="single" w:sz="8" w:color="auto"/>
            </w:tcBorders>
            <w:shd w:val="clear" w:color="auto" w:fill="B6B6B6"/>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Borders>
              <w:bottom w:val="single" w:sz="8" w:color="auto"/>
            </w:tcBorders>
            <w:shd w:val="clear" w:color="auto" w:fill="B6B6B6"/>
          </w:tcPr>
          <w:p>
            <w:pPr>
              <w:ind w:left="8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20" w:type="dxa"/>
            <w:vAlign w:val="bottom"/>
            <w:tcBorders>
              <w:bottom w:val="single" w:sz="8" w:color="auto"/>
            </w:tcBorders>
            <w:shd w:val="clear" w:color="auto" w:fill="B6B6B6"/>
          </w:tcPr>
          <w:p>
            <w:pPr>
              <w:spacing w:after="0"/>
              <w:rPr>
                <w:sz w:val="19"/>
                <w:szCs w:val="19"/>
                <w:color w:val="auto"/>
              </w:rPr>
            </w:pPr>
          </w:p>
        </w:tc>
        <w:tc>
          <w:tcPr>
            <w:tcW w:w="1400" w:type="dxa"/>
            <w:vAlign w:val="bottom"/>
            <w:tcBorders>
              <w:bottom w:val="single" w:sz="8" w:color="auto"/>
            </w:tcBorders>
            <w:shd w:val="clear" w:color="auto" w:fill="B6B6B6"/>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260" w:type="dxa"/>
            <w:vAlign w:val="bottom"/>
            <w:tcBorders>
              <w:bottom w:val="single" w:sz="8" w:color="auto"/>
            </w:tcBorders>
            <w:gridSpan w:val="2"/>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Borders>
              <w:bottom w:val="single" w:sz="8" w:color="auto"/>
            </w:tcBorders>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June 30, 2025</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spacing w:after="0"/>
              <w:rPr>
                <w:sz w:val="19"/>
                <w:szCs w:val="19"/>
                <w:color w:val="auto"/>
              </w:rPr>
            </w:pPr>
          </w:p>
        </w:tc>
        <w:tc>
          <w:tcPr>
            <w:tcW w:w="1060" w:type="dxa"/>
            <w:vAlign w:val="bottom"/>
            <w:shd w:val="clear" w:color="auto" w:fill="B6B6B6"/>
          </w:tcPr>
          <w:p>
            <w:pPr>
              <w:spacing w:after="0"/>
              <w:rPr>
                <w:sz w:val="19"/>
                <w:szCs w:val="19"/>
                <w:color w:val="auto"/>
              </w:rPr>
            </w:pP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spacing w:after="0"/>
              <w:rPr>
                <w:sz w:val="19"/>
                <w:szCs w:val="19"/>
                <w:color w:val="auto"/>
              </w:rPr>
            </w:pPr>
          </w:p>
        </w:tc>
        <w:tc>
          <w:tcPr>
            <w:tcW w:w="100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267,542</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15.67 %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136,574</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217,919</w:t>
            </w:r>
          </w:p>
        </w:tc>
        <w:tc>
          <w:tcPr>
            <w:tcW w:w="9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8"/>
                <w:szCs w:val="18"/>
                <w:color w:val="auto"/>
              </w:rPr>
              <w:t>19.05</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91,503</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w w:val="99"/>
              </w:rPr>
              <w:t>114,379</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Equity Tier I Capital (to risk-weighted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252,944</w:t>
            </w:r>
          </w:p>
        </w:tc>
        <w:tc>
          <w:tcPr>
            <w:tcW w:w="9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8"/>
                <w:szCs w:val="18"/>
                <w:color w:val="auto"/>
              </w:rPr>
              <w:t>14.82</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76,823</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204,109</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17.95</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51,470</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74,346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spacing w:after="0"/>
              <w:rPr>
                <w:sz w:val="19"/>
                <w:szCs w:val="19"/>
                <w:color w:val="auto"/>
              </w:rPr>
            </w:pPr>
          </w:p>
        </w:tc>
        <w:tc>
          <w:tcPr>
            <w:tcW w:w="1060" w:type="dxa"/>
            <w:vAlign w:val="bottom"/>
            <w:shd w:val="clear" w:color="auto" w:fill="B6B6B6"/>
          </w:tcPr>
          <w:p>
            <w:pPr>
              <w:spacing w:after="0"/>
              <w:rPr>
                <w:sz w:val="19"/>
                <w:szCs w:val="19"/>
                <w:color w:val="auto"/>
              </w:rPr>
            </w:pP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spacing w:after="0"/>
              <w:rPr>
                <w:sz w:val="19"/>
                <w:szCs w:val="19"/>
                <w:color w:val="auto"/>
              </w:rPr>
            </w:pPr>
          </w:p>
        </w:tc>
        <w:tc>
          <w:tcPr>
            <w:tcW w:w="100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252,944</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14.82</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102,431</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204,109</w:t>
            </w:r>
          </w:p>
        </w:tc>
        <w:tc>
          <w:tcPr>
            <w:tcW w:w="9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8"/>
                <w:szCs w:val="18"/>
                <w:color w:val="auto"/>
              </w:rPr>
              <w:t>17.85</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68,627</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91,503</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252,944</w:t>
            </w:r>
          </w:p>
        </w:tc>
        <w:tc>
          <w:tcPr>
            <w:tcW w:w="9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8"/>
                <w:szCs w:val="18"/>
                <w:color w:val="auto"/>
              </w:rPr>
              <w:t>10.62</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95,281</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204,109</w:t>
            </w: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14.45</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56,483</w:t>
            </w: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70,604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spacing w:after="0"/>
              <w:rPr>
                <w:sz w:val="19"/>
                <w:szCs w:val="19"/>
                <w:color w:val="auto"/>
              </w:rPr>
            </w:pPr>
          </w:p>
        </w:tc>
        <w:tc>
          <w:tcPr>
            <w:tcW w:w="1060" w:type="dxa"/>
            <w:vAlign w:val="bottom"/>
            <w:shd w:val="clear" w:color="auto" w:fill="B6B6B6"/>
          </w:tcPr>
          <w:p>
            <w:pPr>
              <w:spacing w:after="0"/>
              <w:rPr>
                <w:sz w:val="19"/>
                <w:szCs w:val="19"/>
                <w:color w:val="auto"/>
              </w:rPr>
            </w:pP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spacing w:after="0"/>
              <w:rPr>
                <w:sz w:val="19"/>
                <w:szCs w:val="19"/>
                <w:color w:val="auto"/>
              </w:rPr>
            </w:pPr>
          </w:p>
        </w:tc>
        <w:tc>
          <w:tcPr>
            <w:tcW w:w="100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261,021</w:t>
            </w:r>
          </w:p>
        </w:tc>
        <w:tc>
          <w:tcPr>
            <w:tcW w:w="9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8"/>
                <w:szCs w:val="18"/>
                <w:color w:val="auto"/>
              </w:rPr>
              <w:t>14.61 %</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142,969</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8.00 %</w:t>
            </w:r>
          </w:p>
        </w:tc>
        <w:tc>
          <w:tcPr>
            <w:tcW w:w="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207,519</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17.68</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93,911</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117,389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84"/>
        </w:trPr>
        <w:tc>
          <w:tcPr>
            <w:tcW w:w="3780" w:type="dxa"/>
            <w:vAlign w:val="bottom"/>
            <w:shd w:val="clear" w:color="auto" w:fill="B6B6B6"/>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Equity Tier I Capital (to risk-weighted</w:t>
            </w:r>
          </w:p>
        </w:tc>
        <w:tc>
          <w:tcPr>
            <w:tcW w:w="180" w:type="dxa"/>
            <w:vAlign w:val="bottom"/>
            <w:shd w:val="clear" w:color="auto" w:fill="B6B6B6"/>
          </w:tcPr>
          <w:p>
            <w:pPr>
              <w:spacing w:after="0"/>
              <w:rPr>
                <w:sz w:val="16"/>
                <w:szCs w:val="16"/>
                <w:color w:val="auto"/>
              </w:rPr>
            </w:pPr>
          </w:p>
        </w:tc>
        <w:tc>
          <w:tcPr>
            <w:tcW w:w="1380" w:type="dxa"/>
            <w:vAlign w:val="bottom"/>
            <w:shd w:val="clear" w:color="auto" w:fill="B6B6B6"/>
          </w:tcPr>
          <w:p>
            <w:pPr>
              <w:spacing w:after="0"/>
              <w:rPr>
                <w:sz w:val="16"/>
                <w:szCs w:val="16"/>
                <w:color w:val="auto"/>
              </w:rPr>
            </w:pPr>
          </w:p>
        </w:tc>
        <w:tc>
          <w:tcPr>
            <w:tcW w:w="960" w:type="dxa"/>
            <w:vAlign w:val="bottom"/>
            <w:shd w:val="clear" w:color="auto" w:fill="B6B6B6"/>
          </w:tcPr>
          <w:p>
            <w:pPr>
              <w:spacing w:after="0"/>
              <w:rPr>
                <w:sz w:val="16"/>
                <w:szCs w:val="16"/>
                <w:color w:val="auto"/>
              </w:rPr>
            </w:pPr>
          </w:p>
        </w:tc>
        <w:tc>
          <w:tcPr>
            <w:tcW w:w="220" w:type="dxa"/>
            <w:vAlign w:val="bottom"/>
            <w:shd w:val="clear" w:color="auto" w:fill="B6B6B6"/>
          </w:tcPr>
          <w:p>
            <w:pPr>
              <w:spacing w:after="0"/>
              <w:rPr>
                <w:sz w:val="16"/>
                <w:szCs w:val="16"/>
                <w:color w:val="auto"/>
              </w:rPr>
            </w:pPr>
          </w:p>
        </w:tc>
        <w:tc>
          <w:tcPr>
            <w:tcW w:w="1400" w:type="dxa"/>
            <w:vAlign w:val="bottom"/>
            <w:shd w:val="clear" w:color="auto" w:fill="B6B6B6"/>
          </w:tcPr>
          <w:p>
            <w:pPr>
              <w:spacing w:after="0"/>
              <w:rPr>
                <w:sz w:val="16"/>
                <w:szCs w:val="16"/>
                <w:color w:val="auto"/>
              </w:rPr>
            </w:pPr>
          </w:p>
        </w:tc>
        <w:tc>
          <w:tcPr>
            <w:tcW w:w="1060" w:type="dxa"/>
            <w:vAlign w:val="bottom"/>
            <w:shd w:val="clear" w:color="auto" w:fill="B6B6B6"/>
          </w:tcPr>
          <w:p>
            <w:pPr>
              <w:spacing w:after="0"/>
              <w:rPr>
                <w:sz w:val="16"/>
                <w:szCs w:val="16"/>
                <w:color w:val="auto"/>
              </w:rPr>
            </w:pPr>
          </w:p>
        </w:tc>
        <w:tc>
          <w:tcPr>
            <w:tcW w:w="380" w:type="dxa"/>
            <w:vAlign w:val="bottom"/>
            <w:shd w:val="clear" w:color="auto" w:fill="B6B6B6"/>
          </w:tcPr>
          <w:p>
            <w:pPr>
              <w:spacing w:after="0"/>
              <w:rPr>
                <w:sz w:val="16"/>
                <w:szCs w:val="16"/>
                <w:color w:val="auto"/>
              </w:rPr>
            </w:pPr>
          </w:p>
        </w:tc>
        <w:tc>
          <w:tcPr>
            <w:tcW w:w="880" w:type="dxa"/>
            <w:vAlign w:val="bottom"/>
            <w:shd w:val="clear" w:color="auto" w:fill="B6B6B6"/>
          </w:tcPr>
          <w:p>
            <w:pPr>
              <w:spacing w:after="0"/>
              <w:rPr>
                <w:sz w:val="16"/>
                <w:szCs w:val="16"/>
                <w:color w:val="auto"/>
              </w:rPr>
            </w:pPr>
          </w:p>
        </w:tc>
        <w:tc>
          <w:tcPr>
            <w:tcW w:w="1000" w:type="dxa"/>
            <w:vAlign w:val="bottom"/>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B6B6B6"/>
          </w:tcPr>
          <w:p>
            <w:pPr>
              <w:spacing w:after="0"/>
              <w:rPr>
                <w:sz w:val="20"/>
                <w:szCs w:val="20"/>
                <w:color w:val="auto"/>
              </w:rPr>
            </w:pPr>
          </w:p>
        </w:tc>
        <w:tc>
          <w:tcPr>
            <w:tcW w:w="1380" w:type="dxa"/>
            <w:vAlign w:val="bottom"/>
            <w:shd w:val="clear" w:color="auto" w:fill="B6B6B6"/>
          </w:tcPr>
          <w:p>
            <w:pPr>
              <w:spacing w:after="0"/>
              <w:rPr>
                <w:sz w:val="20"/>
                <w:szCs w:val="20"/>
                <w:color w:val="auto"/>
              </w:rPr>
            </w:pPr>
          </w:p>
        </w:tc>
        <w:tc>
          <w:tcPr>
            <w:tcW w:w="960" w:type="dxa"/>
            <w:vAlign w:val="bottom"/>
            <w:shd w:val="clear" w:color="auto" w:fill="B6B6B6"/>
          </w:tcPr>
          <w:p>
            <w:pPr>
              <w:spacing w:after="0"/>
              <w:rPr>
                <w:sz w:val="20"/>
                <w:szCs w:val="20"/>
                <w:color w:val="auto"/>
              </w:rPr>
            </w:pPr>
          </w:p>
        </w:tc>
        <w:tc>
          <w:tcPr>
            <w:tcW w:w="220" w:type="dxa"/>
            <w:vAlign w:val="bottom"/>
            <w:shd w:val="clear" w:color="auto" w:fill="B6B6B6"/>
          </w:tcPr>
          <w:p>
            <w:pPr>
              <w:spacing w:after="0"/>
              <w:rPr>
                <w:sz w:val="20"/>
                <w:szCs w:val="20"/>
                <w:color w:val="auto"/>
              </w:rPr>
            </w:pPr>
          </w:p>
        </w:tc>
        <w:tc>
          <w:tcPr>
            <w:tcW w:w="1400" w:type="dxa"/>
            <w:vAlign w:val="bottom"/>
            <w:shd w:val="clear" w:color="auto" w:fill="B6B6B6"/>
          </w:tcPr>
          <w:p>
            <w:pPr>
              <w:spacing w:after="0"/>
              <w:rPr>
                <w:sz w:val="20"/>
                <w:szCs w:val="20"/>
                <w:color w:val="auto"/>
              </w:rPr>
            </w:pPr>
          </w:p>
        </w:tc>
        <w:tc>
          <w:tcPr>
            <w:tcW w:w="1060" w:type="dxa"/>
            <w:vAlign w:val="bottom"/>
            <w:shd w:val="clear" w:color="auto" w:fill="B6B6B6"/>
          </w:tcPr>
          <w:p>
            <w:pPr>
              <w:spacing w:after="0"/>
              <w:rPr>
                <w:sz w:val="20"/>
                <w:szCs w:val="20"/>
                <w:color w:val="auto"/>
              </w:rPr>
            </w:pPr>
          </w:p>
        </w:tc>
        <w:tc>
          <w:tcPr>
            <w:tcW w:w="380" w:type="dxa"/>
            <w:vAlign w:val="bottom"/>
            <w:shd w:val="clear" w:color="auto" w:fill="B6B6B6"/>
          </w:tcPr>
          <w:p>
            <w:pPr>
              <w:spacing w:after="0"/>
              <w:rPr>
                <w:sz w:val="20"/>
                <w:szCs w:val="20"/>
                <w:color w:val="auto"/>
              </w:rPr>
            </w:pPr>
          </w:p>
        </w:tc>
        <w:tc>
          <w:tcPr>
            <w:tcW w:w="880" w:type="dxa"/>
            <w:vAlign w:val="bottom"/>
            <w:shd w:val="clear" w:color="auto" w:fill="B6B6B6"/>
          </w:tcPr>
          <w:p>
            <w:pPr>
              <w:spacing w:after="0"/>
              <w:rPr>
                <w:sz w:val="20"/>
                <w:szCs w:val="20"/>
                <w:color w:val="auto"/>
              </w:rPr>
            </w:pPr>
          </w:p>
        </w:tc>
        <w:tc>
          <w:tcPr>
            <w:tcW w:w="100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247,354</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13.84</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80,420</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194,446</w:t>
            </w:r>
          </w:p>
        </w:tc>
        <w:tc>
          <w:tcPr>
            <w:tcW w:w="9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8"/>
                <w:szCs w:val="18"/>
                <w:color w:val="auto"/>
              </w:rPr>
              <w:t>16.56</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52,825</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76,303</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247,354</w:t>
            </w:r>
          </w:p>
        </w:tc>
        <w:tc>
          <w:tcPr>
            <w:tcW w:w="9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8"/>
                <w:szCs w:val="18"/>
                <w:color w:val="auto"/>
              </w:rPr>
              <w:t>13.84</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107,226</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194,446</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16.56</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70,433</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93,911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spacing w:after="0"/>
              <w:rPr>
                <w:sz w:val="19"/>
                <w:szCs w:val="19"/>
                <w:color w:val="auto"/>
              </w:rPr>
            </w:pPr>
          </w:p>
        </w:tc>
        <w:tc>
          <w:tcPr>
            <w:tcW w:w="1060" w:type="dxa"/>
            <w:vAlign w:val="bottom"/>
            <w:shd w:val="clear" w:color="auto" w:fill="B6B6B6"/>
          </w:tcPr>
          <w:p>
            <w:pPr>
              <w:spacing w:after="0"/>
              <w:rPr>
                <w:sz w:val="19"/>
                <w:szCs w:val="19"/>
                <w:color w:val="auto"/>
              </w:rPr>
            </w:pP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spacing w:after="0"/>
              <w:rPr>
                <w:sz w:val="19"/>
                <w:szCs w:val="19"/>
                <w:color w:val="auto"/>
              </w:rPr>
            </w:pPr>
          </w:p>
        </w:tc>
        <w:tc>
          <w:tcPr>
            <w:tcW w:w="100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247,354</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93,625</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Borders>
              <w:bottom w:val="single" w:sz="8" w:color="auto"/>
            </w:tcBorders>
            <w:shd w:val="clear" w:color="auto" w:fill="B6B6B6"/>
          </w:tcPr>
          <w:p>
            <w:pPr>
              <w:spacing w:after="0"/>
              <w:rPr>
                <w:sz w:val="19"/>
                <w:szCs w:val="19"/>
                <w:color w:val="auto"/>
              </w:rPr>
            </w:pPr>
          </w:p>
        </w:tc>
        <w:tc>
          <w:tcPr>
            <w:tcW w:w="1380" w:type="dxa"/>
            <w:vAlign w:val="bottom"/>
            <w:tcBorders>
              <w:bottom w:val="single" w:sz="8" w:color="auto"/>
            </w:tcBorders>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194,446</w:t>
            </w:r>
          </w:p>
        </w:tc>
        <w:tc>
          <w:tcPr>
            <w:tcW w:w="960" w:type="dxa"/>
            <w:vAlign w:val="bottom"/>
            <w:tcBorders>
              <w:bottom w:val="single" w:sz="8" w:color="auto"/>
            </w:tcBorders>
            <w:shd w:val="clear" w:color="auto" w:fill="B6B6B6"/>
          </w:tcPr>
          <w:p>
            <w:pPr>
              <w:ind w:left="300"/>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tcBorders>
              <w:bottom w:val="single" w:sz="8" w:color="auto"/>
            </w:tcBorders>
            <w:shd w:val="clear" w:color="auto" w:fill="B6B6B6"/>
          </w:tcPr>
          <w:p>
            <w:pPr>
              <w:spacing w:after="0"/>
              <w:rPr>
                <w:sz w:val="19"/>
                <w:szCs w:val="19"/>
                <w:color w:val="auto"/>
              </w:rPr>
            </w:pPr>
          </w:p>
        </w:tc>
        <w:tc>
          <w:tcPr>
            <w:tcW w:w="1400" w:type="dxa"/>
            <w:vAlign w:val="bottom"/>
            <w:tcBorders>
              <w:bottom w:val="single" w:sz="8" w:color="auto"/>
            </w:tcBorders>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57,620</w:t>
            </w:r>
          </w:p>
        </w:tc>
        <w:tc>
          <w:tcPr>
            <w:tcW w:w="1060" w:type="dxa"/>
            <w:vAlign w:val="bottom"/>
            <w:tcBorders>
              <w:bottom w:val="single" w:sz="8" w:color="auto"/>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Borders>
              <w:bottom w:val="single" w:sz="8" w:color="auto"/>
            </w:tcBorders>
            <w:shd w:val="clear" w:color="auto" w:fill="B6B6B6"/>
          </w:tcPr>
          <w:p>
            <w:pPr>
              <w:spacing w:after="0"/>
              <w:rPr>
                <w:sz w:val="19"/>
                <w:szCs w:val="19"/>
                <w:color w:val="auto"/>
              </w:rPr>
            </w:pPr>
          </w:p>
        </w:tc>
        <w:tc>
          <w:tcPr>
            <w:tcW w:w="88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72,026</w:t>
            </w:r>
          </w:p>
        </w:tc>
        <w:tc>
          <w:tcPr>
            <w:tcW w:w="10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or Not Yet Adopted Accounting Pronouncements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FASB issued 2023-06, </w:t>
      </w:r>
      <w:r>
        <w:rPr>
          <w:rFonts w:ascii="Times New Roman" w:cs="Times New Roman" w:eastAsia="Times New Roman" w:hAnsi="Times New Roman"/>
          <w:sz w:val="18"/>
          <w:szCs w:val="18"/>
          <w:i w:val="1"/>
          <w:iCs w:val="1"/>
          <w:color w:val="auto"/>
        </w:rPr>
        <w:t>Disclosure Improvements -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Simplification Initiative </w:t>
      </w:r>
      <w:r>
        <w:rPr>
          <w:rFonts w:ascii="Times New Roman" w:cs="Times New Roman" w:eastAsia="Times New Roman" w:hAnsi="Times New Roman"/>
          <w:sz w:val="18"/>
          <w:szCs w:val="18"/>
          <w:color w:val="auto"/>
        </w:rPr>
        <w:t>("ASU 2023-06"). This ASU amends the ASC to incorporate certain disclosure requirements from SEC Release No. 33-10532 -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Update and Simplification that was issued in 2018. The effective date for each amendment will be the date on which the SEC's removal of that related disclosure from Regulation S-X or Regulation S-K becomes effective, with early adoption prohibited. ASU 2023-06 is not expected to have a significant impact on the Company's financial statements.</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November 2023, the FASB issued 2023-07, </w:t>
      </w:r>
      <w:r>
        <w:rPr>
          <w:rFonts w:ascii="Times New Roman" w:cs="Times New Roman" w:eastAsia="Times New Roman" w:hAnsi="Times New Roman"/>
          <w:sz w:val="18"/>
          <w:szCs w:val="18"/>
          <w:i w:val="1"/>
          <w:iCs w:val="1"/>
          <w:color w:val="auto"/>
        </w:rPr>
        <w:t>Segment Reporting (Topic 820): Improvements to Reportable Segment Disclosures</w:t>
      </w:r>
      <w:r>
        <w:rPr>
          <w:rFonts w:ascii="Times New Roman" w:cs="Times New Roman" w:eastAsia="Times New Roman" w:hAnsi="Times New Roman"/>
          <w:sz w:val="18"/>
          <w:szCs w:val="18"/>
          <w:color w:val="auto"/>
        </w:rPr>
        <w:t xml:space="preserve"> ("ASU 2023-07"). This ASU expands segment disclosure requirements for public entities to require disclosure of significant segment expenses and other segment items on an annual and interim basis and to provide in interim periods all disclosures about a reportable segment's profit or loss and assets that are currently required annually. ASU 2023-07 is effective for fiscal years beginning after December 15, 2023, and interim periods within fiscal years beginning after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December 15, 2024. The adoption of ASU 2023-07 did not have a significant impact on the Company's financial statements. See Note 6 to our financial statements.</w:t>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In December 2023, the FASB issued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This ASU requires public business entities to disclose in their rate reconciliation table additional categories of information about federal, state, and foreign income taxes and to provide more details about the reconciling items in some categories if items meet a quantitative threshold. It also requires all entities to disclose income taxes paid, net of refunds, disaggregated by federal, state, and foreign taxes for annual periods and to disaggregate the information by jurisdiction based on a quantitative threshold, among other things. ASU 2023-09 is effective for annual periods beginning after December 15, 2024, though early adoption is permitted. ASU 2023-09 is not expected to have a significant impact on the Company's financial statements.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this report in accordance with the Financial Accounting Standards Board Accounting Standards Codification.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and Risk Committee of the Board of Directors and is described below.</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The Company performs periodic and systematic detailed reviews of its loan portfolio to determine management’s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the Company’s 2024 Form 10-K for the year ended December 31, 2024, the Company manages its interest rate risk through measurement techniques that include gap analysis and a simulation model. As part of the risk management process, asset/liability management policies are established and monitored by management.</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simulated changes in net interest income versus unchanged rates over the next 12 months as of June 30, 2025 and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gridSpan w:val="4"/>
          </w:tcPr>
          <w:p>
            <w:pPr>
              <w:ind w:left="2040"/>
              <w:spacing w:after="0"/>
              <w:rPr>
                <w:sz w:val="20"/>
                <w:szCs w:val="20"/>
                <w:color w:val="auto"/>
              </w:rPr>
            </w:pPr>
            <w:r>
              <w:rPr>
                <w:rFonts w:ascii="Times New Roman" w:cs="Times New Roman" w:eastAsia="Times New Roman" w:hAnsi="Times New Roman"/>
                <w:sz w:val="18"/>
                <w:szCs w:val="18"/>
                <w:b w:val="1"/>
                <w:bCs w:val="1"/>
                <w:color w:val="auto"/>
              </w:rPr>
              <w:t>% change in projected net interest income</w:t>
            </w:r>
          </w:p>
        </w:tc>
        <w:tc>
          <w:tcPr>
            <w:tcW w:w="820" w:type="dxa"/>
            <w:vAlign w:val="bottom"/>
            <w:tcBorders>
              <w:bottom w:val="single" w:sz="8" w:color="auto"/>
            </w:tcBorders>
          </w:tcPr>
          <w:p>
            <w:pPr>
              <w:spacing w:after="0"/>
              <w:rPr>
                <w:sz w:val="20"/>
                <w:szCs w:val="20"/>
                <w:color w:val="auto"/>
              </w:rPr>
            </w:pPr>
          </w:p>
        </w:tc>
      </w:tr>
      <w:tr>
        <w:trPr>
          <w:trHeight w:val="223"/>
        </w:trPr>
        <w:tc>
          <w:tcPr>
            <w:tcW w:w="3400" w:type="dxa"/>
            <w:vAlign w:val="bottom"/>
            <w:tcBorders>
              <w:bottom w:val="single" w:sz="8" w:color="B6B6B6"/>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27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B6B6B6"/>
            </w:tcBorders>
          </w:tcPr>
          <w:p>
            <w:pPr>
              <w:spacing w:after="0"/>
              <w:rPr>
                <w:sz w:val="19"/>
                <w:szCs w:val="19"/>
                <w:color w:val="auto"/>
              </w:rPr>
            </w:pPr>
          </w:p>
        </w:tc>
        <w:tc>
          <w:tcPr>
            <w:tcW w:w="28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20" w:type="dxa"/>
            <w:vAlign w:val="bottom"/>
            <w:tcBorders>
              <w:bottom w:val="single" w:sz="8" w:color="auto"/>
            </w:tcBorders>
          </w:tcPr>
          <w:p>
            <w:pPr>
              <w:spacing w:after="0"/>
              <w:rPr>
                <w:sz w:val="19"/>
                <w:szCs w:val="19"/>
                <w:color w:val="auto"/>
              </w:rPr>
            </w:pPr>
          </w:p>
        </w:tc>
      </w:tr>
      <w:tr>
        <w:trPr>
          <w:trHeight w:val="223"/>
        </w:trPr>
        <w:tc>
          <w:tcPr>
            <w:tcW w:w="35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270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8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30"/>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0"/>
        </w:trPr>
        <w:tc>
          <w:tcPr>
            <w:tcW w:w="620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Flat rates</w:t>
            </w:r>
          </w:p>
        </w:tc>
        <w:tc>
          <w:tcPr>
            <w:tcW w:w="3900" w:type="dxa"/>
            <w:vAlign w:val="bottom"/>
            <w:gridSpan w:val="3"/>
            <w:shd w:val="clear" w:color="auto" w:fill="B6B6B6"/>
          </w:tcPr>
          <w:p>
            <w:pPr>
              <w:jc w:val="right"/>
              <w:ind w:right="291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9"/>
        </w:trPr>
        <w:tc>
          <w:tcPr>
            <w:tcW w:w="620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generally asset sensitive as average interest-earning assets of $2.09 billion for the second quarter of 2025 greatly exceeded average interest-bearing liabilities of $615.9 million. The table above on the projected impact of interest rate shocks results from a static balance sheet at June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second quarter of 2025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included in Part I, Item 1A of its 2024 Form 10-K, a description of certain risks and uncertainties that could affect the Company’s business, future performance or financial condition (the “Risk Factors”). There are no material changes to the Risk Factors as disclosed in the Company’s 2024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2025, the Company repurchased shares of its common stock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1420" w:type="dxa"/>
            <w:vAlign w:val="bottom"/>
          </w:tcPr>
          <w:p>
            <w:pPr>
              <w:jc w:val="right"/>
              <w:ind w:right="270"/>
              <w:spacing w:after="0" w:line="184" w:lineRule="exact"/>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Purchased as</w:t>
            </w: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53"/>
        </w:trPr>
        <w:tc>
          <w:tcPr>
            <w:tcW w:w="39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42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Shares that</w:t>
            </w: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2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14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103"/>
        </w:trPr>
        <w:tc>
          <w:tcPr>
            <w:tcW w:w="39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vMerge w:val="restart"/>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Publicly</w:t>
            </w: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960" w:type="dxa"/>
            <w:vAlign w:val="bottom"/>
          </w:tcPr>
          <w:p>
            <w:pPr>
              <w:spacing w:after="0"/>
              <w:rPr>
                <w:sz w:val="8"/>
                <w:szCs w:val="8"/>
                <w:color w:val="auto"/>
              </w:rPr>
            </w:pPr>
          </w:p>
        </w:tc>
        <w:tc>
          <w:tcPr>
            <w:tcW w:w="2460" w:type="dxa"/>
            <w:vAlign w:val="bottom"/>
            <w:vMerge w:val="restart"/>
          </w:tcPr>
          <w:p>
            <w:pPr>
              <w:jc w:val="center"/>
              <w:ind w:left="8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42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90"/>
        </w:trPr>
        <w:tc>
          <w:tcPr>
            <w:tcW w:w="396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960" w:type="dxa"/>
            <w:vAlign w:val="bottom"/>
          </w:tcPr>
          <w:p>
            <w:pPr>
              <w:spacing w:after="0"/>
              <w:rPr>
                <w:sz w:val="10"/>
                <w:szCs w:val="10"/>
                <w:color w:val="auto"/>
              </w:rPr>
            </w:pPr>
          </w:p>
        </w:tc>
        <w:tc>
          <w:tcPr>
            <w:tcW w:w="2460" w:type="dxa"/>
            <w:vAlign w:val="bottom"/>
            <w:vMerge w:val="restart"/>
          </w:tcPr>
          <w:p>
            <w:pPr>
              <w:jc w:val="center"/>
              <w:ind w:left="890"/>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4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Under the</w:t>
            </w:r>
          </w:p>
        </w:tc>
        <w:tc>
          <w:tcPr>
            <w:tcW w:w="0" w:type="dxa"/>
            <w:vAlign w:val="bottom"/>
          </w:tcPr>
          <w:p>
            <w:pPr>
              <w:spacing w:after="0"/>
              <w:rPr>
                <w:sz w:val="1"/>
                <w:szCs w:val="1"/>
                <w:color w:val="auto"/>
              </w:rPr>
            </w:pPr>
          </w:p>
        </w:tc>
      </w:tr>
      <w:tr>
        <w:trPr>
          <w:trHeight w:val="49"/>
        </w:trPr>
        <w:tc>
          <w:tcPr>
            <w:tcW w:w="396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96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460" w:type="dxa"/>
            <w:vAlign w:val="bottom"/>
          </w:tcPr>
          <w:p>
            <w:pPr>
              <w:jc w:val="center"/>
              <w:ind w:left="8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0" w:type="dxa"/>
            <w:vAlign w:val="bottom"/>
          </w:tcPr>
          <w:p>
            <w:pPr>
              <w:spacing w:after="0"/>
              <w:rPr>
                <w:sz w:val="1"/>
                <w:szCs w:val="1"/>
                <w:color w:val="auto"/>
              </w:rPr>
            </w:pPr>
          </w:p>
        </w:tc>
      </w:tr>
      <w:tr>
        <w:trPr>
          <w:trHeight w:val="243"/>
        </w:trPr>
        <w:tc>
          <w:tcPr>
            <w:tcW w:w="3960" w:type="dxa"/>
            <w:vAlign w:val="bottom"/>
            <w:tcBorders>
              <w:bottom w:val="single" w:sz="8" w:color="auto"/>
            </w:tcBorders>
            <w:vMerge w:val="continue"/>
          </w:tcPr>
          <w:p>
            <w:pPr>
              <w:spacing w:after="0"/>
              <w:rPr>
                <w:sz w:val="21"/>
                <w:szCs w:val="21"/>
                <w:color w:val="auto"/>
              </w:rPr>
            </w:pPr>
          </w:p>
        </w:tc>
        <w:tc>
          <w:tcPr>
            <w:tcW w:w="2460" w:type="dxa"/>
            <w:vAlign w:val="bottom"/>
            <w:tcBorders>
              <w:bottom w:val="single" w:sz="8" w:color="auto"/>
            </w:tcBorders>
          </w:tcPr>
          <w:p>
            <w:pPr>
              <w:jc w:val="center"/>
              <w:ind w:left="910"/>
              <w:spacing w:after="0" w:line="243"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(1)</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700" w:type="dxa"/>
            <w:vAlign w:val="bottom"/>
            <w:tcBorders>
              <w:bottom w:val="single" w:sz="8" w:color="auto"/>
            </w:tcBorders>
          </w:tcPr>
          <w:p>
            <w:pPr>
              <w:jc w:val="center"/>
              <w:ind w:right="70"/>
              <w:spacing w:after="0" w:line="243" w:lineRule="exact"/>
              <w:rPr>
                <w:sz w:val="20"/>
                <w:szCs w:val="20"/>
                <w:color w:val="auto"/>
              </w:rPr>
            </w:pPr>
            <w:r>
              <w:rPr>
                <w:rFonts w:ascii="Times New Roman" w:cs="Times New Roman" w:eastAsia="Times New Roman" w:hAnsi="Times New Roman"/>
                <w:sz w:val="18"/>
                <w:szCs w:val="18"/>
                <w:b w:val="1"/>
                <w:bCs w:val="1"/>
                <w:color w:val="auto"/>
                <w:w w:val="95"/>
              </w:rPr>
              <w:t>Programs</w:t>
            </w:r>
            <w:r>
              <w:rPr>
                <w:rFonts w:ascii="Times New Roman" w:cs="Times New Roman" w:eastAsia="Times New Roman" w:hAnsi="Times New Roman"/>
                <w:sz w:val="23"/>
                <w:szCs w:val="23"/>
                <w:b w:val="1"/>
                <w:bCs w:val="1"/>
                <w:color w:val="auto"/>
                <w:w w:val="95"/>
                <w:vertAlign w:val="superscript"/>
              </w:rPr>
              <w:t>(2)</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50"/>
        </w:trPr>
        <w:tc>
          <w:tcPr>
            <w:tcW w:w="39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April 1, 2025–April 30, 2025</w:t>
            </w:r>
          </w:p>
        </w:tc>
        <w:tc>
          <w:tcPr>
            <w:tcW w:w="24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41,666</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41.04</w:t>
            </w:r>
          </w:p>
        </w:tc>
        <w:tc>
          <w:tcPr>
            <w:tcW w:w="170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41,445</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161,027</w:t>
            </w:r>
          </w:p>
        </w:tc>
        <w:tc>
          <w:tcPr>
            <w:tcW w:w="0" w:type="dxa"/>
            <w:vAlign w:val="bottom"/>
          </w:tcPr>
          <w:p>
            <w:pPr>
              <w:spacing w:after="0"/>
              <w:rPr>
                <w:sz w:val="1"/>
                <w:szCs w:val="1"/>
                <w:color w:val="auto"/>
              </w:rPr>
            </w:pPr>
          </w:p>
        </w:tc>
      </w:tr>
      <w:tr>
        <w:trPr>
          <w:trHeight w:val="25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2025–May 31, 2025</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64,344</w:t>
            </w: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42.61</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64,344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96,683</w:t>
            </w:r>
          </w:p>
        </w:tc>
        <w:tc>
          <w:tcPr>
            <w:tcW w:w="0" w:type="dxa"/>
            <w:vAlign w:val="bottom"/>
          </w:tcPr>
          <w:p>
            <w:pPr>
              <w:spacing w:after="0"/>
              <w:rPr>
                <w:sz w:val="1"/>
                <w:szCs w:val="1"/>
                <w:color w:val="auto"/>
              </w:rPr>
            </w:pPr>
          </w:p>
        </w:tc>
      </w:tr>
      <w:tr>
        <w:trPr>
          <w:trHeight w:val="257"/>
        </w:trPr>
        <w:tc>
          <w:tcPr>
            <w:tcW w:w="39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June 1, 2025–June 30, 2025</w:t>
            </w:r>
          </w:p>
        </w:tc>
        <w:tc>
          <w:tcPr>
            <w:tcW w:w="24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35,172</w:t>
            </w:r>
          </w:p>
        </w:tc>
        <w:tc>
          <w:tcPr>
            <w:tcW w:w="220" w:type="dxa"/>
            <w:vAlign w:val="bottom"/>
            <w:tcBorders>
              <w:bottom w:val="single" w:sz="8" w:color="auto"/>
            </w:tcBorders>
            <w:shd w:val="clear" w:color="auto" w:fill="B6B6B6"/>
          </w:tcPr>
          <w:p>
            <w:pPr>
              <w:spacing w:after="0"/>
              <w:rPr>
                <w:sz w:val="22"/>
                <w:szCs w:val="22"/>
                <w:color w:val="auto"/>
              </w:rPr>
            </w:pPr>
          </w:p>
        </w:tc>
        <w:tc>
          <w:tcPr>
            <w:tcW w:w="14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42.85</w:t>
            </w:r>
          </w:p>
        </w:tc>
        <w:tc>
          <w:tcPr>
            <w:tcW w:w="170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34,480</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62,203</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141,182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42.20</w:t>
            </w: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140,269</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62,203</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261"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June 30, 2025, there were 140,269 shares repurchased pursuant to the Company's publicly announced treasury stock buyback program and 913 shares transferred from employees in satisfaction of tax withholding obligations upon the vesting of restricted stock.</w:t>
      </w:r>
    </w:p>
    <w:p>
      <w:pPr>
        <w:jc w:val="both"/>
        <w:ind w:left="340" w:hanging="332"/>
        <w:spacing w:after="0" w:line="253"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authorized the treasury stock buyback program on October 17, 2023, announced by the Company on October 19, 2023. The program provides that the Company may repurchase up to an aggregate of 500,000 shares of common stock and has no expiration date. On July 15, 2025, the Board of Directors authorized the repurchase of up to 500,000 shares of the Company's common stock with no expiration date. This authorization replaces the October 2023 authorization, and as such, the Company has 500,000 shares available for repurchase effective with the July 15, 2025 authorization.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98"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the Company’s Board of Directors implemented in the second quarter of 2025.</w:t>
      </w:r>
    </w:p>
    <w:p>
      <w:pPr>
        <w:spacing w:after="0" w:line="121" w:lineRule="exact"/>
        <w:rPr>
          <w:rFonts w:ascii="Times New Roman" w:cs="Times New Roman" w:eastAsia="Times New Roman" w:hAnsi="Times New Roman"/>
          <w:sz w:val="18"/>
          <w:szCs w:val="18"/>
          <w:color w:val="auto"/>
        </w:rPr>
      </w:pPr>
    </w:p>
    <w:p>
      <w:pPr>
        <w:ind w:left="660" w:right="600" w:hanging="652"/>
        <w:spacing w:after="0" w:line="282" w:lineRule="auto"/>
        <w:tabs>
          <w:tab w:leader="none" w:pos="6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2025, none of the Company's officers or directors adopted or terminated any "Rule 10b5-1 trading arrangement" or any “non-Rule 10b5-1 trading arrangement,” as such terms are defined under Item 408 of Regulation S-K.</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10.1 Description of Cass Information Systems, Inc. Profit Sharing Program.</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31.1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31.2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32.1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32.2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Exhibit 101.INS XBRL Instance Document. The instance document does not appear in the Interactive Data File because its XBRL tags are embedded within the Inline XBRL document.</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101.SCH Inline XBRL Taxonomy Extension Schema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101.CAL Inline XBRL Taxonomy Extension Calculation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101.LAB Inline XBRL Taxonomy Extension Label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Management contract or compensatory plan arrangement.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CASS INFORMATION SYSTEMS, INC.</w:t>
      </w:r>
    </w:p>
    <w:p>
      <w:pPr>
        <w:sectPr>
          <w:pgSz w:w="11900" w:h="16838" w:orient="portrait"/>
          <w:cols w:equalWidth="0" w:num="1">
            <w:col w:w="11240"/>
          </w:cols>
          <w:pgMar w:left="320" w:top="117" w:right="339" w:bottom="1440" w:gutter="0" w:footer="0" w:header="0"/>
        </w:sect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August 5, 2025</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26035</wp:posOffset>
            </wp:positionV>
            <wp:extent cx="44316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3">
            <w:col w:w="3160" w:space="720"/>
            <w:col w:w="2440" w:space="720"/>
            <w:col w:w="4200"/>
          </w:cols>
          <w:pgMar w:left="320" w:top="117" w:right="339" w:bottom="1440" w:gutter="0" w:footer="0" w:header="0"/>
          <w:type w:val="continuous"/>
        </w:sectPr>
      </w:pPr>
    </w:p>
    <w:p>
      <w:pPr>
        <w:jc w:val="center"/>
        <w:ind w:left="4240"/>
        <w:spacing w:after="0"/>
        <w:rPr>
          <w:sz w:val="20"/>
          <w:szCs w:val="20"/>
          <w:color w:val="auto"/>
        </w:rPr>
      </w:pPr>
      <w:r>
        <w:rPr>
          <w:rFonts w:ascii="Times New Roman" w:cs="Times New Roman" w:eastAsia="Times New Roman" w:hAnsi="Times New Roman"/>
          <w:sz w:val="18"/>
          <w:szCs w:val="18"/>
          <w:color w:val="auto"/>
        </w:rPr>
        <w:t>Martin H. Resch</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2025</w:t>
            </w:r>
          </w:p>
        </w:tc>
        <w:tc>
          <w:tcPr>
            <w:tcW w:w="14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By</w:t>
            </w:r>
          </w:p>
        </w:tc>
        <w:tc>
          <w:tcPr>
            <w:tcW w:w="6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J. Normile</w:t>
            </w:r>
          </w:p>
        </w:tc>
      </w:tr>
      <w:tr>
        <w:trPr>
          <w:trHeight w:val="243"/>
        </w:trPr>
        <w:tc>
          <w:tcPr>
            <w:tcW w:w="27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J. Normile</w:t>
            </w:r>
          </w:p>
        </w:tc>
      </w:tr>
      <w:tr>
        <w:trPr>
          <w:trHeight w:val="257"/>
        </w:trPr>
        <w:tc>
          <w:tcPr>
            <w:tcW w:w="27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56"/>
        </w:trPr>
        <w:tc>
          <w:tcPr>
            <w:tcW w:w="27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918"/>
        </w:trPr>
        <w:tc>
          <w:tcPr>
            <w:tcW w:w="2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980" w:type="dxa"/>
            <w:vAlign w:val="bottom"/>
          </w:tcPr>
          <w:p>
            <w:pPr>
              <w:jc w:val="right"/>
              <w:ind w:right="5370"/>
              <w:spacing w:after="0"/>
              <w:rPr>
                <w:sz w:val="20"/>
                <w:szCs w:val="20"/>
                <w:color w:val="auto"/>
              </w:rPr>
            </w:pPr>
            <w:r>
              <w:rPr>
                <w:rFonts w:ascii="Times New Roman" w:cs="Times New Roman" w:eastAsia="Times New Roman" w:hAnsi="Times New Roman"/>
                <w:sz w:val="18"/>
                <w:szCs w:val="18"/>
                <w:color w:val="auto"/>
              </w:rPr>
              <w:t>-45-</w:t>
            </w:r>
          </w:p>
        </w:tc>
      </w:tr>
    </w:tbl>
    <w:p>
      <w:pPr>
        <w:sectPr>
          <w:pgSz w:w="11900" w:h="16838" w:orient="portrait"/>
          <w:cols w:equalWidth="0" w:num="1">
            <w:col w:w="11240"/>
          </w:cols>
          <w:pgMar w:left="320" w:top="117" w:right="339" w:bottom="1440" w:gutter="0" w:footer="0" w:header="0"/>
          <w:type w:val="continuous"/>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Profit Sharing Program</w:t>
      </w:r>
    </w:p>
    <w:p>
      <w:pPr>
        <w:spacing w:after="0" w:line="23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purpose of the profit sharing program is to facilitate the Company’s continued growth and success by providing rewards that are commensurate with achievement, thereby creating an incentive for superior performance and improved results for shareholders. Exempt employees of Cass Information Systems are eligible to participate in the program.</w:t>
      </w:r>
    </w:p>
    <w:p>
      <w:pPr>
        <w:spacing w:after="0" w:line="19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amount of the profit sharing pool available for distribution is set by the Board of Directors and currently set at 18.5% of the Company’s net income after taxes for the period of distribution.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are not guaranteed and the Company may distribute profit sharing benefits on any schedule and in any manner that it deems appropriate.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distributions are made on a semi-annual basis.</w:t>
      </w:r>
    </w:p>
    <w:p>
      <w:pPr>
        <w:spacing w:after="0" w:line="2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pool is distributed to all eligible employees considering factors such as position, salary grade, and individual performance. Specific allocations are made out of the pool to the Chief Executive Officer (CEO) and other executive officers, including named executive officers (NEOs) as follows:</w:t>
      </w:r>
    </w:p>
    <w:p>
      <w:pPr>
        <w:spacing w:after="0" w:line="17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xml:space="preserve"> – The CEO receives a percentage of the total profit sharing pool based on the change in net income after taxes (NIAT) from the prior year and is set to provide a target percentage of base salary at target performance of 45%. The amount paid to the CEO can range from 0% up to a maximum of 70% of base pay.</w:t>
      </w:r>
    </w:p>
    <w:p>
      <w:pPr>
        <w:spacing w:after="0" w:line="19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u w:val="single" w:color="auto"/>
          <w:color w:val="auto"/>
        </w:rPr>
        <w:t>Executive Officers</w:t>
      </w:r>
      <w:r>
        <w:rPr>
          <w:rFonts w:ascii="Times New Roman" w:cs="Times New Roman" w:eastAsia="Times New Roman" w:hAnsi="Times New Roman"/>
          <w:sz w:val="18"/>
          <w:szCs w:val="18"/>
          <w:color w:val="auto"/>
        </w:rPr>
        <w:t xml:space="preserve"> – A percentage of the total profit sharing pool is provided for distribution to other executive officers based on the change in NIAT from the prior year and is set to provide a target percentage of base salaries at target performance of 40%. The total funds provided for distribution to the executive officers can range from 0% up to a maximum of 60% of base pay. While the size of the executive officer profit sharing pool is dependent on the overall size of the pool and change in NIAT, the amount distributed to each individual executive officer is based on a subjective assessment of each executive’s performance, taking into consideration factors such as performance of each individual and each executive’s associated operating unit. When conducting the evaluation of an executive’s performance, the CEO considers factors such as revenue growth, cost efficiencies and technological advancements within the executive’s operating unit, and leadership skills and other accomplishments during the fiscal year. Consideration is also given to profit-sharing payments that an individual has received in the past as well as those received by other named executive officers, in order to help achieve internal compensation equity</w:t>
      </w:r>
    </w:p>
    <w:p>
      <w:pPr>
        <w:spacing w:after="0" w:line="21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Individual distributions to exempt employees, other than the CEO and executive officers, as a percent of salary are subject to set limits based on each individual’s pay grade and any payment in excess of these percentages shall require the review and approval of the President or Chief Operating Officer of each business unit and the CEO. Payments in excess of the set limits for the CEO and executive officers need approval from the Compensation Committee of the Board of Directors.</w:t>
      </w:r>
    </w:p>
    <w:p>
      <w:pPr>
        <w:sectPr>
          <w:pgSz w:w="11900" w:h="16838" w:orient="portrait"/>
          <w:cols w:equalWidth="0" w:num="1">
            <w:col w:w="11240"/>
          </w:cols>
          <w:pgMar w:left="320" w:top="103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H. Resch,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H. Resch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4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Normile,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5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4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June 30, 2025 as filed with the Securities and Exchange Commission on the date hereof (the “Report”), I, Martin H. Resch, President and Chief Executive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H. Resch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August 5, 2025</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92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June 30, 2025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August 5, 2025</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bullet"/>
      <w:start w:val="1"/>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2025-08-05T14:18:22Z</dcterms:created>
  <dcterms:modified xsi:type="dcterms:W3CDTF">2025-08-05T14:18:22Z</dcterms:modified>
</cp:coreProperties>
</file>