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3" w:lineRule="exact"/>
        <w:rPr>
          <w:sz w:val="24"/>
          <w:szCs w:val="24"/>
          <w:color w:val="auto"/>
        </w:rPr>
      </w:pPr>
    </w:p>
    <w:p>
      <w:pPr>
        <w:ind w:left="580" w:right="2080" w:hanging="554"/>
        <w:spacing w:after="0" w:line="61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142"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91"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CASS INFORMATION SYSTEMS, INC.</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46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Missouri</w:t>
            </w:r>
          </w:p>
        </w:tc>
        <w:tc>
          <w:tcPr>
            <w:tcW w:w="3940" w:type="dxa"/>
            <w:vAlign w:val="bottom"/>
          </w:tcPr>
          <w:p>
            <w:pPr>
              <w:jc w:val="right"/>
              <w:ind w:right="790"/>
              <w:spacing w:after="0"/>
              <w:rPr>
                <w:sz w:val="20"/>
                <w:szCs w:val="20"/>
                <w:color w:val="auto"/>
              </w:rPr>
            </w:pPr>
            <w:r>
              <w:rPr>
                <w:rFonts w:ascii="Arial" w:cs="Arial" w:eastAsia="Arial" w:hAnsi="Arial"/>
                <w:sz w:val="18"/>
                <w:szCs w:val="18"/>
                <w:b w:val="1"/>
                <w:bCs w:val="1"/>
                <w:color w:val="auto"/>
              </w:rPr>
              <w:t>43-1265338</w:t>
            </w:r>
          </w:p>
        </w:tc>
      </w:tr>
      <w:tr>
        <w:trPr>
          <w:trHeight w:val="229"/>
        </w:trPr>
        <w:tc>
          <w:tcPr>
            <w:tcW w:w="4640" w:type="dxa"/>
            <w:vAlign w:val="bottom"/>
          </w:tcPr>
          <w:p>
            <w:pPr>
              <w:jc w:val="center"/>
              <w:ind w:right="1250"/>
              <w:spacing w:after="0"/>
              <w:rPr>
                <w:sz w:val="20"/>
                <w:szCs w:val="20"/>
                <w:color w:val="auto"/>
              </w:rPr>
            </w:pPr>
            <w:r>
              <w:rPr>
                <w:rFonts w:ascii="Arial" w:cs="Arial" w:eastAsia="Arial" w:hAnsi="Arial"/>
                <w:sz w:val="18"/>
                <w:szCs w:val="18"/>
                <w:color w:val="auto"/>
                <w:w w:val="92"/>
              </w:rPr>
              <w:t>(State or other jurisdiction of incorporation or</w:t>
            </w:r>
          </w:p>
        </w:tc>
        <w:tc>
          <w:tcPr>
            <w:tcW w:w="3940" w:type="dxa"/>
            <w:vAlign w:val="bottom"/>
          </w:tcPr>
          <w:p>
            <w:pPr>
              <w:jc w:val="center"/>
              <w:ind w:left="12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40" w:type="dxa"/>
            <w:vAlign w:val="bottom"/>
          </w:tcPr>
          <w:p>
            <w:pPr>
              <w:jc w:val="center"/>
              <w:ind w:right="1230"/>
              <w:spacing w:after="0"/>
              <w:rPr>
                <w:sz w:val="20"/>
                <w:szCs w:val="20"/>
                <w:color w:val="auto"/>
              </w:rPr>
            </w:pPr>
            <w:r>
              <w:rPr>
                <w:rFonts w:ascii="Arial" w:cs="Arial" w:eastAsia="Arial" w:hAnsi="Arial"/>
                <w:sz w:val="18"/>
                <w:szCs w:val="18"/>
                <w:color w:val="auto"/>
                <w:w w:val="92"/>
              </w:rPr>
              <w:t>organization)</w:t>
            </w:r>
          </w:p>
        </w:tc>
        <w:tc>
          <w:tcPr>
            <w:tcW w:w="3940" w:type="dxa"/>
            <w:vAlign w:val="bottom"/>
          </w:tcPr>
          <w:p>
            <w:pPr>
              <w:spacing w:after="0"/>
              <w:rPr>
                <w:sz w:val="20"/>
                <w:szCs w:val="20"/>
                <w:color w:val="auto"/>
              </w:rPr>
            </w:pPr>
          </w:p>
        </w:tc>
      </w:tr>
      <w:tr>
        <w:trPr>
          <w:trHeight w:val="225"/>
        </w:trPr>
        <w:tc>
          <w:tcPr>
            <w:tcW w:w="46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12444 Powerscourt Drive, Suite 550</w:t>
            </w:r>
          </w:p>
        </w:tc>
        <w:tc>
          <w:tcPr>
            <w:tcW w:w="3940" w:type="dxa"/>
            <w:vAlign w:val="bottom"/>
          </w:tcPr>
          <w:p>
            <w:pPr>
              <w:spacing w:after="0"/>
              <w:rPr>
                <w:sz w:val="19"/>
                <w:szCs w:val="19"/>
                <w:color w:val="auto"/>
              </w:rPr>
            </w:pPr>
          </w:p>
        </w:tc>
      </w:tr>
      <w:tr>
        <w:trPr>
          <w:trHeight w:val="234"/>
        </w:trPr>
        <w:tc>
          <w:tcPr>
            <w:tcW w:w="464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St. Louis, Missouri</w:t>
            </w:r>
          </w:p>
        </w:tc>
        <w:tc>
          <w:tcPr>
            <w:tcW w:w="3940" w:type="dxa"/>
            <w:vAlign w:val="bottom"/>
          </w:tcPr>
          <w:p>
            <w:pPr>
              <w:jc w:val="right"/>
              <w:ind w:right="990"/>
              <w:spacing w:after="0"/>
              <w:rPr>
                <w:sz w:val="20"/>
                <w:szCs w:val="20"/>
                <w:color w:val="auto"/>
              </w:rPr>
            </w:pPr>
            <w:r>
              <w:rPr>
                <w:rFonts w:ascii="Arial" w:cs="Arial" w:eastAsia="Arial" w:hAnsi="Arial"/>
                <w:sz w:val="18"/>
                <w:szCs w:val="18"/>
                <w:b w:val="1"/>
                <w:bCs w:val="1"/>
                <w:color w:val="auto"/>
              </w:rPr>
              <w:t>63131</w:t>
            </w:r>
          </w:p>
        </w:tc>
      </w:tr>
      <w:tr>
        <w:trPr>
          <w:trHeight w:val="257"/>
        </w:trPr>
        <w:tc>
          <w:tcPr>
            <w:tcW w:w="4640" w:type="dxa"/>
            <w:vAlign w:val="bottom"/>
          </w:tcPr>
          <w:p>
            <w:pPr>
              <w:jc w:val="center"/>
              <w:ind w:right="125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12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506-5500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4"/>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Arial" w:cs="Arial" w:eastAsia="Arial" w:hAnsi="Arial"/>
                <w:sz w:val="18"/>
                <w:szCs w:val="18"/>
                <w:color w:val="auto"/>
                <w:w w:val="90"/>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Common stock, par value $.50</w:t>
            </w: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CASS</w:t>
            </w:r>
          </w:p>
        </w:tc>
        <w:tc>
          <w:tcPr>
            <w:tcW w:w="4140" w:type="dxa"/>
            <w:vAlign w:val="bottom"/>
          </w:tcPr>
          <w:p>
            <w:pPr>
              <w:jc w:val="center"/>
              <w:ind w:right="670"/>
              <w:spacing w:after="0"/>
              <w:rPr>
                <w:sz w:val="20"/>
                <w:szCs w:val="20"/>
                <w:color w:val="auto"/>
              </w:rPr>
            </w:pPr>
            <w:r>
              <w:rPr>
                <w:rFonts w:ascii="Arial" w:cs="Arial" w:eastAsia="Arial" w:hAnsi="Arial"/>
                <w:sz w:val="18"/>
                <w:szCs w:val="18"/>
                <w:color w:val="auto"/>
                <w:w w:val="91"/>
              </w:rPr>
              <w:t>The Nasdaq Global Select Market</w:t>
            </w:r>
          </w:p>
        </w:tc>
      </w:tr>
      <w:tr>
        <w:trPr>
          <w:trHeight w:val="469"/>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6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3" w:lineRule="exact"/>
        <w:rPr>
          <w:sz w:val="24"/>
          <w:szCs w:val="24"/>
          <w:color w:val="auto"/>
        </w:rPr>
      </w:pPr>
    </w:p>
    <w:p>
      <w:pPr>
        <w:ind w:left="3240"/>
        <w:spacing w:after="0"/>
        <w:tabs>
          <w:tab w:leader="none" w:pos="3720" w:val="left"/>
          <w:tab w:leader="none" w:pos="4560" w:val="left"/>
          <w:tab w:leader="none" w:pos="49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185"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7" w:lineRule="exact"/>
        <w:rPr>
          <w:sz w:val="24"/>
          <w:szCs w:val="24"/>
          <w:color w:val="auto"/>
        </w:rPr>
      </w:pPr>
    </w:p>
    <w:p>
      <w:pPr>
        <w:ind w:left="3240"/>
        <w:spacing w:after="0"/>
        <w:tabs>
          <w:tab w:leader="none" w:pos="3720" w:val="left"/>
          <w:tab w:leader="none" w:pos="4560" w:val="left"/>
          <w:tab w:leader="none" w:pos="50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18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sectPr>
      </w:pPr>
    </w:p>
    <w:p>
      <w:pPr>
        <w:spacing w:after="0" w:line="19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840" w:space="640"/>
            <w:col w:w="100" w:space="340"/>
            <w:col w:w="2040" w:space="720"/>
            <w:col w:w="4560"/>
          </w:cols>
          <w:pgMar w:left="320" w:top="229" w:right="339" w:bottom="0" w:gutter="0" w:footer="0" w:header="0"/>
          <w:type w:val="continuous"/>
        </w:sectPr>
      </w:pPr>
    </w:p>
    <w:p>
      <w:pPr>
        <w:spacing w:after="0" w:line="93"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6">
            <w:col w:w="2760" w:space="720"/>
            <w:col w:w="100" w:space="340"/>
            <w:col w:w="2060" w:space="700"/>
            <w:col w:w="100" w:space="380"/>
            <w:col w:w="2220" w:space="720"/>
            <w:col w:w="1140"/>
          </w:cols>
          <w:pgMar w:left="320" w:top="229" w:right="339" w:bottom="0" w:gutter="0" w:footer="0" w:header="0"/>
          <w:type w:val="continuous"/>
        </w:sectPr>
      </w:pPr>
    </w:p>
    <w:p>
      <w:pPr>
        <w:spacing w:after="0" w:line="91"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2" w:lineRule="exact"/>
        <w:rPr>
          <w:sz w:val="24"/>
          <w:szCs w:val="24"/>
          <w:color w:val="auto"/>
        </w:rPr>
      </w:pPr>
    </w:p>
    <w:p>
      <w:pPr>
        <w:ind w:left="3240"/>
        <w:spacing w:after="0" w:line="207" w:lineRule="exact"/>
        <w:tabs>
          <w:tab w:leader="none" w:pos="3720" w:val="left"/>
          <w:tab w:leader="none" w:pos="4640" w:val="left"/>
          <w:tab w:leader="none" w:pos="504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1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outstanding of the registrant's only class of common stock as of October 22, 2021: Common stock, par value $.50 per share – 14,010,148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54" w:lineRule="exact"/>
        <w:rPr>
          <w:sz w:val="20"/>
          <w:szCs w:val="20"/>
          <w:color w:val="auto"/>
        </w:rPr>
      </w:pPr>
    </w:p>
    <w:p>
      <w:pPr>
        <w:ind w:left="300"/>
        <w:spacing w:after="0"/>
        <w:tabs>
          <w:tab w:leader="none" w:pos="1420" w:val="left"/>
        </w:tabs>
        <w:rPr>
          <w:rFonts w:ascii="Arial" w:cs="Arial" w:eastAsia="Arial" w:hAnsi="Arial"/>
          <w:sz w:val="17"/>
          <w:szCs w:val="17"/>
          <w:u w:val="single" w:color="auto"/>
          <w:color w:val="0000FF"/>
        </w:rPr>
      </w:pPr>
      <w:hyperlink w:anchor="page4">
        <w:r>
          <w:rPr>
            <w:rFonts w:ascii="Arial" w:cs="Arial" w:eastAsia="Arial" w:hAnsi="Arial"/>
            <w:sz w:val="18"/>
            <w:szCs w:val="18"/>
            <w:u w:val="single" w:color="auto"/>
            <w:color w:val="0000FF"/>
          </w:rPr>
          <w:t>Item 1.</w:t>
        </w:r>
      </w:hyperlink>
      <w:r>
        <w:rPr>
          <w:rFonts w:ascii="Arial" w:cs="Arial" w:eastAsia="Arial" w:hAnsi="Arial"/>
          <w:sz w:val="18"/>
          <w:szCs w:val="18"/>
          <w:u w:val="single" w:color="auto"/>
          <w:color w:val="0000FF"/>
        </w:rPr>
        <w:tab/>
      </w:r>
      <w:hyperlink w:anchor="page4">
        <w:r>
          <w:rPr>
            <w:rFonts w:ascii="Arial" w:cs="Arial" w:eastAsia="Arial" w:hAnsi="Arial"/>
            <w:sz w:val="17"/>
            <w:szCs w:val="17"/>
            <w:u w:val="single" w:color="auto"/>
            <w:color w:val="0000FF"/>
          </w:rPr>
          <w:t>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3" w:lineRule="exact"/>
        <w:rPr>
          <w:sz w:val="20"/>
          <w:szCs w:val="20"/>
          <w:color w:val="auto"/>
        </w:rPr>
      </w:pPr>
    </w:p>
    <w:p>
      <w:pPr>
        <w:ind w:left="14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 September 30, 2021 (unaudited) and December 31, 2020</w:t>
        </w:r>
      </w:hyperlink>
    </w:p>
    <w:p>
      <w:pPr>
        <w:spacing w:after="0" w:line="293" w:lineRule="exact"/>
        <w:rPr>
          <w:sz w:val="20"/>
          <w:szCs w:val="20"/>
          <w:color w:val="auto"/>
        </w:rPr>
      </w:pPr>
    </w:p>
    <w:p>
      <w:pPr>
        <w:jc w:val="center"/>
        <w:ind w:left="3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Income Three and Nine months ended September 30, 2021 and 2020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59" w:lineRule="exact"/>
        <w:rPr>
          <w:sz w:val="20"/>
          <w:szCs w:val="20"/>
          <w:color w:val="auto"/>
        </w:rPr>
      </w:pPr>
    </w:p>
    <w:p>
      <w:pPr>
        <w:ind w:left="1600" w:right="760" w:hanging="161"/>
        <w:spacing w:after="0" w:line="261"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Comprehensive Income Three and Nine months ended September 30, 2021 and 2020</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(unaudited)</w:t>
        </w:r>
      </w:hyperlink>
    </w:p>
    <w:p>
      <w:pPr>
        <w:spacing w:after="0" w:line="238" w:lineRule="exact"/>
        <w:rPr>
          <w:sz w:val="20"/>
          <w:szCs w:val="20"/>
          <w:color w:val="auto"/>
        </w:rPr>
      </w:pPr>
    </w:p>
    <w:p>
      <w:pPr>
        <w:ind w:left="14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 Nine months ended September 30, 2021 and 2020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9" w:lineRule="exact"/>
        <w:rPr>
          <w:sz w:val="20"/>
          <w:szCs w:val="20"/>
          <w:color w:val="auto"/>
        </w:rPr>
      </w:pPr>
    </w:p>
    <w:p>
      <w:pPr>
        <w:ind w:left="144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Consolidated Statements of Shareholders’ Equity Three and Nine months ended September 30, 2021 and 2020 (unaudited)</w:t>
        </w:r>
      </w:hyperlink>
    </w:p>
    <w:p>
      <w:pPr>
        <w:spacing w:after="0" w:line="302" w:lineRule="exact"/>
        <w:rPr>
          <w:sz w:val="20"/>
          <w:szCs w:val="20"/>
          <w:color w:val="auto"/>
        </w:rPr>
      </w:pPr>
    </w:p>
    <w:p>
      <w:pPr>
        <w:ind w:left="14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rFonts w:ascii="Arial" w:cs="Arial" w:eastAsia="Arial" w:hAnsi="Arial"/>
          <w:sz w:val="17"/>
          <w:szCs w:val="17"/>
          <w:u w:val="single" w:color="auto"/>
          <w:color w:val="0000FF"/>
        </w:rPr>
      </w:pPr>
      <w:hyperlink w:anchor="page24">
        <w:r>
          <w:rPr>
            <w:rFonts w:ascii="Arial" w:cs="Arial" w:eastAsia="Arial" w:hAnsi="Arial"/>
            <w:sz w:val="18"/>
            <w:szCs w:val="18"/>
            <w:u w:val="single" w:color="auto"/>
            <w:color w:val="0000FF"/>
          </w:rPr>
          <w:t>Item 2.</w:t>
        </w:r>
      </w:hyperlink>
      <w:r>
        <w:rPr>
          <w:rFonts w:ascii="Arial" w:cs="Arial" w:eastAsia="Arial" w:hAnsi="Arial"/>
          <w:sz w:val="18"/>
          <w:szCs w:val="18"/>
          <w:u w:val="single" w:color="auto"/>
          <w:color w:val="0000FF"/>
        </w:rPr>
        <w:tab/>
      </w:r>
      <w:hyperlink w:anchor="page24">
        <w:r>
          <w:rPr>
            <w:rFonts w:ascii="Arial" w:cs="Arial" w:eastAsia="Arial" w:hAnsi="Arial"/>
            <w:sz w:val="17"/>
            <w:szCs w:val="17"/>
            <w:u w:val="single" w:color="auto"/>
            <w:color w:val="0000FF"/>
          </w:rPr>
          <w:t>MANAGEMENT’S DISCUSSION AND ANALYSIS OF FINANCIAL CONDITION AND RESULTS OF OPERATIONS</w:t>
        </w:r>
      </w:hyperlink>
    </w:p>
    <w:p>
      <w:pPr>
        <w:spacing w:after="0" w:line="63" w:lineRule="exact"/>
        <w:rPr>
          <w:sz w:val="20"/>
          <w:szCs w:val="20"/>
          <w:color w:val="auto"/>
        </w:rPr>
      </w:pPr>
    </w:p>
    <w:p>
      <w:pPr>
        <w:ind w:left="240"/>
        <w:spacing w:after="0"/>
        <w:tabs>
          <w:tab w:leader="none" w:pos="1420" w:val="left"/>
        </w:tabs>
        <w:rPr>
          <w:rFonts w:ascii="Arial" w:cs="Arial" w:eastAsia="Arial" w:hAnsi="Arial"/>
          <w:sz w:val="17"/>
          <w:szCs w:val="17"/>
          <w:u w:val="single" w:color="auto"/>
          <w:color w:val="0000FF"/>
        </w:rPr>
      </w:pPr>
      <w:hyperlink w:anchor="page38">
        <w:r>
          <w:rPr>
            <w:rFonts w:ascii="Arial" w:cs="Arial" w:eastAsia="Arial" w:hAnsi="Arial"/>
            <w:sz w:val="18"/>
            <w:szCs w:val="18"/>
            <w:u w:val="single" w:color="auto"/>
            <w:color w:val="0000FF"/>
          </w:rPr>
          <w:t>Item 3.</w:t>
        </w:r>
      </w:hyperlink>
      <w:r>
        <w:rPr>
          <w:rFonts w:ascii="Arial" w:cs="Arial" w:eastAsia="Arial" w:hAnsi="Arial"/>
          <w:sz w:val="18"/>
          <w:szCs w:val="18"/>
          <w:u w:val="single" w:color="auto"/>
          <w:color w:val="0000FF"/>
        </w:rPr>
        <w:tab/>
      </w:r>
      <w:hyperlink w:anchor="page38">
        <w:r>
          <w:rPr>
            <w:rFonts w:ascii="Arial" w:cs="Arial" w:eastAsia="Arial" w:hAnsi="Arial"/>
            <w:sz w:val="17"/>
            <w:szCs w:val="17"/>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rFonts w:ascii="Arial" w:cs="Arial" w:eastAsia="Arial" w:hAnsi="Arial"/>
          <w:sz w:val="16"/>
          <w:szCs w:val="16"/>
          <w:u w:val="single" w:color="auto"/>
          <w:color w:val="0000FF"/>
        </w:rPr>
      </w:pPr>
      <w:hyperlink w:anchor="page38">
        <w:r>
          <w:rPr>
            <w:rFonts w:ascii="Arial" w:cs="Arial" w:eastAsia="Arial" w:hAnsi="Arial"/>
            <w:sz w:val="18"/>
            <w:szCs w:val="18"/>
            <w:u w:val="single" w:color="auto"/>
            <w:color w:val="0000FF"/>
          </w:rPr>
          <w:t>Item 4.</w:t>
        </w:r>
      </w:hyperlink>
      <w:r>
        <w:rPr>
          <w:rFonts w:ascii="Arial" w:cs="Arial" w:eastAsia="Arial" w:hAnsi="Arial"/>
          <w:sz w:val="18"/>
          <w:szCs w:val="18"/>
          <w:u w:val="single" w:color="auto"/>
          <w:color w:val="0000FF"/>
        </w:rPr>
        <w:tab/>
      </w:r>
      <w:hyperlink w:anchor="page38">
        <w:r>
          <w:rPr>
            <w:rFonts w:ascii="Arial" w:cs="Arial" w:eastAsia="Arial" w:hAnsi="Arial"/>
            <w:sz w:val="16"/>
            <w:szCs w:val="16"/>
            <w:u w:val="single" w:color="auto"/>
            <w:color w:val="0000FF"/>
          </w:rPr>
          <w:t>CONTROLS AND PROCEDURES</w:t>
        </w:r>
      </w:hyperlink>
    </w:p>
    <w:p>
      <w:pPr>
        <w:spacing w:after="0" w:line="59"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 Other Information – Items 1. – 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p>
      <w:pPr>
        <w:spacing w:after="0" w:line="293" w:lineRule="exact"/>
        <w:rPr>
          <w:sz w:val="20"/>
          <w:szCs w:val="20"/>
          <w:color w:val="auto"/>
        </w:rPr>
      </w:pPr>
    </w:p>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200" w:lineRule="exact"/>
        <w:rPr>
          <w:sz w:val="20"/>
          <w:szCs w:val="20"/>
          <w:color w:val="auto"/>
        </w:rPr>
      </w:pPr>
    </w:p>
    <w:p>
      <w:pPr>
        <w:spacing w:after="0" w:line="282" w:lineRule="exact"/>
        <w:rPr>
          <w:sz w:val="20"/>
          <w:szCs w:val="20"/>
          <w:color w:val="auto"/>
        </w:rPr>
      </w:pPr>
    </w:p>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79" w:lineRule="exact"/>
        <w:rPr>
          <w:sz w:val="20"/>
          <w:szCs w:val="20"/>
          <w:color w:val="auto"/>
        </w:rPr>
      </w:pPr>
    </w:p>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79" w:lineRule="exact"/>
        <w:rPr>
          <w:sz w:val="20"/>
          <w:szCs w:val="20"/>
          <w:color w:val="auto"/>
        </w:rPr>
      </w:pPr>
    </w:p>
    <w:p>
      <w:pPr>
        <w:ind w:left="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63" w:lineRule="exact"/>
        <w:rPr>
          <w:sz w:val="20"/>
          <w:szCs w:val="20"/>
          <w:color w:val="auto"/>
        </w:rPr>
      </w:pPr>
    </w:p>
    <w:p>
      <w:pP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26</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39</w:t>
        </w:r>
      </w:hyperlink>
    </w:p>
    <w:p>
      <w:pPr>
        <w:spacing w:after="0" w:line="73" w:lineRule="exact"/>
        <w:rPr>
          <w:sz w:val="20"/>
          <w:szCs w:val="20"/>
          <w:color w:val="auto"/>
        </w:rPr>
      </w:pPr>
    </w:p>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40</w:t>
        </w:r>
      </w:hyperlink>
    </w:p>
    <w:p>
      <w:pPr>
        <w:spacing w:after="0" w:line="73"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42</w:t>
        </w:r>
      </w:hyperlink>
    </w:p>
    <w:p>
      <w:pPr>
        <w:spacing w:after="0" w:line="707" w:lineRule="exact"/>
        <w:rPr>
          <w:sz w:val="20"/>
          <w:szCs w:val="20"/>
          <w:color w:val="auto"/>
        </w:rPr>
      </w:pPr>
    </w:p>
    <w:p>
      <w:pPr>
        <w:sectPr>
          <w:pgSz w:w="11900" w:h="16838" w:orient="portrait"/>
          <w:cols w:equalWidth="0" w:num="2">
            <w:col w:w="10340" w:space="420"/>
            <w:col w:w="480"/>
          </w:cols>
          <w:pgMar w:left="320" w:top="121" w:right="339" w:bottom="1440" w:gutter="0" w:footer="0" w:header="0"/>
        </w:sectPr>
      </w:pPr>
    </w:p>
    <w:p>
      <w:pPr>
        <w:jc w:val="both"/>
        <w:spacing w:after="0" w:line="271"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2020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2021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30,985</w:t>
            </w:r>
          </w:p>
        </w:tc>
      </w:tr>
      <w:tr>
        <w:trPr>
          <w:trHeight w:val="263"/>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472,786</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393,810</w:t>
            </w:r>
          </w:p>
        </w:tc>
      </w:tr>
      <w:tr>
        <w:trPr>
          <w:trHeight w:val="250"/>
        </w:trPr>
        <w:tc>
          <w:tcPr>
            <w:tcW w:w="20" w:type="dxa"/>
            <w:vAlign w:val="bottom"/>
            <w:tcBorders>
              <w:bottom w:val="single" w:sz="8" w:color="B2B2B2"/>
            </w:tcBorders>
          </w:tcPr>
          <w:p>
            <w:pPr>
              <w:spacing w:after="0"/>
              <w:rPr>
                <w:sz w:val="21"/>
                <w:szCs w:val="21"/>
                <w:color w:val="auto"/>
              </w:rPr>
            </w:pPr>
          </w:p>
        </w:tc>
        <w:tc>
          <w:tcPr>
            <w:tcW w:w="8000" w:type="dxa"/>
            <w:vAlign w:val="bottom"/>
            <w:tcBorders>
              <w:bottom w:val="single" w:sz="8" w:color="B2B2B2"/>
            </w:tcBorders>
            <w:gridSpan w:val="3"/>
          </w:tcPr>
          <w:p>
            <w:pPr>
              <w:spacing w:after="0"/>
              <w:rPr>
                <w:sz w:val="20"/>
                <w:szCs w:val="20"/>
                <w:color w:val="auto"/>
              </w:rPr>
            </w:pPr>
            <w:r>
              <w:rPr>
                <w:rFonts w:ascii="Arial" w:cs="Arial" w:eastAsia="Arial" w:hAnsi="Arial"/>
                <w:sz w:val="18"/>
                <w:szCs w:val="18"/>
                <w:color w:val="auto"/>
              </w:rPr>
              <w:t>Federal funds sold and other short-term investments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245,733</w:t>
            </w:r>
          </w:p>
        </w:tc>
      </w:tr>
      <w:tr>
        <w:trPr>
          <w:trHeight w:val="250"/>
        </w:trPr>
        <w:tc>
          <w:tcPr>
            <w:tcW w:w="20" w:type="dxa"/>
            <w:vAlign w:val="bottom"/>
            <w:shd w:val="clear" w:color="auto" w:fill="B2B2B2"/>
          </w:tcPr>
          <w:p>
            <w:pPr>
              <w:spacing w:after="0"/>
              <w:rPr>
                <w:sz w:val="21"/>
                <w:szCs w:val="21"/>
                <w:color w:val="auto"/>
              </w:rPr>
            </w:pPr>
          </w:p>
        </w:tc>
        <w:tc>
          <w:tcPr>
            <w:tcW w:w="8000" w:type="dxa"/>
            <w:vAlign w:val="bottom"/>
            <w:gridSpan w:val="3"/>
            <w:shd w:val="clear" w:color="auto" w:fill="B2B2B2"/>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B2B2B2"/>
          </w:tcPr>
          <w:p>
            <w:pPr>
              <w:spacing w:after="0"/>
              <w:rPr>
                <w:sz w:val="21"/>
                <w:szCs w:val="21"/>
                <w:color w:val="auto"/>
              </w:rPr>
            </w:pPr>
          </w:p>
        </w:tc>
        <w:tc>
          <w:tcPr>
            <w:tcW w:w="1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500,309</w:t>
            </w:r>
          </w:p>
        </w:tc>
        <w:tc>
          <w:tcPr>
            <w:tcW w:w="100" w:type="dxa"/>
            <w:vAlign w:val="bottom"/>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670,528</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Securities available-for-sale, at fair value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357,726</w:t>
            </w:r>
          </w:p>
        </w:tc>
      </w:tr>
      <w:tr>
        <w:trPr>
          <w:trHeight w:val="67"/>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872,905</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891,676</w:t>
            </w:r>
          </w:p>
        </w:tc>
      </w:tr>
      <w:tr>
        <w:trPr>
          <w:trHeight w:val="250"/>
        </w:trPr>
        <w:tc>
          <w:tcPr>
            <w:tcW w:w="20" w:type="dxa"/>
            <w:vAlign w:val="bottom"/>
            <w:tcBorders>
              <w:bottom w:val="single" w:sz="8" w:color="B2B2B2"/>
            </w:tcBorders>
          </w:tcPr>
          <w:p>
            <w:pPr>
              <w:spacing w:after="0"/>
              <w:rPr>
                <w:sz w:val="21"/>
                <w:szCs w:val="21"/>
                <w:color w:val="auto"/>
              </w:rPr>
            </w:pPr>
          </w:p>
        </w:tc>
        <w:tc>
          <w:tcPr>
            <w:tcW w:w="8000" w:type="dxa"/>
            <w:vAlign w:val="bottom"/>
            <w:tcBorders>
              <w:bottom w:val="single" w:sz="8" w:color="B2B2B2"/>
            </w:tcBorders>
            <w:gridSpan w:val="3"/>
          </w:tcPr>
          <w:p>
            <w:pPr>
              <w:ind w:left="36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r>
      <w:tr>
        <w:trPr>
          <w:trHeight w:val="250"/>
        </w:trPr>
        <w:tc>
          <w:tcPr>
            <w:tcW w:w="20" w:type="dxa"/>
            <w:vAlign w:val="bottom"/>
            <w:shd w:val="clear" w:color="auto" w:fill="B2B2B2"/>
          </w:tcPr>
          <w:p>
            <w:pPr>
              <w:spacing w:after="0"/>
              <w:rPr>
                <w:sz w:val="21"/>
                <w:szCs w:val="21"/>
                <w:color w:val="auto"/>
              </w:rPr>
            </w:pPr>
          </w:p>
        </w:tc>
        <w:tc>
          <w:tcPr>
            <w:tcW w:w="8000" w:type="dxa"/>
            <w:vAlign w:val="bottom"/>
            <w:gridSpan w:val="3"/>
            <w:shd w:val="clear" w:color="auto" w:fill="B2B2B2"/>
          </w:tcPr>
          <w:p>
            <w:pPr>
              <w:ind w:left="720"/>
              <w:spacing w:after="0"/>
              <w:rPr>
                <w:sz w:val="20"/>
                <w:szCs w:val="20"/>
                <w:color w:val="auto"/>
              </w:rPr>
            </w:pPr>
            <w:r>
              <w:rPr>
                <w:rFonts w:ascii="Arial" w:cs="Arial" w:eastAsia="Arial" w:hAnsi="Arial"/>
                <w:sz w:val="18"/>
                <w:szCs w:val="18"/>
                <w:color w:val="auto"/>
              </w:rPr>
              <w:t>Loans, net</w:t>
            </w:r>
          </w:p>
        </w:tc>
        <w:tc>
          <w:tcPr>
            <w:tcW w:w="220" w:type="dxa"/>
            <w:vAlign w:val="bottom"/>
            <w:tcBorders>
              <w:bottom w:val="single" w:sz="8" w:color="auto"/>
            </w:tcBorders>
            <w:shd w:val="clear" w:color="auto" w:fill="B2B2B2"/>
          </w:tcPr>
          <w:p>
            <w:pPr>
              <w:spacing w:after="0"/>
              <w:rPr>
                <w:sz w:val="21"/>
                <w:szCs w:val="21"/>
                <w:color w:val="auto"/>
              </w:rPr>
            </w:pPr>
          </w:p>
        </w:tc>
        <w:tc>
          <w:tcPr>
            <w:tcW w:w="1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861,373</w:t>
            </w:r>
          </w:p>
        </w:tc>
        <w:tc>
          <w:tcPr>
            <w:tcW w:w="100" w:type="dxa"/>
            <w:vAlign w:val="bottom"/>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879,732</w:t>
            </w:r>
          </w:p>
        </w:tc>
      </w:tr>
      <w:tr>
        <w:trPr>
          <w:trHeight w:val="250"/>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Payments in excess of funding</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194,563</w:t>
            </w:r>
          </w:p>
        </w:tc>
      </w:tr>
      <w:tr>
        <w:trPr>
          <w:trHeight w:val="263"/>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18,057</w:t>
            </w:r>
          </w:p>
        </w:tc>
      </w:tr>
      <w:tr>
        <w:trPr>
          <w:trHeight w:val="250"/>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Investment in bank-owned life insurance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18,058</w:t>
            </w:r>
          </w:p>
        </w:tc>
      </w:tr>
      <w:tr>
        <w:trPr>
          <w:trHeight w:val="263"/>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50"/>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3,423</w:t>
            </w: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B2B2B2"/>
          </w:tcPr>
          <w:p>
            <w:pPr>
              <w:spacing w:after="0"/>
              <w:rPr>
                <w:sz w:val="22"/>
                <w:szCs w:val="22"/>
                <w:color w:val="auto"/>
              </w:rPr>
            </w:pPr>
          </w:p>
        </w:tc>
        <w:tc>
          <w:tcPr>
            <w:tcW w:w="1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46,380</w:t>
            </w:r>
          </w:p>
        </w:tc>
        <w:tc>
          <w:tcPr>
            <w:tcW w:w="100" w:type="dxa"/>
            <w:vAlign w:val="bottom"/>
            <w:shd w:val="clear" w:color="auto" w:fill="B2B2B2"/>
          </w:tcPr>
          <w:p>
            <w:pPr>
              <w:spacing w:after="0"/>
              <w:rPr>
                <w:sz w:val="22"/>
                <w:szCs w:val="22"/>
                <w:color w:val="auto"/>
              </w:rPr>
            </w:pPr>
          </w:p>
        </w:tc>
        <w:tc>
          <w:tcPr>
            <w:tcW w:w="16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46,886</w:t>
            </w:r>
          </w:p>
        </w:tc>
      </w:tr>
      <w:tr>
        <w:trPr>
          <w:trHeight w:val="256"/>
        </w:trPr>
        <w:tc>
          <w:tcPr>
            <w:tcW w:w="20" w:type="dxa"/>
            <w:vAlign w:val="bottom"/>
          </w:tcPr>
          <w:p>
            <w:pPr>
              <w:spacing w:after="0"/>
              <w:rPr>
                <w:sz w:val="22"/>
                <w:szCs w:val="22"/>
                <w:color w:val="auto"/>
              </w:rPr>
            </w:pPr>
          </w:p>
        </w:tc>
        <w:tc>
          <w:tcPr>
            <w:tcW w:w="800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2,292,986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2,203,235</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800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0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467,320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493,504</w:t>
            </w: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Interest-bearing</w:t>
            </w:r>
          </w:p>
        </w:tc>
        <w:tc>
          <w:tcPr>
            <w:tcW w:w="220" w:type="dxa"/>
            <w:vAlign w:val="bottom"/>
            <w:tcBorders>
              <w:bottom w:val="single" w:sz="8" w:color="auto"/>
            </w:tcBorders>
            <w:shd w:val="clear" w:color="auto" w:fill="B2B2B2"/>
          </w:tcPr>
          <w:p>
            <w:pPr>
              <w:spacing w:after="0"/>
              <w:rPr>
                <w:sz w:val="22"/>
                <w:szCs w:val="22"/>
                <w:color w:val="auto"/>
              </w:rPr>
            </w:pPr>
          </w:p>
        </w:tc>
        <w:tc>
          <w:tcPr>
            <w:tcW w:w="1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619,997</w:t>
            </w:r>
          </w:p>
        </w:tc>
        <w:tc>
          <w:tcPr>
            <w:tcW w:w="100" w:type="dxa"/>
            <w:vAlign w:val="bottom"/>
            <w:shd w:val="clear" w:color="auto" w:fill="B2B2B2"/>
          </w:tcPr>
          <w:p>
            <w:pPr>
              <w:spacing w:after="0"/>
              <w:rPr>
                <w:sz w:val="22"/>
                <w:szCs w:val="22"/>
                <w:color w:val="auto"/>
              </w:rPr>
            </w:pPr>
          </w:p>
        </w:tc>
        <w:tc>
          <w:tcPr>
            <w:tcW w:w="16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557,352</w:t>
            </w:r>
          </w:p>
        </w:tc>
      </w:tr>
      <w:tr>
        <w:trPr>
          <w:trHeight w:val="250"/>
        </w:trPr>
        <w:tc>
          <w:tcPr>
            <w:tcW w:w="20" w:type="dxa"/>
            <w:vAlign w:val="bottom"/>
            <w:tcBorders>
              <w:bottom w:val="single" w:sz="8" w:color="B2B2B2"/>
            </w:tcBorders>
          </w:tcPr>
          <w:p>
            <w:pPr>
              <w:spacing w:after="0"/>
              <w:rPr>
                <w:sz w:val="21"/>
                <w:szCs w:val="21"/>
                <w:color w:val="auto"/>
              </w:rPr>
            </w:pPr>
          </w:p>
        </w:tc>
        <w:tc>
          <w:tcPr>
            <w:tcW w:w="8000" w:type="dxa"/>
            <w:vAlign w:val="bottom"/>
            <w:tcBorders>
              <w:bottom w:val="single" w:sz="8" w:color="B2B2B2"/>
            </w:tcBorders>
            <w:gridSpan w:val="3"/>
          </w:tcPr>
          <w:p>
            <w:pPr>
              <w:ind w:left="360"/>
              <w:spacing w:after="0"/>
              <w:rPr>
                <w:sz w:val="20"/>
                <w:szCs w:val="20"/>
                <w:color w:val="auto"/>
              </w:rPr>
            </w:pPr>
            <w:r>
              <w:rPr>
                <w:rFonts w:ascii="Arial" w:cs="Arial" w:eastAsia="Arial" w:hAnsi="Arial"/>
                <w:sz w:val="18"/>
                <w:szCs w:val="18"/>
                <w:color w:val="auto"/>
              </w:rPr>
              <w:t>Total deposits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1,087,317</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1,050,856</w:t>
            </w:r>
          </w:p>
        </w:tc>
      </w:tr>
      <w:tr>
        <w:trPr>
          <w:trHeight w:val="256"/>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Accounts and drafts payable</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905,479</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r>
      <w:tr>
        <w:trPr>
          <w:trHeight w:val="250"/>
        </w:trPr>
        <w:tc>
          <w:tcPr>
            <w:tcW w:w="20" w:type="dxa"/>
            <w:vAlign w:val="bottom"/>
            <w:tcBorders>
              <w:bottom w:val="single" w:sz="8" w:color="B2B2B2"/>
            </w:tcBorders>
          </w:tcPr>
          <w:p>
            <w:pPr>
              <w:spacing w:after="0"/>
              <w:rPr>
                <w:sz w:val="21"/>
                <w:szCs w:val="21"/>
                <w:color w:val="auto"/>
              </w:rPr>
            </w:pPr>
          </w:p>
        </w:tc>
        <w:tc>
          <w:tcPr>
            <w:tcW w:w="8000" w:type="dxa"/>
            <w:vAlign w:val="bottom"/>
            <w:tcBorders>
              <w:bottom w:val="single" w:sz="8" w:color="B2B2B2"/>
            </w:tcBorders>
            <w:gridSpan w:val="3"/>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52,547</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55,833</w:t>
            </w:r>
          </w:p>
        </w:tc>
      </w:tr>
      <w:tr>
        <w:trPr>
          <w:trHeight w:val="250"/>
        </w:trPr>
        <w:tc>
          <w:tcPr>
            <w:tcW w:w="20" w:type="dxa"/>
            <w:vAlign w:val="bottom"/>
            <w:tcBorders>
              <w:bottom w:val="single" w:sz="8" w:color="B2B2B2"/>
            </w:tcBorders>
            <w:shd w:val="clear" w:color="auto" w:fill="B2B2B2"/>
          </w:tcPr>
          <w:p>
            <w:pPr>
              <w:spacing w:after="0"/>
              <w:rPr>
                <w:sz w:val="21"/>
                <w:szCs w:val="21"/>
                <w:color w:val="auto"/>
              </w:rPr>
            </w:pPr>
          </w:p>
        </w:tc>
        <w:tc>
          <w:tcPr>
            <w:tcW w:w="8000" w:type="dxa"/>
            <w:vAlign w:val="bottom"/>
            <w:tcBorders>
              <w:bottom w:val="single" w:sz="8" w:color="B2B2B2"/>
            </w:tcBorders>
            <w:gridSpan w:val="3"/>
            <w:shd w:val="clear" w:color="auto" w:fill="B2B2B2"/>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B2B2B2"/>
          </w:tcPr>
          <w:p>
            <w:pPr>
              <w:spacing w:after="0"/>
              <w:rPr>
                <w:sz w:val="21"/>
                <w:szCs w:val="21"/>
                <w:color w:val="auto"/>
              </w:rPr>
            </w:pPr>
          </w:p>
        </w:tc>
        <w:tc>
          <w:tcPr>
            <w:tcW w:w="1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2,045,343</w:t>
            </w:r>
          </w:p>
        </w:tc>
        <w:tc>
          <w:tcPr>
            <w:tcW w:w="100" w:type="dxa"/>
            <w:vAlign w:val="bottom"/>
            <w:tcBorders>
              <w:bottom w:val="single" w:sz="8" w:color="B2B2B2"/>
            </w:tcBorders>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1,942,075</w:t>
            </w:r>
          </w:p>
        </w:tc>
      </w:tr>
      <w:tr>
        <w:trPr>
          <w:trHeight w:val="95"/>
        </w:trPr>
        <w:tc>
          <w:tcPr>
            <w:tcW w:w="20" w:type="dxa"/>
            <w:vAlign w:val="bottom"/>
            <w:shd w:val="clear" w:color="auto" w:fill="B2B2B2"/>
          </w:tcPr>
          <w:p>
            <w:pPr>
              <w:spacing w:after="0"/>
              <w:rPr>
                <w:sz w:val="8"/>
                <w:szCs w:val="8"/>
                <w:color w:val="auto"/>
              </w:rPr>
            </w:pPr>
          </w:p>
        </w:tc>
        <w:tc>
          <w:tcPr>
            <w:tcW w:w="780" w:type="dxa"/>
            <w:vAlign w:val="bottom"/>
            <w:shd w:val="clear" w:color="auto" w:fill="B2B2B2"/>
          </w:tcPr>
          <w:p>
            <w:pPr>
              <w:spacing w:after="0"/>
              <w:rPr>
                <w:sz w:val="8"/>
                <w:szCs w:val="8"/>
                <w:color w:val="auto"/>
              </w:rPr>
            </w:pPr>
          </w:p>
        </w:tc>
        <w:tc>
          <w:tcPr>
            <w:tcW w:w="800" w:type="dxa"/>
            <w:vAlign w:val="bottom"/>
            <w:shd w:val="clear" w:color="auto" w:fill="B2B2B2"/>
          </w:tcPr>
          <w:p>
            <w:pPr>
              <w:spacing w:after="0"/>
              <w:rPr>
                <w:sz w:val="8"/>
                <w:szCs w:val="8"/>
                <w:color w:val="auto"/>
              </w:rPr>
            </w:pPr>
          </w:p>
        </w:tc>
        <w:tc>
          <w:tcPr>
            <w:tcW w:w="6420" w:type="dxa"/>
            <w:vAlign w:val="bottom"/>
            <w:shd w:val="clear" w:color="auto" w:fill="B2B2B2"/>
          </w:tcPr>
          <w:p>
            <w:pPr>
              <w:spacing w:after="0"/>
              <w:rPr>
                <w:sz w:val="8"/>
                <w:szCs w:val="8"/>
                <w:color w:val="auto"/>
              </w:rPr>
            </w:pPr>
          </w:p>
        </w:tc>
        <w:tc>
          <w:tcPr>
            <w:tcW w:w="220" w:type="dxa"/>
            <w:vAlign w:val="bottom"/>
            <w:shd w:val="clear" w:color="auto" w:fill="B2B2B2"/>
          </w:tcPr>
          <w:p>
            <w:pPr>
              <w:spacing w:after="0"/>
              <w:rPr>
                <w:sz w:val="8"/>
                <w:szCs w:val="8"/>
                <w:color w:val="auto"/>
              </w:rPr>
            </w:pPr>
          </w:p>
        </w:tc>
        <w:tc>
          <w:tcPr>
            <w:tcW w:w="1360" w:type="dxa"/>
            <w:vAlign w:val="bottom"/>
            <w:shd w:val="clear" w:color="auto" w:fill="B2B2B2"/>
          </w:tcPr>
          <w:p>
            <w:pPr>
              <w:spacing w:after="0"/>
              <w:rPr>
                <w:sz w:val="8"/>
                <w:szCs w:val="8"/>
                <w:color w:val="auto"/>
              </w:rPr>
            </w:pPr>
          </w:p>
        </w:tc>
        <w:tc>
          <w:tcPr>
            <w:tcW w:w="100" w:type="dxa"/>
            <w:vAlign w:val="bottom"/>
            <w:shd w:val="clear" w:color="auto" w:fill="B2B2B2"/>
          </w:tcPr>
          <w:p>
            <w:pPr>
              <w:spacing w:after="0"/>
              <w:rPr>
                <w:sz w:val="8"/>
                <w:szCs w:val="8"/>
                <w:color w:val="auto"/>
              </w:rPr>
            </w:pPr>
          </w:p>
        </w:tc>
        <w:tc>
          <w:tcPr>
            <w:tcW w:w="160" w:type="dxa"/>
            <w:vAlign w:val="bottom"/>
            <w:shd w:val="clear" w:color="auto" w:fill="B2B2B2"/>
          </w:tcPr>
          <w:p>
            <w:pPr>
              <w:spacing w:after="0"/>
              <w:rPr>
                <w:sz w:val="8"/>
                <w:szCs w:val="8"/>
                <w:color w:val="auto"/>
              </w:rPr>
            </w:pPr>
          </w:p>
        </w:tc>
        <w:tc>
          <w:tcPr>
            <w:tcW w:w="1320" w:type="dxa"/>
            <w:vAlign w:val="bottom"/>
            <w:shd w:val="clear" w:color="auto" w:fill="B2B2B2"/>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8000" w:type="dxa"/>
            <w:vAlign w:val="bottom"/>
            <w:gridSpan w:val="3"/>
          </w:tcPr>
          <w:p>
            <w:pPr>
              <w:spacing w:after="0" w:line="202"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20" w:type="dxa"/>
            <w:vAlign w:val="bottom"/>
            <w:shd w:val="clear" w:color="auto" w:fill="B2B2B2"/>
          </w:tcPr>
          <w:p>
            <w:pPr>
              <w:spacing w:after="0"/>
              <w:rPr>
                <w:sz w:val="22"/>
                <w:szCs w:val="22"/>
                <w:color w:val="auto"/>
              </w:rPr>
            </w:pPr>
          </w:p>
        </w:tc>
        <w:tc>
          <w:tcPr>
            <w:tcW w:w="146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w w:val="95"/>
              </w:rPr>
              <w:t>Common stock, par value $.50 per share; 40,000,000 shares authorized and 15,505,772 shares issued at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September 30, 2021 and December 31, 2020</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7,753</w:t>
            </w:r>
          </w:p>
        </w:tc>
      </w:tr>
      <w:tr>
        <w:trPr>
          <w:trHeight w:val="263"/>
        </w:trPr>
        <w:tc>
          <w:tcPr>
            <w:tcW w:w="20" w:type="dxa"/>
            <w:vAlign w:val="bottom"/>
            <w:shd w:val="clear" w:color="auto" w:fill="B2B2B2"/>
          </w:tcPr>
          <w:p>
            <w:pPr>
              <w:spacing w:after="0"/>
              <w:rPr>
                <w:sz w:val="22"/>
                <w:szCs w:val="22"/>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B2B2B2"/>
          </w:tcPr>
          <w:p>
            <w:pPr>
              <w:spacing w:after="0"/>
              <w:rPr>
                <w:sz w:val="22"/>
                <w:szCs w:val="22"/>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204,113</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204,875</w:t>
            </w:r>
          </w:p>
        </w:tc>
      </w:tr>
      <w:tr>
        <w:trPr>
          <w:trHeight w:val="250"/>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99,062</w:t>
            </w:r>
          </w:p>
        </w:tc>
      </w:tr>
      <w:tr>
        <w:trPr>
          <w:trHeight w:val="222"/>
        </w:trPr>
        <w:tc>
          <w:tcPr>
            <w:tcW w:w="20" w:type="dxa"/>
            <w:vAlign w:val="bottom"/>
            <w:shd w:val="clear" w:color="auto" w:fill="B2B2B2"/>
          </w:tcPr>
          <w:p>
            <w:pPr>
              <w:spacing w:after="0"/>
              <w:rPr>
                <w:sz w:val="19"/>
                <w:szCs w:val="19"/>
                <w:color w:val="auto"/>
              </w:rPr>
            </w:pPr>
          </w:p>
        </w:tc>
        <w:tc>
          <w:tcPr>
            <w:tcW w:w="8000" w:type="dxa"/>
            <w:vAlign w:val="bottom"/>
            <w:gridSpan w:val="3"/>
            <w:shd w:val="clear" w:color="auto" w:fill="B2B2B2"/>
          </w:tcPr>
          <w:p>
            <w:pPr>
              <w:spacing w:after="0"/>
              <w:rPr>
                <w:sz w:val="20"/>
                <w:szCs w:val="20"/>
                <w:color w:val="auto"/>
              </w:rPr>
            </w:pPr>
            <w:r>
              <w:rPr>
                <w:rFonts w:ascii="Arial" w:cs="Arial" w:eastAsia="Arial" w:hAnsi="Arial"/>
                <w:sz w:val="18"/>
                <w:szCs w:val="18"/>
                <w:color w:val="auto"/>
                <w:w w:val="97"/>
              </w:rPr>
              <w:t>Common shares in treasury, at cost (1,495,624 shares at September 30, 2021 and 1,113,103 shares at</w:t>
            </w:r>
          </w:p>
        </w:tc>
        <w:tc>
          <w:tcPr>
            <w:tcW w:w="220" w:type="dxa"/>
            <w:vAlign w:val="bottom"/>
            <w:shd w:val="clear" w:color="auto" w:fill="B2B2B2"/>
          </w:tcPr>
          <w:p>
            <w:pPr>
              <w:spacing w:after="0"/>
              <w:rPr>
                <w:sz w:val="19"/>
                <w:szCs w:val="19"/>
                <w:color w:val="auto"/>
              </w:rPr>
            </w:pPr>
          </w:p>
        </w:tc>
        <w:tc>
          <w:tcPr>
            <w:tcW w:w="136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1320" w:type="dxa"/>
            <w:vAlign w:val="bottom"/>
            <w:shd w:val="clear" w:color="auto" w:fill="B2B2B2"/>
          </w:tcPr>
          <w:p>
            <w:pPr>
              <w:spacing w:after="0"/>
              <w:rPr>
                <w:sz w:val="19"/>
                <w:szCs w:val="19"/>
                <w:color w:val="auto"/>
              </w:rPr>
            </w:pPr>
          </w:p>
        </w:tc>
      </w:tr>
      <w:tr>
        <w:trPr>
          <w:trHeight w:val="244"/>
        </w:trPr>
        <w:tc>
          <w:tcPr>
            <w:tcW w:w="20" w:type="dxa"/>
            <w:vAlign w:val="bottom"/>
            <w:shd w:val="clear" w:color="auto" w:fill="B2B2B2"/>
          </w:tcPr>
          <w:p>
            <w:pPr>
              <w:spacing w:after="0"/>
              <w:rPr>
                <w:sz w:val="21"/>
                <w:szCs w:val="21"/>
                <w:color w:val="auto"/>
              </w:rPr>
            </w:pPr>
          </w:p>
        </w:tc>
        <w:tc>
          <w:tcPr>
            <w:tcW w:w="8000" w:type="dxa"/>
            <w:vAlign w:val="bottom"/>
            <w:gridSpan w:val="3"/>
            <w:shd w:val="clear" w:color="auto" w:fill="B2B2B2"/>
          </w:tcPr>
          <w:p>
            <w:pPr>
              <w:ind w:left="160"/>
              <w:spacing w:after="0"/>
              <w:rPr>
                <w:sz w:val="20"/>
                <w:szCs w:val="20"/>
                <w:color w:val="auto"/>
              </w:rPr>
            </w:pPr>
            <w:r>
              <w:rPr>
                <w:rFonts w:ascii="Arial" w:cs="Arial" w:eastAsia="Arial" w:hAnsi="Arial"/>
                <w:sz w:val="18"/>
                <w:szCs w:val="18"/>
                <w:color w:val="auto"/>
              </w:rPr>
              <w:t>December 31, 2020)</w:t>
            </w:r>
          </w:p>
        </w:tc>
        <w:tc>
          <w:tcPr>
            <w:tcW w:w="220" w:type="dxa"/>
            <w:vAlign w:val="bottom"/>
            <w:shd w:val="clear" w:color="auto" w:fill="B2B2B2"/>
          </w:tcPr>
          <w:p>
            <w:pPr>
              <w:spacing w:after="0"/>
              <w:rPr>
                <w:sz w:val="21"/>
                <w:szCs w:val="21"/>
                <w:color w:val="auto"/>
              </w:rPr>
            </w:pPr>
          </w:p>
        </w:tc>
        <w:tc>
          <w:tcPr>
            <w:tcW w:w="1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(67,018)</w:t>
            </w:r>
          </w:p>
        </w:tc>
        <w:tc>
          <w:tcPr>
            <w:tcW w:w="10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(50,515)</w:t>
            </w:r>
          </w:p>
        </w:tc>
      </w:tr>
      <w:tr>
        <w:trPr>
          <w:trHeight w:val="250"/>
        </w:trPr>
        <w:tc>
          <w:tcPr>
            <w:tcW w:w="20" w:type="dxa"/>
            <w:vAlign w:val="bottom"/>
            <w:tcBorders>
              <w:bottom w:val="single" w:sz="8" w:color="B2B2B2"/>
            </w:tcBorders>
          </w:tcPr>
          <w:p>
            <w:pPr>
              <w:spacing w:after="0"/>
              <w:rPr>
                <w:sz w:val="21"/>
                <w:szCs w:val="21"/>
                <w:color w:val="auto"/>
              </w:rPr>
            </w:pPr>
          </w:p>
        </w:tc>
        <w:tc>
          <w:tcPr>
            <w:tcW w:w="8000" w:type="dxa"/>
            <w:vAlign w:val="bottom"/>
            <w:tcBorders>
              <w:bottom w:val="single" w:sz="8" w:color="B2B2B2"/>
            </w:tcBorders>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20" w:type="dxa"/>
            <w:vAlign w:val="bottom"/>
            <w:shd w:val="clear" w:color="auto" w:fill="B2B2B2"/>
          </w:tcPr>
          <w:p>
            <w:pPr>
              <w:spacing w:after="0"/>
              <w:rPr>
                <w:sz w:val="21"/>
                <w:szCs w:val="21"/>
                <w:color w:val="auto"/>
              </w:rPr>
            </w:pPr>
          </w:p>
        </w:tc>
        <w:tc>
          <w:tcPr>
            <w:tcW w:w="8000" w:type="dxa"/>
            <w:vAlign w:val="bottom"/>
            <w:gridSpan w:val="3"/>
            <w:shd w:val="clear" w:color="auto" w:fill="B2B2B2"/>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B2B2B2"/>
          </w:tcPr>
          <w:p>
            <w:pPr>
              <w:spacing w:after="0"/>
              <w:rPr>
                <w:sz w:val="21"/>
                <w:szCs w:val="21"/>
                <w:color w:val="auto"/>
              </w:rPr>
            </w:pPr>
          </w:p>
        </w:tc>
        <w:tc>
          <w:tcPr>
            <w:tcW w:w="1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247,643</w:t>
            </w:r>
          </w:p>
        </w:tc>
        <w:tc>
          <w:tcPr>
            <w:tcW w:w="100" w:type="dxa"/>
            <w:vAlign w:val="bottom"/>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261,160</w:t>
            </w:r>
          </w:p>
        </w:tc>
      </w:tr>
      <w:tr>
        <w:trPr>
          <w:trHeight w:val="256"/>
        </w:trPr>
        <w:tc>
          <w:tcPr>
            <w:tcW w:w="20" w:type="dxa"/>
            <w:vAlign w:val="bottom"/>
          </w:tcPr>
          <w:p>
            <w:pPr>
              <w:spacing w:after="0"/>
              <w:rPr>
                <w:sz w:val="22"/>
                <w:szCs w:val="22"/>
                <w:color w:val="auto"/>
              </w:rPr>
            </w:pPr>
          </w:p>
        </w:tc>
        <w:tc>
          <w:tcPr>
            <w:tcW w:w="8000" w:type="dxa"/>
            <w:vAlign w:val="bottom"/>
            <w:gridSpan w:val="3"/>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2,292,986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2,203,235</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6860" w:type="dxa"/>
            <w:vAlign w:val="bottom"/>
            <w:gridSpan w:val="7"/>
          </w:tcPr>
          <w:p>
            <w:pPr>
              <w:jc w:val="center"/>
              <w:ind w:left="157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6860" w:type="dxa"/>
            <w:vAlign w:val="bottom"/>
            <w:gridSpan w:val="7"/>
          </w:tcPr>
          <w:p>
            <w:pPr>
              <w:jc w:val="center"/>
              <w:ind w:left="1570"/>
              <w:spacing w:after="0"/>
              <w:rPr>
                <w:sz w:val="20"/>
                <w:szCs w:val="20"/>
                <w:color w:val="auto"/>
              </w:rPr>
            </w:pPr>
            <w:r>
              <w:rPr>
                <w:rFonts w:ascii="Arial" w:cs="Arial" w:eastAsia="Arial" w:hAnsi="Arial"/>
                <w:sz w:val="18"/>
                <w:szCs w:val="18"/>
                <w:b w:val="1"/>
                <w:bCs w:val="1"/>
                <w:color w:val="auto"/>
              </w:rPr>
              <w:t>CONSOLIDATED STATEMENTS OF INCOME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60" w:type="dxa"/>
            <w:vAlign w:val="bottom"/>
            <w:gridSpan w:val="3"/>
          </w:tcPr>
          <w:p>
            <w:pPr>
              <w:jc w:val="center"/>
              <w:ind w:right="560"/>
              <w:spacing w:after="0" w:line="202" w:lineRule="exact"/>
              <w:rPr>
                <w:sz w:val="20"/>
                <w:szCs w:val="20"/>
                <w:color w:val="auto"/>
              </w:rPr>
            </w:pPr>
            <w:r>
              <w:rPr>
                <w:rFonts w:ascii="Arial" w:cs="Arial" w:eastAsia="Arial" w:hAnsi="Arial"/>
                <w:sz w:val="18"/>
                <w:szCs w:val="18"/>
                <w:color w:val="auto"/>
                <w:w w:val="93"/>
              </w:rPr>
              <w:t>(Unaudited)</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1360" w:type="dxa"/>
            <w:vAlign w:val="bottom"/>
          </w:tcPr>
          <w:p>
            <w:pPr>
              <w:spacing w:after="0"/>
              <w:rPr>
                <w:sz w:val="20"/>
                <w:szCs w:val="20"/>
                <w:color w:val="auto"/>
              </w:rPr>
            </w:pPr>
          </w:p>
        </w:tc>
        <w:tc>
          <w:tcPr>
            <w:tcW w:w="6860" w:type="dxa"/>
            <w:vAlign w:val="bottom"/>
            <w:gridSpan w:val="7"/>
          </w:tcPr>
          <w:p>
            <w:pPr>
              <w:jc w:val="center"/>
              <w:ind w:left="1590"/>
              <w:spacing w:after="0"/>
              <w:rPr>
                <w:sz w:val="20"/>
                <w:szCs w:val="20"/>
                <w:color w:val="auto"/>
              </w:rPr>
            </w:pPr>
            <w:r>
              <w:rPr>
                <w:rFonts w:ascii="Arial" w:cs="Arial" w:eastAsia="Arial" w:hAnsi="Arial"/>
                <w:sz w:val="18"/>
                <w:szCs w:val="18"/>
                <w:color w:val="auto"/>
                <w:w w:val="89"/>
              </w:rPr>
              <w:t>(Dollars in Thousands except Per Share Data)</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4"/>
        </w:trPr>
        <w:tc>
          <w:tcPr>
            <w:tcW w:w="1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6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13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44"/>
        </w:trPr>
        <w:tc>
          <w:tcPr>
            <w:tcW w:w="13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56"/>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b w:val="1"/>
                <w:bCs w:val="1"/>
                <w:color w:val="auto"/>
              </w:rPr>
              <w:t>Fee Revenue and Other Income:</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spacing w:after="0"/>
              <w:rPr>
                <w:sz w:val="22"/>
                <w:szCs w:val="22"/>
                <w:color w:val="auto"/>
              </w:rPr>
            </w:pP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Information services payment and processing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26,877</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24,376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78,441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72,540</w:t>
            </w:r>
          </w:p>
        </w:tc>
      </w:tr>
      <w:tr>
        <w:trPr>
          <w:trHeight w:val="263"/>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Bank service fees</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1,249</w:t>
            </w: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(Losses) gains on sales of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57"/>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B2B2B2"/>
          </w:tcPr>
          <w:p>
            <w:pPr>
              <w:spacing w:after="0"/>
              <w:rPr>
                <w:sz w:val="22"/>
                <w:szCs w:val="22"/>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B2B2B2"/>
          </w:tcPr>
          <w:p>
            <w:pPr>
              <w:spacing w:after="0"/>
              <w:rPr>
                <w:sz w:val="22"/>
                <w:szCs w:val="22"/>
                <w:color w:val="auto"/>
              </w:rPr>
            </w:pPr>
          </w:p>
        </w:tc>
        <w:tc>
          <w:tcPr>
            <w:tcW w:w="520" w:type="dxa"/>
            <w:vAlign w:val="bottom"/>
            <w:tcBorders>
              <w:bottom w:val="single" w:sz="8" w:color="auto"/>
            </w:tcBorders>
            <w:shd w:val="clear" w:color="auto" w:fill="B2B2B2"/>
          </w:tcPr>
          <w:p>
            <w:pPr>
              <w:spacing w:after="0"/>
              <w:rPr>
                <w:sz w:val="22"/>
                <w:szCs w:val="22"/>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B2B2B2"/>
          </w:tcPr>
          <w:p>
            <w:pPr>
              <w:spacing w:after="0"/>
              <w:rPr>
                <w:sz w:val="22"/>
                <w:szCs w:val="22"/>
                <w:color w:val="auto"/>
              </w:rPr>
            </w:pPr>
          </w:p>
        </w:tc>
        <w:tc>
          <w:tcPr>
            <w:tcW w:w="340" w:type="dxa"/>
            <w:vAlign w:val="bottom"/>
            <w:tcBorders>
              <w:bottom w:val="single" w:sz="8" w:color="auto"/>
            </w:tcBorders>
            <w:shd w:val="clear" w:color="auto" w:fill="B2B2B2"/>
          </w:tcPr>
          <w:p>
            <w:pPr>
              <w:spacing w:after="0"/>
              <w:rPr>
                <w:sz w:val="22"/>
                <w:szCs w:val="22"/>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B2B2B2"/>
          </w:tcPr>
          <w:p>
            <w:pPr>
              <w:spacing w:after="0"/>
              <w:rPr>
                <w:sz w:val="22"/>
                <w:szCs w:val="22"/>
                <w:color w:val="auto"/>
              </w:rPr>
            </w:pPr>
          </w:p>
        </w:tc>
        <w:tc>
          <w:tcPr>
            <w:tcW w:w="520" w:type="dxa"/>
            <w:vAlign w:val="bottom"/>
            <w:tcBorders>
              <w:bottom w:val="single" w:sz="8" w:color="auto"/>
            </w:tcBorders>
            <w:shd w:val="clear" w:color="auto" w:fill="B2B2B2"/>
          </w:tcPr>
          <w:p>
            <w:pPr>
              <w:spacing w:after="0"/>
              <w:rPr>
                <w:sz w:val="22"/>
                <w:szCs w:val="22"/>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343</w:t>
            </w:r>
          </w:p>
        </w:tc>
      </w:tr>
      <w:tr>
        <w:trPr>
          <w:trHeight w:val="250"/>
        </w:trPr>
        <w:tc>
          <w:tcPr>
            <w:tcW w:w="5120" w:type="dxa"/>
            <w:vAlign w:val="bottom"/>
            <w:gridSpan w:val="2"/>
          </w:tcPr>
          <w:p>
            <w:pPr>
              <w:ind w:left="380"/>
              <w:spacing w:after="0"/>
              <w:rPr>
                <w:sz w:val="20"/>
                <w:szCs w:val="20"/>
                <w:color w:val="auto"/>
              </w:rPr>
            </w:pPr>
            <w:r>
              <w:rPr>
                <w:rFonts w:ascii="Arial" w:cs="Arial" w:eastAsia="Arial" w:hAnsi="Arial"/>
                <w:sz w:val="18"/>
                <w:szCs w:val="18"/>
                <w:color w:val="auto"/>
              </w:rPr>
              <w:t>Total fee revenue and other 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27,577</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80,739</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75,201</w:t>
            </w:r>
          </w:p>
        </w:tc>
      </w:tr>
      <w:tr>
        <w:trPr>
          <w:trHeight w:val="40"/>
        </w:trPr>
        <w:tc>
          <w:tcPr>
            <w:tcW w:w="1360" w:type="dxa"/>
            <w:vAlign w:val="bottom"/>
          </w:tcPr>
          <w:p>
            <w:pPr>
              <w:spacing w:after="0"/>
              <w:rPr>
                <w:sz w:val="3"/>
                <w:szCs w:val="3"/>
                <w:color w:val="auto"/>
              </w:rPr>
            </w:pPr>
          </w:p>
        </w:tc>
        <w:tc>
          <w:tcPr>
            <w:tcW w:w="3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7"/>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b w:val="1"/>
                <w:bCs w:val="1"/>
                <w:color w:val="auto"/>
              </w:rPr>
              <w:t>Interest Income:</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spacing w:after="0"/>
              <w:rPr>
                <w:sz w:val="22"/>
                <w:szCs w:val="22"/>
                <w:color w:val="auto"/>
              </w:rPr>
            </w:pP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Interest and fees on loans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27,366</w:t>
            </w:r>
          </w:p>
        </w:tc>
      </w:tr>
      <w:tr>
        <w:trPr>
          <w:trHeight w:val="263"/>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Interest and dividends on securities:</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spacing w:after="0"/>
              <w:rPr>
                <w:sz w:val="22"/>
                <w:szCs w:val="22"/>
                <w:color w:val="auto"/>
              </w:rPr>
            </w:pPr>
          </w:p>
        </w:tc>
      </w:tr>
      <w:tr>
        <w:trPr>
          <w:trHeight w:val="250"/>
        </w:trPr>
        <w:tc>
          <w:tcPr>
            <w:tcW w:w="5120" w:type="dxa"/>
            <w:vAlign w:val="bottom"/>
            <w:gridSpan w:val="2"/>
          </w:tcPr>
          <w:p>
            <w:pPr>
              <w:ind w:left="380"/>
              <w:spacing w:after="0"/>
              <w:rPr>
                <w:sz w:val="20"/>
                <w:szCs w:val="20"/>
                <w:color w:val="auto"/>
              </w:rPr>
            </w:pPr>
            <w:r>
              <w:rPr>
                <w:rFonts w:ascii="Arial" w:cs="Arial" w:eastAsia="Arial" w:hAnsi="Arial"/>
                <w:sz w:val="18"/>
                <w:szCs w:val="18"/>
                <w:color w:val="auto"/>
              </w:rPr>
              <w:t>Taxable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63"/>
        </w:trPr>
        <w:tc>
          <w:tcPr>
            <w:tcW w:w="5120" w:type="dxa"/>
            <w:vAlign w:val="bottom"/>
            <w:gridSpan w:val="2"/>
            <w:shd w:val="clear" w:color="auto" w:fill="B2B2B2"/>
          </w:tcPr>
          <w:p>
            <w:pPr>
              <w:ind w:left="380"/>
              <w:spacing w:after="0"/>
              <w:rPr>
                <w:sz w:val="20"/>
                <w:szCs w:val="20"/>
                <w:color w:val="auto"/>
              </w:rPr>
            </w:pPr>
            <w:r>
              <w:rPr>
                <w:rFonts w:ascii="Arial" w:cs="Arial" w:eastAsia="Arial" w:hAnsi="Arial"/>
                <w:sz w:val="18"/>
                <w:szCs w:val="18"/>
                <w:color w:val="auto"/>
              </w:rPr>
              <w:t>Exempt from federal income taxes</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5,357</w:t>
            </w:r>
          </w:p>
        </w:tc>
      </w:tr>
      <w:tr>
        <w:trPr>
          <w:trHeight w:val="250"/>
        </w:trPr>
        <w:tc>
          <w:tcPr>
            <w:tcW w:w="5120" w:type="dxa"/>
            <w:vAlign w:val="bottom"/>
            <w:tcBorders>
              <w:bottom w:val="single" w:sz="8" w:color="B2B2B2"/>
            </w:tcBorders>
            <w:gridSpan w:val="2"/>
          </w:tcPr>
          <w:p>
            <w:pPr>
              <w:ind w:left="20"/>
              <w:spacing w:after="0"/>
              <w:rPr>
                <w:sz w:val="20"/>
                <w:szCs w:val="20"/>
                <w:color w:val="auto"/>
              </w:rPr>
            </w:pPr>
            <w:r>
              <w:rPr>
                <w:rFonts w:ascii="Arial" w:cs="Arial" w:eastAsia="Arial" w:hAnsi="Arial"/>
                <w:sz w:val="18"/>
                <w:szCs w:val="18"/>
                <w:color w:val="auto"/>
              </w:rPr>
              <w:t>Interest on federal funds sold and other short-term investments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B2B2B2"/>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B2B2B2"/>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B2B2B2"/>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r>
      <w:tr>
        <w:trPr>
          <w:trHeight w:val="296"/>
        </w:trPr>
        <w:tc>
          <w:tcPr>
            <w:tcW w:w="5120" w:type="dxa"/>
            <w:vAlign w:val="bottom"/>
            <w:tcBorders>
              <w:bottom w:val="single" w:sz="8" w:color="B2B2B2"/>
            </w:tcBorders>
            <w:gridSpan w:val="2"/>
            <w:shd w:val="clear" w:color="auto" w:fill="B2B2B2"/>
          </w:tcPr>
          <w:p>
            <w:pPr>
              <w:ind w:left="380"/>
              <w:spacing w:after="0"/>
              <w:rPr>
                <w:sz w:val="20"/>
                <w:szCs w:val="20"/>
                <w:color w:val="auto"/>
              </w:rPr>
            </w:pPr>
            <w:r>
              <w:rPr>
                <w:rFonts w:ascii="Arial" w:cs="Arial" w:eastAsia="Arial" w:hAnsi="Arial"/>
                <w:sz w:val="18"/>
                <w:szCs w:val="18"/>
                <w:color w:val="auto"/>
              </w:rPr>
              <w:t>Total interest income</w:t>
            </w:r>
          </w:p>
        </w:tc>
        <w:tc>
          <w:tcPr>
            <w:tcW w:w="340" w:type="dxa"/>
            <w:vAlign w:val="bottom"/>
            <w:tcBorders>
              <w:bottom w:val="single" w:sz="8" w:color="auto"/>
            </w:tcBorders>
            <w:shd w:val="clear" w:color="auto" w:fill="B2B2B2"/>
          </w:tcPr>
          <w:p>
            <w:pPr>
              <w:spacing w:after="0"/>
              <w:rPr>
                <w:sz w:val="24"/>
                <w:szCs w:val="24"/>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tcBorders>
              <w:bottom w:val="single" w:sz="8" w:color="B2B2B2"/>
            </w:tcBorders>
            <w:shd w:val="clear" w:color="auto" w:fill="B2B2B2"/>
          </w:tcPr>
          <w:p>
            <w:pPr>
              <w:spacing w:after="0"/>
              <w:rPr>
                <w:sz w:val="24"/>
                <w:szCs w:val="24"/>
                <w:color w:val="auto"/>
              </w:rPr>
            </w:pPr>
          </w:p>
        </w:tc>
        <w:tc>
          <w:tcPr>
            <w:tcW w:w="520" w:type="dxa"/>
            <w:vAlign w:val="bottom"/>
            <w:tcBorders>
              <w:bottom w:val="single" w:sz="8" w:color="auto"/>
            </w:tcBorders>
            <w:shd w:val="clear" w:color="auto" w:fill="B2B2B2"/>
          </w:tcPr>
          <w:p>
            <w:pPr>
              <w:spacing w:after="0"/>
              <w:rPr>
                <w:sz w:val="24"/>
                <w:szCs w:val="24"/>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11,279</w:t>
            </w:r>
          </w:p>
        </w:tc>
        <w:tc>
          <w:tcPr>
            <w:tcW w:w="80" w:type="dxa"/>
            <w:vAlign w:val="bottom"/>
            <w:tcBorders>
              <w:bottom w:val="single" w:sz="8" w:color="B2B2B2"/>
            </w:tcBorders>
            <w:shd w:val="clear" w:color="auto" w:fill="B2B2B2"/>
          </w:tcPr>
          <w:p>
            <w:pPr>
              <w:spacing w:after="0"/>
              <w:rPr>
                <w:sz w:val="24"/>
                <w:szCs w:val="24"/>
                <w:color w:val="auto"/>
              </w:rPr>
            </w:pPr>
          </w:p>
        </w:tc>
        <w:tc>
          <w:tcPr>
            <w:tcW w:w="340" w:type="dxa"/>
            <w:vAlign w:val="bottom"/>
            <w:tcBorders>
              <w:bottom w:val="single" w:sz="8" w:color="auto"/>
            </w:tcBorders>
            <w:shd w:val="clear" w:color="auto" w:fill="B2B2B2"/>
          </w:tcPr>
          <w:p>
            <w:pPr>
              <w:spacing w:after="0"/>
              <w:rPr>
                <w:sz w:val="24"/>
                <w:szCs w:val="24"/>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33,503</w:t>
            </w:r>
          </w:p>
        </w:tc>
        <w:tc>
          <w:tcPr>
            <w:tcW w:w="100" w:type="dxa"/>
            <w:vAlign w:val="bottom"/>
            <w:tcBorders>
              <w:bottom w:val="single" w:sz="8" w:color="B2B2B2"/>
            </w:tcBorders>
            <w:shd w:val="clear" w:color="auto" w:fill="B2B2B2"/>
          </w:tcPr>
          <w:p>
            <w:pPr>
              <w:spacing w:after="0"/>
              <w:rPr>
                <w:sz w:val="24"/>
                <w:szCs w:val="24"/>
                <w:color w:val="auto"/>
              </w:rPr>
            </w:pPr>
          </w:p>
        </w:tc>
        <w:tc>
          <w:tcPr>
            <w:tcW w:w="520" w:type="dxa"/>
            <w:vAlign w:val="bottom"/>
            <w:tcBorders>
              <w:bottom w:val="single" w:sz="8" w:color="auto"/>
            </w:tcBorders>
            <w:shd w:val="clear" w:color="auto" w:fill="B2B2B2"/>
          </w:tcPr>
          <w:p>
            <w:pPr>
              <w:spacing w:after="0"/>
              <w:rPr>
                <w:sz w:val="24"/>
                <w:szCs w:val="24"/>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35,259</w:t>
            </w:r>
          </w:p>
        </w:tc>
      </w:tr>
      <w:tr>
        <w:trPr>
          <w:trHeight w:val="250"/>
        </w:trPr>
        <w:tc>
          <w:tcPr>
            <w:tcW w:w="5120" w:type="dxa"/>
            <w:vAlign w:val="bottom"/>
            <w:tcBorders>
              <w:top w:val="single" w:sz="8" w:color="B2B2B2"/>
            </w:tcBorders>
            <w:gridSpan w:val="2"/>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top w:val="single" w:sz="8" w:color="B2B2B2"/>
            </w:tcBorders>
          </w:tcPr>
          <w:p>
            <w:pPr>
              <w:spacing w:after="0"/>
              <w:rPr>
                <w:sz w:val="21"/>
                <w:szCs w:val="21"/>
                <w:color w:val="auto"/>
              </w:rPr>
            </w:pPr>
          </w:p>
        </w:tc>
        <w:tc>
          <w:tcPr>
            <w:tcW w:w="1120" w:type="dxa"/>
            <w:vAlign w:val="bottom"/>
            <w:tcBorders>
              <w:top w:val="single" w:sz="8" w:color="B2B2B2"/>
            </w:tcBorders>
          </w:tcPr>
          <w:p>
            <w:pPr>
              <w:spacing w:after="0"/>
              <w:rPr>
                <w:sz w:val="21"/>
                <w:szCs w:val="21"/>
                <w:color w:val="auto"/>
              </w:rPr>
            </w:pPr>
          </w:p>
        </w:tc>
        <w:tc>
          <w:tcPr>
            <w:tcW w:w="100" w:type="dxa"/>
            <w:vAlign w:val="bottom"/>
            <w:tcBorders>
              <w:top w:val="single" w:sz="8" w:color="B2B2B2"/>
            </w:tcBorders>
          </w:tcPr>
          <w:p>
            <w:pPr>
              <w:spacing w:after="0"/>
              <w:rPr>
                <w:sz w:val="21"/>
                <w:szCs w:val="21"/>
                <w:color w:val="auto"/>
              </w:rPr>
            </w:pPr>
          </w:p>
        </w:tc>
        <w:tc>
          <w:tcPr>
            <w:tcW w:w="520" w:type="dxa"/>
            <w:vAlign w:val="bottom"/>
            <w:tcBorders>
              <w:top w:val="single" w:sz="8" w:color="B2B2B2"/>
            </w:tcBorders>
          </w:tcPr>
          <w:p>
            <w:pPr>
              <w:spacing w:after="0"/>
              <w:rPr>
                <w:sz w:val="21"/>
                <w:szCs w:val="21"/>
                <w:color w:val="auto"/>
              </w:rPr>
            </w:pPr>
          </w:p>
        </w:tc>
        <w:tc>
          <w:tcPr>
            <w:tcW w:w="940" w:type="dxa"/>
            <w:vAlign w:val="bottom"/>
            <w:tcBorders>
              <w:top w:val="single" w:sz="8" w:color="B2B2B2"/>
            </w:tcBorders>
          </w:tcPr>
          <w:p>
            <w:pPr>
              <w:spacing w:after="0"/>
              <w:rPr>
                <w:sz w:val="21"/>
                <w:szCs w:val="21"/>
                <w:color w:val="auto"/>
              </w:rPr>
            </w:pPr>
          </w:p>
        </w:tc>
        <w:tc>
          <w:tcPr>
            <w:tcW w:w="80" w:type="dxa"/>
            <w:vAlign w:val="bottom"/>
            <w:tcBorders>
              <w:top w:val="single" w:sz="8" w:color="B2B2B2"/>
            </w:tcBorders>
          </w:tcPr>
          <w:p>
            <w:pPr>
              <w:spacing w:after="0"/>
              <w:rPr>
                <w:sz w:val="21"/>
                <w:szCs w:val="21"/>
                <w:color w:val="auto"/>
              </w:rPr>
            </w:pPr>
          </w:p>
        </w:tc>
        <w:tc>
          <w:tcPr>
            <w:tcW w:w="340" w:type="dxa"/>
            <w:vAlign w:val="bottom"/>
            <w:tcBorders>
              <w:top w:val="single" w:sz="8" w:color="B2B2B2"/>
            </w:tcBorders>
          </w:tcPr>
          <w:p>
            <w:pPr>
              <w:spacing w:after="0"/>
              <w:rPr>
                <w:sz w:val="21"/>
                <w:szCs w:val="21"/>
                <w:color w:val="auto"/>
              </w:rPr>
            </w:pPr>
          </w:p>
        </w:tc>
        <w:tc>
          <w:tcPr>
            <w:tcW w:w="1120" w:type="dxa"/>
            <w:vAlign w:val="bottom"/>
            <w:tcBorders>
              <w:top w:val="single" w:sz="8" w:color="B2B2B2"/>
            </w:tcBorders>
          </w:tcPr>
          <w:p>
            <w:pPr>
              <w:spacing w:after="0"/>
              <w:rPr>
                <w:sz w:val="21"/>
                <w:szCs w:val="21"/>
                <w:color w:val="auto"/>
              </w:rPr>
            </w:pPr>
          </w:p>
        </w:tc>
        <w:tc>
          <w:tcPr>
            <w:tcW w:w="100" w:type="dxa"/>
            <w:vAlign w:val="bottom"/>
            <w:tcBorders>
              <w:top w:val="single" w:sz="8" w:color="B2B2B2"/>
            </w:tcBorders>
          </w:tcPr>
          <w:p>
            <w:pPr>
              <w:spacing w:after="0"/>
              <w:rPr>
                <w:sz w:val="21"/>
                <w:szCs w:val="21"/>
                <w:color w:val="auto"/>
              </w:rPr>
            </w:pPr>
          </w:p>
        </w:tc>
        <w:tc>
          <w:tcPr>
            <w:tcW w:w="520" w:type="dxa"/>
            <w:vAlign w:val="bottom"/>
            <w:tcBorders>
              <w:top w:val="single" w:sz="8" w:color="B2B2B2"/>
            </w:tcBorders>
          </w:tcPr>
          <w:p>
            <w:pPr>
              <w:spacing w:after="0"/>
              <w:rPr>
                <w:sz w:val="21"/>
                <w:szCs w:val="21"/>
                <w:color w:val="auto"/>
              </w:rPr>
            </w:pPr>
          </w:p>
        </w:tc>
        <w:tc>
          <w:tcPr>
            <w:tcW w:w="940" w:type="dxa"/>
            <w:vAlign w:val="bottom"/>
            <w:tcBorders>
              <w:top w:val="single" w:sz="8" w:color="B2B2B2"/>
            </w:tcBorders>
          </w:tcPr>
          <w:p>
            <w:pPr>
              <w:spacing w:after="0"/>
              <w:rPr>
                <w:sz w:val="21"/>
                <w:szCs w:val="21"/>
                <w:color w:val="auto"/>
              </w:rPr>
            </w:pPr>
          </w:p>
        </w:tc>
      </w:tr>
      <w:tr>
        <w:trPr>
          <w:trHeight w:val="263"/>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Interest on deposits</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1,909</w:t>
            </w: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Interest on short-term borrowings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5120" w:type="dxa"/>
            <w:vAlign w:val="bottom"/>
            <w:tcBorders>
              <w:top w:val="single" w:sz="8" w:color="B2B2B2"/>
            </w:tcBorders>
            <w:gridSpan w:val="2"/>
            <w:shd w:val="clear" w:color="auto" w:fill="B2B2B2"/>
          </w:tcPr>
          <w:p>
            <w:pPr>
              <w:ind w:left="38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top w:val="single" w:sz="8" w:color="auto"/>
              <w:bottom w:val="single" w:sz="8" w:color="auto"/>
            </w:tcBorders>
            <w:shd w:val="clear" w:color="auto" w:fill="B2B2B2"/>
          </w:tcPr>
          <w:p>
            <w:pPr>
              <w:spacing w:after="0"/>
              <w:rPr>
                <w:sz w:val="21"/>
                <w:szCs w:val="21"/>
                <w:color w:val="auto"/>
              </w:rPr>
            </w:pPr>
          </w:p>
        </w:tc>
        <w:tc>
          <w:tcPr>
            <w:tcW w:w="11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B2B2B2"/>
            </w:tcBorders>
            <w:shd w:val="clear" w:color="auto" w:fill="B2B2B2"/>
          </w:tcPr>
          <w:p>
            <w:pPr>
              <w:spacing w:after="0"/>
              <w:rPr>
                <w:sz w:val="21"/>
                <w:szCs w:val="21"/>
                <w:color w:val="auto"/>
              </w:rPr>
            </w:pPr>
          </w:p>
        </w:tc>
        <w:tc>
          <w:tcPr>
            <w:tcW w:w="520" w:type="dxa"/>
            <w:vAlign w:val="bottom"/>
            <w:tcBorders>
              <w:top w:val="single" w:sz="8" w:color="auto"/>
              <w:bottom w:val="single" w:sz="8" w:color="auto"/>
            </w:tcBorders>
            <w:shd w:val="clear" w:color="auto" w:fill="B2B2B2"/>
          </w:tcPr>
          <w:p>
            <w:pPr>
              <w:spacing w:after="0"/>
              <w:rPr>
                <w:sz w:val="21"/>
                <w:szCs w:val="21"/>
                <w:color w:val="auto"/>
              </w:rPr>
            </w:pP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top w:val="single" w:sz="8" w:color="B2B2B2"/>
            </w:tcBorders>
            <w:shd w:val="clear" w:color="auto" w:fill="B2B2B2"/>
          </w:tcPr>
          <w:p>
            <w:pPr>
              <w:spacing w:after="0"/>
              <w:rPr>
                <w:sz w:val="21"/>
                <w:szCs w:val="21"/>
                <w:color w:val="auto"/>
              </w:rPr>
            </w:pPr>
          </w:p>
        </w:tc>
        <w:tc>
          <w:tcPr>
            <w:tcW w:w="340" w:type="dxa"/>
            <w:vAlign w:val="bottom"/>
            <w:tcBorders>
              <w:top w:val="single" w:sz="8" w:color="auto"/>
              <w:bottom w:val="single" w:sz="8" w:color="auto"/>
            </w:tcBorders>
            <w:shd w:val="clear" w:color="auto" w:fill="B2B2B2"/>
          </w:tcPr>
          <w:p>
            <w:pPr>
              <w:spacing w:after="0"/>
              <w:rPr>
                <w:sz w:val="21"/>
                <w:szCs w:val="21"/>
                <w:color w:val="auto"/>
              </w:rPr>
            </w:pPr>
          </w:p>
        </w:tc>
        <w:tc>
          <w:tcPr>
            <w:tcW w:w="11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top w:val="single" w:sz="8" w:color="B2B2B2"/>
            </w:tcBorders>
            <w:shd w:val="clear" w:color="auto" w:fill="B2B2B2"/>
          </w:tcPr>
          <w:p>
            <w:pPr>
              <w:spacing w:after="0"/>
              <w:rPr>
                <w:sz w:val="21"/>
                <w:szCs w:val="21"/>
                <w:color w:val="auto"/>
              </w:rPr>
            </w:pPr>
          </w:p>
        </w:tc>
        <w:tc>
          <w:tcPr>
            <w:tcW w:w="520" w:type="dxa"/>
            <w:vAlign w:val="bottom"/>
            <w:tcBorders>
              <w:top w:val="single" w:sz="8" w:color="auto"/>
              <w:bottom w:val="single" w:sz="8" w:color="auto"/>
            </w:tcBorders>
            <w:shd w:val="clear" w:color="auto" w:fill="B2B2B2"/>
          </w:tcPr>
          <w:p>
            <w:pPr>
              <w:spacing w:after="0"/>
              <w:rPr>
                <w:sz w:val="21"/>
                <w:szCs w:val="21"/>
                <w:color w:val="auto"/>
              </w:rPr>
            </w:pP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1,911</w:t>
            </w:r>
          </w:p>
        </w:tc>
      </w:tr>
      <w:tr>
        <w:trPr>
          <w:trHeight w:val="250"/>
        </w:trPr>
        <w:tc>
          <w:tcPr>
            <w:tcW w:w="5120" w:type="dxa"/>
            <w:vAlign w:val="bottom"/>
            <w:gridSpan w:val="2"/>
          </w:tcPr>
          <w:p>
            <w:pPr>
              <w:ind w:left="380"/>
              <w:spacing w:after="0"/>
              <w:rPr>
                <w:sz w:val="20"/>
                <w:szCs w:val="20"/>
                <w:color w:val="auto"/>
              </w:rPr>
            </w:pPr>
            <w:r>
              <w:rPr>
                <w:rFonts w:ascii="Arial" w:cs="Arial" w:eastAsia="Arial" w:hAnsi="Arial"/>
                <w:sz w:val="18"/>
                <w:szCs w:val="18"/>
                <w:color w:val="auto"/>
              </w:rPr>
              <w:t>Net interest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33,348</w:t>
            </w:r>
          </w:p>
        </w:tc>
      </w:tr>
      <w:tr>
        <w:trPr>
          <w:trHeight w:val="263"/>
        </w:trPr>
        <w:tc>
          <w:tcPr>
            <w:tcW w:w="512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Provision for (release of) credit losses / loan losses</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102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725</w:t>
            </w:r>
          </w:p>
        </w:tc>
      </w:tr>
      <w:tr>
        <w:trPr>
          <w:trHeight w:val="195"/>
        </w:trPr>
        <w:tc>
          <w:tcPr>
            <w:tcW w:w="5120" w:type="dxa"/>
            <w:vAlign w:val="bottom"/>
            <w:gridSpan w:val="2"/>
          </w:tcPr>
          <w:p>
            <w:pPr>
              <w:ind w:left="600"/>
              <w:spacing w:after="0" w:line="195" w:lineRule="exact"/>
              <w:rPr>
                <w:sz w:val="20"/>
                <w:szCs w:val="20"/>
                <w:color w:val="auto"/>
              </w:rPr>
            </w:pPr>
            <w:r>
              <w:rPr>
                <w:rFonts w:ascii="Arial" w:cs="Arial" w:eastAsia="Arial" w:hAnsi="Arial"/>
                <w:sz w:val="18"/>
                <w:szCs w:val="18"/>
                <w:color w:val="auto"/>
              </w:rPr>
              <w:t>Net interest income after provision for (release of) credit</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37"/>
        </w:trPr>
        <w:tc>
          <w:tcPr>
            <w:tcW w:w="5120" w:type="dxa"/>
            <w:vAlign w:val="bottom"/>
            <w:tcBorders>
              <w:bottom w:val="single" w:sz="8" w:color="B2B2B2"/>
            </w:tcBorders>
            <w:gridSpan w:val="2"/>
          </w:tcPr>
          <w:p>
            <w:pPr>
              <w:ind w:left="840"/>
              <w:spacing w:after="0"/>
              <w:rPr>
                <w:sz w:val="20"/>
                <w:szCs w:val="20"/>
                <w:color w:val="auto"/>
              </w:rPr>
            </w:pPr>
            <w:r>
              <w:rPr>
                <w:rFonts w:ascii="Arial" w:cs="Arial" w:eastAsia="Arial" w:hAnsi="Arial"/>
                <w:sz w:val="18"/>
                <w:szCs w:val="18"/>
                <w:color w:val="auto"/>
              </w:rPr>
              <w:t>losses / loan losses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w:t>
            </w:r>
          </w:p>
        </w:tc>
        <w:tc>
          <w:tcPr>
            <w:tcW w:w="80" w:type="dxa"/>
            <w:vAlign w:val="bottom"/>
            <w:tcBorders>
              <w:bottom w:val="single" w:sz="8" w:color="B2B2B2"/>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33,458</w:t>
            </w: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32,623</w:t>
            </w:r>
          </w:p>
        </w:tc>
      </w:tr>
      <w:tr>
        <w:trPr>
          <w:trHeight w:val="243"/>
        </w:trPr>
        <w:tc>
          <w:tcPr>
            <w:tcW w:w="5120" w:type="dxa"/>
            <w:vAlign w:val="bottom"/>
            <w:gridSpan w:val="2"/>
            <w:shd w:val="clear" w:color="auto" w:fill="B2B2B2"/>
          </w:tcPr>
          <w:p>
            <w:pPr>
              <w:ind w:left="560"/>
              <w:spacing w:after="0"/>
              <w:rPr>
                <w:sz w:val="20"/>
                <w:szCs w:val="20"/>
                <w:color w:val="auto"/>
              </w:rPr>
            </w:pPr>
            <w:r>
              <w:rPr>
                <w:rFonts w:ascii="Arial" w:cs="Arial" w:eastAsia="Arial" w:hAnsi="Arial"/>
                <w:sz w:val="18"/>
                <w:szCs w:val="18"/>
                <w:color w:val="auto"/>
              </w:rPr>
              <w:t>Total net revenue</w:t>
            </w:r>
          </w:p>
        </w:tc>
        <w:tc>
          <w:tcPr>
            <w:tcW w:w="340" w:type="dxa"/>
            <w:vAlign w:val="bottom"/>
            <w:shd w:val="clear" w:color="auto" w:fill="B2B2B2"/>
          </w:tcPr>
          <w:p>
            <w:pPr>
              <w:spacing w:after="0"/>
              <w:rPr>
                <w:sz w:val="21"/>
                <w:szCs w:val="21"/>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38,669</w:t>
            </w:r>
          </w:p>
        </w:tc>
        <w:tc>
          <w:tcPr>
            <w:tcW w:w="100" w:type="dxa"/>
            <w:vAlign w:val="bottom"/>
            <w:shd w:val="clear" w:color="auto" w:fill="B2B2B2"/>
          </w:tcPr>
          <w:p>
            <w:pPr>
              <w:spacing w:after="0"/>
              <w:rPr>
                <w:sz w:val="21"/>
                <w:szCs w:val="21"/>
                <w:color w:val="auto"/>
              </w:rPr>
            </w:pPr>
          </w:p>
        </w:tc>
        <w:tc>
          <w:tcPr>
            <w:tcW w:w="520" w:type="dxa"/>
            <w:vAlign w:val="bottom"/>
            <w:shd w:val="clear" w:color="auto" w:fill="B2B2B2"/>
          </w:tcPr>
          <w:p>
            <w:pPr>
              <w:spacing w:after="0"/>
              <w:rPr>
                <w:sz w:val="21"/>
                <w:szCs w:val="21"/>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35,746</w:t>
            </w:r>
          </w:p>
        </w:tc>
        <w:tc>
          <w:tcPr>
            <w:tcW w:w="80" w:type="dxa"/>
            <w:vAlign w:val="bottom"/>
            <w:shd w:val="clear" w:color="auto" w:fill="B2B2B2"/>
          </w:tcPr>
          <w:p>
            <w:pPr>
              <w:spacing w:after="0"/>
              <w:rPr>
                <w:sz w:val="21"/>
                <w:szCs w:val="21"/>
                <w:color w:val="auto"/>
              </w:rPr>
            </w:pPr>
          </w:p>
        </w:tc>
        <w:tc>
          <w:tcPr>
            <w:tcW w:w="340" w:type="dxa"/>
            <w:vAlign w:val="bottom"/>
            <w:shd w:val="clear" w:color="auto" w:fill="B2B2B2"/>
          </w:tcPr>
          <w:p>
            <w:pPr>
              <w:spacing w:after="0"/>
              <w:rPr>
                <w:sz w:val="21"/>
                <w:szCs w:val="21"/>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114,197</w:t>
            </w:r>
          </w:p>
        </w:tc>
        <w:tc>
          <w:tcPr>
            <w:tcW w:w="100" w:type="dxa"/>
            <w:vAlign w:val="bottom"/>
            <w:shd w:val="clear" w:color="auto" w:fill="B2B2B2"/>
          </w:tcPr>
          <w:p>
            <w:pPr>
              <w:spacing w:after="0"/>
              <w:rPr>
                <w:sz w:val="21"/>
                <w:szCs w:val="21"/>
                <w:color w:val="auto"/>
              </w:rPr>
            </w:pPr>
          </w:p>
        </w:tc>
        <w:tc>
          <w:tcPr>
            <w:tcW w:w="520" w:type="dxa"/>
            <w:vAlign w:val="bottom"/>
            <w:shd w:val="clear" w:color="auto" w:fill="B2B2B2"/>
          </w:tcPr>
          <w:p>
            <w:pPr>
              <w:spacing w:after="0"/>
              <w:rPr>
                <w:sz w:val="21"/>
                <w:szCs w:val="21"/>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107,824</w:t>
            </w:r>
          </w:p>
        </w:tc>
      </w:tr>
      <w:tr>
        <w:trPr>
          <w:trHeight w:val="68"/>
        </w:trPr>
        <w:tc>
          <w:tcPr>
            <w:tcW w:w="5120" w:type="dxa"/>
            <w:vAlign w:val="bottom"/>
            <w:gridSpan w:val="2"/>
            <w:shd w:val="clear" w:color="auto" w:fill="B2B2B2"/>
          </w:tcPr>
          <w:p>
            <w:pPr>
              <w:spacing w:after="0"/>
              <w:rPr>
                <w:sz w:val="5"/>
                <w:szCs w:val="5"/>
                <w:color w:val="auto"/>
              </w:rPr>
            </w:pPr>
          </w:p>
        </w:tc>
        <w:tc>
          <w:tcPr>
            <w:tcW w:w="340" w:type="dxa"/>
            <w:vAlign w:val="bottom"/>
            <w:shd w:val="clear" w:color="auto" w:fill="B2B2B2"/>
          </w:tcPr>
          <w:p>
            <w:pPr>
              <w:spacing w:after="0"/>
              <w:rPr>
                <w:sz w:val="5"/>
                <w:szCs w:val="5"/>
                <w:color w:val="auto"/>
              </w:rPr>
            </w:pPr>
          </w:p>
        </w:tc>
        <w:tc>
          <w:tcPr>
            <w:tcW w:w="112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520" w:type="dxa"/>
            <w:vAlign w:val="bottom"/>
            <w:shd w:val="clear" w:color="auto" w:fill="B2B2B2"/>
          </w:tcPr>
          <w:p>
            <w:pPr>
              <w:spacing w:after="0"/>
              <w:rPr>
                <w:sz w:val="5"/>
                <w:szCs w:val="5"/>
                <w:color w:val="auto"/>
              </w:rPr>
            </w:pPr>
          </w:p>
        </w:tc>
        <w:tc>
          <w:tcPr>
            <w:tcW w:w="94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340" w:type="dxa"/>
            <w:vAlign w:val="bottom"/>
            <w:shd w:val="clear" w:color="auto" w:fill="B2B2B2"/>
          </w:tcPr>
          <w:p>
            <w:pPr>
              <w:spacing w:after="0"/>
              <w:rPr>
                <w:sz w:val="5"/>
                <w:szCs w:val="5"/>
                <w:color w:val="auto"/>
              </w:rPr>
            </w:pPr>
          </w:p>
        </w:tc>
        <w:tc>
          <w:tcPr>
            <w:tcW w:w="112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520" w:type="dxa"/>
            <w:vAlign w:val="bottom"/>
            <w:shd w:val="clear" w:color="auto" w:fill="B2B2B2"/>
          </w:tcPr>
          <w:p>
            <w:pPr>
              <w:spacing w:after="0"/>
              <w:rPr>
                <w:sz w:val="5"/>
                <w:szCs w:val="5"/>
                <w:color w:val="auto"/>
              </w:rPr>
            </w:pPr>
          </w:p>
        </w:tc>
        <w:tc>
          <w:tcPr>
            <w:tcW w:w="940" w:type="dxa"/>
            <w:vAlign w:val="bottom"/>
            <w:shd w:val="clear" w:color="auto" w:fill="B2B2B2"/>
          </w:tcPr>
          <w:p>
            <w:pPr>
              <w:spacing w:after="0"/>
              <w:rPr>
                <w:sz w:val="5"/>
                <w:szCs w:val="5"/>
                <w:color w:val="auto"/>
              </w:rPr>
            </w:pP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Personnel</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23,283</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22,521</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68,689</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65,839</w:t>
            </w: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2,809</w:t>
            </w:r>
          </w:p>
        </w:tc>
      </w:tr>
      <w:tr>
        <w:trPr>
          <w:trHeight w:val="263"/>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Equipment</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4,900</w:t>
            </w: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57"/>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Other operating expense</w:t>
            </w:r>
          </w:p>
        </w:tc>
        <w:tc>
          <w:tcPr>
            <w:tcW w:w="340" w:type="dxa"/>
            <w:vAlign w:val="bottom"/>
            <w:tcBorders>
              <w:bottom w:val="single" w:sz="8" w:color="auto"/>
            </w:tcBorders>
            <w:shd w:val="clear" w:color="auto" w:fill="B2B2B2"/>
          </w:tcPr>
          <w:p>
            <w:pPr>
              <w:spacing w:after="0"/>
              <w:rPr>
                <w:sz w:val="22"/>
                <w:szCs w:val="22"/>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4,539</w:t>
            </w:r>
          </w:p>
        </w:tc>
        <w:tc>
          <w:tcPr>
            <w:tcW w:w="100" w:type="dxa"/>
            <w:vAlign w:val="bottom"/>
            <w:shd w:val="clear" w:color="auto" w:fill="B2B2B2"/>
          </w:tcPr>
          <w:p>
            <w:pPr>
              <w:spacing w:after="0"/>
              <w:rPr>
                <w:sz w:val="22"/>
                <w:szCs w:val="22"/>
                <w:color w:val="auto"/>
              </w:rPr>
            </w:pPr>
          </w:p>
        </w:tc>
        <w:tc>
          <w:tcPr>
            <w:tcW w:w="520" w:type="dxa"/>
            <w:vAlign w:val="bottom"/>
            <w:tcBorders>
              <w:bottom w:val="single" w:sz="8" w:color="auto"/>
            </w:tcBorders>
            <w:shd w:val="clear" w:color="auto" w:fill="B2B2B2"/>
          </w:tcPr>
          <w:p>
            <w:pPr>
              <w:spacing w:after="0"/>
              <w:rPr>
                <w:sz w:val="22"/>
                <w:szCs w:val="22"/>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B2B2B2"/>
          </w:tcPr>
          <w:p>
            <w:pPr>
              <w:spacing w:after="0"/>
              <w:rPr>
                <w:sz w:val="22"/>
                <w:szCs w:val="22"/>
                <w:color w:val="auto"/>
              </w:rPr>
            </w:pPr>
          </w:p>
        </w:tc>
        <w:tc>
          <w:tcPr>
            <w:tcW w:w="340" w:type="dxa"/>
            <w:vAlign w:val="bottom"/>
            <w:tcBorders>
              <w:bottom w:val="single" w:sz="8" w:color="auto"/>
            </w:tcBorders>
            <w:shd w:val="clear" w:color="auto" w:fill="B2B2B2"/>
          </w:tcPr>
          <w:p>
            <w:pPr>
              <w:spacing w:after="0"/>
              <w:rPr>
                <w:sz w:val="22"/>
                <w:szCs w:val="22"/>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11,798</w:t>
            </w:r>
          </w:p>
        </w:tc>
        <w:tc>
          <w:tcPr>
            <w:tcW w:w="100" w:type="dxa"/>
            <w:vAlign w:val="bottom"/>
            <w:shd w:val="clear" w:color="auto" w:fill="B2B2B2"/>
          </w:tcPr>
          <w:p>
            <w:pPr>
              <w:spacing w:after="0"/>
              <w:rPr>
                <w:sz w:val="22"/>
                <w:szCs w:val="22"/>
                <w:color w:val="auto"/>
              </w:rPr>
            </w:pPr>
          </w:p>
        </w:tc>
        <w:tc>
          <w:tcPr>
            <w:tcW w:w="520" w:type="dxa"/>
            <w:vAlign w:val="bottom"/>
            <w:tcBorders>
              <w:bottom w:val="single" w:sz="8" w:color="auto"/>
            </w:tcBorders>
            <w:shd w:val="clear" w:color="auto" w:fill="B2B2B2"/>
          </w:tcPr>
          <w:p>
            <w:pPr>
              <w:spacing w:after="0"/>
              <w:rPr>
                <w:sz w:val="22"/>
                <w:szCs w:val="22"/>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10,774</w:t>
            </w:r>
          </w:p>
        </w:tc>
      </w:tr>
      <w:tr>
        <w:trPr>
          <w:trHeight w:val="250"/>
        </w:trPr>
        <w:tc>
          <w:tcPr>
            <w:tcW w:w="5120" w:type="dxa"/>
            <w:vAlign w:val="bottom"/>
            <w:tcBorders>
              <w:bottom w:val="single" w:sz="8" w:color="B2B2B2"/>
            </w:tcBorders>
            <w:gridSpan w:val="2"/>
          </w:tcPr>
          <w:p>
            <w:pPr>
              <w:ind w:left="380"/>
              <w:spacing w:after="0"/>
              <w:rPr>
                <w:sz w:val="20"/>
                <w:szCs w:val="20"/>
                <w:color w:val="auto"/>
              </w:rPr>
            </w:pPr>
            <w:r>
              <w:rPr>
                <w:rFonts w:ascii="Arial" w:cs="Arial" w:eastAsia="Arial" w:hAnsi="Arial"/>
                <w:sz w:val="18"/>
                <w:szCs w:val="18"/>
                <w:color w:val="auto"/>
              </w:rPr>
              <w:t>Total operating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30,690</w:t>
            </w:r>
          </w:p>
        </w:tc>
        <w:tc>
          <w:tcPr>
            <w:tcW w:w="100" w:type="dxa"/>
            <w:vAlign w:val="bottom"/>
            <w:tcBorders>
              <w:bottom w:val="single" w:sz="8" w:color="B2B2B2"/>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28,680</w:t>
            </w:r>
          </w:p>
        </w:tc>
        <w:tc>
          <w:tcPr>
            <w:tcW w:w="80" w:type="dxa"/>
            <w:vAlign w:val="bottom"/>
            <w:tcBorders>
              <w:bottom w:val="single" w:sz="8" w:color="B2B2B2"/>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89,018</w:t>
            </w:r>
          </w:p>
        </w:tc>
        <w:tc>
          <w:tcPr>
            <w:tcW w:w="100" w:type="dxa"/>
            <w:vAlign w:val="bottom"/>
            <w:tcBorders>
              <w:bottom w:val="single" w:sz="8" w:color="B2B2B2"/>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84,966</w:t>
            </w:r>
          </w:p>
        </w:tc>
      </w:tr>
      <w:tr>
        <w:trPr>
          <w:trHeight w:val="257"/>
        </w:trPr>
        <w:tc>
          <w:tcPr>
            <w:tcW w:w="5120" w:type="dxa"/>
            <w:vAlign w:val="bottom"/>
            <w:gridSpan w:val="2"/>
            <w:shd w:val="clear" w:color="auto" w:fill="B2B2B2"/>
          </w:tcPr>
          <w:p>
            <w:pPr>
              <w:ind w:left="56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7,066</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25,179</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22,858</w:t>
            </w:r>
          </w:p>
        </w:tc>
      </w:tr>
      <w:tr>
        <w:trPr>
          <w:trHeight w:val="250"/>
        </w:trPr>
        <w:tc>
          <w:tcPr>
            <w:tcW w:w="5120" w:type="dxa"/>
            <w:vAlign w:val="bottom"/>
            <w:tcBorders>
              <w:bottom w:val="single" w:sz="8" w:color="B2B2B2"/>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B2B2B2"/>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Borders>
              <w:bottom w:val="single" w:sz="8" w:color="B2B2B2"/>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B2B2B2"/>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r>
      <w:tr>
        <w:trPr>
          <w:trHeight w:val="323"/>
        </w:trPr>
        <w:tc>
          <w:tcPr>
            <w:tcW w:w="5120" w:type="dxa"/>
            <w:vAlign w:val="bottom"/>
            <w:tcBorders>
              <w:bottom w:val="single" w:sz="8" w:color="B2B2B2"/>
            </w:tcBorders>
            <w:gridSpan w:val="2"/>
            <w:shd w:val="clear" w:color="auto" w:fill="B2B2B2"/>
          </w:tcPr>
          <w:p>
            <w:pPr>
              <w:ind w:left="56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B2B2B2"/>
            </w:tcBorders>
            <w:shd w:val="clear" w:color="auto" w:fill="B2B2B2"/>
          </w:tcPr>
          <w:p>
            <w:pPr>
              <w:spacing w:after="0"/>
              <w:rPr>
                <w:sz w:val="24"/>
                <w:szCs w:val="24"/>
                <w:color w:val="auto"/>
              </w:rPr>
            </w:pPr>
          </w:p>
        </w:tc>
        <w:tc>
          <w:tcPr>
            <w:tcW w:w="520" w:type="dxa"/>
            <w:vAlign w:val="bottom"/>
            <w:tcBorders>
              <w:bottom w:val="single" w:sz="8" w:color="auto"/>
            </w:tcBorders>
            <w:shd w:val="clear" w:color="auto" w:fill="B2B2B2"/>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Borders>
              <w:bottom w:val="single" w:sz="8" w:color="B2B2B2"/>
            </w:tcBorders>
            <w:shd w:val="clear" w:color="auto" w:fill="B2B2B2"/>
          </w:tcPr>
          <w:p>
            <w:pPr>
              <w:spacing w:after="0"/>
              <w:rPr>
                <w:sz w:val="24"/>
                <w:szCs w:val="24"/>
                <w:color w:val="auto"/>
              </w:rPr>
            </w:pPr>
          </w:p>
        </w:tc>
        <w:tc>
          <w:tcPr>
            <w:tcW w:w="34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tcBorders>
              <w:bottom w:val="single" w:sz="8" w:color="B2B2B2"/>
            </w:tcBorders>
            <w:shd w:val="clear" w:color="auto" w:fill="B2B2B2"/>
          </w:tcPr>
          <w:p>
            <w:pPr>
              <w:spacing w:after="0"/>
              <w:rPr>
                <w:sz w:val="24"/>
                <w:szCs w:val="24"/>
                <w:color w:val="auto"/>
              </w:rPr>
            </w:pPr>
          </w:p>
        </w:tc>
        <w:tc>
          <w:tcPr>
            <w:tcW w:w="520" w:type="dxa"/>
            <w:vAlign w:val="bottom"/>
            <w:tcBorders>
              <w:bottom w:val="single" w:sz="8" w:color="auto"/>
            </w:tcBorders>
            <w:shd w:val="clear" w:color="auto" w:fill="B2B2B2"/>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18,765</w:t>
            </w:r>
          </w:p>
        </w:tc>
      </w:tr>
      <w:tr>
        <w:trPr>
          <w:trHeight w:val="250"/>
        </w:trPr>
        <w:tc>
          <w:tcPr>
            <w:tcW w:w="5120" w:type="dxa"/>
            <w:vAlign w:val="bottom"/>
            <w:tcBorders>
              <w:top w:val="single" w:sz="8" w:color="B2B2B2"/>
            </w:tcBorders>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B2B2B2"/>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B2B2B2"/>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B2B2B2"/>
            </w:tcBorders>
          </w:tcPr>
          <w:p>
            <w:pPr>
              <w:spacing w:after="0"/>
              <w:rPr>
                <w:sz w:val="21"/>
                <w:szCs w:val="21"/>
                <w:color w:val="auto"/>
              </w:rPr>
            </w:pPr>
          </w:p>
        </w:tc>
        <w:tc>
          <w:tcPr>
            <w:tcW w:w="520" w:type="dxa"/>
            <w:vAlign w:val="bottom"/>
            <w:tcBorders>
              <w:top w:val="single" w:sz="8" w:color="B2B2B2"/>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B2B2B2"/>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B2B2B2"/>
            </w:tcBorders>
          </w:tcPr>
          <w:p>
            <w:pPr>
              <w:spacing w:after="0"/>
              <w:rPr>
                <w:sz w:val="21"/>
                <w:szCs w:val="21"/>
                <w:color w:val="auto"/>
              </w:rPr>
            </w:pPr>
          </w:p>
        </w:tc>
        <w:tc>
          <w:tcPr>
            <w:tcW w:w="340" w:type="dxa"/>
            <w:vAlign w:val="bottom"/>
            <w:tcBorders>
              <w:top w:val="single" w:sz="8" w:color="B2B2B2"/>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B2B2B2"/>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B2B2B2"/>
            </w:tcBorders>
          </w:tcPr>
          <w:p>
            <w:pPr>
              <w:spacing w:after="0"/>
              <w:rPr>
                <w:sz w:val="21"/>
                <w:szCs w:val="21"/>
                <w:color w:val="auto"/>
              </w:rPr>
            </w:pPr>
          </w:p>
        </w:tc>
        <w:tc>
          <w:tcPr>
            <w:tcW w:w="520" w:type="dxa"/>
            <w:vAlign w:val="bottom"/>
            <w:tcBorders>
              <w:top w:val="single" w:sz="8" w:color="B2B2B2"/>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B2B2B2"/>
            </w:tcBorders>
          </w:tcPr>
          <w:p>
            <w:pPr>
              <w:jc w:val="right"/>
              <w:spacing w:after="0"/>
              <w:rPr>
                <w:sz w:val="20"/>
                <w:szCs w:val="20"/>
                <w:color w:val="auto"/>
              </w:rPr>
            </w:pPr>
            <w:r>
              <w:rPr>
                <w:rFonts w:ascii="Arial" w:cs="Arial" w:eastAsia="Arial" w:hAnsi="Arial"/>
                <w:sz w:val="18"/>
                <w:szCs w:val="18"/>
                <w:color w:val="auto"/>
              </w:rPr>
              <w:t>1.31</w:t>
            </w:r>
          </w:p>
        </w:tc>
      </w:tr>
      <w:tr>
        <w:trPr>
          <w:trHeight w:val="263"/>
        </w:trPr>
        <w:tc>
          <w:tcPr>
            <w:tcW w:w="51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B2B2B2"/>
          </w:tcPr>
          <w:p>
            <w:pPr>
              <w:spacing w:after="0"/>
              <w:rPr>
                <w:sz w:val="22"/>
                <w:szCs w:val="22"/>
                <w:color w:val="auto"/>
              </w:rPr>
            </w:pPr>
          </w:p>
        </w:tc>
        <w:tc>
          <w:tcPr>
            <w:tcW w:w="5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5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0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0"/>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43"/>
        </w:trPr>
        <w:tc>
          <w:tcPr>
            <w:tcW w:w="50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2020</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06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B6B6B6"/>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B6B6B6"/>
          </w:tcPr>
          <w:p>
            <w:pPr>
              <w:spacing w:after="0"/>
              <w:rPr>
                <w:sz w:val="22"/>
                <w:szCs w:val="22"/>
                <w:color w:val="auto"/>
              </w:rPr>
            </w:pPr>
          </w:p>
        </w:tc>
        <w:tc>
          <w:tcPr>
            <w:tcW w:w="960" w:type="dxa"/>
            <w:vAlign w:val="bottom"/>
            <w:shd w:val="clear" w:color="auto" w:fill="B6B6B6"/>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3"/>
              </w:rPr>
              <w:t>5,781</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18,765</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5060" w:type="dxa"/>
            <w:vAlign w:val="bottom"/>
            <w:shd w:val="clear" w:color="auto" w:fill="B6B6B6"/>
          </w:tcPr>
          <w:p>
            <w:pPr>
              <w:ind w:left="260"/>
              <w:spacing w:after="0"/>
              <w:rPr>
                <w:sz w:val="20"/>
                <w:szCs w:val="20"/>
                <w:color w:val="auto"/>
              </w:rPr>
            </w:pPr>
            <w:r>
              <w:rPr>
                <w:rFonts w:ascii="Arial" w:cs="Arial" w:eastAsia="Arial" w:hAnsi="Arial"/>
                <w:sz w:val="18"/>
                <w:szCs w:val="18"/>
                <w:color w:val="auto"/>
              </w:rPr>
              <w:t>Net unrealized (loss) gain on securities available-for-sale</w:t>
            </w:r>
          </w:p>
        </w:tc>
        <w:tc>
          <w:tcPr>
            <w:tcW w:w="920" w:type="dxa"/>
            <w:vAlign w:val="bottom"/>
            <w:shd w:val="clear" w:color="auto" w:fill="B6B6B6"/>
          </w:tcPr>
          <w:p>
            <w:pPr>
              <w:spacing w:after="0"/>
              <w:rPr>
                <w:sz w:val="24"/>
                <w:szCs w:val="24"/>
                <w:color w:val="auto"/>
              </w:rPr>
            </w:pPr>
          </w:p>
        </w:tc>
        <w:tc>
          <w:tcPr>
            <w:tcW w:w="540" w:type="dxa"/>
            <w:vAlign w:val="bottom"/>
            <w:shd w:val="clear" w:color="auto" w:fill="B6B6B6"/>
          </w:tcPr>
          <w:p>
            <w:pPr>
              <w:jc w:val="right"/>
              <w:spacing w:after="0"/>
              <w:rPr>
                <w:sz w:val="20"/>
                <w:szCs w:val="20"/>
                <w:color w:val="auto"/>
              </w:rPr>
            </w:pPr>
            <w:r>
              <w:rPr>
                <w:rFonts w:ascii="Arial" w:cs="Arial" w:eastAsia="Arial" w:hAnsi="Arial"/>
                <w:sz w:val="18"/>
                <w:szCs w:val="18"/>
                <w:color w:val="auto"/>
                <w:w w:val="87"/>
              </w:rPr>
              <w:t>(4,438)</w:t>
            </w:r>
          </w:p>
        </w:tc>
        <w:tc>
          <w:tcPr>
            <w:tcW w:w="100" w:type="dxa"/>
            <w:vAlign w:val="bottom"/>
            <w:shd w:val="clear" w:color="auto" w:fill="B6B6B6"/>
          </w:tcPr>
          <w:p>
            <w:pPr>
              <w:spacing w:after="0"/>
              <w:rPr>
                <w:sz w:val="24"/>
                <w:szCs w:val="24"/>
                <w:color w:val="auto"/>
              </w:rPr>
            </w:pPr>
          </w:p>
        </w:tc>
        <w:tc>
          <w:tcPr>
            <w:tcW w:w="960" w:type="dxa"/>
            <w:vAlign w:val="bottom"/>
            <w:shd w:val="clear" w:color="auto" w:fill="B6B6B6"/>
          </w:tcPr>
          <w:p>
            <w:pPr>
              <w:spacing w:after="0"/>
              <w:rPr>
                <w:sz w:val="24"/>
                <w:szCs w:val="24"/>
                <w:color w:val="auto"/>
              </w:rPr>
            </w:pPr>
          </w:p>
        </w:tc>
        <w:tc>
          <w:tcPr>
            <w:tcW w:w="5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(7,086)</w:t>
            </w:r>
          </w:p>
        </w:tc>
        <w:tc>
          <w:tcPr>
            <w:tcW w:w="1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7,209</w:t>
            </w:r>
          </w:p>
        </w:tc>
      </w:tr>
      <w:tr>
        <w:trPr>
          <w:trHeight w:val="250"/>
        </w:trPr>
        <w:tc>
          <w:tcPr>
            <w:tcW w:w="506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35"/>
        </w:trPr>
        <w:tc>
          <w:tcPr>
            <w:tcW w:w="5060" w:type="dxa"/>
            <w:vAlign w:val="bottom"/>
            <w:shd w:val="clear" w:color="auto" w:fill="B6B6B6"/>
          </w:tcPr>
          <w:p>
            <w:pPr>
              <w:ind w:left="260"/>
              <w:spacing w:after="0"/>
              <w:rPr>
                <w:sz w:val="20"/>
                <w:szCs w:val="20"/>
                <w:color w:val="auto"/>
              </w:rPr>
            </w:pPr>
            <w:r>
              <w:rPr>
                <w:rFonts w:ascii="Arial" w:cs="Arial" w:eastAsia="Arial" w:hAnsi="Arial"/>
                <w:sz w:val="18"/>
                <w:szCs w:val="18"/>
                <w:color w:val="auto"/>
                <w:w w:val="97"/>
              </w:rPr>
              <w:t>Reclassification adjustments for losses (gains) included in net</w:t>
            </w:r>
          </w:p>
        </w:tc>
        <w:tc>
          <w:tcPr>
            <w:tcW w:w="920" w:type="dxa"/>
            <w:vAlign w:val="bottom"/>
            <w:shd w:val="clear" w:color="auto" w:fill="B6B6B6"/>
          </w:tcPr>
          <w:p>
            <w:pPr>
              <w:spacing w:after="0"/>
              <w:rPr>
                <w:sz w:val="20"/>
                <w:szCs w:val="20"/>
                <w:color w:val="auto"/>
              </w:rPr>
            </w:pPr>
          </w:p>
        </w:tc>
        <w:tc>
          <w:tcPr>
            <w:tcW w:w="5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960" w:type="dxa"/>
            <w:vAlign w:val="bottom"/>
            <w:shd w:val="clear" w:color="auto" w:fill="B6B6B6"/>
          </w:tcPr>
          <w:p>
            <w:pPr>
              <w:spacing w:after="0"/>
              <w:rPr>
                <w:sz w:val="20"/>
                <w:szCs w:val="20"/>
                <w:color w:val="auto"/>
              </w:rPr>
            </w:pPr>
          </w:p>
        </w:tc>
        <w:tc>
          <w:tcPr>
            <w:tcW w:w="52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3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54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r>
      <w:tr>
        <w:trPr>
          <w:trHeight w:val="257"/>
        </w:trPr>
        <w:tc>
          <w:tcPr>
            <w:tcW w:w="5060" w:type="dxa"/>
            <w:vAlign w:val="bottom"/>
            <w:shd w:val="clear" w:color="auto" w:fill="B6B6B6"/>
          </w:tcPr>
          <w:p>
            <w:pPr>
              <w:ind w:left="52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B6B6B6"/>
          </w:tcPr>
          <w:p>
            <w:pPr>
              <w:spacing w:after="0"/>
              <w:rPr>
                <w:sz w:val="22"/>
                <w:szCs w:val="22"/>
                <w:color w:val="auto"/>
              </w:rPr>
            </w:pPr>
          </w:p>
        </w:tc>
        <w:tc>
          <w:tcPr>
            <w:tcW w:w="5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600" w:type="dxa"/>
            <w:vAlign w:val="bottom"/>
            <w:gridSpan w:val="2"/>
            <w:shd w:val="clear" w:color="auto" w:fill="B6B6B6"/>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(1,069)</w:t>
            </w:r>
          </w:p>
        </w:tc>
      </w:tr>
      <w:tr>
        <w:trPr>
          <w:trHeight w:val="250"/>
        </w:trPr>
        <w:tc>
          <w:tcPr>
            <w:tcW w:w="506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9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0"/>
        </w:trPr>
        <w:tc>
          <w:tcPr>
            <w:tcW w:w="5060" w:type="dxa"/>
            <w:vAlign w:val="bottom"/>
            <w:shd w:val="clear" w:color="auto" w:fill="B6B6B6"/>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auto"/>
            </w:tcBorders>
            <w:shd w:val="clear" w:color="auto" w:fill="B6B6B6"/>
          </w:tcPr>
          <w:p>
            <w:pPr>
              <w:spacing w:after="0"/>
              <w:rPr>
                <w:sz w:val="23"/>
                <w:szCs w:val="23"/>
                <w:color w:val="auto"/>
              </w:rPr>
            </w:pPr>
          </w:p>
        </w:tc>
        <w:tc>
          <w:tcPr>
            <w:tcW w:w="5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B6B6B6"/>
          </w:tcPr>
          <w:p>
            <w:pPr>
              <w:spacing w:after="0"/>
              <w:rPr>
                <w:sz w:val="23"/>
                <w:szCs w:val="23"/>
                <w:color w:val="auto"/>
              </w:rPr>
            </w:pPr>
          </w:p>
        </w:tc>
        <w:tc>
          <w:tcPr>
            <w:tcW w:w="960" w:type="dxa"/>
            <w:vAlign w:val="bottom"/>
            <w:tcBorders>
              <w:bottom w:val="single" w:sz="8" w:color="auto"/>
            </w:tcBorders>
            <w:shd w:val="clear" w:color="auto" w:fill="B6B6B6"/>
          </w:tcPr>
          <w:p>
            <w:pPr>
              <w:spacing w:after="0"/>
              <w:rPr>
                <w:sz w:val="23"/>
                <w:szCs w:val="23"/>
                <w:color w:val="auto"/>
              </w:rPr>
            </w:pPr>
          </w:p>
        </w:tc>
        <w:tc>
          <w:tcPr>
            <w:tcW w:w="5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B6B6B6"/>
          </w:tcPr>
          <w:p>
            <w:pPr>
              <w:spacing w:after="0"/>
              <w:rPr>
                <w:sz w:val="23"/>
                <w:szCs w:val="23"/>
                <w:color w:val="auto"/>
              </w:rPr>
            </w:pPr>
          </w:p>
        </w:tc>
        <w:tc>
          <w:tcPr>
            <w:tcW w:w="540" w:type="dxa"/>
            <w:vAlign w:val="bottom"/>
            <w:tcBorders>
              <w:bottom w:val="single" w:sz="8" w:color="auto"/>
            </w:tcBorders>
            <w:shd w:val="clear" w:color="auto" w:fill="B6B6B6"/>
          </w:tcPr>
          <w:p>
            <w:pPr>
              <w:spacing w:after="0"/>
              <w:rPr>
                <w:sz w:val="23"/>
                <w:szCs w:val="23"/>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50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6,015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23,378</w:t>
            </w:r>
          </w:p>
        </w:tc>
      </w:tr>
      <w:tr>
        <w:trPr>
          <w:trHeight w:val="21"/>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Nine Months Ended</w:t>
      </w:r>
    </w:p>
    <w:p>
      <w:pPr>
        <w:jc w:val="center"/>
        <w:ind w:left="81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4445</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18,765</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Gains on sales of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(Release of) provision for credit losses / loan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Decrease in deferred income tax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Increase in current income tax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(Decrease) increase in pension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(Increase) decrease in accounts receivable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380"/>
              <w:spacing w:after="0"/>
              <w:rPr>
                <w:sz w:val="20"/>
                <w:szCs w:val="20"/>
                <w:color w:val="auto"/>
              </w:rPr>
            </w:pPr>
            <w:r>
              <w:rPr>
                <w:rFonts w:ascii="Arial" w:cs="Arial" w:eastAsia="Arial" w:hAnsi="Arial"/>
                <w:sz w:val="18"/>
                <w:szCs w:val="18"/>
                <w:color w:val="auto"/>
              </w:rPr>
              <w:t>Other operating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50"/>
        </w:trPr>
        <w:tc>
          <w:tcPr>
            <w:tcW w:w="8180" w:type="dxa"/>
            <w:vAlign w:val="bottom"/>
            <w:shd w:val="clear" w:color="auto" w:fill="B6B6B6"/>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30,680</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40,061</w:t>
            </w:r>
          </w:p>
        </w:tc>
        <w:tc>
          <w:tcPr>
            <w:tcW w:w="0" w:type="dxa"/>
            <w:vAlign w:val="bottom"/>
          </w:tcPr>
          <w:p>
            <w:pPr>
              <w:spacing w:after="0"/>
              <w:rPr>
                <w:sz w:val="1"/>
                <w:szCs w:val="1"/>
                <w:color w:val="auto"/>
              </w:rPr>
            </w:pPr>
          </w:p>
        </w:tc>
      </w:tr>
      <w:tr>
        <w:trPr>
          <w:trHeight w:val="94"/>
        </w:trPr>
        <w:tc>
          <w:tcPr>
            <w:tcW w:w="8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Proceeds from sales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Proceeds from maturities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83,265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Purchase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(increase) in loans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19,229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(171,902)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Purchase of bank-owned life insurance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payments in excess of funding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(71,816)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44,766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Purchases of premises and equipment,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(276,033)</w:t>
            </w:r>
          </w:p>
        </w:tc>
        <w:tc>
          <w:tcPr>
            <w:tcW w:w="10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(68,538)</w:t>
            </w:r>
          </w:p>
        </w:tc>
        <w:tc>
          <w:tcPr>
            <w:tcW w:w="0" w:type="dxa"/>
            <w:vAlign w:val="bottom"/>
          </w:tcPr>
          <w:p>
            <w:pPr>
              <w:spacing w:after="0"/>
              <w:rPr>
                <w:sz w:val="1"/>
                <w:szCs w:val="1"/>
                <w:color w:val="auto"/>
              </w:rPr>
            </w:pPr>
          </w:p>
        </w:tc>
      </w:tr>
      <w:tr>
        <w:trPr>
          <w:trHeight w:val="88"/>
        </w:trPr>
        <w:tc>
          <w:tcPr>
            <w:tcW w:w="8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(26,184)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136,639</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(5,285)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in accounts and drafts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146,280</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 short-term borrowings</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common shares for treasury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(18,975)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50"/>
        </w:trPr>
        <w:tc>
          <w:tcPr>
            <w:tcW w:w="8180" w:type="dxa"/>
            <w:vAlign w:val="bottom"/>
            <w:shd w:val="clear" w:color="auto" w:fill="B6B6B6"/>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75,134</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263,974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235,497</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670,528</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203,954</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500,309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439,451</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8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4,176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June 30, 2020</w:t>
            </w: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204,258</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95,514</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(49,457)</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(9,541)</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248,527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dividends ($.27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(3,893)</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1,165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to stock-based compensation plan,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September 30, 2020</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205,053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97,402</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(9,307)</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251,491</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203,098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105,398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(53,437)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260,767</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6,805</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Cash dividends ($.27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Arial" w:cs="Arial" w:eastAsia="Arial" w:hAnsi="Arial"/>
                <w:sz w:val="18"/>
                <w:szCs w:val="18"/>
                <w:color w:val="auto"/>
                <w:w w:val="93"/>
              </w:rPr>
              <w:t>Issuance of 4,412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to stock-based compensation plan, net</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vMerge w:val="continue"/>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vMerge w:val="continue"/>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vMerge w:val="continue"/>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Purchase of 314,672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(3,548)</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247,643</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205,397</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90,341</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(45,381)</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(13,920)</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244,190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18,765</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dividends ($.81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(11,704)</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1"/>
              </w:rPr>
              <w:t>Issuance of 67,790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to stock-based compensation plan,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128,779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September 30, 2020</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205,053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97,402</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(9,307)</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251,491</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204,875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99,062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261,160</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20,902</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20,902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Cash dividends ($.81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Arial" w:cs="Arial" w:eastAsia="Arial" w:hAnsi="Arial"/>
                <w:sz w:val="18"/>
                <w:szCs w:val="18"/>
                <w:color w:val="auto"/>
                <w:w w:val="91"/>
              </w:rPr>
              <w:t>Issuance of 83,506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to stock-based compensation plan, net</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vMerge w:val="continue"/>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vMerge w:val="continue"/>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vMerge w:val="continue"/>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Purchase of 434,938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(18,975)</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(5,578)</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247,643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Results for quarterly reporting periods beginning after December 31, 2020 in the Company’s Form 10-Q will be presented under ASU 2016-13, as defined in this report, while prior quarterly period amounts continue to be reported in accordance with previously applicable GAAP. For further information, refer to the audited consolidated financial statements and related footnotes included in Cass Information System, Inc.’s (the “Company” or “Cass”) Annual Report on Form 10-K for the year ended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11, 2020, the World Health Organization (“WHO”) declared the outbreak of COVID-19 as a global pandemic. The declaration of a global pandemic meant that almost all public commerce and related business activities was, to varying degrees, curtailed with the goal of decreasing the rate of new infections. In late fiscal 2020, vaccines for combating COVID-19 were approved by health agencies and have been administered throughout the country. Although vaccination efforts have been widespread and continuing, and a significant amount of previous business and other restrictions have been lifted, the continued impact of COVID-19, including any increases in the infection rates, new variants, and renewed governmental action to slow the spread of COVID-19 cannot be estimated. The ongoing impact of COVID-19, including the impact of restrictions imposed to combat its spread, could result in additional and prolonged business closures, supply chain disruptions, work restrictions and activity restrictions.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closely monitoring developments related to COVID-19 checking regularly for updated information and recommendations from the WHO and the Centers for Disease Control and Prevention, from national, state, and local governments, and evaluating courses of action being taken by peers. At this time, the Company remains subject to heightened business, operational, market, credit and other risks related to the COVID-19 pandemic, including, but not limited to, those discussed below, which may have an adverse effect on business, financial condition and 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Financial position and results of operations </w:t>
      </w:r>
      <w:r>
        <w:rPr>
          <w:rFonts w:ascii="Arial" w:cs="Arial" w:eastAsia="Arial" w:hAnsi="Arial"/>
          <w:sz w:val="18"/>
          <w:szCs w:val="18"/>
          <w:color w:val="auto"/>
        </w:rPr>
        <w:t>- The global health crisis caused by COVID-19 has and will continue to negatively impact business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world. The COVID-19 outbreak and associated counter-acting measures implemented by governments around the world, as well as increased business uncertainty and shortages in the labor force, have had, and continue to have, an adverse impact on the Company’s financial results and are discussed in more detail below.</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many restrictions have been relaxed with some success and economic conditions have been improving, many states and localities are still experiencing moderate to high levels of COVID-19 cases, prompting continued restrictions and the need for additional aid and other forms of relief for affected individuals, businesses and other entities.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aggregate impact that COVID-19 could have on the Company’s financial condition and operating results remains uncertain.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COVID-19, the Federal Reserve took action to lower the Federal Funds rate. The Federal Reserve has indicated that the target Federal Funds rate would remain at current levels until the economy is in a more stable employment and price-stability position.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business disruption continues for an extended period, additional cost control actions will be considered. Future asset impairment charges, increases in allowance for credit losses, or restructuring charges could be more likely and will be dependent on the severity and duration of this crisis and its effect on the Company’s borrowers.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payment processing services, business closures cause a decrease in the number of transactions and dollars processed due to the decline in customers’ business activity. Other financial impact could occur though such potential impact is unknown at this time.</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Capital and liquidity </w:t>
      </w:r>
      <w:r>
        <w:rPr>
          <w:rFonts w:ascii="Arial" w:cs="Arial" w:eastAsia="Arial" w:hAnsi="Arial"/>
          <w:sz w:val="18"/>
          <w:szCs w:val="18"/>
          <w:color w:val="auto"/>
        </w:rPr>
        <w:t>- While the Company believes that it has sufficient capital to withstand an extended economic recession brought about by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its reported and regulatory capital ratios could be adversely impacted by future financial losses.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access to multiple sources of liquidity. If an extended recession caused large numbers of the Bank’s customers to draw down deposits, the Company might become more reliant on more expensive sources of funding.</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Asset valuation </w:t>
      </w:r>
      <w:r>
        <w:rPr>
          <w:rFonts w:ascii="Arial" w:cs="Arial" w:eastAsia="Arial" w:hAnsi="Arial"/>
          <w:sz w:val="18"/>
          <w:szCs w:val="18"/>
          <w:color w:val="auto"/>
        </w:rPr>
        <w:t>- Currently, the Company does not expect COVID-19 to affect its ability to fairly value the assets on its balance sheet; however, this could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economic slowdown as a result of COVID-19 could cause a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Processes, controls and business continuity </w:t>
      </w:r>
      <w:r>
        <w:rPr>
          <w:rFonts w:ascii="Arial" w:cs="Arial" w:eastAsia="Arial" w:hAnsi="Arial"/>
          <w:sz w:val="18"/>
          <w:szCs w:val="18"/>
          <w:color w:val="auto"/>
        </w:rPr>
        <w:t>- In accordance with its federally mandated Pandemic Plan and Business Continuity Plan, many Cass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around the globe continue to work and conduct business remotely. In the past several years, Cass has invested in sophisticated technology initiatives that enable employees to operate remotely with full system(s) access along with unified and transparent voice and electronic communications capabilities.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accounts for intangible assets in accordance with Financial Accounting Standards Board (“FASB”) Accounting Standards Codification (“ASC”)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(“FASB ASC 350”), which requires that intangibles with indefinite useful lives be tested annually for impairment, or when management deems there is a triggering event, and those with finite useful lives be amortized over their useful lives.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5"/>
                <w:szCs w:val="15"/>
                <w:color w:val="auto"/>
              </w:rPr>
            </w:pPr>
          </w:p>
        </w:tc>
        <w:tc>
          <w:tcPr>
            <w:tcW w:w="136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0"/>
              </w:rPr>
              <w:t>Gross Carrying</w:t>
            </w:r>
          </w:p>
        </w:tc>
        <w:tc>
          <w:tcPr>
            <w:tcW w:w="240" w:type="dxa"/>
            <w:vAlign w:val="bottom"/>
          </w:tcPr>
          <w:p>
            <w:pPr>
              <w:spacing w:after="0"/>
              <w:rPr>
                <w:sz w:val="15"/>
                <w:szCs w:val="15"/>
                <w:color w:val="auto"/>
              </w:rPr>
            </w:pPr>
          </w:p>
        </w:tc>
        <w:tc>
          <w:tcPr>
            <w:tcW w:w="136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w w:val="91"/>
              </w:rPr>
              <w:t>Accumulated</w:t>
            </w:r>
          </w:p>
        </w:tc>
        <w:tc>
          <w:tcPr>
            <w:tcW w:w="160" w:type="dxa"/>
            <w:vAlign w:val="bottom"/>
          </w:tcPr>
          <w:p>
            <w:pPr>
              <w:spacing w:after="0"/>
              <w:rPr>
                <w:sz w:val="15"/>
                <w:szCs w:val="15"/>
                <w:color w:val="auto"/>
              </w:rPr>
            </w:pPr>
          </w:p>
        </w:tc>
        <w:tc>
          <w:tcPr>
            <w:tcW w:w="140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w w:val="91"/>
              </w:rPr>
              <w:t>Gross Carrying</w:t>
            </w:r>
          </w:p>
        </w:tc>
        <w:tc>
          <w:tcPr>
            <w:tcW w:w="240" w:type="dxa"/>
            <w:vAlign w:val="bottom"/>
          </w:tcPr>
          <w:p>
            <w:pPr>
              <w:spacing w:after="0"/>
              <w:rPr>
                <w:sz w:val="15"/>
                <w:szCs w:val="15"/>
                <w:color w:val="auto"/>
              </w:rPr>
            </w:pPr>
          </w:p>
        </w:tc>
        <w:tc>
          <w:tcPr>
            <w:tcW w:w="132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1"/>
              </w:rPr>
              <w:t>Accumulated</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Customer lists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22,646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(5,605)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22,646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customer lists are amortized over 7 and 10 years; the patents over 18 years; software over 3 years and 7 years, the trade name over 20 years and other intangible assets over 15 years. Amortization of intangible assets amounted to $644,000 for both the nine-month periods ended September 30, 2021 and 2020, respectively. Estimated amortization of intangibles is $859,000 in 2021, $540,000 in both 2022 and 2023, $498,000 in 2024, and $490,000 in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 except share and per</w:t>
            </w:r>
          </w:p>
        </w:tc>
        <w:tc>
          <w:tcPr>
            <w:tcW w:w="340" w:type="dxa"/>
            <w:vAlign w:val="bottom"/>
          </w:tcPr>
          <w:p>
            <w:pPr>
              <w:spacing w:after="0"/>
              <w:rPr>
                <w:sz w:val="17"/>
                <w:szCs w:val="17"/>
                <w:color w:val="auto"/>
              </w:rPr>
            </w:pPr>
          </w:p>
        </w:tc>
        <w:tc>
          <w:tcPr>
            <w:tcW w:w="27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27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share data)</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43"/>
        </w:trPr>
        <w:tc>
          <w:tcPr>
            <w:tcW w:w="5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600" w:type="dxa"/>
            <w:vAlign w:val="bottom"/>
            <w:tcBorders>
              <w:bottom w:val="single" w:sz="8" w:color="B6B6B6"/>
            </w:tcBorders>
            <w:shd w:val="clear" w:color="auto" w:fill="B6B6B6"/>
          </w:tcPr>
          <w:p>
            <w:pPr>
              <w:spacing w:after="0"/>
              <w:rPr>
                <w:sz w:val="21"/>
                <w:szCs w:val="21"/>
                <w:color w:val="auto"/>
              </w:rPr>
            </w:pPr>
          </w:p>
        </w:tc>
        <w:tc>
          <w:tcPr>
            <w:tcW w:w="98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600" w:type="dxa"/>
            <w:vAlign w:val="bottom"/>
            <w:tcBorders>
              <w:bottom w:val="single" w:sz="8" w:color="B6B6B6"/>
            </w:tcBorders>
            <w:shd w:val="clear" w:color="auto" w:fill="B6B6B6"/>
          </w:tcPr>
          <w:p>
            <w:pPr>
              <w:spacing w:after="0"/>
              <w:rPr>
                <w:sz w:val="21"/>
                <w:szCs w:val="21"/>
                <w:color w:val="auto"/>
              </w:rPr>
            </w:pPr>
          </w:p>
        </w:tc>
        <w:tc>
          <w:tcPr>
            <w:tcW w:w="960" w:type="dxa"/>
            <w:vAlign w:val="bottom"/>
            <w:tcBorders>
              <w:bottom w:val="single" w:sz="8" w:color="B6B6B6"/>
            </w:tcBorders>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6,805</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20,902</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18,765</w:t>
            </w: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14,040,089</w:t>
            </w:r>
          </w:p>
        </w:tc>
        <w:tc>
          <w:tcPr>
            <w:tcW w:w="60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95"/>
              </w:rPr>
              <w:t>14,348,151</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14,203,369</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14,373,243</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5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60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60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6,805</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20,902</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18,765</w:t>
            </w: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14,040,089</w:t>
            </w:r>
          </w:p>
        </w:tc>
        <w:tc>
          <w:tcPr>
            <w:tcW w:w="60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95"/>
              </w:rPr>
              <w:t>14,348,151</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14,203,369</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14,373,243</w:t>
            </w:r>
          </w:p>
        </w:tc>
      </w:tr>
      <w:tr>
        <w:trPr>
          <w:trHeight w:val="250"/>
        </w:trPr>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237,080</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198,336</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239,016</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200,723</w:t>
            </w:r>
          </w:p>
        </w:tc>
      </w:tr>
      <w:tr>
        <w:trPr>
          <w:trHeight w:val="257"/>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2"/>
              </w:rPr>
              <w:t>Weighted-average common shares outstanding assuming dilution</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14,277,169</w:t>
            </w:r>
          </w:p>
        </w:tc>
        <w:tc>
          <w:tcPr>
            <w:tcW w:w="60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95"/>
              </w:rPr>
              <w:t>14,546,487</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14,442,385</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14,573,966</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maintains a treasury stock buyback program pursuant to which, in October 2020, the Board of Directors authorized the repurchase of up to 500,000 shares of the Company’s common stock with no expiration date. As of September 30, 2021, 30,940 shares remained available for repurchase under the program. The Company repurchased 314,672 and zero shares during the three-month periods ended September 30, 2021 and 2020, respectively, and 434,938 and 128,779 shares for the nine-month periods ended September 30, 2021 and 2020, respectively. Repurchases may be made in the open market or through negotiated transactions from time to time depending on market conditions.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19, 2021, the Board of Directors authorized the repurchase of up to 750,000 shares of the Company's common stock under the program. This new authorization replaces the previous authorization of 500,000 shares, and as such, the Company has 750,000 shares remaining available for repurchase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2020.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Banking Services – a variable rate that is based upon the overall performance of the Company’s earning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Banking</w:t>
            </w:r>
          </w:p>
        </w:tc>
        <w:tc>
          <w:tcPr>
            <w:tcW w:w="26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and Other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Three Months Ended September 30, 2021:</w:t>
            </w:r>
          </w:p>
        </w:tc>
        <w:tc>
          <w:tcPr>
            <w:tcW w:w="11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26,642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27,577</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6,361</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6,187</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(361)</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12,187</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859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6,753</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12,433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1,018,710</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1,279,452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(5,176)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2,292,986</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Average funding sources</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974,091</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875,997</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1,850,088</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Three Months Ended September 30, 2020:</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24,198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24,932</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5,112</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7,212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(579)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4,522</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12,433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905,158</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1,105,845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(10,540)</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2,000,463</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Average funding sources</w:t>
            </w:r>
          </w:p>
        </w:tc>
        <w:tc>
          <w:tcPr>
            <w:tcW w:w="1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751,010</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780,217</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1,531,227</w:t>
            </w:r>
          </w:p>
        </w:tc>
        <w:tc>
          <w:tcPr>
            <w:tcW w:w="0" w:type="dxa"/>
            <w:vAlign w:val="bottom"/>
          </w:tcPr>
          <w:p>
            <w:pPr>
              <w:spacing w:after="0"/>
              <w:rPr>
                <w:sz w:val="1"/>
                <w:szCs w:val="1"/>
                <w:color w:val="auto"/>
              </w:rPr>
            </w:pPr>
          </w:p>
        </w:tc>
      </w:tr>
      <w:tr>
        <w:trPr>
          <w:trHeight w:val="256"/>
        </w:trPr>
        <w:tc>
          <w:tcPr>
            <w:tcW w:w="404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Nine Months Ended September 30, 2021:</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77,717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80,739</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17,754</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18,501</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(1,335)</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34,920</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2,170</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(2,170)</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19,170</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8,080</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26,596</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12,433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1,018,710</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1,279,452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(5,176)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2,292,986</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Average funding sources</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906,474</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862,142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1,768,616</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Nine Months Ended September 30, 2020:</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72,098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75,201</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14,774</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21,097</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812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36,683</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1,911</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(1,674)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13,082</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9,190</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12,433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63"/>
        </w:trPr>
        <w:tc>
          <w:tcPr>
            <w:tcW w:w="404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905,158</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1,105,845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(10,540)</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2,000,463</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Average funding sources</w:t>
            </w:r>
          </w:p>
        </w:tc>
        <w:tc>
          <w:tcPr>
            <w:tcW w:w="1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703,142</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712,903</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1,416,045</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0" w:firstLine="8"/>
        <w:spacing w:after="0" w:line="27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for both 2021 and 2020. The tax-equivalent adjustment was approximately $468,000 and $466,000 for the Third Quarter of 2021 and 2020, respectively, and $1,417,000 and $1,424,000 for the Nine Months Ended 2021 and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jc w:val="center"/>
              <w:ind w:right="3650"/>
              <w:spacing w:after="0"/>
              <w:rPr>
                <w:sz w:val="20"/>
                <w:szCs w:val="20"/>
                <w:color w:val="auto"/>
              </w:rPr>
            </w:pPr>
            <w:r>
              <w:rPr>
                <w:rFonts w:ascii="Arial" w:cs="Arial" w:eastAsia="Arial" w:hAnsi="Arial"/>
                <w:sz w:val="18"/>
                <w:szCs w:val="18"/>
                <w:color w:val="auto"/>
                <w:w w:val="91"/>
              </w:rPr>
              <w:t>Note 6 – Loans by Type</w:t>
            </w:r>
          </w:p>
        </w:tc>
        <w:tc>
          <w:tcPr>
            <w:tcW w:w="2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80" w:type="dxa"/>
            <w:vAlign w:val="bottom"/>
            <w:gridSpan w:val="2"/>
          </w:tcPr>
          <w:p>
            <w:pPr>
              <w:spacing w:after="0"/>
              <w:rPr>
                <w:sz w:val="20"/>
                <w:szCs w:val="20"/>
                <w:color w:val="auto"/>
              </w:rPr>
            </w:pPr>
            <w:r>
              <w:rPr>
                <w:rFonts w:ascii="Arial" w:cs="Arial" w:eastAsia="Arial" w:hAnsi="Arial"/>
                <w:sz w:val="18"/>
                <w:szCs w:val="18"/>
                <w:color w:val="auto"/>
              </w:rPr>
              <w:t>A summary of loan categories is as follows:</w:t>
            </w: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52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50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5260" w:type="dxa"/>
            <w:vAlign w:val="bottom"/>
            <w:tcBorders>
              <w:bottom w:val="single" w:sz="8" w:color="auto"/>
            </w:tcBorders>
            <w:vMerge w:val="continue"/>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26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25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356,532</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298,984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260" w:type="dxa"/>
            <w:vAlign w:val="bottom"/>
            <w:shd w:val="clear" w:color="auto" w:fill="B6B6B6"/>
          </w:tcPr>
          <w:p>
            <w:pPr>
              <w:jc w:val="center"/>
              <w:ind w:right="3830"/>
              <w:spacing w:after="0"/>
              <w:rPr>
                <w:sz w:val="20"/>
                <w:szCs w:val="20"/>
                <w:color w:val="auto"/>
              </w:rPr>
            </w:pPr>
            <w:r>
              <w:rPr>
                <w:rFonts w:ascii="Arial" w:cs="Arial" w:eastAsia="Arial" w:hAnsi="Arial"/>
                <w:sz w:val="18"/>
                <w:szCs w:val="18"/>
                <w:color w:val="auto"/>
                <w:w w:val="93"/>
              </w:rPr>
              <w:t>Commercial:</w:t>
            </w:r>
          </w:p>
        </w:tc>
        <w:tc>
          <w:tcPr>
            <w:tcW w:w="2500" w:type="dxa"/>
            <w:vAlign w:val="bottom"/>
            <w:shd w:val="clear" w:color="auto" w:fill="B6B6B6"/>
          </w:tcPr>
          <w:p>
            <w:pPr>
              <w:spacing w:after="0"/>
              <w:rPr>
                <w:sz w:val="22"/>
                <w:szCs w:val="22"/>
                <w:color w:val="auto"/>
              </w:rPr>
            </w:pP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260" w:type="dxa"/>
            <w:vAlign w:val="bottom"/>
          </w:tcPr>
          <w:p>
            <w:pPr>
              <w:ind w:left="560"/>
              <w:spacing w:after="0"/>
              <w:rPr>
                <w:sz w:val="20"/>
                <w:szCs w:val="20"/>
                <w:color w:val="auto"/>
              </w:rPr>
            </w:pPr>
            <w:r>
              <w:rPr>
                <w:rFonts w:ascii="Arial" w:cs="Arial" w:eastAsia="Arial" w:hAnsi="Arial"/>
                <w:sz w:val="18"/>
                <w:szCs w:val="18"/>
                <w:color w:val="auto"/>
              </w:rPr>
              <w:t>Mortgage</w:t>
            </w:r>
          </w:p>
        </w:tc>
        <w:tc>
          <w:tcPr>
            <w:tcW w:w="25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103,596</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100,419</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260" w:type="dxa"/>
            <w:vAlign w:val="bottom"/>
            <w:shd w:val="clear" w:color="auto" w:fill="B6B6B6"/>
          </w:tcPr>
          <w:p>
            <w:pPr>
              <w:ind w:left="560"/>
              <w:spacing w:after="0"/>
              <w:rPr>
                <w:sz w:val="20"/>
                <w:szCs w:val="20"/>
                <w:color w:val="auto"/>
              </w:rPr>
            </w:pPr>
            <w:r>
              <w:rPr>
                <w:rFonts w:ascii="Arial" w:cs="Arial" w:eastAsia="Arial" w:hAnsi="Arial"/>
                <w:sz w:val="18"/>
                <w:szCs w:val="18"/>
                <w:color w:val="auto"/>
              </w:rPr>
              <w:t>Construction</w:t>
            </w:r>
          </w:p>
        </w:tc>
        <w:tc>
          <w:tcPr>
            <w:tcW w:w="250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24,705</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260" w:type="dxa"/>
            <w:vAlign w:val="bottom"/>
          </w:tcPr>
          <w:p>
            <w:pPr>
              <w:jc w:val="center"/>
              <w:ind w:right="3870"/>
              <w:spacing w:after="0"/>
              <w:rPr>
                <w:sz w:val="20"/>
                <w:szCs w:val="20"/>
                <w:color w:val="auto"/>
              </w:rPr>
            </w:pPr>
            <w:r>
              <w:rPr>
                <w:rFonts w:ascii="Arial" w:cs="Arial" w:eastAsia="Arial" w:hAnsi="Arial"/>
                <w:sz w:val="18"/>
                <w:szCs w:val="18"/>
                <w:color w:val="auto"/>
                <w:w w:val="89"/>
              </w:rPr>
              <w:t>Faith-based:</w:t>
            </w:r>
          </w:p>
        </w:tc>
        <w:tc>
          <w:tcPr>
            <w:tcW w:w="2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260" w:type="dxa"/>
            <w:vAlign w:val="bottom"/>
            <w:shd w:val="clear" w:color="auto" w:fill="B6B6B6"/>
          </w:tcPr>
          <w:p>
            <w:pPr>
              <w:ind w:left="560"/>
              <w:spacing w:after="0"/>
              <w:rPr>
                <w:sz w:val="20"/>
                <w:szCs w:val="20"/>
                <w:color w:val="auto"/>
              </w:rPr>
            </w:pPr>
            <w:r>
              <w:rPr>
                <w:rFonts w:ascii="Arial" w:cs="Arial" w:eastAsia="Arial" w:hAnsi="Arial"/>
                <w:sz w:val="18"/>
                <w:szCs w:val="18"/>
                <w:color w:val="auto"/>
              </w:rPr>
              <w:t>Mortgage</w:t>
            </w:r>
          </w:p>
        </w:tc>
        <w:tc>
          <w:tcPr>
            <w:tcW w:w="250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358,493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333,661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26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25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13,272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23,818</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2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Paycheck Protection Program (“PPP”)</w:t>
            </w:r>
          </w:p>
        </w:tc>
        <w:tc>
          <w:tcPr>
            <w:tcW w:w="250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16,307</w:t>
            </w:r>
          </w:p>
        </w:tc>
        <w:tc>
          <w:tcPr>
            <w:tcW w:w="24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109,704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2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loans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872,905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891,676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support of the Coronavirus, Aid, Relief, and Economic Security Act (the “CARES Act”), the Bank processed 460 applications for PPP loans with an aggregate principal balance of $210,000,000 during 2021 and 2020 to provide much-needed cash to small business and self-employed taxpayers during the COVID-19 crisis. The loans were primarily made to existing bank customers and are 100% guaranteed by the Small Business Administration (“SBA”) with no allowance for credit loss allocation. The Company has unaccreted PPP loan fees of $479,000 at September 30,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past due by category at September 30,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Nonperforming</w:t>
            </w:r>
          </w:p>
        </w:tc>
        <w:tc>
          <w:tcPr>
            <w:tcW w:w="30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9"/>
              </w:rPr>
              <w:t>90</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8"/>
              </w:rPr>
              <w:t>Days</w:t>
            </w: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3"/>
              </w:rPr>
              <w:t>and</w:t>
            </w:r>
          </w:p>
        </w:tc>
        <w:tc>
          <w:tcPr>
            <w:tcW w:w="1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Days</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Days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Over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accrual</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September 30, 2021</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356,532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356,532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103,596</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103,596</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24,705</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358,493</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358,493</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13,272</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PPP</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16,307</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16,307</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872,905</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872,905</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December 31, 2020</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298,984</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298,984</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100,419</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100,419</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25,090</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Arial" w:cs="Arial" w:eastAsia="Arial" w:hAnsi="Arial"/>
                <w:sz w:val="18"/>
                <w:szCs w:val="18"/>
                <w:color w:val="auto"/>
              </w:rPr>
              <w:t>Faith-based: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333,661</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333,661</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23,818</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23,818</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PPP</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109,704</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109,704</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891,676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891,676</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3"/>
              </w:rPr>
              <w:t>-14-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credit exposure of the loan portfolio by internally assigned credit grade as of September 30, 2021 and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9"/>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9"/>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199" w:lineRule="exact"/>
              <w:rPr>
                <w:sz w:val="20"/>
                <w:szCs w:val="20"/>
                <w:color w:val="auto"/>
              </w:rPr>
            </w:pPr>
            <w:r>
              <w:rPr>
                <w:rFonts w:ascii="Arial" w:cs="Arial" w:eastAsia="Arial" w:hAnsi="Arial"/>
                <w:sz w:val="18"/>
                <w:szCs w:val="18"/>
                <w:b w:val="1"/>
                <w:bCs w:val="1"/>
                <w:color w:val="auto"/>
                <w:w w:val="93"/>
              </w:rPr>
              <w:t>Normal</w:t>
            </w:r>
          </w:p>
        </w:tc>
        <w:tc>
          <w:tcPr>
            <w:tcW w:w="240" w:type="dxa"/>
            <w:vAlign w:val="bottom"/>
          </w:tcPr>
          <w:p>
            <w:pPr>
              <w:spacing w:after="0"/>
              <w:rPr>
                <w:sz w:val="17"/>
                <w:szCs w:val="17"/>
                <w:color w:val="auto"/>
              </w:rPr>
            </w:pPr>
          </w:p>
        </w:tc>
        <w:tc>
          <w:tcPr>
            <w:tcW w:w="1360" w:type="dxa"/>
            <w:vAlign w:val="bottom"/>
          </w:tcPr>
          <w:p>
            <w:pPr>
              <w:jc w:val="center"/>
              <w:ind w:right="90"/>
              <w:spacing w:after="0" w:line="199" w:lineRule="exact"/>
              <w:rPr>
                <w:sz w:val="20"/>
                <w:szCs w:val="20"/>
                <w:color w:val="auto"/>
              </w:rPr>
            </w:pPr>
            <w:r>
              <w:rPr>
                <w:rFonts w:ascii="Arial" w:cs="Arial" w:eastAsia="Arial" w:hAnsi="Arial"/>
                <w:sz w:val="18"/>
                <w:szCs w:val="18"/>
                <w:b w:val="1"/>
                <w:bCs w:val="1"/>
                <w:color w:val="auto"/>
                <w:w w:val="86"/>
              </w:rPr>
              <w:t>to Special</w:t>
            </w:r>
          </w:p>
        </w:tc>
        <w:tc>
          <w:tcPr>
            <w:tcW w:w="260" w:type="dxa"/>
            <w:vAlign w:val="bottom"/>
          </w:tcPr>
          <w:p>
            <w:pPr>
              <w:spacing w:after="0"/>
              <w:rPr>
                <w:sz w:val="17"/>
                <w:szCs w:val="17"/>
                <w:color w:val="auto"/>
              </w:rPr>
            </w:pPr>
          </w:p>
        </w:tc>
        <w:tc>
          <w:tcPr>
            <w:tcW w:w="1540" w:type="dxa"/>
            <w:vAlign w:val="bottom"/>
          </w:tcPr>
          <w:p>
            <w:pPr>
              <w:jc w:val="center"/>
              <w:ind w:right="110"/>
              <w:spacing w:after="0" w:line="199" w:lineRule="exact"/>
              <w:rPr>
                <w:sz w:val="20"/>
                <w:szCs w:val="20"/>
                <w:color w:val="auto"/>
              </w:rPr>
            </w:pPr>
            <w:r>
              <w:rPr>
                <w:rFonts w:ascii="Arial" w:cs="Arial" w:eastAsia="Arial" w:hAnsi="Arial"/>
                <w:sz w:val="18"/>
                <w:szCs w:val="18"/>
                <w:b w:val="1"/>
                <w:bCs w:val="1"/>
                <w:color w:val="auto"/>
                <w:w w:val="86"/>
              </w:rPr>
              <w:t>to Special</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Total Loans</w:t>
            </w:r>
          </w:p>
        </w:tc>
      </w:tr>
      <w:tr>
        <w:trPr>
          <w:trHeight w:val="256"/>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September 30, 2021</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345,652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356,532</w:t>
            </w:r>
          </w:p>
        </w:tc>
      </w:tr>
      <w:tr>
        <w:trPr>
          <w:trHeight w:val="263"/>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103,596</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103,596</w:t>
            </w: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24,705</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24,705</w:t>
            </w:r>
          </w:p>
        </w:tc>
      </w:tr>
      <w:tr>
        <w:trPr>
          <w:trHeight w:val="263"/>
        </w:trPr>
        <w:tc>
          <w:tcPr>
            <w:tcW w:w="33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355,530</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358,493</w:t>
            </w: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13,272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13,272</w:t>
            </w:r>
          </w:p>
        </w:tc>
      </w:tr>
      <w:tr>
        <w:trPr>
          <w:trHeight w:val="2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PPP</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16,307</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16,307</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859,062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13,843</w:t>
            </w:r>
          </w:p>
        </w:tc>
        <w:tc>
          <w:tcPr>
            <w:tcW w:w="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872,905</w:t>
            </w: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December 31, 2020</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284,882</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14,102</w:t>
            </w: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298,984</w:t>
            </w: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Commercial:</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99,044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100,419</w:t>
            </w: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25,090</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25,090</w:t>
            </w:r>
          </w:p>
        </w:tc>
      </w:tr>
      <w:tr>
        <w:trPr>
          <w:trHeight w:val="250"/>
        </w:trPr>
        <w:tc>
          <w:tcPr>
            <w:tcW w:w="3320" w:type="dxa"/>
            <w:vAlign w:val="bottom"/>
          </w:tcPr>
          <w:p>
            <w:pPr>
              <w:ind w:left="200"/>
              <w:spacing w:after="0"/>
              <w:rPr>
                <w:sz w:val="20"/>
                <w:szCs w:val="20"/>
                <w:color w:val="auto"/>
              </w:rPr>
            </w:pPr>
            <w:r>
              <w:rPr>
                <w:rFonts w:ascii="Arial" w:cs="Arial" w:eastAsia="Arial" w:hAnsi="Arial"/>
                <w:sz w:val="18"/>
                <w:szCs w:val="18"/>
                <w:color w:val="auto"/>
              </w:rPr>
              <w:t>Faith-based:</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330,554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3,107</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333,661</w:t>
            </w: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23,818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23,818</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PPP</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109,704</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109,704</w:t>
            </w:r>
          </w:p>
        </w:tc>
      </w:tr>
      <w:tr>
        <w:trPr>
          <w:trHeight w:val="2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873,092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891,676</w:t>
            </w:r>
          </w:p>
        </w:tc>
      </w:tr>
    </w:tbl>
    <w:p>
      <w:pPr>
        <w:spacing w:after="0" w:line="310" w:lineRule="exact"/>
        <w:rPr>
          <w:sz w:val="20"/>
          <w:szCs w:val="20"/>
          <w:color w:val="auto"/>
        </w:rPr>
      </w:pPr>
    </w:p>
    <w:p>
      <w:pPr>
        <w:ind w:left="20" w:right="20" w:firstLine="6"/>
        <w:spacing w:after="0" w:line="220" w:lineRule="auto"/>
        <w:tabs>
          <w:tab w:leader="none" w:pos="131"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Loans subject to normal monitoring involve borrowers of acceptable-to-strong credit quality and risk, who have the apparent ability to satisfy their loan obligations.</w:t>
      </w:r>
    </w:p>
    <w:p>
      <w:pPr>
        <w:spacing w:after="0" w:line="4" w:lineRule="exact"/>
        <w:rPr>
          <w:sz w:val="20"/>
          <w:szCs w:val="20"/>
          <w:color w:val="auto"/>
        </w:rPr>
      </w:pPr>
    </w:p>
    <w:p>
      <w:pPr>
        <w:ind w:left="120" w:hanging="94"/>
        <w:spacing w:after="0"/>
        <w:tabs>
          <w:tab w:leader="none" w:pos="12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Loans subject to special monitoring possess some credit deficiency or potential weakness which requires a high level of management attention.</w:t>
      </w:r>
    </w:p>
    <w:p>
      <w:pPr>
        <w:spacing w:after="0" w:line="26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had no loans evaluated for expected credit losses on an individual basis as of September 30, 2021. The Company had one loan in the amount of $2,500,000 at December 31, 2020 that was individually evaluated for credit losses, resulting in a specific allowance for credit loss of $500,000 at December 31, 2020. Due to improvement in borrower conditions, this loan was no longer evaluated individually for credit losses at September 30, 2021.</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foreclosed loans recorded as other real estate owned (included in other assets) as of September 30, 2021 or December 31, 2020.</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loans considered troubled debt restructurings as of September 30, 2021. There were two loans that were considered troubled debt restructurings at December 31, 2020 and these loans were removed from troubled debt restructuring status during the first quarter of 2021.</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recorded investment by category for loans considered a troubled debt restructuring during the year ended December 31, 2020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344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7"/>
                <w:szCs w:val="17"/>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Pre-Modification</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Post-Modification</w:t>
            </w:r>
          </w:p>
        </w:tc>
        <w:tc>
          <w:tcPr>
            <w:tcW w:w="0" w:type="dxa"/>
            <w:vAlign w:val="bottom"/>
          </w:tcPr>
          <w:p>
            <w:pPr>
              <w:spacing w:after="0"/>
              <w:rPr>
                <w:sz w:val="1"/>
                <w:szCs w:val="1"/>
                <w:color w:val="auto"/>
              </w:rPr>
            </w:pPr>
          </w:p>
        </w:tc>
      </w:tr>
      <w:tr>
        <w:trPr>
          <w:trHeight w:val="176"/>
        </w:trPr>
        <w:tc>
          <w:tcPr>
            <w:tcW w:w="4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w w:val="96"/>
              </w:rPr>
              <w:t>Outstanding</w:t>
            </w:r>
          </w:p>
        </w:tc>
        <w:tc>
          <w:tcPr>
            <w:tcW w:w="240" w:type="dxa"/>
            <w:vAlign w:val="bottom"/>
          </w:tcPr>
          <w:p>
            <w:pPr>
              <w:spacing w:after="0"/>
              <w:rPr>
                <w:sz w:val="15"/>
                <w:szCs w:val="15"/>
                <w:color w:val="auto"/>
              </w:rPr>
            </w:pPr>
          </w:p>
        </w:tc>
        <w:tc>
          <w:tcPr>
            <w:tcW w:w="132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w w:val="96"/>
              </w:rPr>
              <w:t>Outstanding</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vMerge w:val="continue"/>
          </w:tcPr>
          <w:p>
            <w:pPr>
              <w:spacing w:after="0"/>
              <w:rPr>
                <w:sz w:val="19"/>
                <w:szCs w:val="19"/>
                <w:color w:val="auto"/>
              </w:rPr>
            </w:pPr>
          </w:p>
        </w:tc>
        <w:tc>
          <w:tcPr>
            <w:tcW w:w="3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Loans</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Balance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50"/>
        </w:trPr>
        <w:tc>
          <w:tcPr>
            <w:tcW w:w="44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3440" w:type="dxa"/>
            <w:vAlign w:val="bottom"/>
            <w:shd w:val="clear" w:color="auto" w:fill="B6B6B6"/>
          </w:tcPr>
          <w:p>
            <w:pPr>
              <w:spacing w:after="0"/>
              <w:rPr>
                <w:sz w:val="21"/>
                <w:szCs w:val="21"/>
                <w:color w:val="auto"/>
              </w:rPr>
            </w:pP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8,773</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8,773</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Faith-based real estate</w:t>
            </w:r>
          </w:p>
        </w:tc>
        <w:tc>
          <w:tcPr>
            <w:tcW w:w="3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auto"/>
            </w:tcBorders>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9,802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two loans were restructured to change the amortization schedule to reduce payments from the borrowers while the contractual interest rate remained unchanged. These loans did not have a specific allowance for credit loss allocated to them at December 31, 2020. There were no loans restructured that subsequently defaulted during the year ended December 31, 2020.</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activity in allowance for credit losses (“ACL”) by category for the periods ended September 30, 2021 and December 31, 2020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700" w:type="dxa"/>
            <w:vAlign w:val="bottom"/>
          </w:tcPr>
          <w:p>
            <w:pPr>
              <w:spacing w:after="0"/>
              <w:rPr>
                <w:sz w:val="17"/>
                <w:szCs w:val="17"/>
                <w:color w:val="auto"/>
              </w:rPr>
            </w:pPr>
          </w:p>
        </w:tc>
        <w:tc>
          <w:tcPr>
            <w:tcW w:w="11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C&amp;I</w:t>
            </w:r>
          </w:p>
        </w:tc>
        <w:tc>
          <w:tcPr>
            <w:tcW w:w="340" w:type="dxa"/>
            <w:vAlign w:val="bottom"/>
          </w:tcPr>
          <w:p>
            <w:pPr>
              <w:spacing w:after="0"/>
              <w:rPr>
                <w:sz w:val="17"/>
                <w:szCs w:val="17"/>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220" w:type="dxa"/>
            <w:vAlign w:val="bottom"/>
          </w:tcPr>
          <w:p>
            <w:pPr>
              <w:spacing w:after="0"/>
              <w:rPr>
                <w:sz w:val="17"/>
                <w:szCs w:val="17"/>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Faith-based</w:t>
            </w:r>
          </w:p>
        </w:tc>
        <w:tc>
          <w:tcPr>
            <w:tcW w:w="260" w:type="dxa"/>
            <w:vAlign w:val="bottom"/>
          </w:tcPr>
          <w:p>
            <w:pPr>
              <w:spacing w:after="0"/>
              <w:rPr>
                <w:sz w:val="17"/>
                <w:szCs w:val="17"/>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Construction</w:t>
            </w:r>
          </w:p>
        </w:tc>
        <w:tc>
          <w:tcPr>
            <w:tcW w:w="34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CRE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Allowance for credit losses on loans:</w:t>
            </w:r>
          </w:p>
        </w:tc>
        <w:tc>
          <w:tcPr>
            <w:tcW w:w="70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Balance at December 31, 2020</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Charge Offs</w:t>
            </w:r>
          </w:p>
        </w:tc>
        <w:tc>
          <w:tcPr>
            <w:tcW w:w="700" w:type="dxa"/>
            <w:vAlign w:val="bottom"/>
            <w:tcBorders>
              <w:bottom w:val="single" w:sz="8" w:color="auto"/>
            </w:tcBorders>
            <w:shd w:val="clear" w:color="auto" w:fill="B6B6B6"/>
          </w:tcPr>
          <w:p>
            <w:pPr>
              <w:spacing w:after="0"/>
              <w:rPr>
                <w:sz w:val="21"/>
                <w:szCs w:val="21"/>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6B6B6"/>
          </w:tcPr>
          <w:p>
            <w:pPr>
              <w:spacing w:after="0"/>
              <w:rPr>
                <w:sz w:val="21"/>
                <w:szCs w:val="21"/>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6B6B6"/>
          </w:tcPr>
          <w:p>
            <w:pPr>
              <w:spacing w:after="0"/>
              <w:rPr>
                <w:sz w:val="21"/>
                <w:szCs w:val="21"/>
                <w:color w:val="auto"/>
              </w:rPr>
            </w:pP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6B6B6"/>
          </w:tcPr>
          <w:p>
            <w:pPr>
              <w:spacing w:after="0"/>
              <w:rPr>
                <w:sz w:val="21"/>
                <w:szCs w:val="21"/>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60" w:type="dxa"/>
            <w:vAlign w:val="bottom"/>
          </w:tcPr>
          <w:p>
            <w:pPr>
              <w:ind w:left="360"/>
              <w:spacing w:after="0"/>
              <w:rPr>
                <w:sz w:val="20"/>
                <w:szCs w:val="20"/>
                <w:color w:val="auto"/>
              </w:rPr>
            </w:pPr>
            <w:r>
              <w:rPr>
                <w:rFonts w:ascii="Arial" w:cs="Arial" w:eastAsia="Arial" w:hAnsi="Arial"/>
                <w:sz w:val="18"/>
                <w:szCs w:val="18"/>
                <w:color w:val="auto"/>
              </w:rPr>
              <w:t>(Release of) provision for credit losses</w:t>
            </w:r>
          </w:p>
        </w:tc>
        <w:tc>
          <w:tcPr>
            <w:tcW w:w="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7"/>
        </w:trPr>
        <w:tc>
          <w:tcPr>
            <w:tcW w:w="356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Recoveries</w:t>
            </w:r>
          </w:p>
        </w:tc>
        <w:tc>
          <w:tcPr>
            <w:tcW w:w="70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Balance at September 30, 2021</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release of credit losses during the nine months ended September 30, 2021 is primarily due to improved economic conditions and the removal of specific allowances for credit losses on impaired loans.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480" w:type="dxa"/>
            <w:vAlign w:val="bottom"/>
          </w:tcPr>
          <w:p>
            <w:pPr>
              <w:spacing w:after="0"/>
              <w:rPr>
                <w:sz w:val="18"/>
                <w:szCs w:val="18"/>
                <w:color w:val="auto"/>
              </w:rPr>
            </w:pPr>
          </w:p>
        </w:tc>
        <w:tc>
          <w:tcPr>
            <w:tcW w:w="11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C&amp;I</w:t>
            </w:r>
          </w:p>
        </w:tc>
        <w:tc>
          <w:tcPr>
            <w:tcW w:w="340" w:type="dxa"/>
            <w:vAlign w:val="bottom"/>
          </w:tcPr>
          <w:p>
            <w:pPr>
              <w:spacing w:after="0"/>
              <w:rPr>
                <w:sz w:val="18"/>
                <w:szCs w:val="18"/>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2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Faith-based</w:t>
            </w:r>
          </w:p>
        </w:tc>
        <w:tc>
          <w:tcPr>
            <w:tcW w:w="240" w:type="dxa"/>
            <w:vAlign w:val="bottom"/>
          </w:tcPr>
          <w:p>
            <w:pPr>
              <w:spacing w:after="0"/>
              <w:rPr>
                <w:sz w:val="18"/>
                <w:szCs w:val="18"/>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Construction</w:t>
            </w:r>
          </w:p>
        </w:tc>
        <w:tc>
          <w:tcPr>
            <w:tcW w:w="360" w:type="dxa"/>
            <w:vAlign w:val="bottom"/>
          </w:tcPr>
          <w:p>
            <w:pPr>
              <w:spacing w:after="0"/>
              <w:rPr>
                <w:sz w:val="18"/>
                <w:szCs w:val="18"/>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CRE</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B6B6B6"/>
          </w:tcPr>
          <w:p>
            <w:pPr>
              <w:ind w:left="200"/>
              <w:spacing w:after="0"/>
              <w:rPr>
                <w:sz w:val="20"/>
                <w:szCs w:val="20"/>
                <w:color w:val="auto"/>
              </w:rPr>
            </w:pPr>
            <w:r>
              <w:rPr>
                <w:rFonts w:ascii="Arial" w:cs="Arial" w:eastAsia="Arial" w:hAnsi="Arial"/>
                <w:sz w:val="18"/>
                <w:szCs w:val="18"/>
                <w:color w:val="auto"/>
              </w:rPr>
              <w:t>Allowance for credit losses on loans:</w:t>
            </w:r>
          </w:p>
        </w:tc>
        <w:tc>
          <w:tcPr>
            <w:tcW w:w="48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0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Balance at December 31, 2019</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4,874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22"/>
        </w:trPr>
        <w:tc>
          <w:tcPr>
            <w:tcW w:w="3900" w:type="dxa"/>
            <w:vAlign w:val="bottom"/>
            <w:shd w:val="clear" w:color="auto" w:fill="B6B6B6"/>
          </w:tcPr>
          <w:p>
            <w:pPr>
              <w:ind w:left="360"/>
              <w:spacing w:after="0"/>
              <w:rPr>
                <w:sz w:val="20"/>
                <w:szCs w:val="20"/>
                <w:color w:val="auto"/>
              </w:rPr>
            </w:pPr>
            <w:r>
              <w:rPr>
                <w:rFonts w:ascii="Arial" w:cs="Arial" w:eastAsia="Arial" w:hAnsi="Arial"/>
                <w:sz w:val="18"/>
                <w:szCs w:val="18"/>
                <w:color w:val="auto"/>
                <w:w w:val="96"/>
              </w:rPr>
              <w:t>Cumulative effect of accounting change (ASU</w:t>
            </w:r>
          </w:p>
        </w:tc>
        <w:tc>
          <w:tcPr>
            <w:tcW w:w="4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2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300" w:type="dxa"/>
            <w:vAlign w:val="bottom"/>
            <w:shd w:val="clear" w:color="auto" w:fill="B6B6B6"/>
          </w:tcPr>
          <w:p>
            <w:pPr>
              <w:spacing w:after="0"/>
              <w:rPr>
                <w:sz w:val="19"/>
                <w:szCs w:val="19"/>
                <w:color w:val="auto"/>
              </w:rPr>
            </w:pPr>
          </w:p>
        </w:tc>
        <w:tc>
          <w:tcPr>
            <w:tcW w:w="36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shd w:val="clear" w:color="auto" w:fill="B6B6B6"/>
          </w:tcPr>
          <w:p>
            <w:pPr>
              <w:ind w:left="520"/>
              <w:spacing w:after="0"/>
              <w:rPr>
                <w:sz w:val="20"/>
                <w:szCs w:val="20"/>
                <w:color w:val="auto"/>
              </w:rPr>
            </w:pPr>
            <w:r>
              <w:rPr>
                <w:rFonts w:ascii="Arial" w:cs="Arial" w:eastAsia="Arial" w:hAnsi="Arial"/>
                <w:sz w:val="18"/>
                <w:szCs w:val="18"/>
                <w:color w:val="auto"/>
              </w:rPr>
              <w:t>2016-13)</w:t>
            </w:r>
          </w:p>
        </w:tc>
        <w:tc>
          <w:tcPr>
            <w:tcW w:w="48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auto"/>
            </w:tcBorders>
            <w:shd w:val="clear" w:color="auto" w:fill="B6B6B6"/>
          </w:tcPr>
          <w:p>
            <w:pPr>
              <w:spacing w:after="0"/>
              <w:rPr>
                <w:sz w:val="20"/>
                <w:szCs w:val="20"/>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1,636</w:t>
            </w:r>
          </w:p>
        </w:tc>
        <w:tc>
          <w:tcPr>
            <w:tcW w:w="240" w:type="dxa"/>
            <w:vAlign w:val="bottom"/>
            <w:tcBorders>
              <w:bottom w:val="single" w:sz="8" w:color="auto"/>
            </w:tcBorders>
            <w:shd w:val="clear" w:color="auto" w:fill="B6B6B6"/>
          </w:tcPr>
          <w:p>
            <w:pPr>
              <w:spacing w:after="0"/>
              <w:rPr>
                <w:sz w:val="20"/>
                <w:szCs w:val="20"/>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B6B6B6"/>
          </w:tcPr>
          <w:p>
            <w:pPr>
              <w:spacing w:after="0"/>
              <w:rPr>
                <w:sz w:val="20"/>
                <w:szCs w:val="20"/>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Balance at January 1, 2020</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4,348</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1,127</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57"/>
        </w:trPr>
        <w:tc>
          <w:tcPr>
            <w:tcW w:w="3900" w:type="dxa"/>
            <w:vAlign w:val="bottom"/>
            <w:shd w:val="clear" w:color="auto" w:fill="B6B6B6"/>
          </w:tcPr>
          <w:p>
            <w:pPr>
              <w:ind w:left="380"/>
              <w:spacing w:after="0"/>
              <w:rPr>
                <w:sz w:val="20"/>
                <w:szCs w:val="20"/>
                <w:color w:val="auto"/>
              </w:rPr>
            </w:pPr>
            <w:r>
              <w:rPr>
                <w:rFonts w:ascii="Arial" w:cs="Arial" w:eastAsia="Arial" w:hAnsi="Arial"/>
                <w:sz w:val="18"/>
                <w:szCs w:val="18"/>
                <w:color w:val="auto"/>
              </w:rPr>
              <w:t>Provision for credit losses</w:t>
            </w:r>
          </w:p>
        </w:tc>
        <w:tc>
          <w:tcPr>
            <w:tcW w:w="48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B6B6B6"/>
          </w:tcPr>
          <w:p>
            <w:pPr>
              <w:spacing w:after="0"/>
              <w:rPr>
                <w:sz w:val="22"/>
                <w:szCs w:val="22"/>
                <w:color w:val="auto"/>
              </w:rPr>
            </w:pP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Recoveries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Balance at December 31, 2020</w:t>
            </w:r>
          </w:p>
        </w:tc>
        <w:tc>
          <w:tcPr>
            <w:tcW w:w="48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4,635</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5,717</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417</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credit losses during the year ended December 31, 2020 was due to the Company’s forecast of macroeconomic factors, which worsened during 2020, primarily due to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 release of credit losses of $430,000 was recorded during the nine months ended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September 30, 2021 due to improved economic conditions and lower line of credit usage. An allowance for unfunded commitments of $137,000 and $567,000 had been recorded at September 30, 2021 and December 31, 2020, respectively.</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September 30, 2021, the balance of unused loan commitments, standby and commercial letters of credit were $194,327,000, $12,061,000, and $235,000,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contractual cash obligations of the Company related to time deposits at September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2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5"/>
                <w:szCs w:val="15"/>
                <w:color w:val="auto"/>
              </w:rPr>
            </w:pPr>
          </w:p>
        </w:tc>
        <w:tc>
          <w:tcPr>
            <w:tcW w:w="12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Less than</w:t>
            </w:r>
          </w:p>
        </w:tc>
        <w:tc>
          <w:tcPr>
            <w:tcW w:w="400" w:type="dxa"/>
            <w:vAlign w:val="bottom"/>
          </w:tcPr>
          <w:p>
            <w:pPr>
              <w:spacing w:after="0"/>
              <w:rPr>
                <w:sz w:val="15"/>
                <w:szCs w:val="15"/>
                <w:color w:val="auto"/>
              </w:rPr>
            </w:pPr>
          </w:p>
        </w:tc>
        <w:tc>
          <w:tcPr>
            <w:tcW w:w="116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2"/>
              </w:rPr>
              <w:t>1-3</w:t>
            </w:r>
          </w:p>
        </w:tc>
        <w:tc>
          <w:tcPr>
            <w:tcW w:w="400" w:type="dxa"/>
            <w:vAlign w:val="bottom"/>
          </w:tcPr>
          <w:p>
            <w:pPr>
              <w:spacing w:after="0"/>
              <w:rPr>
                <w:sz w:val="15"/>
                <w:szCs w:val="15"/>
                <w:color w:val="auto"/>
              </w:rPr>
            </w:pPr>
          </w:p>
        </w:tc>
        <w:tc>
          <w:tcPr>
            <w:tcW w:w="1180" w:type="dxa"/>
            <w:vAlign w:val="bottom"/>
          </w:tcPr>
          <w:p>
            <w:pPr>
              <w:jc w:val="right"/>
              <w:ind w:right="550"/>
              <w:spacing w:after="0" w:line="176" w:lineRule="exact"/>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5"/>
                <w:szCs w:val="15"/>
                <w:color w:val="auto"/>
              </w:rPr>
            </w:pPr>
          </w:p>
        </w:tc>
        <w:tc>
          <w:tcPr>
            <w:tcW w:w="118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2"/>
              </w:rPr>
              <w:t>Over 5</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1 Year</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5"/>
              </w:rPr>
              <w:t>Years</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Years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34,719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15,917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nine months ended September 30, 2021, 52,356 restricted shares, 31,150 performance-based restricted shares, and no SARs were granted under the Omnibus Plan. Stock-based compensation expense for the three months ended September 30, 2021 and 2020 was $1,066,000 and $799,000, respectively, and $2,585,000 and $2,277,000 for the nine months ended September 30, 2021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the total unrecognized compensation expense related to non-vested restricted shares was $2,060,000, and the related weighted-average period over which it is expected to be recognized is approximately 0.70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summary of the activity of the Company's restricted stock for the nine months ended September 30, 2021, with total shares and weighted average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Nine Months Ended</w:t>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2020</w:t>
            </w:r>
          </w:p>
        </w:tc>
        <w:tc>
          <w:tcPr>
            <w:tcW w:w="4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136,167</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46.78</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Granted</w:t>
            </w:r>
          </w:p>
        </w:tc>
        <w:tc>
          <w:tcPr>
            <w:tcW w:w="4240" w:type="dxa"/>
            <w:vAlign w:val="bottom"/>
          </w:tcPr>
          <w:p>
            <w:pPr>
              <w:jc w:val="right"/>
              <w:ind w:right="30"/>
              <w:spacing w:after="0"/>
              <w:rPr>
                <w:sz w:val="20"/>
                <w:szCs w:val="20"/>
                <w:color w:val="auto"/>
              </w:rPr>
            </w:pPr>
            <w:r>
              <w:rPr>
                <w:rFonts w:ascii="Arial" w:cs="Arial" w:eastAsia="Arial" w:hAnsi="Arial"/>
                <w:sz w:val="18"/>
                <w:szCs w:val="18"/>
                <w:color w:val="auto"/>
              </w:rPr>
              <w:t>52,356</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41.59</w:t>
            </w:r>
          </w:p>
        </w:tc>
      </w:tr>
      <w:tr>
        <w:trPr>
          <w:trHeight w:val="263"/>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Vested</w:t>
            </w:r>
          </w:p>
        </w:tc>
        <w:tc>
          <w:tcPr>
            <w:tcW w:w="4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(23,782)</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48.43</w:t>
            </w:r>
          </w:p>
        </w:tc>
      </w:tr>
      <w:tr>
        <w:trPr>
          <w:trHeight w:val="25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Balance at September 30, 2021</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164,003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46.69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activity of the PBRS for the nine months ended September 30, 2021, based on 100% of target value:</w:t>
      </w:r>
    </w:p>
    <w:p>
      <w:pPr>
        <w:spacing w:after="0" w:line="23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Nine Months Ended</w:t>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2020</w:t>
            </w:r>
          </w:p>
        </w:tc>
        <w:tc>
          <w:tcPr>
            <w:tcW w:w="4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98,410</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50.64</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Granted</w:t>
            </w:r>
          </w:p>
        </w:tc>
        <w:tc>
          <w:tcPr>
            <w:tcW w:w="4240" w:type="dxa"/>
            <w:vAlign w:val="bottom"/>
          </w:tcPr>
          <w:p>
            <w:pPr>
              <w:jc w:val="right"/>
              <w:ind w:right="30"/>
              <w:spacing w:after="0"/>
              <w:rPr>
                <w:sz w:val="20"/>
                <w:szCs w:val="20"/>
                <w:color w:val="auto"/>
              </w:rPr>
            </w:pPr>
            <w:r>
              <w:rPr>
                <w:rFonts w:ascii="Arial" w:cs="Arial" w:eastAsia="Arial" w:hAnsi="Arial"/>
                <w:sz w:val="18"/>
                <w:szCs w:val="18"/>
                <w:color w:val="auto"/>
              </w:rPr>
              <w:t>52,240</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40.74</w:t>
            </w:r>
          </w:p>
        </w:tc>
      </w:tr>
      <w:tr>
        <w:trPr>
          <w:trHeight w:val="263"/>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Vested</w:t>
            </w:r>
          </w:p>
        </w:tc>
        <w:tc>
          <w:tcPr>
            <w:tcW w:w="4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(33,000)</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49.07</w:t>
            </w:r>
          </w:p>
        </w:tc>
      </w:tr>
      <w:tr>
        <w:trPr>
          <w:trHeight w:val="25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Balance at September 30, 2021</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116,543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46.79</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PBRS that vested during the nine months ended September 30, 2021 were based on the Company's achievement of 94.4% of target financial goals, resulting in the issuance of 31,150 shares of common stock. The outstanding PBRS at September 30, 2021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SARs granted and no expense recognized during the nine months ended September 30, 2021. Following is a summary of the activity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nine months ended September 30,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72"/>
        </w:trPr>
        <w:tc>
          <w:tcPr>
            <w:tcW w:w="49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restart"/>
          </w:tcPr>
          <w:p>
            <w:pPr>
              <w:jc w:val="center"/>
              <w:ind w:right="70"/>
              <w:spacing w:after="0" w:line="202"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vMerge w:val="restart"/>
          </w:tcPr>
          <w:p>
            <w:pPr>
              <w:jc w:val="center"/>
              <w:ind w:right="290"/>
              <w:spacing w:after="0" w:line="176" w:lineRule="exact"/>
              <w:rPr>
                <w:sz w:val="20"/>
                <w:szCs w:val="20"/>
                <w:color w:val="auto"/>
              </w:rPr>
            </w:pPr>
            <w:r>
              <w:rPr>
                <w:rFonts w:ascii="Arial" w:cs="Arial" w:eastAsia="Arial" w:hAnsi="Arial"/>
                <w:sz w:val="18"/>
                <w:szCs w:val="18"/>
                <w:b w:val="1"/>
                <w:bCs w:val="1"/>
                <w:color w:val="auto"/>
                <w:w w:val="87"/>
              </w:rPr>
              <w:t>Average</w:t>
            </w:r>
          </w:p>
        </w:tc>
        <w:tc>
          <w:tcPr>
            <w:tcW w:w="148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9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5"/>
                <w:szCs w:val="15"/>
                <w:color w:val="auto"/>
              </w:rPr>
            </w:pPr>
          </w:p>
        </w:tc>
        <w:tc>
          <w:tcPr>
            <w:tcW w:w="140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Term Years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i w:val="1"/>
                <w:iCs w:val="1"/>
                <w:color w:val="auto"/>
                <w:w w:val="88"/>
              </w:rPr>
              <w:t>(In thousands)</w:t>
            </w:r>
          </w:p>
        </w:tc>
        <w:tc>
          <w:tcPr>
            <w:tcW w:w="0" w:type="dxa"/>
            <w:vAlign w:val="bottom"/>
          </w:tcPr>
          <w:p>
            <w:pPr>
              <w:spacing w:after="0"/>
              <w:rPr>
                <w:sz w:val="1"/>
                <w:szCs w:val="1"/>
                <w:color w:val="auto"/>
              </w:rPr>
            </w:pPr>
          </w:p>
        </w:tc>
      </w:tr>
      <w:tr>
        <w:trPr>
          <w:trHeight w:val="250"/>
        </w:trPr>
        <w:tc>
          <w:tcPr>
            <w:tcW w:w="49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144,999</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32.99</w:t>
            </w:r>
          </w:p>
        </w:tc>
        <w:tc>
          <w:tcPr>
            <w:tcW w:w="1480" w:type="dxa"/>
            <w:vAlign w:val="bottom"/>
            <w:shd w:val="clear" w:color="auto" w:fill="B6B6B6"/>
          </w:tcPr>
          <w:p>
            <w:pPr>
              <w:jc w:val="center"/>
              <w:ind w:left="950"/>
              <w:spacing w:after="0"/>
              <w:rPr>
                <w:sz w:val="20"/>
                <w:szCs w:val="20"/>
                <w:color w:val="auto"/>
              </w:rPr>
            </w:pPr>
            <w:r>
              <w:rPr>
                <w:rFonts w:ascii="Arial" w:cs="Arial" w:eastAsia="Arial" w:hAnsi="Arial"/>
                <w:sz w:val="18"/>
                <w:szCs w:val="18"/>
                <w:color w:val="auto"/>
                <w:w w:val="91"/>
              </w:rPr>
              <w:t>1.95</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50"/>
        </w:trPr>
        <w:tc>
          <w:tcPr>
            <w:tcW w:w="4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tcPr>
          <w:p>
            <w:pPr>
              <w:jc w:val="right"/>
              <w:spacing w:after="0"/>
              <w:rPr>
                <w:sz w:val="20"/>
                <w:szCs w:val="20"/>
                <w:color w:val="auto"/>
              </w:rPr>
            </w:pPr>
            <w:r>
              <w:rPr>
                <w:rFonts w:ascii="Arial" w:cs="Arial" w:eastAsia="Arial" w:hAnsi="Arial"/>
                <w:sz w:val="18"/>
                <w:szCs w:val="18"/>
                <w:color w:val="auto"/>
              </w:rPr>
              <w:t>(20,560)</w:t>
            </w:r>
          </w:p>
        </w:tc>
        <w:tc>
          <w:tcPr>
            <w:tcW w:w="28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24.12</w:t>
            </w:r>
          </w:p>
        </w:tc>
        <w:tc>
          <w:tcPr>
            <w:tcW w:w="1480" w:type="dxa"/>
            <w:vAlign w:val="bottom"/>
          </w:tcPr>
          <w:p>
            <w:pPr>
              <w:jc w:val="center"/>
              <w:ind w:left="9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20" w:type="dxa"/>
            <w:vAlign w:val="bottom"/>
            <w:shd w:val="clear" w:color="auto" w:fill="B6B6B6"/>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(2,088)</w:t>
            </w:r>
          </w:p>
        </w:tc>
        <w:tc>
          <w:tcPr>
            <w:tcW w:w="28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31.92</w:t>
            </w:r>
          </w:p>
        </w:tc>
        <w:tc>
          <w:tcPr>
            <w:tcW w:w="1480" w:type="dxa"/>
            <w:vAlign w:val="bottom"/>
            <w:tcBorders>
              <w:bottom w:val="single" w:sz="8" w:color="auto"/>
            </w:tcBorders>
            <w:shd w:val="clear" w:color="auto" w:fill="B6B6B6"/>
          </w:tcPr>
          <w:p>
            <w:pPr>
              <w:jc w:val="center"/>
              <w:ind w:left="9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B6B6B6"/>
          </w:tcPr>
          <w:p>
            <w:pPr>
              <w:spacing w:after="0"/>
              <w:rPr>
                <w:sz w:val="22"/>
                <w:szCs w:val="22"/>
                <w:color w:val="auto"/>
              </w:rPr>
            </w:pPr>
          </w:p>
        </w:tc>
        <w:tc>
          <w:tcPr>
            <w:tcW w:w="14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at September 30, 2021</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122,351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34.50</w:t>
            </w:r>
          </w:p>
        </w:tc>
        <w:tc>
          <w:tcPr>
            <w:tcW w:w="14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1.41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September 30,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The Company accrues and makes contributions designed to fund normal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40" w:type="dxa"/>
            <w:vAlign w:val="bottom"/>
          </w:tcPr>
          <w:p>
            <w:pPr>
              <w:spacing w:after="0"/>
              <w:rPr>
                <w:sz w:val="17"/>
                <w:szCs w:val="17"/>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Estimated</w:t>
            </w:r>
          </w:p>
        </w:tc>
        <w:tc>
          <w:tcPr>
            <w:tcW w:w="360" w:type="dxa"/>
            <w:vAlign w:val="bottom"/>
          </w:tcPr>
          <w:p>
            <w:pPr>
              <w:spacing w:after="0"/>
              <w:rPr>
                <w:sz w:val="17"/>
                <w:szCs w:val="17"/>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Actual</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vMerge w:val="continue"/>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5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Service cost – benefits earned during the year</w:t>
            </w:r>
          </w:p>
        </w:tc>
        <w:tc>
          <w:tcPr>
            <w:tcW w:w="26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963</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center"/>
              <w:ind w:left="530"/>
              <w:spacing w:after="0"/>
              <w:rPr>
                <w:sz w:val="20"/>
                <w:szCs w:val="20"/>
                <w:color w:val="auto"/>
              </w:rPr>
            </w:pPr>
            <w:r>
              <w:rPr>
                <w:rFonts w:ascii="Arial" w:cs="Arial" w:eastAsia="Arial" w:hAnsi="Arial"/>
                <w:sz w:val="18"/>
                <w:szCs w:val="18"/>
                <w:color w:val="auto"/>
                <w:w w:val="88"/>
              </w:rPr>
              <w:t>4,329</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obligations</w:t>
            </w:r>
          </w:p>
        </w:tc>
        <w:tc>
          <w:tcPr>
            <w:tcW w:w="26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3,069</w:t>
            </w:r>
          </w:p>
        </w:tc>
        <w:tc>
          <w:tcPr>
            <w:tcW w:w="360" w:type="dxa"/>
            <w:vAlign w:val="bottom"/>
          </w:tcPr>
          <w:p>
            <w:pPr>
              <w:spacing w:after="0"/>
              <w:rPr>
                <w:sz w:val="21"/>
                <w:szCs w:val="21"/>
                <w:color w:val="auto"/>
              </w:rPr>
            </w:pPr>
          </w:p>
        </w:tc>
        <w:tc>
          <w:tcPr>
            <w:tcW w:w="1180" w:type="dxa"/>
            <w:vAlign w:val="bottom"/>
          </w:tcPr>
          <w:p>
            <w:pPr>
              <w:jc w:val="center"/>
              <w:ind w:left="530"/>
              <w:spacing w:after="0"/>
              <w:rPr>
                <w:sz w:val="20"/>
                <w:szCs w:val="20"/>
                <w:color w:val="auto"/>
              </w:rPr>
            </w:pPr>
            <w:r>
              <w:rPr>
                <w:rFonts w:ascii="Arial" w:cs="Arial" w:eastAsia="Arial" w:hAnsi="Arial"/>
                <w:sz w:val="18"/>
                <w:szCs w:val="18"/>
                <w:color w:val="auto"/>
                <w:w w:val="88"/>
              </w:rPr>
              <w:t>3,908</w:t>
            </w:r>
          </w:p>
        </w:tc>
        <w:tc>
          <w:tcPr>
            <w:tcW w:w="0" w:type="dxa"/>
            <w:vAlign w:val="bottom"/>
          </w:tcPr>
          <w:p>
            <w:pPr>
              <w:spacing w:after="0"/>
              <w:rPr>
                <w:sz w:val="1"/>
                <w:szCs w:val="1"/>
                <w:color w:val="auto"/>
              </w:rPr>
            </w:pPr>
          </w:p>
        </w:tc>
      </w:tr>
      <w:tr>
        <w:trPr>
          <w:trHeight w:val="263"/>
        </w:trPr>
        <w:tc>
          <w:tcPr>
            <w:tcW w:w="5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Expected return on plan assets</w:t>
            </w:r>
          </w:p>
        </w:tc>
        <w:tc>
          <w:tcPr>
            <w:tcW w:w="26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(6,299)</w:t>
            </w:r>
          </w:p>
        </w:tc>
        <w:tc>
          <w:tcPr>
            <w:tcW w:w="360" w:type="dxa"/>
            <w:vAlign w:val="bottom"/>
            <w:shd w:val="clear" w:color="auto" w:fill="B6B6B6"/>
          </w:tcPr>
          <w:p>
            <w:pPr>
              <w:spacing w:after="0"/>
              <w:rPr>
                <w:sz w:val="22"/>
                <w:szCs w:val="22"/>
                <w:color w:val="auto"/>
              </w:rPr>
            </w:pPr>
          </w:p>
        </w:tc>
        <w:tc>
          <w:tcPr>
            <w:tcW w:w="1180" w:type="dxa"/>
            <w:vAlign w:val="bottom"/>
            <w:shd w:val="clear" w:color="auto" w:fill="B6B6B6"/>
          </w:tcPr>
          <w:p>
            <w:pPr>
              <w:jc w:val="center"/>
              <w:ind w:left="510"/>
              <w:spacing w:after="0"/>
              <w:rPr>
                <w:sz w:val="20"/>
                <w:szCs w:val="20"/>
                <w:color w:val="auto"/>
              </w:rPr>
            </w:pPr>
            <w:r>
              <w:rPr>
                <w:rFonts w:ascii="Arial" w:cs="Arial" w:eastAsia="Arial" w:hAnsi="Arial"/>
                <w:sz w:val="18"/>
                <w:szCs w:val="18"/>
                <w:color w:val="auto"/>
                <w:w w:val="94"/>
              </w:rPr>
              <w:t>(6,049)</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amortization</w:t>
            </w: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8"/>
              </w:rPr>
              <w:t>1,946</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Net periodic pension (benefit) cost</w:t>
            </w:r>
          </w:p>
        </w:tc>
        <w:tc>
          <w:tcPr>
            <w:tcW w:w="26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(1,907)</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6B6B6"/>
          </w:tcPr>
          <w:p>
            <w:pPr>
              <w:jc w:val="center"/>
              <w:ind w:left="530"/>
              <w:spacing w:after="0"/>
              <w:rPr>
                <w:sz w:val="20"/>
                <w:szCs w:val="20"/>
                <w:color w:val="auto"/>
              </w:rPr>
            </w:pPr>
            <w:r>
              <w:rPr>
                <w:rFonts w:ascii="Arial" w:cs="Arial" w:eastAsia="Arial" w:hAnsi="Arial"/>
                <w:sz w:val="18"/>
                <w:szCs w:val="18"/>
                <w:color w:val="auto"/>
                <w:w w:val="88"/>
              </w:rPr>
              <w:t>4,134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recorded a net periodic benefit of $678,000 and $1,096,000 for the three and nine-month periods ended September 30, 2021, respectively as compared to net periodic pension cost of $1,103,000 and $3,159,000 for the three and nine-month periods ended September 30, 2020, respectively. Pension costs decreased in 2021 due to the Plan being frozen as of February 28, 2021. The Company made a contribution of $330,000 to the Plan during the nine-month period ended September 30, 2021 and is evaluating the amount of additional contributions, if any, for the remainder of 2021.</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2020 and an estimate for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56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vMerge w:val="continue"/>
          </w:tcPr>
          <w:p>
            <w:pPr>
              <w:spacing w:after="0"/>
              <w:rPr>
                <w:sz w:val="19"/>
                <w:szCs w:val="19"/>
                <w:color w:val="auto"/>
              </w:rPr>
            </w:pPr>
          </w:p>
        </w:tc>
        <w:tc>
          <w:tcPr>
            <w:tcW w:w="3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5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Service cost – benefits earned during the year</w:t>
            </w:r>
          </w:p>
        </w:tc>
        <w:tc>
          <w:tcPr>
            <w:tcW w:w="3560" w:type="dxa"/>
            <w:vAlign w:val="bottom"/>
            <w:shd w:val="clear" w:color="auto" w:fill="B6B6B6"/>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79"/>
              </w:rPr>
              <w:t>147</w:t>
            </w:r>
          </w:p>
        </w:tc>
        <w:tc>
          <w:tcPr>
            <w:tcW w:w="38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5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291</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57"/>
        </w:trPr>
        <w:tc>
          <w:tcPr>
            <w:tcW w:w="5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Net amortization</w:t>
            </w:r>
          </w:p>
        </w:tc>
        <w:tc>
          <w:tcPr>
            <w:tcW w:w="3560" w:type="dxa"/>
            <w:vAlign w:val="bottom"/>
            <w:tcBorders>
              <w:bottom w:val="single" w:sz="8" w:color="auto"/>
            </w:tcBorders>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w w:val="79"/>
              </w:rPr>
              <w:t>203</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periodic pension cost</w:t>
            </w:r>
          </w:p>
        </w:tc>
        <w:tc>
          <w:tcPr>
            <w:tcW w:w="35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641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Supplemental executive retirement plan costs recorded to expense were $160,000 and $145,000 for the three-month periods ended September 30, 2021 and 2020, respectively. Supplemental executive retirement plan costs recorded to expense were $481,000 and $435,000 for the nine-month periods ended September 30, 2021 and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was 14.7% and 18.2% for the three-month periods ended September 30, 2021 and 2020, respectively, and 17.0% and 17.9% for the nine-month periods ended September 30, 2021 and 2020, respectively. The effective tax rate for all periods differs from the statutory rate of 21% primarily due to the tax-exempt interest received from municipal bonds.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category. The amortized cost, gross unrealized gains, gross unrealized losses and fair value of investment securities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September 30, 2021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345,165</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13,880</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358,224</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112,850</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112,099</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70,516</w:t>
            </w:r>
          </w:p>
        </w:tc>
        <w:tc>
          <w:tcPr>
            <w:tcW w:w="30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281</w:t>
            </w:r>
          </w:p>
        </w:tc>
        <w:tc>
          <w:tcPr>
            <w:tcW w:w="30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70,756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528,531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14,698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541,079</w:t>
            </w:r>
          </w:p>
        </w:tc>
        <w:tc>
          <w:tcPr>
            <w:tcW w:w="0" w:type="dxa"/>
            <w:vAlign w:val="bottom"/>
          </w:tcPr>
          <w:p>
            <w:pPr>
              <w:spacing w:after="0"/>
              <w:rPr>
                <w:sz w:val="1"/>
                <w:szCs w:val="1"/>
                <w:color w:val="auto"/>
              </w:rPr>
            </w:pPr>
          </w:p>
        </w:tc>
      </w:tr>
      <w:tr>
        <w:trPr>
          <w:trHeight w:val="547"/>
        </w:trPr>
        <w:tc>
          <w:tcPr>
            <w:tcW w:w="5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287,059</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18,915</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305,974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U.S. government agencies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50,988</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338,047</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19,679</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357,726</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5"/>
          </w:tcPr>
          <w:p>
            <w:pPr>
              <w:spacing w:after="0"/>
              <w:rPr>
                <w:sz w:val="20"/>
                <w:szCs w:val="20"/>
                <w:color w:val="auto"/>
              </w:rPr>
            </w:pPr>
            <w:r>
              <w:rPr>
                <w:rFonts w:ascii="Arial" w:cs="Arial" w:eastAsia="Arial" w:hAnsi="Arial"/>
                <w:sz w:val="18"/>
                <w:szCs w:val="18"/>
                <w:color w:val="auto"/>
              </w:rPr>
              <w:t>The fair values of securities with unrealized losses are as follows: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w w:val="97"/>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4"/>
              </w:rPr>
              <w:t>Unrealized</w:t>
            </w:r>
          </w:p>
        </w:tc>
        <w:tc>
          <w:tcPr>
            <w:tcW w:w="240" w:type="dxa"/>
            <w:vAlign w:val="bottom"/>
          </w:tcPr>
          <w:p>
            <w:pPr>
              <w:spacing w:after="0"/>
              <w:rPr>
                <w:sz w:val="15"/>
                <w:szCs w:val="15"/>
                <w:color w:val="auto"/>
              </w:rPr>
            </w:pPr>
          </w:p>
        </w:tc>
        <w:tc>
          <w:tcPr>
            <w:tcW w:w="1140" w:type="dxa"/>
            <w:vAlign w:val="bottom"/>
          </w:tcPr>
          <w:p>
            <w:pPr>
              <w:ind w:left="80"/>
              <w:spacing w:after="0" w:line="176"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ind w:left="60"/>
              <w:spacing w:after="0" w:line="176"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7"/>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68,399</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B6B6"/>
          </w:tcPr>
          <w:p>
            <w:pPr>
              <w:ind w:lef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68,399</w:t>
            </w:r>
          </w:p>
        </w:tc>
        <w:tc>
          <w:tcPr>
            <w:tcW w:w="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88,386</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88,386</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57"/>
        </w:trPr>
        <w:tc>
          <w:tcPr>
            <w:tcW w:w="30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10,940</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ind w:left="8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10,940</w:t>
            </w:r>
          </w:p>
        </w:tc>
        <w:tc>
          <w:tcPr>
            <w:tcW w:w="28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167,725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66 securities, or 20% (0 greater than 12 months), in an unrealized loss position as of September 30, 2021. The unrealized losses at September 30, 2021 were primarily attributable to changes in market interest rates after the securities were purchased. There were no securities in an unrealized loss position as of December 31, 2020. At September 30, 2021 and December 31, 2020, the Company had not recorded an allowance for credit losses on securities.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 30, 2021</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25,511</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25,760</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104,620</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109,737</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210,353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219,204</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188,047</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186,378</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528,531</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541,079</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sales of investment securities classified as available-for-sale were $30,074,000 and $0 for the three months ended September 30, 2021 and 2020, respectively, and were $43,190,000 and $19,629,000 for the nine months ended September 30, 2021 and 2020, respectively. Gross realized losses were $1,000 and $0 for the three months ended September 30, 2021 and 2020, respectively. Gross realized gains were $44,000 and $1,069,000 for the nine months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and 2020, respectively. There were no securities pledged to secure public deposits and for other purposes at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500,309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500,309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670,528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670,528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541,079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541,079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357,726</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357,726</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861,373</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861,828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879,732</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883,461</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6,332</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6,850</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1,909,093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1,909,548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1,914,836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1,918,565</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1,087,317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1,087,317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1,050,856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1,050,856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905,479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905,479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835,386</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835,386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1,992,864</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1,992,864</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1,886,280</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1,886,280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credit losses result in a fair valuation.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Payable </w:t>
      </w:r>
      <w:r>
        <w:rPr>
          <w:rFonts w:ascii="Arial" w:cs="Arial" w:eastAsia="Arial" w:hAnsi="Arial"/>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as the obligation to the customer is satisfied. The following is detail of the Company’s revenue from contracts with clients.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Invoice processing fees </w:t>
      </w:r>
      <w:r>
        <w:rPr>
          <w:rFonts w:ascii="Arial" w:cs="Arial" w:eastAsia="Arial" w:hAnsi="Arial"/>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7"/>
                <w:szCs w:val="17"/>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For the Nine Months Ended</w:t>
            </w:r>
          </w:p>
        </w:tc>
      </w:tr>
      <w:tr>
        <w:trPr>
          <w:trHeight w:val="241"/>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r>
      <w:tr>
        <w:trPr>
          <w:trHeight w:val="25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2020</w:t>
            </w:r>
          </w:p>
        </w:tc>
      </w:tr>
      <w:tr>
        <w:trPr>
          <w:trHeight w:val="257"/>
        </w:trPr>
        <w:tc>
          <w:tcPr>
            <w:tcW w:w="5520" w:type="dxa"/>
            <w:vAlign w:val="bottom"/>
            <w:shd w:val="clear" w:color="auto" w:fill="B6B6B6"/>
          </w:tcPr>
          <w:p>
            <w:pPr>
              <w:ind w:left="20"/>
              <w:spacing w:after="0"/>
              <w:rPr>
                <w:sz w:val="20"/>
                <w:szCs w:val="20"/>
                <w:color w:val="auto"/>
              </w:rPr>
            </w:pPr>
            <w:r>
              <w:rPr>
                <w:rFonts w:ascii="Arial" w:cs="Arial" w:eastAsia="Arial" w:hAnsi="Arial"/>
                <w:sz w:val="18"/>
                <w:szCs w:val="18"/>
                <w:color w:val="auto"/>
              </w:rPr>
              <w:t>Fee revenue and other income</w:t>
            </w:r>
          </w:p>
        </w:tc>
        <w:tc>
          <w:tcPr>
            <w:tcW w:w="20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spacing w:after="0"/>
              <w:rPr>
                <w:sz w:val="22"/>
                <w:szCs w:val="22"/>
                <w:color w:val="auto"/>
              </w:rPr>
            </w:pPr>
          </w:p>
        </w:tc>
      </w:tr>
      <w:tr>
        <w:trPr>
          <w:trHeight w:val="250"/>
        </w:trPr>
        <w:tc>
          <w:tcPr>
            <w:tcW w:w="5520" w:type="dxa"/>
            <w:vAlign w:val="bottom"/>
          </w:tcPr>
          <w:p>
            <w:pPr>
              <w:ind w:left="200"/>
              <w:spacing w:after="0"/>
              <w:rPr>
                <w:sz w:val="20"/>
                <w:szCs w:val="20"/>
                <w:color w:val="auto"/>
              </w:rPr>
            </w:pPr>
            <w:r>
              <w:rPr>
                <w:rFonts w:ascii="Arial" w:cs="Arial" w:eastAsia="Arial" w:hAnsi="Arial"/>
                <w:sz w:val="18"/>
                <w:szCs w:val="18"/>
                <w:i w:val="1"/>
                <w:iCs w:val="1"/>
                <w:color w:val="auto"/>
              </w:rPr>
              <w:t>In-scope of FASB ASC 606</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3"/>
        </w:trPr>
        <w:tc>
          <w:tcPr>
            <w:tcW w:w="55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Invoice processing fees</w:t>
            </w:r>
          </w:p>
        </w:tc>
        <w:tc>
          <w:tcPr>
            <w:tcW w:w="2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19,230</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58,047</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55,697</w:t>
            </w:r>
          </w:p>
        </w:tc>
      </w:tr>
      <w:tr>
        <w:trPr>
          <w:trHeight w:val="250"/>
        </w:trPr>
        <w:tc>
          <w:tcPr>
            <w:tcW w:w="5520" w:type="dxa"/>
            <w:vAlign w:val="bottom"/>
            <w:tcBorders>
              <w:bottom w:val="single" w:sz="8" w:color="B6B6B6"/>
            </w:tcBorders>
          </w:tcPr>
          <w:p>
            <w:pPr>
              <w:ind w:left="380"/>
              <w:spacing w:after="0"/>
              <w:rPr>
                <w:sz w:val="20"/>
                <w:szCs w:val="20"/>
                <w:color w:val="auto"/>
              </w:rPr>
            </w:pPr>
            <w:r>
              <w:rPr>
                <w:rFonts w:ascii="Arial" w:cs="Arial" w:eastAsia="Arial" w:hAnsi="Arial"/>
                <w:sz w:val="18"/>
                <w:szCs w:val="18"/>
                <w:color w:val="auto"/>
              </w:rPr>
              <w:t>Invoice payment fees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20,394</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16,843</w:t>
            </w:r>
          </w:p>
        </w:tc>
      </w:tr>
      <w:tr>
        <w:trPr>
          <w:trHeight w:val="256"/>
        </w:trPr>
        <w:tc>
          <w:tcPr>
            <w:tcW w:w="5520" w:type="dxa"/>
            <w:vAlign w:val="bottom"/>
            <w:shd w:val="clear" w:color="auto" w:fill="B6B6B6"/>
          </w:tcPr>
          <w:p>
            <w:pPr>
              <w:ind w:left="600"/>
              <w:spacing w:after="0"/>
              <w:rPr>
                <w:sz w:val="20"/>
                <w:szCs w:val="20"/>
                <w:color w:val="auto"/>
              </w:rPr>
            </w:pPr>
            <w:r>
              <w:rPr>
                <w:rFonts w:ascii="Arial" w:cs="Arial" w:eastAsia="Arial" w:hAnsi="Arial"/>
                <w:sz w:val="18"/>
                <w:szCs w:val="18"/>
                <w:color w:val="auto"/>
              </w:rPr>
              <w:t>Information services payment and processing revenue</w:t>
            </w:r>
          </w:p>
        </w:tc>
        <w:tc>
          <w:tcPr>
            <w:tcW w:w="20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26,877</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24,376</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78,441</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72,540</w:t>
            </w:r>
          </w:p>
        </w:tc>
      </w:tr>
      <w:tr>
        <w:trPr>
          <w:trHeight w:val="250"/>
        </w:trPr>
        <w:tc>
          <w:tcPr>
            <w:tcW w:w="5520" w:type="dxa"/>
            <w:vAlign w:val="bottom"/>
            <w:tcBorders>
              <w:bottom w:val="single" w:sz="8" w:color="B6B6B6"/>
            </w:tcBorders>
          </w:tcPr>
          <w:p>
            <w:pPr>
              <w:ind w:left="380"/>
              <w:spacing w:after="0"/>
              <w:rPr>
                <w:sz w:val="20"/>
                <w:szCs w:val="20"/>
                <w:color w:val="auto"/>
              </w:rPr>
            </w:pPr>
            <w:r>
              <w:rPr>
                <w:rFonts w:ascii="Arial" w:cs="Arial" w:eastAsia="Arial" w:hAnsi="Arial"/>
                <w:sz w:val="18"/>
                <w:szCs w:val="18"/>
                <w:color w:val="auto"/>
              </w:rPr>
              <w:t>Bank service fees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r>
      <w:tr>
        <w:trPr>
          <w:trHeight w:val="257"/>
        </w:trPr>
        <w:tc>
          <w:tcPr>
            <w:tcW w:w="55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Fee revenue (in-scope of FASB ASC 606)</w:t>
            </w:r>
          </w:p>
        </w:tc>
        <w:tc>
          <w:tcPr>
            <w:tcW w:w="20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27,410</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24,817</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79,998</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73,789</w:t>
            </w:r>
          </w:p>
        </w:tc>
      </w:tr>
      <w:tr>
        <w:trPr>
          <w:trHeight w:val="250"/>
        </w:trPr>
        <w:tc>
          <w:tcPr>
            <w:tcW w:w="5520" w:type="dxa"/>
            <w:vAlign w:val="bottom"/>
            <w:tcBorders>
              <w:bottom w:val="single" w:sz="8" w:color="B6B6B6"/>
            </w:tcBorders>
          </w:tcPr>
          <w:p>
            <w:pPr>
              <w:ind w:left="200"/>
              <w:spacing w:after="0"/>
              <w:rPr>
                <w:sz w:val="20"/>
                <w:szCs w:val="20"/>
                <w:color w:val="auto"/>
              </w:rPr>
            </w:pPr>
            <w:r>
              <w:rPr>
                <w:rFonts w:ascii="Arial" w:cs="Arial" w:eastAsia="Arial" w:hAnsi="Arial"/>
                <w:sz w:val="18"/>
                <w:szCs w:val="18"/>
                <w:color w:val="auto"/>
              </w:rPr>
              <w:t>Other income (out-of-scope of FASB ASC 606)</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r>
      <w:tr>
        <w:trPr>
          <w:trHeight w:val="250"/>
        </w:trPr>
        <w:tc>
          <w:tcPr>
            <w:tcW w:w="5520" w:type="dxa"/>
            <w:vAlign w:val="bottom"/>
            <w:tcBorders>
              <w:bottom w:val="single" w:sz="8" w:color="auto"/>
            </w:tcBorders>
            <w:shd w:val="clear" w:color="auto" w:fill="B6B6B6"/>
          </w:tcPr>
          <w:p>
            <w:pPr>
              <w:ind w:left="560"/>
              <w:spacing w:after="0"/>
              <w:rPr>
                <w:sz w:val="20"/>
                <w:szCs w:val="20"/>
                <w:color w:val="auto"/>
              </w:rPr>
            </w:pPr>
            <w:r>
              <w:rPr>
                <w:rFonts w:ascii="Arial" w:cs="Arial" w:eastAsia="Arial" w:hAnsi="Arial"/>
                <w:sz w:val="18"/>
                <w:szCs w:val="18"/>
                <w:color w:val="auto"/>
              </w:rPr>
              <w:t>Total fee revenue and other income</w:t>
            </w:r>
          </w:p>
        </w:tc>
        <w:tc>
          <w:tcPr>
            <w:tcW w:w="2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27,577</w:t>
            </w:r>
          </w:p>
        </w:tc>
        <w:tc>
          <w:tcPr>
            <w:tcW w:w="100" w:type="dxa"/>
            <w:vAlign w:val="bottom"/>
            <w:tcBorders>
              <w:bottom w:val="single" w:sz="8" w:color="auto"/>
            </w:tcBorders>
            <w:shd w:val="clear" w:color="auto" w:fill="B6B6B6"/>
          </w:tcPr>
          <w:p>
            <w:pPr>
              <w:spacing w:after="0"/>
              <w:rPr>
                <w:sz w:val="21"/>
                <w:szCs w:val="21"/>
                <w:color w:val="auto"/>
              </w:rPr>
            </w:pP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24,932</w:t>
            </w:r>
          </w:p>
        </w:tc>
        <w:tc>
          <w:tcPr>
            <w:tcW w:w="100" w:type="dxa"/>
            <w:vAlign w:val="bottom"/>
            <w:tcBorders>
              <w:bottom w:val="single" w:sz="8" w:color="auto"/>
            </w:tcBorders>
            <w:shd w:val="clear" w:color="auto" w:fill="B6B6B6"/>
          </w:tcPr>
          <w:p>
            <w:pPr>
              <w:spacing w:after="0"/>
              <w:rPr>
                <w:sz w:val="21"/>
                <w:szCs w:val="21"/>
                <w:color w:val="auto"/>
              </w:rPr>
            </w:pP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80,739</w:t>
            </w:r>
          </w:p>
        </w:tc>
        <w:tc>
          <w:tcPr>
            <w:tcW w:w="100" w:type="dxa"/>
            <w:vAlign w:val="bottom"/>
            <w:tcBorders>
              <w:bottom w:val="single" w:sz="8" w:color="auto"/>
            </w:tcBorders>
            <w:shd w:val="clear" w:color="auto" w:fill="B6B6B6"/>
          </w:tcPr>
          <w:p>
            <w:pPr>
              <w:spacing w:after="0"/>
              <w:rPr>
                <w:sz w:val="21"/>
                <w:szCs w:val="21"/>
                <w:color w:val="auto"/>
              </w:rPr>
            </w:pPr>
          </w:p>
        </w:tc>
        <w:tc>
          <w:tcPr>
            <w:tcW w:w="50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75,201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leases certain premises under operating leases. As of September 30, 2021, the Company had lease liabilities of $5,246,000 and right-of-use assets of $4,754,000. Lease liabilities and right-of-use assets are reflected in other liabilities and other assets, respectively. Presented within occupancy expense on the Consolidated Statements of Income for the three months ended September 30, 2021, operating lease cost was $416,000, short-term lease cost was $42,000, and there was no variable lease cost. For the nine months ended September 30, 2021, operating lease cost was $1,251,000, short-term lease cost was $133,000, and there was no variable lease cost. At September 30, 2021, the weighted average remaining lease term for the operating leases was 6.0 years and the weighted average discount rate used in the measurement of operating lease liabilities was 5.35%. Certain of the Company’s leases contain options to renew the lease; however, these renewal options are not included in the calculation of the lease liabilities as they are not reasonably certain to be exercised. There have been no significant changes in the Company’s expected future minimum lease payments since December 31, 2020. See the Company’s 2020 Annual Report on Form 10-K for information regarding these commitments.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maturity analysis of operating lease liabilities and undiscounted cash flows as of September 30, 2021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542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Lease payments due</w:t>
            </w:r>
          </w:p>
        </w:tc>
        <w:tc>
          <w:tcPr>
            <w:tcW w:w="5420" w:type="dxa"/>
            <w:vAlign w:val="bottom"/>
            <w:shd w:val="clear" w:color="auto" w:fill="B6B6B6"/>
          </w:tcPr>
          <w:p>
            <w:pPr>
              <w:spacing w:after="0"/>
              <w:rPr>
                <w:sz w:val="21"/>
                <w:szCs w:val="21"/>
                <w:color w:val="auto"/>
              </w:rPr>
            </w:pPr>
          </w:p>
        </w:tc>
        <w:tc>
          <w:tcPr>
            <w:tcW w:w="1580" w:type="dxa"/>
            <w:vAlign w:val="bottom"/>
            <w:shd w:val="clear" w:color="auto" w:fill="B6B6B6"/>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5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B6B6B6"/>
          </w:tcPr>
          <w:p>
            <w:pPr>
              <w:ind w:left="180"/>
              <w:spacing w:after="0"/>
              <w:rPr>
                <w:sz w:val="20"/>
                <w:szCs w:val="20"/>
                <w:color w:val="auto"/>
              </w:rPr>
            </w:pPr>
            <w:r>
              <w:rPr>
                <w:rFonts w:ascii="Arial" w:cs="Arial" w:eastAsia="Arial" w:hAnsi="Arial"/>
                <w:sz w:val="18"/>
                <w:szCs w:val="18"/>
                <w:color w:val="auto"/>
              </w:rPr>
              <w:t>1-2 years</w:t>
            </w:r>
          </w:p>
        </w:tc>
        <w:tc>
          <w:tcPr>
            <w:tcW w:w="542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180"/>
              <w:spacing w:after="0"/>
              <w:rPr>
                <w:sz w:val="20"/>
                <w:szCs w:val="20"/>
                <w:color w:val="auto"/>
              </w:rPr>
            </w:pPr>
            <w:r>
              <w:rPr>
                <w:rFonts w:ascii="Arial" w:cs="Arial" w:eastAsia="Arial" w:hAnsi="Arial"/>
                <w:sz w:val="18"/>
                <w:szCs w:val="18"/>
                <w:color w:val="auto"/>
              </w:rPr>
              <w:t>2-3 years</w:t>
            </w:r>
          </w:p>
        </w:tc>
        <w:tc>
          <w:tcPr>
            <w:tcW w:w="5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B6B6B6"/>
          </w:tcPr>
          <w:p>
            <w:pPr>
              <w:ind w:left="180"/>
              <w:spacing w:after="0"/>
              <w:rPr>
                <w:sz w:val="20"/>
                <w:szCs w:val="20"/>
                <w:color w:val="auto"/>
              </w:rPr>
            </w:pPr>
            <w:r>
              <w:rPr>
                <w:rFonts w:ascii="Arial" w:cs="Arial" w:eastAsia="Arial" w:hAnsi="Arial"/>
                <w:sz w:val="18"/>
                <w:szCs w:val="18"/>
                <w:color w:val="auto"/>
              </w:rPr>
              <w:t>3-4 years</w:t>
            </w:r>
          </w:p>
        </w:tc>
        <w:tc>
          <w:tcPr>
            <w:tcW w:w="542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180"/>
              <w:spacing w:after="0"/>
              <w:rPr>
                <w:sz w:val="20"/>
                <w:szCs w:val="20"/>
                <w:color w:val="auto"/>
              </w:rPr>
            </w:pPr>
            <w:r>
              <w:rPr>
                <w:rFonts w:ascii="Arial" w:cs="Arial" w:eastAsia="Arial" w:hAnsi="Arial"/>
                <w:sz w:val="18"/>
                <w:szCs w:val="18"/>
                <w:color w:val="auto"/>
              </w:rPr>
              <w:t>4-5 years</w:t>
            </w:r>
          </w:p>
        </w:tc>
        <w:tc>
          <w:tcPr>
            <w:tcW w:w="5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Over 5 years</w:t>
            </w:r>
          </w:p>
        </w:tc>
        <w:tc>
          <w:tcPr>
            <w:tcW w:w="542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5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6,125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Discount on cash flows</w:t>
            </w:r>
          </w:p>
        </w:tc>
        <w:tc>
          <w:tcPr>
            <w:tcW w:w="542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lease liability</w:t>
            </w:r>
          </w:p>
        </w:tc>
        <w:tc>
          <w:tcPr>
            <w:tcW w:w="5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4000" w:type="dxa"/>
            <w:vAlign w:val="bottom"/>
          </w:tcPr>
          <w:p>
            <w:pPr>
              <w:spacing w:after="0"/>
              <w:rPr>
                <w:sz w:val="24"/>
                <w:szCs w:val="24"/>
                <w:color w:val="auto"/>
              </w:rPr>
            </w:pPr>
          </w:p>
        </w:tc>
        <w:tc>
          <w:tcPr>
            <w:tcW w:w="5420" w:type="dxa"/>
            <w:vAlign w:val="bottom"/>
          </w:tcPr>
          <w:p>
            <w:pPr>
              <w:jc w:val="right"/>
              <w:ind w:right="3550"/>
              <w:spacing w:after="0"/>
              <w:rPr>
                <w:sz w:val="20"/>
                <w:szCs w:val="20"/>
                <w:color w:val="auto"/>
              </w:rPr>
            </w:pPr>
            <w:r>
              <w:rPr>
                <w:rFonts w:ascii="Arial" w:cs="Arial" w:eastAsia="Arial" w:hAnsi="Arial"/>
                <w:sz w:val="18"/>
                <w:szCs w:val="18"/>
                <w:color w:val="auto"/>
              </w:rPr>
              <w:t>-22-</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00" w:type="dxa"/>
            <w:vAlign w:val="bottom"/>
            <w:tcBorders>
              <w:bottom w:val="single" w:sz="8" w:color="9A9A9A"/>
            </w:tcBorders>
          </w:tcPr>
          <w:p>
            <w:pPr>
              <w:spacing w:after="0"/>
              <w:rPr>
                <w:sz w:val="8"/>
                <w:szCs w:val="8"/>
                <w:color w:val="auto"/>
              </w:rPr>
            </w:pPr>
          </w:p>
        </w:tc>
        <w:tc>
          <w:tcPr>
            <w:tcW w:w="54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nine months ended September 30, 2021. At September 30, 2021, the Company had no leases that had not yet commenced.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15 – Subsequent Events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September 30, 2021.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Impact of COVID-19 on the Company’s Business</w:t>
      </w:r>
    </w:p>
    <w:p>
      <w:pPr>
        <w:jc w:val="both"/>
        <w:spacing w:after="0" w:line="272" w:lineRule="auto"/>
        <w:rPr>
          <w:sz w:val="20"/>
          <w:szCs w:val="20"/>
          <w:color w:val="auto"/>
        </w:rPr>
      </w:pPr>
      <w:r>
        <w:rPr>
          <w:rFonts w:ascii="Arial" w:cs="Arial" w:eastAsia="Arial" w:hAnsi="Arial"/>
          <w:sz w:val="17"/>
          <w:szCs w:val="17"/>
          <w:color w:val="auto"/>
        </w:rPr>
        <w:t>During the year ended December 31, 2020 and nine months ended September 30, 2021, the effects of COVID-19 and related actions to attempt to control its spread significantly impacted the global economy and adversely affected the Company’s operating results in both the Information Services and Banking Services segments. Substantial progress has been made to combat the spread of COVID-19, and financial results for the three and nine months ended September 30, 2021 were driven, in part, by the continual improvement in economic conditions as compared to the same periods in 2020, when the negative economic impact of the COVID-19 pandemic was most pronounced on Cass and its customers. Though macroeconomic conditions continue to trend positive as of September 30, 2021, the Company could experience future negative effects on its business, financial condition, results of operations, and cash flows if there continue to be significant outbreaks of COVID-19.</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the spread of COVID-19 to the U.S. in the first quarter of 2020, many state and local governments recommended or mandated limitations on crowd size, closures of businesses and shelter-in-place orders in order to slow the transmission. The extent and nature of government actions varied during fiscal year 2020 and the Nine Months Ended 2021 based upon the then-current extent and severity of the COVID-19 pandemic within the respective localities. Severe business disruptions, resulting constrictions in the manufacturing sector for most of the year, labor force shortages, decreased oil demand and prices and general economic uncertainty, significantly and adversely impacted the Company’s customers’ business operations and had a corresponding negative affect on the Company’s revenue generation in each sector of the Company’s Information Services segment.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Reserve also took action to lower the Federal Funds rate in connection with COVID-19 relief, adversely affecting the Company’s net interest income and operating results tied to Banking Services. The Federal Reserve has indicated that it will retain the current low level interest rates until the economy has stabilized.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 regulatory agencies and various governmental authorities had urged financial institutions to work prudently with borrowers who were or may have been unable to meet their contractual payment obligations because of the effects of COVID-19. Accordingly, and in coordination with its primary regulators, the Company deferred borrower principal payments on loans during 2020, on an as needed basis, for periods of up to six months. There were no borrowers remaining on deferred terms at September 30, 2021.</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response to COVID-19, the CARES Act was adopted on March 27, 2020. The CARES Act provided for an estimated $2.2 trillion to fight the COVID-19 pandemic and stimulate the economy by supporting individuals and businesses through loans, grants, tax changes, and other types of relief. Among other things, the CARES Act established the Paycheck Protection Program (“PPP”), which allowed entities to apply for low-interest private loans to fund payroll and other costs which, subject to certain conditions and qualifications, are partially or fully forgivable. In March 2021, the American Rescue Plan Act of 2021 was enacted, which among other things, provided for additional funding and expansion of the PPP. In support of the CARES Act, the Bank processed nearly 350 applications for PPP loans of approximately $170,000,000 during the year ended December 31, 2020 and an additional 110 applications for approximately $40,000,000 during the nine months ended September 30, 2021 to provide much-needed cash to small business and self-employed taxpayers during the COVID-19 crisis. The loans were primarily made to existing bank customers and are 100% guaranteed by the SBA.</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remains committed to creating a safe and healthy environment for employees while offering assurance that it remains a financially strong service provider possessing the resources necessary to weather this pandemic in support of its valued customers.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fiscal 2020, vaccines for combating COVID-19 were approved by health agencies and have been administered throughout the country. While vaccination efforts are underway and a significant amount of previous business and other restrictions have been lifted, the ongoing impact of COVID-19, including any increases in infection rates, new variants, supply chain disruptions, labor force shortages, and renewed governmental action and business and activity restrictions to combat its spread, cannot be estimated. Given these and other uncertainties discussed throughout this report, the Company remains subject to heightened risk, and the aggregate impact that COVID-19 could have on the Company’s financial condition and operating results is presently unknown.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COVID-19, refer to Note 1 “Basis of Presentation.”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2020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Company performs periodic and systematic detailed reviews of its loan portfolio to determine management’s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paragraphs more fully discuss the results of operations and changes in financial condition for the three-month period ended September 30, 2021 (“Third Quarter of 2021”) compared to the three-month period ended September 30, 2020 (“Third Quarter of 2020”) and the nine-month period ended September 30, 2021 (“Nine Months Ended 2021”) compared to the nine-month period ended September 30, 2020 (“Nine Months Ended 2020”). The following discussion and analysis should be read in conjunction with the unaudited consolidated financial statements and related notes and with the statistical information and financial data appearing in this report, as well as in the Company’s 2020 Annual Report on Form 10-K. Results of operations for the Third Quarter and Nine Months Ended 2021 are not necessarily indicative of the results to be attained for any other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9"/>
              </w:rPr>
              <w:t>Third Quarter of</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w w:val="94"/>
              </w:rPr>
              <w:t>(In thousands except per share data)</w:t>
            </w:r>
          </w:p>
        </w:tc>
        <w:tc>
          <w:tcPr>
            <w:tcW w:w="280" w:type="dxa"/>
            <w:vAlign w:val="bottom"/>
          </w:tcPr>
          <w:p>
            <w:pPr>
              <w:spacing w:after="0"/>
              <w:rPr>
                <w:sz w:val="16"/>
                <w:szCs w:val="16"/>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6"/>
                <w:szCs w:val="16"/>
                <w:color w:val="auto"/>
              </w:rPr>
            </w:pPr>
          </w:p>
        </w:tc>
        <w:tc>
          <w:tcPr>
            <w:tcW w:w="1320" w:type="dxa"/>
            <w:vAlign w:val="bottom"/>
          </w:tcPr>
          <w:p>
            <w:pPr>
              <w:jc w:val="right"/>
              <w:ind w:right="470"/>
              <w:spacing w:after="0" w:line="189"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6"/>
                <w:szCs w:val="16"/>
                <w:color w:val="auto"/>
              </w:rPr>
            </w:pPr>
          </w:p>
        </w:tc>
        <w:tc>
          <w:tcPr>
            <w:tcW w:w="130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jc w:val="right"/>
              <w:ind w:right="470"/>
              <w:spacing w:after="0" w:line="18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4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6,805</w:t>
            </w:r>
          </w:p>
        </w:tc>
        <w:tc>
          <w:tcPr>
            <w:tcW w:w="380" w:type="dxa"/>
            <w:vAlign w:val="bottom"/>
            <w:gridSpan w:val="2"/>
            <w:shd w:val="clear" w:color="auto" w:fill="B6B6B6"/>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5,781</w:t>
            </w:r>
          </w:p>
        </w:tc>
        <w:tc>
          <w:tcPr>
            <w:tcW w:w="8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17.7 %</w:t>
            </w:r>
          </w:p>
        </w:tc>
        <w:tc>
          <w:tcPr>
            <w:tcW w:w="80" w:type="dxa"/>
            <w:vAlign w:val="bottom"/>
            <w:shd w:val="clear" w:color="auto" w:fill="B6B6B6"/>
          </w:tcPr>
          <w:p>
            <w:pPr>
              <w:spacing w:after="0"/>
              <w:rPr>
                <w:sz w:val="21"/>
                <w:szCs w:val="21"/>
                <w:color w:val="auto"/>
              </w:rPr>
            </w:pP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20,902</w:t>
            </w:r>
          </w:p>
        </w:tc>
        <w:tc>
          <w:tcPr>
            <w:tcW w:w="32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18,765</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20.0 %</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1.45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1.29</w:t>
            </w:r>
          </w:p>
        </w:tc>
        <w:tc>
          <w:tcPr>
            <w:tcW w:w="112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63"/>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Return on average assets</w:t>
            </w:r>
          </w:p>
        </w:tc>
        <w:tc>
          <w:tcPr>
            <w:tcW w:w="28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1.14 %</w:t>
            </w:r>
          </w:p>
        </w:tc>
        <w:tc>
          <w:tcPr>
            <w:tcW w:w="8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1.14 %</w:t>
            </w:r>
          </w:p>
        </w:tc>
        <w:tc>
          <w:tcPr>
            <w:tcW w:w="80" w:type="dxa"/>
            <w:vAlign w:val="bottom"/>
            <w:shd w:val="clear" w:color="auto" w:fill="B6B6B6"/>
          </w:tcPr>
          <w:p>
            <w:pPr>
              <w:spacing w:after="0"/>
              <w:rPr>
                <w:sz w:val="22"/>
                <w:szCs w:val="22"/>
                <w:color w:val="auto"/>
              </w:rPr>
            </w:pPr>
          </w:p>
        </w:tc>
        <w:tc>
          <w:tcPr>
            <w:tcW w:w="1400" w:type="dxa"/>
            <w:vAlign w:val="bottom"/>
            <w:gridSpan w:val="2"/>
            <w:shd w:val="clear" w:color="auto" w:fill="B6B6B6"/>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1.23 %</w:t>
            </w:r>
          </w:p>
        </w:tc>
        <w:tc>
          <w:tcPr>
            <w:tcW w:w="32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10"/>
              <w:spacing w:after="0"/>
              <w:rPr>
                <w:sz w:val="20"/>
                <w:szCs w:val="20"/>
                <w:color w:val="auto"/>
              </w:rPr>
            </w:pPr>
            <w:r>
              <w:rPr>
                <w:rFonts w:ascii="Arial" w:cs="Arial" w:eastAsia="Arial" w:hAnsi="Arial"/>
                <w:sz w:val="18"/>
                <w:szCs w:val="18"/>
                <w:color w:val="auto"/>
              </w:rPr>
              <w:t>1.32 %</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Return on average equity</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10.61 %</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9.25 %</w:t>
            </w:r>
          </w:p>
        </w:tc>
        <w:tc>
          <w:tcPr>
            <w:tcW w:w="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10.84 %</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10.25 %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In addition, the Company's fee revenue consists of financial fees which are generated through the payment process. Processing volumes, fee revenue and other income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Third Quarter of</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Nine Months Ended</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Pr>
          <w:p>
            <w:pPr>
              <w:spacing w:after="0"/>
              <w:rPr>
                <w:sz w:val="16"/>
                <w:szCs w:val="16"/>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6"/>
                <w:szCs w:val="16"/>
                <w:color w:val="auto"/>
              </w:rPr>
            </w:pPr>
          </w:p>
        </w:tc>
        <w:tc>
          <w:tcPr>
            <w:tcW w:w="128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6"/>
                <w:szCs w:val="16"/>
                <w:color w:val="auto"/>
              </w:rPr>
            </w:pPr>
          </w:p>
        </w:tc>
        <w:tc>
          <w:tcPr>
            <w:tcW w:w="138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3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Transportation invoice volume</w:t>
            </w:r>
          </w:p>
        </w:tc>
        <w:tc>
          <w:tcPr>
            <w:tcW w:w="280" w:type="dxa"/>
            <w:vAlign w:val="bottom"/>
            <w:shd w:val="clear" w:color="auto" w:fill="B6B6B6"/>
          </w:tcPr>
          <w:p>
            <w:pPr>
              <w:spacing w:after="0"/>
              <w:rPr>
                <w:sz w:val="21"/>
                <w:szCs w:val="21"/>
                <w:color w:val="auto"/>
              </w:rPr>
            </w:pPr>
          </w:p>
        </w:tc>
        <w:tc>
          <w:tcPr>
            <w:tcW w:w="9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9,333</w:t>
            </w:r>
          </w:p>
        </w:tc>
        <w:tc>
          <w:tcPr>
            <w:tcW w:w="340" w:type="dxa"/>
            <w:vAlign w:val="bottom"/>
            <w:shd w:val="clear" w:color="auto" w:fill="B6B6B6"/>
          </w:tcPr>
          <w:p>
            <w:pPr>
              <w:spacing w:after="0"/>
              <w:rPr>
                <w:sz w:val="21"/>
                <w:szCs w:val="21"/>
                <w:color w:val="auto"/>
              </w:rPr>
            </w:pPr>
          </w:p>
        </w:tc>
        <w:tc>
          <w:tcPr>
            <w:tcW w:w="1280" w:type="dxa"/>
            <w:vAlign w:val="bottom"/>
            <w:shd w:val="clear" w:color="auto" w:fill="B6B6B6"/>
          </w:tcPr>
          <w:p>
            <w:pPr>
              <w:jc w:val="right"/>
              <w:ind w:right="290"/>
              <w:spacing w:after="0"/>
              <w:rPr>
                <w:sz w:val="20"/>
                <w:szCs w:val="20"/>
                <w:color w:val="auto"/>
              </w:rPr>
            </w:pPr>
            <w:r>
              <w:rPr>
                <w:rFonts w:ascii="Arial" w:cs="Arial" w:eastAsia="Arial" w:hAnsi="Arial"/>
                <w:sz w:val="18"/>
                <w:szCs w:val="18"/>
                <w:color w:val="auto"/>
              </w:rPr>
              <w:t>8,660</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27,581</w:t>
            </w:r>
          </w:p>
        </w:tc>
        <w:tc>
          <w:tcPr>
            <w:tcW w:w="340" w:type="dxa"/>
            <w:vAlign w:val="bottom"/>
            <w:shd w:val="clear" w:color="auto" w:fill="B6B6B6"/>
          </w:tcPr>
          <w:p>
            <w:pPr>
              <w:spacing w:after="0"/>
              <w:rPr>
                <w:sz w:val="21"/>
                <w:szCs w:val="21"/>
                <w:color w:val="auto"/>
              </w:rPr>
            </w:pPr>
          </w:p>
        </w:tc>
        <w:tc>
          <w:tcPr>
            <w:tcW w:w="138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24,234</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Transportation invoice dollar volume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9,540,408</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6,822,565</w:t>
            </w:r>
          </w:p>
        </w:tc>
        <w:tc>
          <w:tcPr>
            <w:tcW w:w="1160" w:type="dxa"/>
            <w:vAlign w:val="bottom"/>
          </w:tcPr>
          <w:p>
            <w:pPr>
              <w:jc w:val="right"/>
              <w:spacing w:after="0"/>
              <w:rPr>
                <w:sz w:val="20"/>
                <w:szCs w:val="20"/>
                <w:color w:val="auto"/>
              </w:rPr>
            </w:pPr>
            <w:r>
              <w:rPr>
                <w:rFonts w:ascii="Arial" w:cs="Arial" w:eastAsia="Arial" w:hAnsi="Arial"/>
                <w:sz w:val="18"/>
                <w:szCs w:val="18"/>
                <w:color w:val="auto"/>
              </w:rPr>
              <w:t>39.8 %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26,385,936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18,987,243</w:t>
            </w:r>
          </w:p>
        </w:tc>
        <w:tc>
          <w:tcPr>
            <w:tcW w:w="1100" w:type="dxa"/>
            <w:vAlign w:val="bottom"/>
          </w:tcPr>
          <w:p>
            <w:pPr>
              <w:jc w:val="right"/>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56"/>
        </w:trPr>
        <w:tc>
          <w:tcPr>
            <w:tcW w:w="3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Facility-related transaction volume*</w:t>
            </w:r>
          </w:p>
        </w:tc>
        <w:tc>
          <w:tcPr>
            <w:tcW w:w="28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6,675</w:t>
            </w:r>
          </w:p>
        </w:tc>
        <w:tc>
          <w:tcPr>
            <w:tcW w:w="34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90"/>
              <w:spacing w:after="0"/>
              <w:rPr>
                <w:sz w:val="20"/>
                <w:szCs w:val="20"/>
                <w:color w:val="auto"/>
              </w:rPr>
            </w:pPr>
            <w:r>
              <w:rPr>
                <w:rFonts w:ascii="Arial" w:cs="Arial" w:eastAsia="Arial" w:hAnsi="Arial"/>
                <w:sz w:val="18"/>
                <w:szCs w:val="18"/>
                <w:color w:val="auto"/>
              </w:rPr>
              <w:t>7,117</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20,498</w:t>
            </w:r>
          </w:p>
        </w:tc>
        <w:tc>
          <w:tcPr>
            <w:tcW w:w="3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20,330</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Facility-related dollar volume*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4,215,044</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3,595,586</w:t>
            </w:r>
          </w:p>
        </w:tc>
        <w:tc>
          <w:tcPr>
            <w:tcW w:w="1160" w:type="dxa"/>
            <w:vAlign w:val="bottom"/>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11,590,437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10,118,270</w:t>
            </w:r>
          </w:p>
        </w:tc>
        <w:tc>
          <w:tcPr>
            <w:tcW w:w="110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56"/>
        </w:trPr>
        <w:tc>
          <w:tcPr>
            <w:tcW w:w="30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Payment and processing revenue</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26,877</w:t>
            </w:r>
          </w:p>
        </w:tc>
        <w:tc>
          <w:tcPr>
            <w:tcW w:w="340" w:type="dxa"/>
            <w:vAlign w:val="bottom"/>
            <w:tcBorders>
              <w:bottom w:val="single" w:sz="8" w:color="auto"/>
            </w:tcBorders>
            <w:shd w:val="clear" w:color="auto" w:fill="B6B6B6"/>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right"/>
              <w:ind w:right="290"/>
              <w:spacing w:after="0"/>
              <w:rPr>
                <w:sz w:val="20"/>
                <w:szCs w:val="20"/>
                <w:color w:val="auto"/>
              </w:rPr>
            </w:pPr>
            <w:r>
              <w:rPr>
                <w:rFonts w:ascii="Arial" w:cs="Arial" w:eastAsia="Arial" w:hAnsi="Arial"/>
                <w:sz w:val="18"/>
                <w:szCs w:val="18"/>
                <w:color w:val="auto"/>
              </w:rPr>
              <w:t>24,376</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78,441</w:t>
            </w:r>
          </w:p>
        </w:tc>
        <w:tc>
          <w:tcPr>
            <w:tcW w:w="3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ind w:right="350"/>
              <w:spacing w:after="0"/>
              <w:rPr>
                <w:sz w:val="20"/>
                <w:szCs w:val="20"/>
                <w:color w:val="auto"/>
              </w:rPr>
            </w:pPr>
            <w:r>
              <w:rPr>
                <w:rFonts w:ascii="Arial" w:cs="Arial" w:eastAsia="Arial" w:hAnsi="Arial"/>
                <w:sz w:val="18"/>
                <w:szCs w:val="18"/>
                <w:color w:val="auto"/>
              </w:rPr>
              <w:t>72,540</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*Includes energy, telecom and environmental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2021 compared to Third Quarter of 2020:</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and processing fee revenue increased 10%. Transportation volumes for invoices and dollars increased 8% and 40%, respectively. The increases were driven by the stronger performance of the manufacturing sector in addition to organic new customer growth. Also contributing to the dramatic increase in dollar volume was scarcity in carrier supply, which continues to drive prices higher. Facility-related invoices decreased 6% while dollar volume increased 17%.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increase in dollar volume is primarily due to significantly fewer pandemic-related restrictions in the restaurant, retail, and hospitality sectors, creating higher utility usage in addition to rising energy prices. The decrease in invoice volume is primarily due to one fewer processing day.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2021 compared to Nine Months Ended 2020:</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Payment and processing revenue increased 8% for the same reasons as the Third Quarter. The growth in transportation invoice and dollar volumes were the primary reason for the positive revenue growth.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Third Quarter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4"/>
              </w:rPr>
              <w:t>Nine Months Ended</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16"/>
                <w:szCs w:val="16"/>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6"/>
                <w:szCs w:val="16"/>
                <w:color w:val="auto"/>
              </w:rPr>
            </w:pPr>
          </w:p>
        </w:tc>
        <w:tc>
          <w:tcPr>
            <w:tcW w:w="12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6"/>
                <w:szCs w:val="16"/>
                <w:color w:val="auto"/>
              </w:rPr>
            </w:pPr>
          </w:p>
        </w:tc>
        <w:tc>
          <w:tcPr>
            <w:tcW w:w="13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jc w:val="right"/>
              <w:ind w:right="410"/>
              <w:spacing w:after="0" w:line="18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22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Average earnings assets</w:t>
            </w:r>
          </w:p>
        </w:tc>
        <w:tc>
          <w:tcPr>
            <w:tcW w:w="34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2,036,296</w:t>
            </w:r>
          </w:p>
        </w:tc>
        <w:tc>
          <w:tcPr>
            <w:tcW w:w="5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230"/>
              <w:spacing w:after="0"/>
              <w:rPr>
                <w:sz w:val="20"/>
                <w:szCs w:val="20"/>
                <w:color w:val="auto"/>
              </w:rPr>
            </w:pPr>
            <w:r>
              <w:rPr>
                <w:rFonts w:ascii="Arial" w:cs="Arial" w:eastAsia="Arial" w:hAnsi="Arial"/>
                <w:sz w:val="18"/>
                <w:szCs w:val="18"/>
                <w:color w:val="auto"/>
              </w:rPr>
              <w:t>1,734,680</w:t>
            </w:r>
          </w:p>
        </w:tc>
        <w:tc>
          <w:tcPr>
            <w:tcW w:w="1640" w:type="dxa"/>
            <w:vAlign w:val="bottom"/>
            <w:gridSpan w:val="3"/>
            <w:shd w:val="clear" w:color="auto" w:fill="B6B6B6"/>
          </w:tcPr>
          <w:p>
            <w:pPr>
              <w:jc w:val="right"/>
              <w:ind w:right="240"/>
              <w:spacing w:after="0"/>
              <w:rPr>
                <w:sz w:val="20"/>
                <w:szCs w:val="20"/>
                <w:color w:val="auto"/>
              </w:rPr>
            </w:pPr>
            <w:r>
              <w:rPr>
                <w:rFonts w:ascii="Arial" w:cs="Arial" w:eastAsia="Arial" w:hAnsi="Arial"/>
                <w:sz w:val="18"/>
                <w:szCs w:val="18"/>
                <w:color w:val="auto"/>
              </w:rPr>
              <w:t>17.4 %  $</w:t>
            </w: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1,965,976</w:t>
            </w:r>
          </w:p>
        </w:tc>
        <w:tc>
          <w:tcPr>
            <w:tcW w:w="58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1,616,090</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5"/>
        </w:trPr>
        <w:tc>
          <w:tcPr>
            <w:tcW w:w="2220" w:type="dxa"/>
            <w:vAlign w:val="bottom"/>
          </w:tcPr>
          <w:p>
            <w:pPr>
              <w:ind w:left="20"/>
              <w:spacing w:after="0"/>
              <w:rPr>
                <w:sz w:val="20"/>
                <w:szCs w:val="20"/>
                <w:color w:val="auto"/>
              </w:rPr>
            </w:pPr>
            <w:r>
              <w:rPr>
                <w:rFonts w:ascii="Arial" w:cs="Arial" w:eastAsia="Arial" w:hAnsi="Arial"/>
                <w:sz w:val="18"/>
                <w:szCs w:val="18"/>
                <w:color w:val="auto"/>
              </w:rPr>
              <w:t>Average interest-bearing</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600,263</w:t>
            </w:r>
          </w:p>
        </w:tc>
        <w:tc>
          <w:tcPr>
            <w:tcW w:w="5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507,172</w:t>
            </w:r>
          </w:p>
        </w:tc>
        <w:tc>
          <w:tcPr>
            <w:tcW w:w="120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583,478</w:t>
            </w:r>
          </w:p>
        </w:tc>
        <w:tc>
          <w:tcPr>
            <w:tcW w:w="58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465,128</w:t>
            </w:r>
          </w:p>
        </w:tc>
        <w:tc>
          <w:tcPr>
            <w:tcW w:w="116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63"/>
        </w:trPr>
        <w:tc>
          <w:tcPr>
            <w:tcW w:w="22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11,900</w:t>
            </w:r>
          </w:p>
        </w:tc>
        <w:tc>
          <w:tcPr>
            <w:tcW w:w="5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30"/>
              <w:spacing w:after="0"/>
              <w:rPr>
                <w:sz w:val="20"/>
                <w:szCs w:val="20"/>
                <w:color w:val="auto"/>
              </w:rPr>
            </w:pPr>
            <w:r>
              <w:rPr>
                <w:rFonts w:ascii="Arial" w:cs="Arial" w:eastAsia="Arial" w:hAnsi="Arial"/>
                <w:sz w:val="18"/>
                <w:szCs w:val="18"/>
                <w:color w:val="auto"/>
              </w:rPr>
              <w:t>11,280</w:t>
            </w: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34,005</w:t>
            </w:r>
          </w:p>
        </w:tc>
        <w:tc>
          <w:tcPr>
            <w:tcW w:w="58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34,772</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Pr>
          <w:p>
            <w:pPr>
              <w:ind w:left="20"/>
              <w:spacing w:after="0"/>
              <w:rPr>
                <w:sz w:val="20"/>
                <w:szCs w:val="20"/>
                <w:color w:val="auto"/>
              </w:rPr>
            </w:pPr>
            <w:r>
              <w:rPr>
                <w:rFonts w:ascii="Arial" w:cs="Arial" w:eastAsia="Arial" w:hAnsi="Arial"/>
                <w:sz w:val="18"/>
                <w:szCs w:val="18"/>
                <w:color w:val="auto"/>
              </w:rPr>
              <w:t>Net interest margin*</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2.32 %</w:t>
            </w:r>
          </w:p>
        </w:tc>
        <w:tc>
          <w:tcPr>
            <w:tcW w:w="2260" w:type="dxa"/>
            <w:vAlign w:val="bottom"/>
          </w:tcPr>
          <w:p>
            <w:pPr>
              <w:jc w:val="right"/>
              <w:ind w:right="1110"/>
              <w:spacing w:after="0"/>
              <w:rPr>
                <w:sz w:val="20"/>
                <w:szCs w:val="20"/>
                <w:color w:val="auto"/>
              </w:rPr>
            </w:pPr>
            <w:r>
              <w:rPr>
                <w:rFonts w:ascii="Arial" w:cs="Arial" w:eastAsia="Arial" w:hAnsi="Arial"/>
                <w:sz w:val="18"/>
                <w:szCs w:val="18"/>
                <w:color w:val="auto"/>
              </w:rPr>
              <w:t>2.59 %</w:t>
            </w:r>
          </w:p>
        </w:tc>
        <w:tc>
          <w:tcPr>
            <w:tcW w:w="2240" w:type="dxa"/>
            <w:vAlign w:val="bottom"/>
          </w:tcPr>
          <w:p>
            <w:pPr>
              <w:jc w:val="right"/>
              <w:ind w:right="450"/>
              <w:spacing w:after="0"/>
              <w:rPr>
                <w:sz w:val="20"/>
                <w:szCs w:val="20"/>
                <w:color w:val="auto"/>
              </w:rPr>
            </w:pPr>
            <w:r>
              <w:rPr>
                <w:rFonts w:ascii="Arial" w:cs="Arial" w:eastAsia="Arial" w:hAnsi="Arial"/>
                <w:sz w:val="18"/>
                <w:szCs w:val="18"/>
                <w:color w:val="auto"/>
              </w:rPr>
              <w:t>2.31 %</w:t>
            </w:r>
          </w:p>
        </w:tc>
        <w:tc>
          <w:tcPr>
            <w:tcW w:w="2380" w:type="dxa"/>
            <w:vAlign w:val="bottom"/>
          </w:tcPr>
          <w:p>
            <w:pPr>
              <w:jc w:val="right"/>
              <w:ind w:right="1210"/>
              <w:spacing w:after="0"/>
              <w:rPr>
                <w:sz w:val="20"/>
                <w:szCs w:val="20"/>
                <w:color w:val="auto"/>
              </w:rPr>
            </w:pPr>
            <w:r>
              <w:rPr>
                <w:rFonts w:ascii="Arial" w:cs="Arial" w:eastAsia="Arial" w:hAnsi="Arial"/>
                <w:sz w:val="18"/>
                <w:szCs w:val="18"/>
                <w:color w:val="auto"/>
              </w:rPr>
              <w:t>2.87 %</w:t>
            </w:r>
          </w:p>
        </w:tc>
      </w:tr>
      <w:tr>
        <w:trPr>
          <w:trHeight w:val="263"/>
        </w:trPr>
        <w:tc>
          <w:tcPr>
            <w:tcW w:w="2480" w:type="dxa"/>
            <w:vAlign w:val="bottom"/>
            <w:shd w:val="clear" w:color="auto" w:fill="B6B6B6"/>
          </w:tcPr>
          <w:p>
            <w:pPr>
              <w:ind w:left="20"/>
              <w:spacing w:after="0"/>
              <w:rPr>
                <w:sz w:val="20"/>
                <w:szCs w:val="20"/>
                <w:color w:val="auto"/>
              </w:rPr>
            </w:pPr>
            <w:r>
              <w:rPr>
                <w:rFonts w:ascii="Arial" w:cs="Arial" w:eastAsia="Arial" w:hAnsi="Arial"/>
                <w:sz w:val="18"/>
                <w:szCs w:val="18"/>
                <w:color w:val="auto"/>
              </w:rPr>
              <w:t>Yield on earning assets*</w:t>
            </w:r>
          </w:p>
        </w:tc>
        <w:tc>
          <w:tcPr>
            <w:tcW w:w="1780" w:type="dxa"/>
            <w:vAlign w:val="bottom"/>
            <w:shd w:val="clear" w:color="auto" w:fill="B6B6B6"/>
          </w:tcPr>
          <w:p>
            <w:pPr>
              <w:jc w:val="right"/>
              <w:ind w:right="450"/>
              <w:spacing w:after="0"/>
              <w:rPr>
                <w:sz w:val="20"/>
                <w:szCs w:val="20"/>
                <w:color w:val="auto"/>
              </w:rPr>
            </w:pPr>
            <w:r>
              <w:rPr>
                <w:rFonts w:ascii="Arial" w:cs="Arial" w:eastAsia="Arial" w:hAnsi="Arial"/>
                <w:sz w:val="18"/>
                <w:szCs w:val="18"/>
                <w:color w:val="auto"/>
              </w:rPr>
              <w:t>2.37 %</w:t>
            </w:r>
          </w:p>
        </w:tc>
        <w:tc>
          <w:tcPr>
            <w:tcW w:w="2260" w:type="dxa"/>
            <w:vAlign w:val="bottom"/>
            <w:shd w:val="clear" w:color="auto" w:fill="B6B6B6"/>
          </w:tcPr>
          <w:p>
            <w:pPr>
              <w:jc w:val="right"/>
              <w:ind w:right="1110"/>
              <w:spacing w:after="0"/>
              <w:rPr>
                <w:sz w:val="20"/>
                <w:szCs w:val="20"/>
                <w:color w:val="auto"/>
              </w:rPr>
            </w:pPr>
            <w:r>
              <w:rPr>
                <w:rFonts w:ascii="Arial" w:cs="Arial" w:eastAsia="Arial" w:hAnsi="Arial"/>
                <w:sz w:val="18"/>
                <w:szCs w:val="18"/>
                <w:color w:val="auto"/>
              </w:rPr>
              <w:t>2.69 %</w:t>
            </w:r>
          </w:p>
        </w:tc>
        <w:tc>
          <w:tcPr>
            <w:tcW w:w="2240" w:type="dxa"/>
            <w:vAlign w:val="bottom"/>
            <w:shd w:val="clear" w:color="auto" w:fill="B6B6B6"/>
          </w:tcPr>
          <w:p>
            <w:pPr>
              <w:jc w:val="right"/>
              <w:ind w:right="450"/>
              <w:spacing w:after="0"/>
              <w:rPr>
                <w:sz w:val="20"/>
                <w:szCs w:val="20"/>
                <w:color w:val="auto"/>
              </w:rPr>
            </w:pPr>
            <w:r>
              <w:rPr>
                <w:rFonts w:ascii="Arial" w:cs="Arial" w:eastAsia="Arial" w:hAnsi="Arial"/>
                <w:sz w:val="18"/>
                <w:szCs w:val="18"/>
                <w:color w:val="auto"/>
              </w:rPr>
              <w:t>2.37 %</w:t>
            </w:r>
          </w:p>
        </w:tc>
        <w:tc>
          <w:tcPr>
            <w:tcW w:w="2380" w:type="dxa"/>
            <w:vAlign w:val="bottom"/>
            <w:shd w:val="clear" w:color="auto" w:fill="B6B6B6"/>
          </w:tcPr>
          <w:p>
            <w:pPr>
              <w:jc w:val="right"/>
              <w:ind w:right="1210"/>
              <w:spacing w:after="0"/>
              <w:rPr>
                <w:sz w:val="20"/>
                <w:szCs w:val="20"/>
                <w:color w:val="auto"/>
              </w:rPr>
            </w:pPr>
            <w:r>
              <w:rPr>
                <w:rFonts w:ascii="Arial" w:cs="Arial" w:eastAsia="Arial" w:hAnsi="Arial"/>
                <w:sz w:val="18"/>
                <w:szCs w:val="18"/>
                <w:color w:val="auto"/>
              </w:rPr>
              <w:t>3.03 %</w:t>
            </w:r>
          </w:p>
        </w:tc>
      </w:tr>
      <w:tr>
        <w:trPr>
          <w:trHeight w:val="215"/>
        </w:trPr>
        <w:tc>
          <w:tcPr>
            <w:tcW w:w="2480" w:type="dxa"/>
            <w:vAlign w:val="bottom"/>
          </w:tcPr>
          <w:p>
            <w:pPr>
              <w:ind w:left="20"/>
              <w:spacing w:after="0"/>
              <w:rPr>
                <w:sz w:val="20"/>
                <w:szCs w:val="20"/>
                <w:color w:val="auto"/>
              </w:rPr>
            </w:pPr>
            <w:r>
              <w:rPr>
                <w:rFonts w:ascii="Arial" w:cs="Arial" w:eastAsia="Arial" w:hAnsi="Arial"/>
                <w:sz w:val="18"/>
                <w:szCs w:val="18"/>
                <w:color w:val="auto"/>
              </w:rPr>
              <w:t>Rate on interest-bearing</w:t>
            </w:r>
          </w:p>
        </w:tc>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7"/>
        </w:trPr>
        <w:tc>
          <w:tcPr>
            <w:tcW w:w="2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liabilities</w:t>
            </w:r>
          </w:p>
        </w:tc>
        <w:tc>
          <w:tcPr>
            <w:tcW w:w="1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.19 %</w:t>
            </w:r>
          </w:p>
        </w:tc>
        <w:tc>
          <w:tcPr>
            <w:tcW w:w="226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.36 %</w:t>
            </w:r>
          </w:p>
        </w:tc>
        <w:tc>
          <w:tcPr>
            <w:tcW w:w="2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.21 %</w:t>
            </w:r>
          </w:p>
        </w:tc>
        <w:tc>
          <w:tcPr>
            <w:tcW w:w="238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.55 %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*Presented on a tax-equivalent basis assuming a tax rate of 21% for both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2021 compared to Third Quarter of 2020:</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Average earning assets increased $301,616,000, or 17.4%. The overall increase in average interest-earning asset balances was funded by a significant increase in deposits and accounts and drafts payable driven by government stimulus programs, higher payments processing volumes and organic growth.</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investment securities increased $163,540,000, or 46.2%, as cash provided by increases in funding sources were utilized to purchase investment securities. The combined average of federal funds sold and interest-bearing deposits in other financial institutions increased $214,842,000, or 49.9%, also due to increasing funding sources. Average loans decreased $76,766,000 as a significant amount of the PPP loans originated in 2020 were forgiven by the SBA in 2021.</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Average accounts and drafts payable increased $194,609,000, or 23.8%, for the Third Quarter of 2021 and average interest-bearing liabilities increased $93,091,000, or 18.4%, compared to the Third Quarter of 2020. The increase in average accounts and drafts payable was primarily driven by the stronger performance of the manufacturing sector, new customer growth and scarcity in carrier supply, which continues to drive prices higher. The increase in deposits was driven by significant liquidity in the economy resulting in higher deposit balances.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Tax-equivalent net interest income increased $620,000, or 5.5%, compared to the same period in the prior year. While average interest-earning assets were up 17.4%, the Company’s net interest margin declined 27 basis points from 2.59% to 2.32%, reflecting the negative impact of the historically low short-term interest rate environment.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2021 compared to Nine Months Ended 2020:</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Average earning assets increased $349,885,000, or 21.7%, compared to the same period in the prior year. Average interest-bearing deposits in other financial institutions increased $340,058,000, or 171.8%, and average investment securities increased $81,726,000, or 21.9%, for the Nine Months Ended 2021 compared to the Nine Months Ended 2020. These variances were driven by the same factors as the Third Quarter.</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accounts and drafts payable increased $177,406,000, or 22.9%, and average interest-bearing liabilities increased $118,350,000, or 25.4%, for the Nine Months Ended 2021 compared to the Nine Months Ended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Tax-equivalent net interest income decreased $767,000, or 2.2%, compared to the same period in the prior year. While average interest-earning assets were up 21.7%, the Company’s net interest margin declined 56 basis points from 2.87% to 2.31%, reflecting the negative impact of the historically low short-term interest rate environment.</w:t>
      </w:r>
    </w:p>
    <w:p>
      <w:pPr>
        <w:spacing w:after="0" w:line="157" w:lineRule="exact"/>
        <w:rPr>
          <w:sz w:val="20"/>
          <w:szCs w:val="20"/>
          <w:color w:val="auto"/>
        </w:rPr>
      </w:pPr>
    </w:p>
    <w:p>
      <w:pPr>
        <w:ind w:right="3680"/>
        <w:spacing w:after="0" w:line="510" w:lineRule="auto"/>
        <w:rPr>
          <w:sz w:val="20"/>
          <w:szCs w:val="20"/>
          <w:color w:val="auto"/>
        </w:rPr>
      </w:pPr>
      <w:r>
        <w:rPr>
          <w:rFonts w:ascii="Arial" w:cs="Arial" w:eastAsia="Arial" w:hAnsi="Arial"/>
          <w:sz w:val="16"/>
          <w:szCs w:val="16"/>
          <w:color w:val="auto"/>
        </w:rPr>
        <w:t xml:space="preserve">For more information on the changes in net interest income, please refer to the tables that follow. </w:t>
      </w:r>
      <w:r>
        <w:rPr>
          <w:rFonts w:ascii="Arial" w:cs="Arial" w:eastAsia="Arial" w:hAnsi="Arial"/>
          <w:sz w:val="16"/>
          <w:szCs w:val="16"/>
          <w:b w:val="1"/>
          <w:bCs w:val="1"/>
          <w:color w:val="auto"/>
        </w:rPr>
        <w:t>Distribution of Assets, Liabilities and Shareholders' Equity; Interest Rate and Interest Differential</w:t>
      </w:r>
    </w:p>
    <w:p>
      <w:pPr>
        <w:spacing w:after="0" w:line="1"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7"/>
              </w:rPr>
              <w:t>Third Quarter of 2021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7"/>
              </w:rPr>
              <w:t>Third Quarter of 2020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Interest</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Yield/</w:t>
            </w:r>
          </w:p>
        </w:tc>
        <w:tc>
          <w:tcPr>
            <w:tcW w:w="220" w:type="dxa"/>
            <w:vAlign w:val="bottom"/>
          </w:tcPr>
          <w:p>
            <w:pPr>
              <w:spacing w:after="0"/>
              <w:rPr>
                <w:sz w:val="13"/>
                <w:szCs w:val="13"/>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Interest</w:t>
            </w: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35"/>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Income/</w:t>
            </w: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Income/</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1"/>
        </w:trPr>
        <w:tc>
          <w:tcPr>
            <w:tcW w:w="3680" w:type="dxa"/>
            <w:vAlign w:val="bottom"/>
            <w:shd w:val="clear" w:color="auto" w:fill="B6B6B6"/>
          </w:tcPr>
          <w:p>
            <w:pPr>
              <w:ind w:left="20"/>
              <w:spacing w:after="0"/>
              <w:rPr>
                <w:sz w:val="20"/>
                <w:szCs w:val="20"/>
                <w:color w:val="auto"/>
              </w:rPr>
            </w:pPr>
            <w:r>
              <w:rPr>
                <w:rFonts w:ascii="Arial" w:cs="Arial" w:eastAsia="Arial" w:hAnsi="Arial"/>
                <w:sz w:val="14"/>
                <w:szCs w:val="14"/>
                <w:b w:val="1"/>
                <w:bCs w:val="1"/>
                <w:color w:val="auto"/>
              </w:rPr>
              <w:t>Assets</w:t>
            </w:r>
            <w:r>
              <w:rPr>
                <w:rFonts w:ascii="Arial" w:cs="Arial" w:eastAsia="Arial" w:hAnsi="Arial"/>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Arial" w:cs="Arial" w:eastAsia="Arial" w:hAnsi="Arial"/>
                <w:sz w:val="14"/>
                <w:szCs w:val="14"/>
                <w:color w:val="auto"/>
              </w:rPr>
              <w:t>Loans</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873,070</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8,987</w:t>
            </w:r>
          </w:p>
        </w:tc>
        <w:tc>
          <w:tcPr>
            <w:tcW w:w="940" w:type="dxa"/>
            <w:vAlign w:val="bottom"/>
          </w:tcPr>
          <w:p>
            <w:pPr>
              <w:jc w:val="right"/>
              <w:spacing w:after="0"/>
              <w:rPr>
                <w:sz w:val="20"/>
                <w:szCs w:val="20"/>
                <w:color w:val="auto"/>
              </w:rPr>
            </w:pPr>
            <w:r>
              <w:rPr>
                <w:rFonts w:ascii="Arial" w:cs="Arial" w:eastAsia="Arial" w:hAnsi="Arial"/>
                <w:sz w:val="14"/>
                <w:szCs w:val="14"/>
                <w:color w:val="auto"/>
              </w:rPr>
              <w:t>4.08 %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949,836</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9,067</w:t>
            </w:r>
          </w:p>
        </w:tc>
        <w:tc>
          <w:tcPr>
            <w:tcW w:w="960" w:type="dxa"/>
            <w:vAlign w:val="bottom"/>
          </w:tcPr>
          <w:p>
            <w:pPr>
              <w:jc w:val="right"/>
              <w:spacing w:after="0"/>
              <w:rPr>
                <w:sz w:val="20"/>
                <w:szCs w:val="20"/>
                <w:color w:val="auto"/>
              </w:rPr>
            </w:pPr>
            <w:r>
              <w:rPr>
                <w:rFonts w:ascii="Arial" w:cs="Arial" w:eastAsia="Arial" w:hAnsi="Arial"/>
                <w:sz w:val="14"/>
                <w:szCs w:val="14"/>
                <w:color w:val="auto"/>
              </w:rPr>
              <w:t>3.80 %</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Arial" w:cs="Arial" w:eastAsia="Arial" w:hAnsi="Arial"/>
                <w:sz w:val="14"/>
                <w:szCs w:val="14"/>
                <w:color w:val="auto"/>
              </w:rPr>
              <w:t>Investment securities</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209,662</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731</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69,158</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372</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180"/>
              <w:spacing w:after="0"/>
              <w:rPr>
                <w:sz w:val="20"/>
                <w:szCs w:val="20"/>
                <w:color w:val="auto"/>
              </w:rPr>
            </w:pPr>
            <w:r>
              <w:rPr>
                <w:rFonts w:ascii="Arial" w:cs="Arial" w:eastAsia="Arial" w:hAnsi="Arial"/>
                <w:sz w:val="14"/>
                <w:szCs w:val="14"/>
                <w:color w:val="auto"/>
              </w:rPr>
              <w:t>Tax-exempt</w:t>
            </w:r>
            <w:r>
              <w:rPr>
                <w:rFonts w:ascii="Arial" w:cs="Arial" w:eastAsia="Arial" w:hAnsi="Arial"/>
                <w:sz w:val="18"/>
                <w:szCs w:val="18"/>
                <w:color w:val="auto"/>
                <w:vertAlign w:val="superscript"/>
              </w:rPr>
              <w:t>4</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4"/>
                <w:szCs w:val="14"/>
                <w:color w:val="auto"/>
              </w:rPr>
              <w:t>308,071</w:t>
            </w: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248"/>
              <w:spacing w:after="0"/>
              <w:rPr>
                <w:sz w:val="20"/>
                <w:szCs w:val="20"/>
                <w:color w:val="auto"/>
              </w:rPr>
            </w:pPr>
            <w:r>
              <w:rPr>
                <w:rFonts w:ascii="Arial" w:cs="Arial" w:eastAsia="Arial" w:hAnsi="Arial"/>
                <w:sz w:val="14"/>
                <w:szCs w:val="14"/>
                <w:color w:val="auto"/>
              </w:rPr>
              <w:t>2,228</w:t>
            </w:r>
          </w:p>
        </w:tc>
        <w:tc>
          <w:tcPr>
            <w:tcW w:w="940" w:type="dxa"/>
            <w:vAlign w:val="bottom"/>
            <w:shd w:val="clear" w:color="auto" w:fill="B6B6B6"/>
          </w:tcPr>
          <w:p>
            <w:pPr>
              <w:jc w:val="right"/>
              <w:ind w:right="10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4"/>
                <w:szCs w:val="14"/>
                <w:color w:val="auto"/>
              </w:rPr>
              <w:t>284,826</w:t>
            </w: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248"/>
              <w:spacing w:after="0"/>
              <w:rPr>
                <w:sz w:val="20"/>
                <w:szCs w:val="20"/>
                <w:color w:val="auto"/>
              </w:rPr>
            </w:pPr>
            <w:r>
              <w:rPr>
                <w:rFonts w:ascii="Arial" w:cs="Arial" w:eastAsia="Arial" w:hAnsi="Arial"/>
                <w:sz w:val="14"/>
                <w:szCs w:val="14"/>
                <w:color w:val="auto"/>
              </w:rPr>
              <w:t>2,219</w:t>
            </w:r>
          </w:p>
        </w:tc>
        <w:tc>
          <w:tcPr>
            <w:tcW w:w="960" w:type="dxa"/>
            <w:vAlign w:val="bottom"/>
            <w:shd w:val="clear" w:color="auto" w:fill="B6B6B6"/>
          </w:tcPr>
          <w:p>
            <w:pPr>
              <w:jc w:val="right"/>
              <w:ind w:right="10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Interest-bearing deposits in other financial institutions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612,053</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231</w:t>
            </w:r>
          </w:p>
        </w:tc>
        <w:tc>
          <w:tcPr>
            <w:tcW w:w="94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189,975</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36</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Federal funds sold and other short-term investments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33,440</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240,676</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50</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2,036,296</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12,187</w:t>
            </w:r>
          </w:p>
        </w:tc>
        <w:tc>
          <w:tcPr>
            <w:tcW w:w="94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1,734,680</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11,745</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Non-interest-earning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18,778</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16,993</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17,718</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19,507</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28,134</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17,875</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Goodwill and other intangibles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17,167</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18,027</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266,334</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215,633</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Allowance for credit losses</w:t>
            </w:r>
          </w:p>
        </w:tc>
        <w:tc>
          <w:tcPr>
            <w:tcW w:w="220" w:type="dxa"/>
            <w:vAlign w:val="bottom"/>
          </w:tcPr>
          <w:p>
            <w:pPr>
              <w:spacing w:after="0"/>
              <w:rPr>
                <w:sz w:val="16"/>
                <w:szCs w:val="16"/>
                <w:color w:val="auto"/>
              </w:rPr>
            </w:pPr>
          </w:p>
        </w:tc>
        <w:tc>
          <w:tcPr>
            <w:tcW w:w="1320" w:type="dxa"/>
            <w:vAlign w:val="bottom"/>
            <w:gridSpan w:val="2"/>
          </w:tcPr>
          <w:p>
            <w:pPr>
              <w:jc w:val="right"/>
              <w:ind w:right="288"/>
              <w:spacing w:after="0"/>
              <w:rPr>
                <w:sz w:val="20"/>
                <w:szCs w:val="20"/>
                <w:color w:val="auto"/>
              </w:rPr>
            </w:pPr>
            <w:r>
              <w:rPr>
                <w:rFonts w:ascii="Arial" w:cs="Arial" w:eastAsia="Arial" w:hAnsi="Arial"/>
                <w:sz w:val="14"/>
                <w:szCs w:val="14"/>
                <w:color w:val="auto"/>
              </w:rPr>
              <w:t>(11,183)</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288"/>
              <w:spacing w:after="0"/>
              <w:rPr>
                <w:sz w:val="20"/>
                <w:szCs w:val="20"/>
                <w:color w:val="auto"/>
              </w:rPr>
            </w:pPr>
            <w:r>
              <w:rPr>
                <w:rFonts w:ascii="Arial" w:cs="Arial" w:eastAsia="Arial" w:hAnsi="Arial"/>
                <w:sz w:val="14"/>
                <w:szCs w:val="14"/>
                <w:color w:val="auto"/>
              </w:rPr>
              <w:t>(11,295)</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2,373,244</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2,011,420</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Shareholders’ Equity</w:t>
            </w:r>
            <w:r>
              <w:rPr>
                <w:rFonts w:ascii="Arial" w:cs="Arial" w:eastAsia="Arial" w:hAnsi="Arial"/>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Interest-bearing demand deposits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531,541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145</w:t>
            </w:r>
          </w:p>
        </w:tc>
        <w:tc>
          <w:tcPr>
            <w:tcW w:w="940" w:type="dxa"/>
            <w:vAlign w:val="bottom"/>
          </w:tcPr>
          <w:p>
            <w:pPr>
              <w:jc w:val="right"/>
              <w:spacing w:after="0"/>
              <w:rPr>
                <w:sz w:val="20"/>
                <w:szCs w:val="20"/>
                <w:color w:val="auto"/>
              </w:rPr>
            </w:pPr>
            <w:r>
              <w:rPr>
                <w:rFonts w:ascii="Arial" w:cs="Arial" w:eastAsia="Arial" w:hAnsi="Arial"/>
                <w:sz w:val="14"/>
                <w:szCs w:val="14"/>
                <w:color w:val="auto"/>
              </w:rPr>
              <w:t>0.11 %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425,192</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227</w:t>
            </w:r>
          </w:p>
        </w:tc>
        <w:tc>
          <w:tcPr>
            <w:tcW w:w="960" w:type="dxa"/>
            <w:vAlign w:val="bottom"/>
          </w:tcPr>
          <w:p>
            <w:pPr>
              <w:jc w:val="right"/>
              <w:spacing w:after="0"/>
              <w:rPr>
                <w:sz w:val="20"/>
                <w:szCs w:val="20"/>
                <w:color w:val="auto"/>
              </w:rPr>
            </w:pPr>
            <w:r>
              <w:rPr>
                <w:rFonts w:ascii="Arial" w:cs="Arial" w:eastAsia="Arial" w:hAnsi="Arial"/>
                <w:sz w:val="14"/>
                <w:szCs w:val="14"/>
                <w:color w:val="auto"/>
              </w:rPr>
              <w:t>0.21 %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17,767</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14,675</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Time deposits &gt;= $100</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19,403</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49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26,335</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104</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31,542</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91</w:t>
            </w:r>
          </w:p>
        </w:tc>
        <w:tc>
          <w:tcPr>
            <w:tcW w:w="94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40,959</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131</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600,253</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287</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507,161</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465</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10</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gridSpan w:val="2"/>
            <w:shd w:val="clear" w:color="auto" w:fill="B6B6B6"/>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600,263</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287</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507,172</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465</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Demand deposits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453,116</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371,862</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Accounts and drafts payable</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1,010,641</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816,032</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54,703</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67,829</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2,118,723</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1,762,895</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spacing w:after="0"/>
              <w:rPr>
                <w:sz w:val="16"/>
                <w:szCs w:val="16"/>
                <w:color w:val="auto"/>
              </w:rPr>
            </w:pPr>
          </w:p>
        </w:tc>
        <w:tc>
          <w:tcPr>
            <w:tcW w:w="96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254,521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248,525</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2,373,244</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2,011,420</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11,900</w:t>
            </w: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11,280</w:t>
            </w: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Net interest margin</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2.32 %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2.59 %</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Interest spread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Interest income on loans includes net loan fees of $969,000 and $678,000 for the Third Quarter of 2021 and 2020, respectively. The increase in net loan fees is due to higher PPP fees.</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1" w:lineRule="exact"/>
        <w:rPr>
          <w:rFonts w:ascii="Arial" w:cs="Arial" w:eastAsia="Arial" w:hAnsi="Arial"/>
          <w:sz w:val="14"/>
          <w:szCs w:val="14"/>
          <w:color w:val="auto"/>
        </w:rPr>
      </w:pPr>
    </w:p>
    <w:p>
      <w:pPr>
        <w:ind w:left="340" w:right="100" w:hanging="332"/>
        <w:spacing w:after="0" w:line="25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2021 and 2020. The tax-equivalent adjustment was approximately $468,000 and $466,000 for the Third Quarter of 2021 and 2020, respectively.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 2021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 2020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8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Interest</w:t>
            </w: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8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Interest</w:t>
            </w: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35"/>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Income/</w:t>
            </w: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Income/</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1"/>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b w:val="1"/>
                <w:bCs w:val="1"/>
                <w:color w:val="auto"/>
              </w:rPr>
              <w:t>Assets</w:t>
            </w:r>
            <w:r>
              <w:rPr>
                <w:rFonts w:ascii="Arial" w:cs="Arial" w:eastAsia="Arial" w:hAnsi="Arial"/>
                <w:sz w:val="9"/>
                <w:szCs w:val="9"/>
                <w:color w:val="auto"/>
              </w:rPr>
              <w:t>1</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Loans</w:t>
            </w:r>
            <w:r>
              <w:rPr>
                <w:rFonts w:ascii="Arial" w:cs="Arial" w:eastAsia="Arial" w:hAnsi="Arial"/>
                <w:sz w:val="9"/>
                <w:szCs w:val="9"/>
                <w:color w:val="auto"/>
              </w:rPr>
              <w:t>2</w:t>
            </w:r>
            <w:r>
              <w:rPr>
                <w:rFonts w:ascii="Arial" w:cs="Arial" w:eastAsia="Arial" w:hAnsi="Arial"/>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885,274</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26,270</w:t>
            </w:r>
          </w:p>
        </w:tc>
        <w:tc>
          <w:tcPr>
            <w:tcW w:w="900" w:type="dxa"/>
            <w:vAlign w:val="bottom"/>
          </w:tcPr>
          <w:p>
            <w:pPr>
              <w:jc w:val="right"/>
              <w:spacing w:after="0"/>
              <w:rPr>
                <w:sz w:val="20"/>
                <w:szCs w:val="20"/>
                <w:color w:val="auto"/>
              </w:rPr>
            </w:pPr>
            <w:r>
              <w:rPr>
                <w:rFonts w:ascii="Arial" w:cs="Arial" w:eastAsia="Arial" w:hAnsi="Arial"/>
                <w:sz w:val="14"/>
                <w:szCs w:val="14"/>
                <w:color w:val="auto"/>
              </w:rPr>
              <w:t>3.97 %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904,632</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27,366</w:t>
            </w:r>
          </w:p>
        </w:tc>
        <w:tc>
          <w:tcPr>
            <w:tcW w:w="920" w:type="dxa"/>
            <w:vAlign w:val="bottom"/>
          </w:tcPr>
          <w:p>
            <w:pPr>
              <w:jc w:val="right"/>
              <w:spacing w:after="0"/>
              <w:rPr>
                <w:sz w:val="20"/>
                <w:szCs w:val="20"/>
                <w:color w:val="auto"/>
              </w:rPr>
            </w:pPr>
            <w:r>
              <w:rPr>
                <w:rFonts w:ascii="Arial" w:cs="Arial" w:eastAsia="Arial" w:hAnsi="Arial"/>
                <w:sz w:val="14"/>
                <w:szCs w:val="14"/>
                <w:color w:val="auto"/>
              </w:rPr>
              <w:t>4.04 %</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Investment securities</w:t>
            </w:r>
            <w:r>
              <w:rPr>
                <w:rFonts w:ascii="Arial" w:cs="Arial" w:eastAsia="Arial" w:hAnsi="Arial"/>
                <w:sz w:val="9"/>
                <w:szCs w:val="9"/>
                <w:color w:val="auto"/>
              </w:rPr>
              <w:t>3</w:t>
            </w:r>
            <w:r>
              <w:rPr>
                <w:rFonts w:ascii="Arial" w:cs="Arial" w:eastAsia="Arial" w:hAnsi="Arial"/>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149,953</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1,387</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82,271</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1,400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Tax-exempt</w:t>
            </w:r>
            <w:r>
              <w:rPr>
                <w:rFonts w:ascii="Arial" w:cs="Arial" w:eastAsia="Arial" w:hAnsi="Arial"/>
                <w:sz w:val="9"/>
                <w:szCs w:val="9"/>
                <w:color w:val="auto"/>
              </w:rPr>
              <w:t>4</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304,348</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6,748</w:t>
            </w:r>
          </w:p>
        </w:tc>
        <w:tc>
          <w:tcPr>
            <w:tcW w:w="90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289,964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6,781</w:t>
            </w:r>
          </w:p>
        </w:tc>
        <w:tc>
          <w:tcPr>
            <w:tcW w:w="92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Interest-bearing deposits in other financial institutions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537,987</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473</w:t>
            </w:r>
          </w:p>
        </w:tc>
        <w:tc>
          <w:tcPr>
            <w:tcW w:w="90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197,929</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492</w:t>
            </w:r>
          </w:p>
        </w:tc>
        <w:tc>
          <w:tcPr>
            <w:tcW w:w="92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Federal funds sold and other short-term investments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88,414</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42</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140,955</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638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1,965,976</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34,920</w:t>
            </w:r>
          </w:p>
        </w:tc>
        <w:tc>
          <w:tcPr>
            <w:tcW w:w="90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1,616,091</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36,683</w:t>
            </w:r>
          </w:p>
        </w:tc>
        <w:tc>
          <w:tcPr>
            <w:tcW w:w="92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Non-interest-earning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19,890</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16,765</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17,877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19,955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21,286</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17,761</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Goodwill and other intangibles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17,381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18,240</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248,634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214,331</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Allowance for credit losses</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(11,615)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(10,919)</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2,279,429</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1,892,224</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Shareholders’ Equity</w:t>
            </w:r>
            <w:r>
              <w:rPr>
                <w:rFonts w:ascii="Arial" w:cs="Arial" w:eastAsia="Arial" w:hAnsi="Arial"/>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Interest-bearing demand deposits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510,886</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431</w:t>
            </w:r>
          </w:p>
        </w:tc>
        <w:tc>
          <w:tcPr>
            <w:tcW w:w="90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382,424</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1,062</w:t>
            </w:r>
          </w:p>
        </w:tc>
        <w:tc>
          <w:tcPr>
            <w:tcW w:w="920" w:type="dxa"/>
            <w:vAlign w:val="bottom"/>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19,098</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12,010</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22,231</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200</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28,134</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383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31,253</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277</w:t>
            </w:r>
          </w:p>
        </w:tc>
        <w:tc>
          <w:tcPr>
            <w:tcW w:w="90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42,483</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445</w:t>
            </w:r>
          </w:p>
        </w:tc>
        <w:tc>
          <w:tcPr>
            <w:tcW w:w="92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583,468</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915</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465,051</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1,909</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B6B6B6"/>
            </w:tcBorders>
            <w:gridSpan w:val="2"/>
            <w:shd w:val="clear" w:color="auto" w:fill="B6B6B6"/>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77</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B6B6B6"/>
            </w:tcBorders>
            <w:shd w:val="clear" w:color="auto" w:fill="B6B6B6"/>
          </w:tcPr>
          <w:p>
            <w:pPr>
              <w:jc w:val="right"/>
              <w:ind w:right="10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583,478</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915</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465,128</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1,911</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430,506</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342,386</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Accounts and drafts payable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952,747</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775,341</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54,935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64,859</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2,021,666</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1,647,714</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257,763</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244,510</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2,279,429</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1,892,224</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34,005</w:t>
            </w: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34,772</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Net interest margin</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2.31 %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2.87 %</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Interest spread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spacing w:after="0" w:line="13"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$2,738,000 and $1,399,000 for the Nine Months Ended 2021 and 2020, respectively. The increase in net loan fees is due to higher PPP fees.</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2021 and 2020. The tax-equivalent adjustment was approximately $1,417,000 and $1,424,000 for the Nine Months Ended 2021 and 2020, respectively.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Third Quarter of 2021 Compared to</w:t>
            </w:r>
          </w:p>
        </w:tc>
      </w:tr>
      <w:tr>
        <w:trPr>
          <w:trHeight w:val="229"/>
        </w:trPr>
        <w:tc>
          <w:tcPr>
            <w:tcW w:w="7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Third Quarter of 2020</w:t>
            </w:r>
          </w:p>
        </w:tc>
        <w:tc>
          <w:tcPr>
            <w:tcW w:w="1060" w:type="dxa"/>
            <w:vAlign w:val="bottom"/>
            <w:tcBorders>
              <w:bottom w:val="single" w:sz="8" w:color="auto"/>
            </w:tcBorders>
          </w:tcPr>
          <w:p>
            <w:pPr>
              <w:spacing w:after="0"/>
              <w:rPr>
                <w:sz w:val="19"/>
                <w:szCs w:val="19"/>
                <w:color w:val="auto"/>
              </w:rPr>
            </w:pPr>
          </w:p>
        </w:tc>
      </w:tr>
      <w:tr>
        <w:trPr>
          <w:trHeight w:val="24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Volume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Rate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6"/>
        </w:trPr>
        <w:tc>
          <w:tcPr>
            <w:tcW w:w="7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interest income:</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r>
      <w:tr>
        <w:trPr>
          <w:trHeight w:val="257"/>
        </w:trPr>
        <w:tc>
          <w:tcPr>
            <w:tcW w:w="700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700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(751)</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671</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700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700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530</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359</w:t>
            </w:r>
          </w:p>
        </w:tc>
      </w:tr>
      <w:tr>
        <w:trPr>
          <w:trHeight w:val="257"/>
        </w:trPr>
        <w:tc>
          <w:tcPr>
            <w:tcW w:w="700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3"/>
                <w:szCs w:val="23"/>
                <w:color w:val="auto"/>
                <w:vertAlign w:val="superscript"/>
              </w:rPr>
              <w:t>2</w:t>
            </w:r>
          </w:p>
        </w:tc>
        <w:tc>
          <w:tcPr>
            <w:tcW w:w="2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7000" w:type="dxa"/>
            <w:vAlign w:val="bottom"/>
            <w:shd w:val="clear" w:color="auto" w:fill="B6B6B6"/>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7000" w:type="dxa"/>
            <w:vAlign w:val="bottom"/>
          </w:tcPr>
          <w:p>
            <w:pPr>
              <w:ind w:left="180"/>
              <w:spacing w:after="0"/>
              <w:rPr>
                <w:sz w:val="20"/>
                <w:szCs w:val="20"/>
                <w:color w:val="auto"/>
              </w:rPr>
            </w:pPr>
            <w:r>
              <w:rPr>
                <w:rFonts w:ascii="Arial" w:cs="Arial" w:eastAsia="Arial" w:hAnsi="Arial"/>
                <w:sz w:val="18"/>
                <w:szCs w:val="18"/>
                <w:color w:val="auto"/>
              </w:rPr>
              <w:t>Interest-bearing deposits in other financial institutions</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7"/>
        </w:trPr>
        <w:tc>
          <w:tcPr>
            <w:tcW w:w="700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Federal funds sold and other short-term investments</w:t>
            </w:r>
          </w:p>
        </w:tc>
        <w:tc>
          <w:tcPr>
            <w:tcW w:w="2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interest income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57"/>
        </w:trPr>
        <w:tc>
          <w:tcPr>
            <w:tcW w:w="7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expense on:</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r>
      <w:tr>
        <w:trPr>
          <w:trHeight w:val="250"/>
        </w:trPr>
        <w:tc>
          <w:tcPr>
            <w:tcW w:w="7000" w:type="dxa"/>
            <w:vAlign w:val="bottom"/>
          </w:tcPr>
          <w:p>
            <w:pPr>
              <w:ind w:left="140"/>
              <w:spacing w:after="0"/>
              <w:rPr>
                <w:sz w:val="20"/>
                <w:szCs w:val="20"/>
                <w:color w:val="auto"/>
              </w:rPr>
            </w:pPr>
            <w:r>
              <w:rPr>
                <w:rFonts w:ascii="Arial" w:cs="Arial" w:eastAsia="Arial" w:hAnsi="Arial"/>
                <w:sz w:val="18"/>
                <w:szCs w:val="18"/>
                <w:color w:val="auto"/>
              </w:rPr>
              <w:t>Interest-bearing demand deposits</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3"/>
        </w:trPr>
        <w:tc>
          <w:tcPr>
            <w:tcW w:w="7000" w:type="dxa"/>
            <w:vAlign w:val="bottom"/>
            <w:shd w:val="clear" w:color="auto" w:fill="B6B6B6"/>
          </w:tcPr>
          <w:p>
            <w:pPr>
              <w:ind w:left="180"/>
              <w:spacing w:after="0"/>
              <w:rPr>
                <w:sz w:val="20"/>
                <w:szCs w:val="20"/>
                <w:color w:val="auto"/>
              </w:rPr>
            </w:pPr>
            <w:r>
              <w:rPr>
                <w:rFonts w:ascii="Arial" w:cs="Arial" w:eastAsia="Arial" w:hAnsi="Arial"/>
                <w:sz w:val="18"/>
                <w:szCs w:val="18"/>
                <w:color w:val="auto"/>
              </w:rPr>
              <w:t>Savings deposits</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7000" w:type="dxa"/>
            <w:vAlign w:val="bottom"/>
          </w:tcPr>
          <w:p>
            <w:pPr>
              <w:ind w:left="180"/>
              <w:spacing w:after="0"/>
              <w:rPr>
                <w:sz w:val="20"/>
                <w:szCs w:val="20"/>
                <w:color w:val="auto"/>
              </w:rPr>
            </w:pPr>
            <w:r>
              <w:rPr>
                <w:rFonts w:ascii="Arial" w:cs="Arial" w:eastAsia="Arial" w:hAnsi="Arial"/>
                <w:sz w:val="18"/>
                <w:szCs w:val="18"/>
                <w:color w:val="auto"/>
              </w:rPr>
              <w:t>Time deposits &gt;=$100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700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Other time deposits</w:t>
            </w:r>
          </w:p>
        </w:tc>
        <w:tc>
          <w:tcPr>
            <w:tcW w:w="2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70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583</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620</w:t>
            </w:r>
          </w:p>
        </w:tc>
      </w:tr>
    </w:tbl>
    <w:p>
      <w:pPr>
        <w:spacing w:after="0" w:line="7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Third Quarter of 2021 and 2020.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2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Nine Months Ended 2021 Compared to</w:t>
            </w:r>
          </w:p>
        </w:tc>
      </w:tr>
      <w:tr>
        <w:trPr>
          <w:trHeight w:val="229"/>
        </w:trPr>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Nine Months Ended 2020</w:t>
            </w:r>
          </w:p>
        </w:tc>
        <w:tc>
          <w:tcPr>
            <w:tcW w:w="1100" w:type="dxa"/>
            <w:vAlign w:val="bottom"/>
            <w:tcBorders>
              <w:bottom w:val="single" w:sz="8" w:color="auto"/>
            </w:tcBorders>
          </w:tcPr>
          <w:p>
            <w:pPr>
              <w:spacing w:after="0"/>
              <w:rPr>
                <w:sz w:val="19"/>
                <w:szCs w:val="19"/>
                <w:color w:val="auto"/>
              </w:rPr>
            </w:pPr>
          </w:p>
        </w:tc>
      </w:tr>
      <w:tr>
        <w:trPr>
          <w:trHeight w:val="244"/>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56"/>
        </w:trPr>
        <w:tc>
          <w:tcPr>
            <w:tcW w:w="6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r>
      <w:tr>
        <w:trPr>
          <w:trHeight w:val="257"/>
        </w:trPr>
        <w:tc>
          <w:tcPr>
            <w:tcW w:w="676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676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(503)</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(1,096)</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76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812</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(825)</w:t>
            </w:r>
          </w:p>
        </w:tc>
        <w:tc>
          <w:tcPr>
            <w:tcW w:w="3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676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3"/>
                <w:szCs w:val="23"/>
                <w:color w:val="auto"/>
                <w:vertAlign w:val="superscript"/>
              </w:rPr>
              <w:t>2</w:t>
            </w:r>
          </w:p>
        </w:tc>
        <w:tc>
          <w:tcPr>
            <w:tcW w:w="26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Interest-bearing deposits in other financial institutions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Federal funds sold and other short-term investments</w:t>
            </w:r>
          </w:p>
        </w:tc>
        <w:tc>
          <w:tcPr>
            <w:tcW w:w="2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(596)</w:t>
            </w:r>
          </w:p>
        </w:tc>
      </w:tr>
      <w:tr>
        <w:trPr>
          <w:trHeight w:val="25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interest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r>
      <w:tr>
        <w:trPr>
          <w:trHeight w:val="256"/>
        </w:trPr>
        <w:tc>
          <w:tcPr>
            <w:tcW w:w="6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expense on:</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63"/>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Savings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Time deposits &gt;=$100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63"/>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Other time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(168)</w:t>
            </w:r>
          </w:p>
        </w:tc>
      </w:tr>
      <w:tr>
        <w:trPr>
          <w:trHeight w:val="250"/>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(1,101)</w:t>
            </w:r>
          </w:p>
        </w:tc>
        <w:tc>
          <w:tcPr>
            <w:tcW w:w="380" w:type="dxa"/>
            <w:vAlign w:val="bottom"/>
            <w:tcBorders>
              <w:bottom w:val="single" w:sz="8" w:color="auto"/>
            </w:tcBorders>
            <w:shd w:val="clear" w:color="auto" w:fill="B6B6B6"/>
          </w:tcPr>
          <w:p>
            <w:pPr>
              <w:spacing w:after="0"/>
              <w:rPr>
                <w:sz w:val="21"/>
                <w:szCs w:val="21"/>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(996)</w:t>
            </w:r>
          </w:p>
        </w:tc>
      </w:tr>
      <w:tr>
        <w:trPr>
          <w:trHeight w:val="25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interest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bl>
    <w:p>
      <w:pPr>
        <w:spacing w:after="0" w:line="7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Nine Months Ended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recorded a provision for credit losses and off-balance sheet credit exposures of $340,000, and $0 in the Third Quarter of 2021 and 2020, respectively. The Company recorded a release of credit losses and off-balance sheet credit exposures of $870,000 in the Nine Months Ended 2021 and a provision for loan losses of $725,000 in the Nine Months Ended 2020.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Third Quarter of 2021 was primarily due to loan growth and the related impact in the CECL model. The release of credit losses in the Nine Months Ended 2021 was primarily due to improved economic conditions and the removal of specific allowance for credit loss allocations on two impaired loans.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net loan recoveries of $11,000 in the Third Quarter of 2021 and $6,000 in the Third Quarter of 2020. The Company had net loan recoveries of $28,000 and $17,000 in the Nine Months Ended 2021 and the Nine Months Ended 2020, respectively.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ACL was $11,532,000 at September 30, 2021 compared to $11,944,000 at December 31, 2020. The ACL represented 1.32% of outstanding loans at September 30, 2021 and 1.34% of outstanding loans at December 31, 2020. Excluding PPP loans, the ACL represented 1.35% of total loans at September 30, 2021 and 1.53% of total loans at December 31, 2020. The allowance for unfunded commitments was $137,000 at September 30, 2021 and $567,000 at December 31, 2020. There were no nonperforming loans outstanding at September 30, 2021 or December 31, 2020.</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utilizes ratio analyses to evaluate the overall reasonableness of the ACL compared to its peers and required levels of regulatory capital. Federal and state regulatory agencies review the Company’s methodology for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maintaining the ACL. These agencies may require the Company to adjust the ACL based on their judgments and interpretations about information available to them at the time of their examinations.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Credit Loss Experience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(release of) credit losses and analysis of the ACL: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Third Quarter of</w:t>
            </w:r>
          </w:p>
        </w:tc>
        <w:tc>
          <w:tcPr>
            <w:tcW w:w="3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56"/>
        </w:trPr>
        <w:tc>
          <w:tcPr>
            <w:tcW w:w="51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Allowance for credit/loan losses at beginning of period</w:t>
            </w:r>
          </w:p>
        </w:tc>
        <w:tc>
          <w:tcPr>
            <w:tcW w:w="3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11,171</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11,292</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11,944</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10,556</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(release of) credit/loan losses</w:t>
            </w:r>
          </w:p>
        </w:tc>
        <w:tc>
          <w:tcPr>
            <w:tcW w:w="32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(440)</w:t>
            </w:r>
          </w:p>
        </w:tc>
        <w:tc>
          <w:tcPr>
            <w:tcW w:w="3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725</w:t>
            </w:r>
          </w:p>
        </w:tc>
      </w:tr>
      <w:tr>
        <w:trPr>
          <w:trHeight w:val="263"/>
        </w:trPr>
        <w:tc>
          <w:tcPr>
            <w:tcW w:w="5120" w:type="dxa"/>
            <w:vAlign w:val="bottom"/>
            <w:shd w:val="clear" w:color="auto" w:fill="B6B6B6"/>
          </w:tcPr>
          <w:p>
            <w:pPr>
              <w:ind w:left="20"/>
              <w:spacing w:after="0"/>
              <w:rPr>
                <w:sz w:val="20"/>
                <w:szCs w:val="20"/>
                <w:color w:val="auto"/>
              </w:rPr>
            </w:pPr>
            <w:r>
              <w:rPr>
                <w:rFonts w:ascii="Arial" w:cs="Arial" w:eastAsia="Arial" w:hAnsi="Arial"/>
                <w:sz w:val="18"/>
                <w:szCs w:val="18"/>
                <w:color w:val="auto"/>
              </w:rPr>
              <w:t>Loans charged off</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Recoveries on loans previously charged off</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r>
      <w:tr>
        <w:trPr>
          <w:trHeight w:val="257"/>
        </w:trPr>
        <w:tc>
          <w:tcPr>
            <w:tcW w:w="51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recoveries</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6</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17</w:t>
            </w:r>
          </w:p>
        </w:tc>
      </w:tr>
      <w:tr>
        <w:trPr>
          <w:trHeight w:val="25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credit/loan losses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11,532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11,298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11,532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11,298</w:t>
            </w:r>
          </w:p>
        </w:tc>
      </w:tr>
      <w:tr>
        <w:trPr>
          <w:trHeight w:val="257"/>
        </w:trPr>
        <w:tc>
          <w:tcPr>
            <w:tcW w:w="51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Allowance for unfunded commitments at beginning of Period</w:t>
            </w:r>
          </w:p>
        </w:tc>
        <w:tc>
          <w:tcPr>
            <w:tcW w:w="3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(Release of) provision for credit losses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(430)</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Allowance for unfunded commitments at end of period</w:t>
            </w:r>
          </w:p>
        </w:tc>
        <w:tc>
          <w:tcPr>
            <w:tcW w:w="320" w:type="dxa"/>
            <w:vAlign w:val="bottom"/>
            <w:tcBorders>
              <w:bottom w:val="single" w:sz="8" w:color="auto"/>
            </w:tcBorders>
            <w:shd w:val="clear" w:color="auto" w:fill="B6B6B6"/>
          </w:tcPr>
          <w:p>
            <w:pPr>
              <w:spacing w:after="0"/>
              <w:rPr>
                <w:sz w:val="21"/>
                <w:szCs w:val="21"/>
                <w:color w:val="auto"/>
              </w:rPr>
            </w:pPr>
          </w:p>
        </w:tc>
        <w:tc>
          <w:tcPr>
            <w:tcW w:w="1180" w:type="dxa"/>
            <w:vAlign w:val="bottom"/>
            <w:tcBorders>
              <w:bottom w:val="single" w:sz="8" w:color="auto"/>
            </w:tcBorders>
            <w:shd w:val="clear" w:color="auto" w:fill="B6B6B6"/>
          </w:tcPr>
          <w:p>
            <w:pPr>
              <w:jc w:val="right"/>
              <w:ind w:right="190"/>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shd w:val="clear" w:color="auto" w:fill="B6B6B6"/>
          </w:tcPr>
          <w:p>
            <w:pPr>
              <w:spacing w:after="0"/>
              <w:rPr>
                <w:sz w:val="21"/>
                <w:szCs w:val="21"/>
                <w:color w:val="auto"/>
              </w:rPr>
            </w:pPr>
          </w:p>
        </w:tc>
        <w:tc>
          <w:tcPr>
            <w:tcW w:w="118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6B6B6"/>
          </w:tcPr>
          <w:p>
            <w:pPr>
              <w:spacing w:after="0"/>
              <w:rPr>
                <w:sz w:val="21"/>
                <w:szCs w:val="21"/>
                <w:color w:val="auto"/>
              </w:rPr>
            </w:pPr>
          </w:p>
        </w:tc>
        <w:tc>
          <w:tcPr>
            <w:tcW w:w="1180" w:type="dxa"/>
            <w:vAlign w:val="bottom"/>
            <w:tcBorders>
              <w:bottom w:val="single" w:sz="8" w:color="auto"/>
            </w:tcBorders>
            <w:shd w:val="clear" w:color="auto" w:fill="B6B6B6"/>
          </w:tcPr>
          <w:p>
            <w:pPr>
              <w:jc w:val="right"/>
              <w:ind w:right="190"/>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color w:val="auto"/>
              </w:rPr>
              <w:t>Loans outstanding:</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5120" w:type="dxa"/>
            <w:vAlign w:val="bottom"/>
            <w:shd w:val="clear" w:color="auto" w:fill="B6B6B6"/>
          </w:tcPr>
          <w:p>
            <w:pPr>
              <w:ind w:left="140"/>
              <w:spacing w:after="0"/>
              <w:rPr>
                <w:sz w:val="20"/>
                <w:szCs w:val="20"/>
                <w:color w:val="auto"/>
              </w:rPr>
            </w:pPr>
            <w:r>
              <w:rPr>
                <w:rFonts w:ascii="Arial" w:cs="Arial" w:eastAsia="Arial" w:hAnsi="Arial"/>
                <w:sz w:val="18"/>
                <w:szCs w:val="18"/>
                <w:color w:val="auto"/>
              </w:rPr>
              <w:t>Average</w:t>
            </w:r>
          </w:p>
        </w:tc>
        <w:tc>
          <w:tcPr>
            <w:tcW w:w="3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873,070</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949,836</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885,274</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904,632</w:t>
            </w: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September 30</w:t>
            </w:r>
          </w:p>
        </w:tc>
        <w:tc>
          <w:tcPr>
            <w:tcW w:w="32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872,905</w:t>
            </w:r>
          </w:p>
        </w:tc>
        <w:tc>
          <w:tcPr>
            <w:tcW w:w="38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944,557</w:t>
            </w:r>
          </w:p>
        </w:tc>
        <w:tc>
          <w:tcPr>
            <w:tcW w:w="38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872,905</w:t>
            </w:r>
          </w:p>
        </w:tc>
        <w:tc>
          <w:tcPr>
            <w:tcW w:w="3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944,557</w:t>
            </w:r>
          </w:p>
        </w:tc>
      </w:tr>
      <w:tr>
        <w:trPr>
          <w:trHeight w:val="263"/>
        </w:trPr>
        <w:tc>
          <w:tcPr>
            <w:tcW w:w="5120" w:type="dxa"/>
            <w:vAlign w:val="bottom"/>
            <w:shd w:val="clear" w:color="auto" w:fill="B6B6B6"/>
          </w:tcPr>
          <w:p>
            <w:pPr>
              <w:ind w:left="20"/>
              <w:spacing w:after="0"/>
              <w:rPr>
                <w:sz w:val="20"/>
                <w:szCs w:val="20"/>
                <w:color w:val="auto"/>
              </w:rPr>
            </w:pPr>
            <w:r>
              <w:rPr>
                <w:rFonts w:ascii="Arial" w:cs="Arial" w:eastAsia="Arial" w:hAnsi="Arial"/>
                <w:sz w:val="18"/>
                <w:szCs w:val="18"/>
                <w:color w:val="auto"/>
              </w:rPr>
              <w:t>Ratio of ACL to loans outstanding:</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Average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1.30 %</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57"/>
        </w:trPr>
        <w:tc>
          <w:tcPr>
            <w:tcW w:w="5120" w:type="dxa"/>
            <w:vAlign w:val="bottom"/>
            <w:tcBorders>
              <w:bottom w:val="single" w:sz="8" w:color="auto"/>
            </w:tcBorders>
            <w:shd w:val="clear" w:color="auto" w:fill="B6B6B6"/>
          </w:tcPr>
          <w:p>
            <w:pPr>
              <w:ind w:left="140"/>
              <w:spacing w:after="0"/>
              <w:rPr>
                <w:sz w:val="20"/>
                <w:szCs w:val="20"/>
                <w:color w:val="auto"/>
              </w:rPr>
            </w:pPr>
            <w:r>
              <w:rPr>
                <w:rFonts w:ascii="Arial" w:cs="Arial" w:eastAsia="Arial" w:hAnsi="Arial"/>
                <w:sz w:val="18"/>
                <w:szCs w:val="18"/>
                <w:color w:val="auto"/>
              </w:rPr>
              <w:t>September 30</w:t>
            </w:r>
          </w:p>
        </w:tc>
        <w:tc>
          <w:tcPr>
            <w:tcW w:w="32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1.32 %</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1.20 %</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1.32 %</w:t>
            </w:r>
          </w:p>
        </w:tc>
        <w:tc>
          <w:tcPr>
            <w:tcW w:w="38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property carried as other real estate owned as of September 30, 2021 and September 30,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operating expenses for the Third Quarter of 2021 were up 7.0%, or $2,010,000, compared to the Third Quarter of 2020 as personnel and outside service expenses increased as a result of the increase in payment processing volumes.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for the Nine Months Ended 2021 were up $4,052,000, or 4.8%, compared to the Nine Months Ended 2020, also due to the increase in payment processing volumes.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assets at September 30, 2021 were $2,292,986,000, an increase of $89,751,000, or 4.1%, from December 31, 2020. The Company increased the investment securities portfolio $183,353,000, or 51.3%, during the period in an effort to increase the yield on interest-earning assets. Payment in excess of funding increased $71,816,000, or 36.9%, due to an increase in transportation dollars processed. In addition, the Company purchased $24,868,000 of bank-owned life insurance policies during the Three Months Ended September 30, 2021. These increases were partially offset by a decrease in cash and cash equivalents of $170,219,000, or 25.4%, and a decrease in loans of $18,772,000. Changes in cash and cash equivalents reflect the Company’s daily liquidity position and are affected by the changes in the other asset balances and changes in deposit and accounts and drafts payable balances.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liabilities at September 30, 2021 were $2,045,343,000, an increase of $103,268,000, or 5.3%, from December 31, 2020. Total deposits at September 30, 2021 were $1,087,317,000, an increase of $36,461,000, or 3.5%, from December 31, 2020. Accounts and drafts payable at September 30, 2021 were $905,479,000, an increase of $70,093,000, or 8.4%, from December 31, 2020, reflecting an increase in both transportation and facility-related dollar volumes.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shareholders’ equity at September 30, 2021 was $247,643,000, a $13,517,000, or 5.2%, decrease from December 31, 2020. Total shareholders’ equity decreased primarily due to share repurchases of $18,975,000, dividends paid of $11,576,000, and an other comprehensive loss of $5,578,000, partially offset by net income of $20,902,000.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money market funds, and was $500,309,000 at September 30, 2021, a decrease of $170,219,000, or 25.4%, from December 31, 2020. At September 30, 2021, these assets represented 21.8% of total assets. These funds are the Company’s and its subsidiaries’ primary source of liquidity to meet future expected and unexpected loan demand, depositor withdrawals or reductions in accounts and drafts payable.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in securities was $541,079,000 at September 30, 2021, an increase of $183,353,000 from December 31, 2020. These assets represented 23.6% of total assets at September 30, 2021. Of this total, 66% were state and political subdivision securities. Of the total portfolio, 4.8% mature in one year, 20.3% mature in one to five years, and 74.9% mature in five or more years</w:t>
      </w:r>
      <w:r>
        <w:rPr>
          <w:rFonts w:ascii="Arial" w:cs="Arial" w:eastAsia="Arial" w:hAnsi="Arial"/>
          <w:sz w:val="18"/>
          <w:szCs w:val="18"/>
          <w:i w:val="1"/>
          <w:iCs w:val="1"/>
          <w:color w:val="auto"/>
        </w:rPr>
        <w:t>.</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$215,048,000 collateralized by commercial mortgage loans. The Company also has secured lines of credit with UMB Bank of $75,000,000 and First Horizon Bank of $75,000,000 collateralized by state and political subdivision securities. There were no amounts outstanding under any line of credit as of September 30, 2021 or December 31,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$16,307,000 as of September 30, 2021.</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$31,998,000 of CDARS deposits and interest-bearing demand deposits include $153,175,000 of ICS deposits. These programs offer the Bank’s customers the ability to maximize Federal Deposit Insurance Corporation (“FDIC”) insurance coverage. The Company uses these programs to retain or attract deposits from existing customers.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flows provided by operating activities were $30,680,000 for the Nine Months Ended 2021, compared to $40,061,000 for the Nine Months Ended 2020, a decrease of $34,249,000.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2021, which are estimated to range from $4 million to $6 million.</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 For a discussion of trends and impacts relating to COVID-19, refer to Note 1 “Basis of Presentation.”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For a discussion of trends and impacts relating to COVID-19, refer to Note 1 “Basis of Presentation.” Lower levels of economic activity, such as those experienced by the Company as a result of COVID-19 and governmental actions related thereto, decrease both fee income and balances of accounts and drafts payable.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For a discussion of trends and impacts relating to COVID-19, refer to Note 1 “Basis of Presentation.”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require banking organizations, like Cass, to maintain:</w:t>
      </w:r>
    </w:p>
    <w:p>
      <w:pPr>
        <w:spacing w:after="0" w:line="18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minimum ratio of Tier 1 capital to risk-weighted assets of at least 6.0%, plus a 2.5% capital conservation buffer;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gridSpan w:val="2"/>
          </w:tcPr>
          <w:p>
            <w:pPr>
              <w:ind w:left="460"/>
              <w:spacing w:after="0"/>
              <w:rPr>
                <w:sz w:val="20"/>
                <w:szCs w:val="20"/>
                <w:color w:val="auto"/>
              </w:rPr>
            </w:pPr>
            <w:r>
              <w:rPr>
                <w:rFonts w:ascii="Arial" w:cs="Arial" w:eastAsia="Arial" w:hAnsi="Arial"/>
                <w:sz w:val="18"/>
                <w:szCs w:val="18"/>
                <w:b w:val="1"/>
                <w:bCs w:val="1"/>
                <w:color w:val="auto"/>
              </w:rPr>
              <w:t>September 30, 2021</w:t>
            </w:r>
          </w:p>
        </w:tc>
        <w:tc>
          <w:tcPr>
            <w:tcW w:w="260" w:type="dxa"/>
            <w:vAlign w:val="bottom"/>
          </w:tcPr>
          <w:p>
            <w:pPr>
              <w:spacing w:after="0"/>
              <w:rPr>
                <w:sz w:val="20"/>
                <w:szCs w:val="20"/>
                <w:color w:val="auto"/>
              </w:rPr>
            </w:pPr>
          </w:p>
        </w:tc>
        <w:tc>
          <w:tcPr>
            <w:tcW w:w="26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December 31, 2020</w:t>
            </w: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thousands)</w:t>
            </w:r>
          </w:p>
        </w:tc>
        <w:tc>
          <w:tcPr>
            <w:tcW w:w="94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22"/>
                <w:szCs w:val="22"/>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Ratio</w:t>
            </w:r>
          </w:p>
        </w:tc>
      </w:tr>
      <w:tr>
        <w:trPr>
          <w:trHeight w:val="263"/>
        </w:trPr>
        <w:tc>
          <w:tcPr>
            <w:tcW w:w="4640" w:type="dxa"/>
            <w:vAlign w:val="bottom"/>
            <w:shd w:val="clear" w:color="auto" w:fill="B6B6B6"/>
          </w:tcPr>
          <w:p>
            <w:pPr>
              <w:ind w:left="20"/>
              <w:spacing w:after="0"/>
              <w:rPr>
                <w:sz w:val="20"/>
                <w:szCs w:val="20"/>
                <w:color w:val="auto"/>
              </w:rPr>
            </w:pPr>
            <w:r>
              <w:rPr>
                <w:rFonts w:ascii="Arial" w:cs="Arial" w:eastAsia="Arial" w:hAnsi="Arial"/>
                <w:sz w:val="18"/>
                <w:szCs w:val="18"/>
                <w:color w:val="auto"/>
              </w:rPr>
              <w:t>Total capital (to risk-weighted assets)</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4640" w:type="dxa"/>
            <w:vAlign w:val="bottom"/>
          </w:tcPr>
          <w:p>
            <w:pPr>
              <w:ind w:left="260"/>
              <w:spacing w:after="0"/>
              <w:rPr>
                <w:sz w:val="20"/>
                <w:szCs w:val="20"/>
                <w:color w:val="auto"/>
              </w:rPr>
            </w:pPr>
            <w:r>
              <w:rPr>
                <w:rFonts w:ascii="Arial" w:cs="Arial" w:eastAsia="Arial" w:hAnsi="Arial"/>
                <w:sz w:val="18"/>
                <w:szCs w:val="18"/>
                <w:color w:val="auto"/>
              </w:rPr>
              <w:t>Cass Information Systems, Inc.</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ind w:left="440"/>
              <w:spacing w:after="0"/>
              <w:rPr>
                <w:sz w:val="20"/>
                <w:szCs w:val="20"/>
                <w:color w:val="auto"/>
              </w:rPr>
            </w:pPr>
            <w:r>
              <w:rPr>
                <w:rFonts w:ascii="Arial" w:cs="Arial" w:eastAsia="Arial" w:hAnsi="Arial"/>
                <w:sz w:val="18"/>
                <w:szCs w:val="18"/>
                <w:color w:val="auto"/>
              </w:rPr>
              <w:t>247,480</w:t>
            </w:r>
          </w:p>
        </w:tc>
        <w:tc>
          <w:tcPr>
            <w:tcW w:w="1340" w:type="dxa"/>
            <w:vAlign w:val="bottom"/>
          </w:tcPr>
          <w:p>
            <w:pPr>
              <w:jc w:val="right"/>
              <w:spacing w:after="0"/>
              <w:rPr>
                <w:sz w:val="20"/>
                <w:szCs w:val="20"/>
                <w:color w:val="auto"/>
              </w:rPr>
            </w:pPr>
            <w:r>
              <w:rPr>
                <w:rFonts w:ascii="Arial" w:cs="Arial" w:eastAsia="Arial" w:hAnsi="Arial"/>
                <w:sz w:val="18"/>
                <w:szCs w:val="18"/>
                <w:color w:val="auto"/>
              </w:rPr>
              <w:t>17.04 %</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255,332</w:t>
            </w:r>
          </w:p>
        </w:tc>
        <w:tc>
          <w:tcPr>
            <w:tcW w:w="1300" w:type="dxa"/>
            <w:vAlign w:val="bottom"/>
          </w:tcPr>
          <w:p>
            <w:pPr>
              <w:jc w:val="right"/>
              <w:spacing w:after="0"/>
              <w:rPr>
                <w:sz w:val="20"/>
                <w:szCs w:val="20"/>
                <w:color w:val="auto"/>
              </w:rPr>
            </w:pPr>
            <w:r>
              <w:rPr>
                <w:rFonts w:ascii="Arial" w:cs="Arial" w:eastAsia="Arial" w:hAnsi="Arial"/>
                <w:sz w:val="18"/>
                <w:szCs w:val="18"/>
                <w:color w:val="auto"/>
              </w:rPr>
              <w:t>21.41 %</w:t>
            </w:r>
          </w:p>
        </w:tc>
      </w:tr>
      <w:tr>
        <w:trPr>
          <w:trHeight w:val="263"/>
        </w:trPr>
        <w:tc>
          <w:tcPr>
            <w:tcW w:w="4640" w:type="dxa"/>
            <w:vAlign w:val="bottom"/>
            <w:shd w:val="clear" w:color="auto" w:fill="B6B6B6"/>
          </w:tcPr>
          <w:p>
            <w:pPr>
              <w:ind w:left="260"/>
              <w:spacing w:after="0"/>
              <w:rPr>
                <w:sz w:val="20"/>
                <w:szCs w:val="20"/>
                <w:color w:val="auto"/>
              </w:rPr>
            </w:pPr>
            <w:r>
              <w:rPr>
                <w:rFonts w:ascii="Arial" w:cs="Arial" w:eastAsia="Arial" w:hAnsi="Arial"/>
                <w:sz w:val="18"/>
                <w:szCs w:val="18"/>
                <w:color w:val="auto"/>
              </w:rPr>
              <w:t>Cass Commercial Bank</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ind w:left="440"/>
              <w:spacing w:after="0"/>
              <w:rPr>
                <w:sz w:val="20"/>
                <w:szCs w:val="20"/>
                <w:color w:val="auto"/>
              </w:rPr>
            </w:pPr>
            <w:r>
              <w:rPr>
                <w:rFonts w:ascii="Arial" w:cs="Arial" w:eastAsia="Arial" w:hAnsi="Arial"/>
                <w:sz w:val="18"/>
                <w:szCs w:val="18"/>
                <w:color w:val="auto"/>
              </w:rPr>
              <w:t>184,869</w:t>
            </w: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21.45 %</w:t>
            </w: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171,298</w:t>
            </w: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21.46 %</w:t>
            </w: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Common equity tier I capital (to risk-weighted assets)</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4640" w:type="dxa"/>
            <w:vAlign w:val="bottom"/>
            <w:shd w:val="clear" w:color="auto" w:fill="B6B6B6"/>
          </w:tcPr>
          <w:p>
            <w:pPr>
              <w:ind w:left="260"/>
              <w:spacing w:after="0"/>
              <w:rPr>
                <w:sz w:val="20"/>
                <w:szCs w:val="20"/>
                <w:color w:val="auto"/>
              </w:rPr>
            </w:pPr>
            <w:r>
              <w:rPr>
                <w:rFonts w:ascii="Arial" w:cs="Arial" w:eastAsia="Arial" w:hAnsi="Arial"/>
                <w:sz w:val="18"/>
                <w:szCs w:val="18"/>
                <w:color w:val="auto"/>
              </w:rPr>
              <w:t>Cass Information Systems, Inc.</w:t>
            </w:r>
          </w:p>
        </w:tc>
        <w:tc>
          <w:tcPr>
            <w:tcW w:w="9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ind w:left="440"/>
              <w:spacing w:after="0"/>
              <w:rPr>
                <w:sz w:val="20"/>
                <w:szCs w:val="20"/>
                <w:color w:val="auto"/>
              </w:rPr>
            </w:pPr>
            <w:r>
              <w:rPr>
                <w:rFonts w:ascii="Arial" w:cs="Arial" w:eastAsia="Arial" w:hAnsi="Arial"/>
                <w:sz w:val="18"/>
                <w:szCs w:val="18"/>
                <w:color w:val="auto"/>
              </w:rPr>
              <w:t>235,949</w:t>
            </w: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16.24 %</w:t>
            </w:r>
          </w:p>
        </w:tc>
        <w:tc>
          <w:tcPr>
            <w:tcW w:w="2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243,388</w:t>
            </w: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20.41 %</w:t>
            </w:r>
          </w:p>
        </w:tc>
      </w:tr>
      <w:tr>
        <w:trPr>
          <w:trHeight w:val="250"/>
        </w:trPr>
        <w:tc>
          <w:tcPr>
            <w:tcW w:w="4640" w:type="dxa"/>
            <w:vAlign w:val="bottom"/>
          </w:tcPr>
          <w:p>
            <w:pPr>
              <w:ind w:left="260"/>
              <w:spacing w:after="0"/>
              <w:rPr>
                <w:sz w:val="20"/>
                <w:szCs w:val="20"/>
                <w:color w:val="auto"/>
              </w:rPr>
            </w:pPr>
            <w:r>
              <w:rPr>
                <w:rFonts w:ascii="Arial" w:cs="Arial" w:eastAsia="Arial" w:hAnsi="Arial"/>
                <w:sz w:val="18"/>
                <w:szCs w:val="18"/>
                <w:color w:val="auto"/>
              </w:rPr>
              <w:t>Cass Commercial Bank</w:t>
            </w:r>
          </w:p>
        </w:tc>
        <w:tc>
          <w:tcPr>
            <w:tcW w:w="940" w:type="dxa"/>
            <w:vAlign w:val="bottom"/>
          </w:tcPr>
          <w:p>
            <w:pPr>
              <w:spacing w:after="0"/>
              <w:rPr>
                <w:sz w:val="21"/>
                <w:szCs w:val="21"/>
                <w:color w:val="auto"/>
              </w:rPr>
            </w:pPr>
          </w:p>
        </w:tc>
        <w:tc>
          <w:tcPr>
            <w:tcW w:w="1380" w:type="dxa"/>
            <w:vAlign w:val="bottom"/>
          </w:tcPr>
          <w:p>
            <w:pPr>
              <w:ind w:left="440"/>
              <w:spacing w:after="0"/>
              <w:rPr>
                <w:sz w:val="20"/>
                <w:szCs w:val="20"/>
                <w:color w:val="auto"/>
              </w:rPr>
            </w:pPr>
            <w:r>
              <w:rPr>
                <w:rFonts w:ascii="Arial" w:cs="Arial" w:eastAsia="Arial" w:hAnsi="Arial"/>
                <w:sz w:val="18"/>
                <w:szCs w:val="18"/>
                <w:color w:val="auto"/>
              </w:rPr>
              <w:t>174,093</w:t>
            </w:r>
          </w:p>
        </w:tc>
        <w:tc>
          <w:tcPr>
            <w:tcW w:w="1340" w:type="dxa"/>
            <w:vAlign w:val="bottom"/>
          </w:tcPr>
          <w:p>
            <w:pPr>
              <w:jc w:val="right"/>
              <w:spacing w:after="0"/>
              <w:rPr>
                <w:sz w:val="20"/>
                <w:szCs w:val="20"/>
                <w:color w:val="auto"/>
              </w:rPr>
            </w:pPr>
            <w:r>
              <w:rPr>
                <w:rFonts w:ascii="Arial" w:cs="Arial" w:eastAsia="Arial" w:hAnsi="Arial"/>
                <w:sz w:val="18"/>
                <w:szCs w:val="18"/>
                <w:color w:val="auto"/>
              </w:rPr>
              <w:t>20.20 %</w:t>
            </w:r>
          </w:p>
        </w:tc>
        <w:tc>
          <w:tcPr>
            <w:tcW w:w="26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161,300</w:t>
            </w:r>
          </w:p>
        </w:tc>
        <w:tc>
          <w:tcPr>
            <w:tcW w:w="1300" w:type="dxa"/>
            <w:vAlign w:val="bottom"/>
          </w:tcPr>
          <w:p>
            <w:pPr>
              <w:jc w:val="right"/>
              <w:spacing w:after="0"/>
              <w:rPr>
                <w:sz w:val="20"/>
                <w:szCs w:val="20"/>
                <w:color w:val="auto"/>
              </w:rPr>
            </w:pPr>
            <w:r>
              <w:rPr>
                <w:rFonts w:ascii="Arial" w:cs="Arial" w:eastAsia="Arial" w:hAnsi="Arial"/>
                <w:sz w:val="18"/>
                <w:szCs w:val="18"/>
                <w:color w:val="auto"/>
              </w:rPr>
              <w:t>20.21 %</w:t>
            </w:r>
          </w:p>
        </w:tc>
      </w:tr>
      <w:tr>
        <w:trPr>
          <w:trHeight w:val="263"/>
        </w:trPr>
        <w:tc>
          <w:tcPr>
            <w:tcW w:w="4640" w:type="dxa"/>
            <w:vAlign w:val="bottom"/>
            <w:shd w:val="clear" w:color="auto" w:fill="B6B6B6"/>
          </w:tcPr>
          <w:p>
            <w:pPr>
              <w:ind w:left="20"/>
              <w:spacing w:after="0"/>
              <w:rPr>
                <w:sz w:val="20"/>
                <w:szCs w:val="20"/>
                <w:color w:val="auto"/>
              </w:rPr>
            </w:pPr>
            <w:r>
              <w:rPr>
                <w:rFonts w:ascii="Arial" w:cs="Arial" w:eastAsia="Arial" w:hAnsi="Arial"/>
                <w:sz w:val="18"/>
                <w:szCs w:val="18"/>
                <w:color w:val="auto"/>
              </w:rPr>
              <w:t>Tier I capital (to risk-weighted assets)</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4640" w:type="dxa"/>
            <w:vAlign w:val="bottom"/>
          </w:tcPr>
          <w:p>
            <w:pPr>
              <w:ind w:left="260"/>
              <w:spacing w:after="0"/>
              <w:rPr>
                <w:sz w:val="20"/>
                <w:szCs w:val="20"/>
                <w:color w:val="auto"/>
              </w:rPr>
            </w:pPr>
            <w:r>
              <w:rPr>
                <w:rFonts w:ascii="Arial" w:cs="Arial" w:eastAsia="Arial" w:hAnsi="Arial"/>
                <w:sz w:val="18"/>
                <w:szCs w:val="18"/>
                <w:color w:val="auto"/>
              </w:rPr>
              <w:t>Cass Information Systems, Inc.</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ind w:left="440"/>
              <w:spacing w:after="0"/>
              <w:rPr>
                <w:sz w:val="20"/>
                <w:szCs w:val="20"/>
                <w:color w:val="auto"/>
              </w:rPr>
            </w:pPr>
            <w:r>
              <w:rPr>
                <w:rFonts w:ascii="Arial" w:cs="Arial" w:eastAsia="Arial" w:hAnsi="Arial"/>
                <w:sz w:val="18"/>
                <w:szCs w:val="18"/>
                <w:color w:val="auto"/>
              </w:rPr>
              <w:t>235,949</w:t>
            </w:r>
          </w:p>
        </w:tc>
        <w:tc>
          <w:tcPr>
            <w:tcW w:w="1340" w:type="dxa"/>
            <w:vAlign w:val="bottom"/>
          </w:tcPr>
          <w:p>
            <w:pPr>
              <w:jc w:val="right"/>
              <w:spacing w:after="0"/>
              <w:rPr>
                <w:sz w:val="20"/>
                <w:szCs w:val="20"/>
                <w:color w:val="auto"/>
              </w:rPr>
            </w:pPr>
            <w:r>
              <w:rPr>
                <w:rFonts w:ascii="Arial" w:cs="Arial" w:eastAsia="Arial" w:hAnsi="Arial"/>
                <w:sz w:val="18"/>
                <w:szCs w:val="18"/>
                <w:color w:val="auto"/>
              </w:rPr>
              <w:t>16.24 %</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243,388</w:t>
            </w:r>
          </w:p>
        </w:tc>
        <w:tc>
          <w:tcPr>
            <w:tcW w:w="1300" w:type="dxa"/>
            <w:vAlign w:val="bottom"/>
          </w:tcPr>
          <w:p>
            <w:pPr>
              <w:jc w:val="right"/>
              <w:spacing w:after="0"/>
              <w:rPr>
                <w:sz w:val="20"/>
                <w:szCs w:val="20"/>
                <w:color w:val="auto"/>
              </w:rPr>
            </w:pPr>
            <w:r>
              <w:rPr>
                <w:rFonts w:ascii="Arial" w:cs="Arial" w:eastAsia="Arial" w:hAnsi="Arial"/>
                <w:sz w:val="18"/>
                <w:szCs w:val="18"/>
                <w:color w:val="auto"/>
              </w:rPr>
              <w:t>20.41 %</w:t>
            </w:r>
          </w:p>
        </w:tc>
      </w:tr>
      <w:tr>
        <w:trPr>
          <w:trHeight w:val="263"/>
        </w:trPr>
        <w:tc>
          <w:tcPr>
            <w:tcW w:w="4640" w:type="dxa"/>
            <w:vAlign w:val="bottom"/>
            <w:shd w:val="clear" w:color="auto" w:fill="B6B6B6"/>
          </w:tcPr>
          <w:p>
            <w:pPr>
              <w:ind w:left="260"/>
              <w:spacing w:after="0"/>
              <w:rPr>
                <w:sz w:val="20"/>
                <w:szCs w:val="20"/>
                <w:color w:val="auto"/>
              </w:rPr>
            </w:pPr>
            <w:r>
              <w:rPr>
                <w:rFonts w:ascii="Arial" w:cs="Arial" w:eastAsia="Arial" w:hAnsi="Arial"/>
                <w:sz w:val="18"/>
                <w:szCs w:val="18"/>
                <w:color w:val="auto"/>
              </w:rPr>
              <w:t>Cass Commercial Bank</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ind w:left="440"/>
              <w:spacing w:after="0"/>
              <w:rPr>
                <w:sz w:val="20"/>
                <w:szCs w:val="20"/>
                <w:color w:val="auto"/>
              </w:rPr>
            </w:pPr>
            <w:r>
              <w:rPr>
                <w:rFonts w:ascii="Arial" w:cs="Arial" w:eastAsia="Arial" w:hAnsi="Arial"/>
                <w:sz w:val="18"/>
                <w:szCs w:val="18"/>
                <w:color w:val="auto"/>
              </w:rPr>
              <w:t>174,093</w:t>
            </w: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20.20 %</w:t>
            </w: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161,300</w:t>
            </w: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20.21 %</w:t>
            </w: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Tier I capital (to leverage assets)</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4640" w:type="dxa"/>
            <w:vAlign w:val="bottom"/>
            <w:shd w:val="clear" w:color="auto" w:fill="B6B6B6"/>
          </w:tcPr>
          <w:p>
            <w:pPr>
              <w:ind w:left="260"/>
              <w:spacing w:after="0"/>
              <w:rPr>
                <w:sz w:val="20"/>
                <w:szCs w:val="20"/>
                <w:color w:val="auto"/>
              </w:rPr>
            </w:pPr>
            <w:r>
              <w:rPr>
                <w:rFonts w:ascii="Arial" w:cs="Arial" w:eastAsia="Arial" w:hAnsi="Arial"/>
                <w:sz w:val="18"/>
                <w:szCs w:val="18"/>
                <w:color w:val="auto"/>
              </w:rPr>
              <w:t>Cass Information Systems, Inc.</w:t>
            </w:r>
          </w:p>
        </w:tc>
        <w:tc>
          <w:tcPr>
            <w:tcW w:w="9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ind w:left="440"/>
              <w:spacing w:after="0"/>
              <w:rPr>
                <w:sz w:val="20"/>
                <w:szCs w:val="20"/>
                <w:color w:val="auto"/>
              </w:rPr>
            </w:pPr>
            <w:r>
              <w:rPr>
                <w:rFonts w:ascii="Arial" w:cs="Arial" w:eastAsia="Arial" w:hAnsi="Arial"/>
                <w:sz w:val="18"/>
                <w:szCs w:val="18"/>
                <w:color w:val="auto"/>
              </w:rPr>
              <w:t>235,949</w:t>
            </w: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10.01 %</w:t>
            </w:r>
          </w:p>
        </w:tc>
        <w:tc>
          <w:tcPr>
            <w:tcW w:w="2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243,388</w:t>
            </w: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11.52 %</w:t>
            </w:r>
          </w:p>
        </w:tc>
      </w:tr>
      <w:tr>
        <w:trPr>
          <w:trHeight w:val="250"/>
        </w:trPr>
        <w:tc>
          <w:tcPr>
            <w:tcW w:w="4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Cass Commercial Bank</w:t>
            </w:r>
          </w:p>
        </w:tc>
        <w:tc>
          <w:tcPr>
            <w:tcW w:w="9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174,093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12.32 %</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161,300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is effective for fiscal periods beginning after December 15, 2019. The CARES Act was signed into law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27, 2020 and included provisions that temporarily delayed the required implementation date of ASU 2016-13 to the earlier of the end of the national pandemic or December 31, 2020. The Consolidated Appropriations Act was signed into law on December 27, 2020 and extended the deferral of required implementation of ASU 2016-13 to the earlier of the first day of a company’s fiscal year that begins after the date the COVID-19 national emergency comes to an end or January 1, 2022. The Company elected to defer the adoption of ASU 2016-13 until December 31, 2020 with an effective date of January 1, 2020.</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ASU required measurement and recognition of expected credit losses for financial instruments held, as applicable, which include allowances for credit losses expected over the life of the portfolio, rather than incurred losses, which include allowances for current probable and estimable losses within the portfolio. Under this standard, the Company is required to hold an allowance equal to the expected life-of-loan losses on the loan portfolio. It also applies to off-balance sheet credit exposures such as loan commitments, standby letters of credit and other similar instruments. In addition, ASU 2016-13 made changes to the accounting for available-for-sale debt securities.</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adopted ASU 2016-13 using a modified retrospective approach. Results for annual reporting periods beginning after January 1, 2020 are presented under ASU 2016-13 while prior period amounts continue to be reported in accordance with previously applicable GAAP. Results for quarterly reporting periods beginning after December 31, 2020 in the Company’s Form 10-Q will be presented under ASU 2016-13 while prior quarterly period amounts continue to be reported in accordance with previously applicable GAAP. Upon adoption on January 1, 2020, the Company recognized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increases of $723,000 in the allowance for credit losses and $402,000 in the reserve for unfunded commitments, with a corresponding reduction to retained earnings, net of tax, of $856,000. No credit loss allowance was required upon adoption for the investment securities portfolio.</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The following table illustrates the impact of the adoption of ASU 2016-13:</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4"/>
                <w:szCs w:val="14"/>
                <w:color w:val="auto"/>
              </w:rPr>
            </w:pPr>
          </w:p>
        </w:tc>
        <w:tc>
          <w:tcPr>
            <w:tcW w:w="134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4"/>
              </w:rPr>
              <w:t>Impact of</w:t>
            </w:r>
          </w:p>
        </w:tc>
        <w:tc>
          <w:tcPr>
            <w:tcW w:w="240" w:type="dxa"/>
            <w:vAlign w:val="bottom"/>
          </w:tcPr>
          <w:p>
            <w:pPr>
              <w:spacing w:after="0"/>
              <w:rPr>
                <w:sz w:val="14"/>
                <w:szCs w:val="14"/>
                <w:color w:val="auto"/>
              </w:rPr>
            </w:pPr>
          </w:p>
        </w:tc>
        <w:tc>
          <w:tcPr>
            <w:tcW w:w="13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9"/>
              </w:rPr>
              <w:t>As Reported</w:t>
            </w:r>
          </w:p>
        </w:tc>
        <w:tc>
          <w:tcPr>
            <w:tcW w:w="0" w:type="dxa"/>
            <w:vAlign w:val="bottom"/>
          </w:tcPr>
          <w:p>
            <w:pPr>
              <w:spacing w:after="0"/>
              <w:rPr>
                <w:sz w:val="1"/>
                <w:szCs w:val="1"/>
                <w:color w:val="auto"/>
              </w:rPr>
            </w:pPr>
          </w:p>
        </w:tc>
      </w:tr>
      <w:tr>
        <w:trPr>
          <w:trHeight w:val="175"/>
        </w:trPr>
        <w:tc>
          <w:tcPr>
            <w:tcW w:w="6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1"/>
              </w:rPr>
              <w:t>ASU 2016-13</w:t>
            </w:r>
          </w:p>
        </w:tc>
        <w:tc>
          <w:tcPr>
            <w:tcW w:w="2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Under ASU</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Adoption</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2016-13</w:t>
            </w:r>
          </w:p>
        </w:tc>
        <w:tc>
          <w:tcPr>
            <w:tcW w:w="0" w:type="dxa"/>
            <w:vAlign w:val="bottom"/>
          </w:tcPr>
          <w:p>
            <w:pPr>
              <w:spacing w:after="0"/>
              <w:rPr>
                <w:sz w:val="1"/>
                <w:szCs w:val="1"/>
                <w:color w:val="auto"/>
              </w:rPr>
            </w:pPr>
          </w:p>
        </w:tc>
      </w:tr>
      <w:tr>
        <w:trPr>
          <w:trHeight w:val="250"/>
        </w:trPr>
        <w:tc>
          <w:tcPr>
            <w:tcW w:w="660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260"/>
              <w:spacing w:after="0"/>
              <w:rPr>
                <w:sz w:val="20"/>
                <w:szCs w:val="20"/>
                <w:color w:val="auto"/>
              </w:rPr>
            </w:pPr>
            <w:r>
              <w:rPr>
                <w:rFonts w:ascii="Arial" w:cs="Arial" w:eastAsia="Arial" w:hAnsi="Arial"/>
                <w:sz w:val="18"/>
                <w:szCs w:val="18"/>
                <w:color w:val="auto"/>
              </w:rPr>
              <w:t>Allowance for credit/loan losses on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10,556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750"/>
              <w:spacing w:after="0"/>
              <w:rPr>
                <w:sz w:val="20"/>
                <w:szCs w:val="20"/>
                <w:color w:val="auto"/>
              </w:rPr>
            </w:pPr>
            <w:r>
              <w:rPr>
                <w:rFonts w:ascii="Arial" w:cs="Arial" w:eastAsia="Arial" w:hAnsi="Arial"/>
                <w:sz w:val="18"/>
                <w:szCs w:val="18"/>
                <w:color w:val="auto"/>
                <w:w w:val="86"/>
              </w:rPr>
              <w:t>723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56"/>
        </w:trPr>
        <w:tc>
          <w:tcPr>
            <w:tcW w:w="6600" w:type="dxa"/>
            <w:vAlign w:val="bottom"/>
            <w:shd w:val="clear" w:color="auto" w:fill="B6B6B6"/>
          </w:tcPr>
          <w:p>
            <w:pPr>
              <w:ind w:left="26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2,298</w:t>
            </w:r>
          </w:p>
        </w:tc>
        <w:tc>
          <w:tcPr>
            <w:tcW w:w="240" w:type="dxa"/>
            <w:vAlign w:val="bottom"/>
            <w:shd w:val="clear" w:color="auto" w:fill="B6B6B6"/>
          </w:tcPr>
          <w:p>
            <w:pPr>
              <w:spacing w:after="0"/>
              <w:rPr>
                <w:sz w:val="22"/>
                <w:szCs w:val="22"/>
                <w:color w:val="auto"/>
              </w:rPr>
            </w:pPr>
          </w:p>
        </w:tc>
        <w:tc>
          <w:tcPr>
            <w:tcW w:w="1340" w:type="dxa"/>
            <w:vAlign w:val="bottom"/>
            <w:shd w:val="clear" w:color="auto" w:fill="B6B6B6"/>
          </w:tcPr>
          <w:p>
            <w:pPr>
              <w:jc w:val="center"/>
              <w:ind w:left="750"/>
              <w:spacing w:after="0"/>
              <w:rPr>
                <w:sz w:val="20"/>
                <w:szCs w:val="20"/>
                <w:color w:val="auto"/>
              </w:rPr>
            </w:pPr>
            <w:r>
              <w:rPr>
                <w:rFonts w:ascii="Arial" w:cs="Arial" w:eastAsia="Arial" w:hAnsi="Arial"/>
                <w:sz w:val="18"/>
                <w:szCs w:val="18"/>
                <w:color w:val="auto"/>
                <w:w w:val="86"/>
              </w:rPr>
              <w:t>269</w:t>
            </w:r>
          </w:p>
        </w:tc>
        <w:tc>
          <w:tcPr>
            <w:tcW w:w="2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B6B6B6"/>
          </w:tcPr>
          <w:p>
            <w:pPr>
              <w:ind w:left="260"/>
              <w:spacing w:after="0"/>
              <w:rPr>
                <w:sz w:val="20"/>
                <w:szCs w:val="20"/>
                <w:color w:val="auto"/>
              </w:rPr>
            </w:pPr>
            <w:r>
              <w:rPr>
                <w:rFonts w:ascii="Arial" w:cs="Arial" w:eastAsia="Arial" w:hAnsi="Arial"/>
                <w:sz w:val="18"/>
                <w:szCs w:val="18"/>
                <w:color w:val="auto"/>
              </w:rPr>
              <w:t>Reserve for unfunded commitments</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B6B6B6"/>
          </w:tcPr>
          <w:p>
            <w:pPr>
              <w:spacing w:after="0"/>
              <w:rPr>
                <w:sz w:val="22"/>
                <w:szCs w:val="22"/>
                <w:color w:val="auto"/>
              </w:rPr>
            </w:pPr>
          </w:p>
        </w:tc>
        <w:tc>
          <w:tcPr>
            <w:tcW w:w="1340" w:type="dxa"/>
            <w:vAlign w:val="bottom"/>
            <w:shd w:val="clear" w:color="auto" w:fill="B6B6B6"/>
          </w:tcPr>
          <w:p>
            <w:pPr>
              <w:jc w:val="center"/>
              <w:ind w:left="750"/>
              <w:spacing w:after="0"/>
              <w:rPr>
                <w:sz w:val="20"/>
                <w:szCs w:val="20"/>
                <w:color w:val="auto"/>
              </w:rPr>
            </w:pPr>
            <w:r>
              <w:rPr>
                <w:rFonts w:ascii="Arial" w:cs="Arial" w:eastAsia="Arial" w:hAnsi="Arial"/>
                <w:sz w:val="18"/>
                <w:szCs w:val="18"/>
                <w:color w:val="auto"/>
                <w:w w:val="86"/>
              </w:rPr>
              <w:t>402</w:t>
            </w:r>
          </w:p>
        </w:tc>
        <w:tc>
          <w:tcPr>
            <w:tcW w:w="2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auto"/>
            </w:tcBorders>
            <w:shd w:val="clear" w:color="auto" w:fill="B6B6B6"/>
          </w:tcPr>
          <w:p>
            <w:pPr>
              <w:ind w:left="26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90,341</w:t>
            </w:r>
          </w:p>
        </w:tc>
        <w:tc>
          <w:tcPr>
            <w:tcW w:w="240" w:type="dxa"/>
            <w:vAlign w:val="bottom"/>
            <w:tcBorders>
              <w:bottom w:val="single" w:sz="8" w:color="auto"/>
            </w:tcBorders>
            <w:shd w:val="clear" w:color="auto" w:fill="B6B6B6"/>
          </w:tcPr>
          <w:p>
            <w:pPr>
              <w:spacing w:after="0"/>
              <w:rPr>
                <w:sz w:val="22"/>
                <w:szCs w:val="22"/>
                <w:color w:val="auto"/>
              </w:rPr>
            </w:pPr>
          </w:p>
        </w:tc>
        <w:tc>
          <w:tcPr>
            <w:tcW w:w="1340" w:type="dxa"/>
            <w:vAlign w:val="bottom"/>
            <w:tcBorders>
              <w:bottom w:val="single" w:sz="8" w:color="auto"/>
            </w:tcBorders>
            <w:shd w:val="clear" w:color="auto" w:fill="B6B6B6"/>
          </w:tcPr>
          <w:p>
            <w:pPr>
              <w:jc w:val="center"/>
              <w:ind w:left="730"/>
              <w:spacing w:after="0"/>
              <w:rPr>
                <w:sz w:val="20"/>
                <w:szCs w:val="20"/>
                <w:color w:val="auto"/>
              </w:rPr>
            </w:pPr>
            <w:r>
              <w:rPr>
                <w:rFonts w:ascii="Arial" w:cs="Arial" w:eastAsia="Arial" w:hAnsi="Arial"/>
                <w:sz w:val="18"/>
                <w:szCs w:val="18"/>
                <w:color w:val="auto"/>
                <w:w w:val="95"/>
              </w:rPr>
              <w:t>(856)</w:t>
            </w:r>
          </w:p>
        </w:tc>
        <w:tc>
          <w:tcPr>
            <w:tcW w:w="24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89,485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the Company’s Annual Report on Form 10-K for the year ended December 31, 2020, the Company manages its interest rate risk through measurement techniques that include gap analysis and a simulation model. As part of the risk management process, asset/liability management policies are established and monitored by management. The economic impact of the COVID-19 pandemic has introduced significant uncertainty and market volatility, which may result in the deterioration of the Company’s risk position since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Arial" w:cs="Arial" w:eastAsia="Arial" w:hAnsi="Arial"/>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September 30, 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+200 basis points</w:t>
            </w:r>
          </w:p>
        </w:tc>
        <w:tc>
          <w:tcPr>
            <w:tcW w:w="2820" w:type="dxa"/>
            <w:vAlign w:val="bottom"/>
            <w:shd w:val="clear" w:color="auto" w:fill="B6B6B6"/>
          </w:tcPr>
          <w:p>
            <w:pPr>
              <w:spacing w:after="0"/>
              <w:rPr>
                <w:sz w:val="19"/>
                <w:szCs w:val="19"/>
                <w:color w:val="auto"/>
              </w:rPr>
            </w:pPr>
          </w:p>
        </w:tc>
        <w:tc>
          <w:tcPr>
            <w:tcW w:w="8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21.7 %</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33.0 %</w:t>
            </w:r>
          </w:p>
        </w:tc>
      </w:tr>
      <w:tr>
        <w:trPr>
          <w:trHeight w:val="229"/>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+100 basis points</w:t>
            </w:r>
          </w:p>
        </w:tc>
        <w:tc>
          <w:tcPr>
            <w:tcW w:w="800" w:type="dxa"/>
            <w:vAlign w:val="bottom"/>
          </w:tcPr>
          <w:p>
            <w:pPr>
              <w:jc w:val="right"/>
              <w:spacing w:after="0"/>
              <w:rPr>
                <w:sz w:val="20"/>
                <w:szCs w:val="20"/>
                <w:color w:val="auto"/>
              </w:rPr>
            </w:pPr>
            <w:r>
              <w:rPr>
                <w:rFonts w:ascii="Arial" w:cs="Arial" w:eastAsia="Arial" w:hAnsi="Arial"/>
                <w:sz w:val="18"/>
                <w:szCs w:val="18"/>
                <w:color w:val="auto"/>
              </w:rPr>
              <w:t>10.9 %</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6320" w:type="dxa"/>
            <w:vAlign w:val="bottom"/>
            <w:gridSpan w:val="3"/>
            <w:shd w:val="clear" w:color="auto" w:fill="B6B6B6"/>
          </w:tcPr>
          <w:p>
            <w:pPr>
              <w:ind w:left="20"/>
              <w:spacing w:after="0"/>
              <w:rPr>
                <w:sz w:val="20"/>
                <w:szCs w:val="20"/>
                <w:color w:val="auto"/>
              </w:rPr>
            </w:pPr>
            <w:r>
              <w:rPr>
                <w:rFonts w:ascii="Arial" w:cs="Arial" w:eastAsia="Arial" w:hAnsi="Arial"/>
                <w:sz w:val="18"/>
                <w:szCs w:val="18"/>
                <w:color w:val="auto"/>
              </w:rPr>
              <w:t>Flat rates</w:t>
            </w:r>
          </w:p>
        </w:tc>
        <w:tc>
          <w:tcPr>
            <w:tcW w:w="3780" w:type="dxa"/>
            <w:vAlign w:val="bottom"/>
            <w:gridSpan w:val="3"/>
            <w:shd w:val="clear" w:color="auto" w:fill="B6B6B6"/>
          </w:tcPr>
          <w:p>
            <w:pPr>
              <w:jc w:val="right"/>
              <w:ind w:right="2910"/>
              <w:spacing w:after="0"/>
              <w:rPr>
                <w:sz w:val="20"/>
                <w:szCs w:val="20"/>
                <w:color w:val="auto"/>
              </w:rPr>
            </w:pPr>
            <w:r>
              <w:rPr>
                <w:rFonts w:ascii="Arial" w:cs="Arial" w:eastAsia="Arial" w:hAnsi="Arial"/>
                <w:sz w:val="18"/>
                <w:szCs w:val="18"/>
                <w:color w:val="auto"/>
              </w:rPr>
              <w:t>— %</w:t>
            </w: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-100 basis points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Third Quarter of 2021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has included in Part I, Item 1A of its Annual Report on Form 10-K for the year ended December 31, 2020, a description of certain risks and uncertainties that could affect the Company’s business, future performance or financial condition (the “Risk Factors”). There are no material changes to the Risk Factors as disclosed in the Company’s 2020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September 30, 2021, the Company repurchased a total of 314,672 shares of its common stock pursuant to its treasury stock buyback program,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5"/>
              </w:rPr>
              <w:t>of Shares</w:t>
            </w:r>
          </w:p>
        </w:tc>
        <w:tc>
          <w:tcPr>
            <w:tcW w:w="142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7"/>
              </w:rPr>
              <w:t>Purchased as</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64"/>
        </w:trPr>
        <w:tc>
          <w:tcPr>
            <w:tcW w:w="4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jc w:val="center"/>
              <w:ind w:right="70"/>
              <w:spacing w:after="0" w:line="164" w:lineRule="exact"/>
              <w:rPr>
                <w:sz w:val="20"/>
                <w:szCs w:val="20"/>
                <w:color w:val="auto"/>
              </w:rPr>
            </w:pPr>
            <w:r>
              <w:rPr>
                <w:rFonts w:ascii="Arial" w:cs="Arial" w:eastAsia="Arial" w:hAnsi="Arial"/>
                <w:sz w:val="18"/>
                <w:szCs w:val="18"/>
                <w:b w:val="1"/>
                <w:bCs w:val="1"/>
                <w:color w:val="auto"/>
                <w:w w:val="94"/>
              </w:rPr>
              <w:t>Part of</w:t>
            </w:r>
          </w:p>
        </w:tc>
        <w:tc>
          <w:tcPr>
            <w:tcW w:w="14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Publicly</w:t>
            </w:r>
          </w:p>
        </w:tc>
        <w:tc>
          <w:tcPr>
            <w:tcW w:w="142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103"/>
        </w:trPr>
        <w:tc>
          <w:tcPr>
            <w:tcW w:w="4120" w:type="dxa"/>
            <w:vAlign w:val="bottom"/>
          </w:tcPr>
          <w:p>
            <w:pPr>
              <w:spacing w:after="0"/>
              <w:rPr>
                <w:sz w:val="8"/>
                <w:szCs w:val="8"/>
                <w:color w:val="auto"/>
              </w:rPr>
            </w:pPr>
          </w:p>
        </w:tc>
        <w:tc>
          <w:tcPr>
            <w:tcW w:w="2300" w:type="dxa"/>
            <w:vAlign w:val="bottom"/>
            <w:vMerge w:val="restart"/>
          </w:tcPr>
          <w:p>
            <w:pPr>
              <w:jc w:val="center"/>
              <w:ind w:left="650"/>
              <w:spacing w:after="0" w:line="176"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72"/>
        </w:trPr>
        <w:tc>
          <w:tcPr>
            <w:tcW w:w="412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700" w:type="dxa"/>
            <w:vAlign w:val="bottom"/>
            <w:vMerge w:val="restart"/>
          </w:tcPr>
          <w:p>
            <w:pPr>
              <w:jc w:val="center"/>
              <w:ind w:right="90"/>
              <w:spacing w:after="0" w:line="202" w:lineRule="exact"/>
              <w:rPr>
                <w:sz w:val="20"/>
                <w:szCs w:val="20"/>
                <w:color w:val="auto"/>
              </w:rPr>
            </w:pPr>
            <w:r>
              <w:rPr>
                <w:rFonts w:ascii="Arial" w:cs="Arial" w:eastAsia="Arial" w:hAnsi="Arial"/>
                <w:sz w:val="18"/>
                <w:szCs w:val="18"/>
                <w:b w:val="1"/>
                <w:bCs w:val="1"/>
                <w:color w:val="auto"/>
                <w:w w:val="88"/>
              </w:rPr>
              <w:t>Announced</w:t>
            </w: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2300" w:type="dxa"/>
            <w:vAlign w:val="bottom"/>
            <w:vMerge w:val="restart"/>
          </w:tcPr>
          <w:p>
            <w:pPr>
              <w:jc w:val="center"/>
              <w:ind w:left="690"/>
              <w:spacing w:after="0" w:line="176"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2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45"/>
        </w:trPr>
        <w:tc>
          <w:tcPr>
            <w:tcW w:w="4120" w:type="dxa"/>
            <w:vAlign w:val="bottom"/>
          </w:tcPr>
          <w:p>
            <w:pPr>
              <w:spacing w:after="0"/>
              <w:rPr>
                <w:sz w:val="3"/>
                <w:szCs w:val="3"/>
                <w:color w:val="auto"/>
              </w:rPr>
            </w:pPr>
          </w:p>
        </w:tc>
        <w:tc>
          <w:tcPr>
            <w:tcW w:w="23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Plans or</w:t>
            </w: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12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Period</w:t>
            </w:r>
          </w:p>
        </w:tc>
        <w:tc>
          <w:tcPr>
            <w:tcW w:w="2300" w:type="dxa"/>
            <w:vAlign w:val="bottom"/>
          </w:tcPr>
          <w:p>
            <w:pPr>
              <w:jc w:val="center"/>
              <w:ind w:left="690"/>
              <w:spacing w:after="0" w:line="176"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Purchased</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Paid per Share</w:t>
            </w:r>
          </w:p>
        </w:tc>
        <w:tc>
          <w:tcPr>
            <w:tcW w:w="170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50"/>
        </w:trPr>
        <w:tc>
          <w:tcPr>
            <w:tcW w:w="4120" w:type="dxa"/>
            <w:vAlign w:val="bottom"/>
            <w:shd w:val="clear" w:color="auto" w:fill="B6B6B6"/>
          </w:tcPr>
          <w:p>
            <w:pPr>
              <w:ind w:left="20"/>
              <w:spacing w:after="0"/>
              <w:rPr>
                <w:sz w:val="20"/>
                <w:szCs w:val="20"/>
                <w:color w:val="auto"/>
              </w:rPr>
            </w:pPr>
            <w:r>
              <w:rPr>
                <w:rFonts w:ascii="Arial" w:cs="Arial" w:eastAsia="Arial" w:hAnsi="Arial"/>
                <w:sz w:val="18"/>
                <w:szCs w:val="18"/>
                <w:color w:val="auto"/>
              </w:rPr>
              <w:t>July 1, 2021 – July 31, 2021</w:t>
            </w:r>
          </w:p>
        </w:tc>
        <w:tc>
          <w:tcPr>
            <w:tcW w:w="2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42,938</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41.10</w:t>
            </w:r>
          </w:p>
        </w:tc>
        <w:tc>
          <w:tcPr>
            <w:tcW w:w="170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rPr>
              <w:t>42,938</w:t>
            </w:r>
          </w:p>
        </w:tc>
        <w:tc>
          <w:tcPr>
            <w:tcW w:w="14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302,674</w:t>
            </w:r>
          </w:p>
        </w:tc>
        <w:tc>
          <w:tcPr>
            <w:tcW w:w="0" w:type="dxa"/>
            <w:vAlign w:val="bottom"/>
          </w:tcPr>
          <w:p>
            <w:pPr>
              <w:spacing w:after="0"/>
              <w:rPr>
                <w:sz w:val="1"/>
                <w:szCs w:val="1"/>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August 1, 2021– August 31, 2021</w:t>
            </w:r>
          </w:p>
        </w:tc>
        <w:tc>
          <w:tcPr>
            <w:tcW w:w="2300" w:type="dxa"/>
            <w:vAlign w:val="bottom"/>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43.85</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170,700</w:t>
            </w:r>
          </w:p>
        </w:tc>
        <w:tc>
          <w:tcPr>
            <w:tcW w:w="1420" w:type="dxa"/>
            <w:vAlign w:val="bottom"/>
          </w:tcPr>
          <w:p>
            <w:pPr>
              <w:jc w:val="right"/>
              <w:spacing w:after="0"/>
              <w:rPr>
                <w:sz w:val="20"/>
                <w:szCs w:val="20"/>
                <w:color w:val="auto"/>
              </w:rPr>
            </w:pPr>
            <w:r>
              <w:rPr>
                <w:rFonts w:ascii="Arial" w:cs="Arial" w:eastAsia="Arial" w:hAnsi="Arial"/>
                <w:sz w:val="18"/>
                <w:szCs w:val="18"/>
                <w:color w:val="auto"/>
              </w:rPr>
              <w:t>131,974</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September 1, 2021 – September 30, 2021</w:t>
            </w:r>
          </w:p>
        </w:tc>
        <w:tc>
          <w:tcPr>
            <w:tcW w:w="23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101,034</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44.21</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Arial" w:cs="Arial" w:eastAsia="Arial" w:hAnsi="Arial"/>
                <w:sz w:val="18"/>
                <w:szCs w:val="18"/>
                <w:color w:val="auto"/>
              </w:rPr>
              <w:t>101,034</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30,940</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43.59</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314,672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40" w:hanging="332"/>
        <w:spacing w:after="0" w:line="259"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repurchases made during the quarter ended September 30, 2021 were made pursuant to the treasury stock buyback program, which was authorized by the Board of Directors on October 17, 2011 and announced by the Company on October 20, 2011. The program, which has no expiration date, is periodically modified by the Board of Directors and was most recently modified on October 19, 2021 to authorize 750,000 shares for repurchase under the terms of the program.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660" w:right="40" w:hanging="652"/>
        <w:spacing w:after="0" w:line="260"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Third Quarter of 2021.</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ind w:left="20"/>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Exhibit 31.1 Certification Pursuant to Section 302 of the Sarbanes-Oxley Act of 2002</w:t>
        </w:r>
      </w:hyperlink>
      <w:r>
        <w:rPr>
          <w:rFonts w:ascii="Arial" w:cs="Arial" w:eastAsia="Arial" w:hAnsi="Arial"/>
          <w:sz w:val="18"/>
          <w:szCs w:val="18"/>
          <w:color w:val="000000"/>
        </w:rPr>
        <w:t>.</w:t>
      </w:r>
    </w:p>
    <w:p>
      <w:pPr>
        <w:spacing w:after="0" w:line="77" w:lineRule="exact"/>
        <w:rPr>
          <w:sz w:val="20"/>
          <w:szCs w:val="20"/>
          <w:color w:val="auto"/>
        </w:rPr>
      </w:pPr>
    </w:p>
    <w:p>
      <w:pPr>
        <w:ind w:left="20"/>
        <w:spacing w:after="0"/>
        <w:rPr>
          <w:rFonts w:ascii="Arial" w:cs="Arial" w:eastAsia="Arial" w:hAnsi="Arial"/>
          <w:sz w:val="18"/>
          <w:szCs w:val="18"/>
          <w:color w:val="0000FF"/>
        </w:rPr>
      </w:pPr>
      <w:hyperlink w:anchor="page43">
        <w:r>
          <w:rPr>
            <w:rFonts w:ascii="Arial" w:cs="Arial" w:eastAsia="Arial" w:hAnsi="Arial"/>
            <w:sz w:val="18"/>
            <w:szCs w:val="18"/>
            <w:u w:val="single" w:color="auto"/>
            <w:color w:val="0000FF"/>
          </w:rPr>
          <w:t>Exhibit 31.2 Certification Pursuant to Section 302 of the Sarbanes-Oxley Act of 2002</w:t>
        </w:r>
      </w:hyperlink>
      <w:r>
        <w:rPr>
          <w:rFonts w:ascii="Arial" w:cs="Arial" w:eastAsia="Arial" w:hAnsi="Arial"/>
          <w:sz w:val="18"/>
          <w:szCs w:val="18"/>
          <w:color w:val="000000"/>
        </w:rPr>
        <w:t>.</w:t>
      </w:r>
    </w:p>
    <w:p>
      <w:pPr>
        <w:spacing w:after="0" w:line="77" w:lineRule="exact"/>
        <w:rPr>
          <w:sz w:val="20"/>
          <w:szCs w:val="20"/>
          <w:color w:val="auto"/>
        </w:rPr>
      </w:pPr>
    </w:p>
    <w:p>
      <w:pPr>
        <w:ind w:left="20"/>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Exhibit 32.1 Certification Pursuant to 18 U.S.C. Section 1350, as Adopted Pursuant to Section 906 of the Sarbanes-Oxley Act of 2002</w:t>
        </w:r>
      </w:hyperlink>
      <w:r>
        <w:rPr>
          <w:rFonts w:ascii="Arial" w:cs="Arial" w:eastAsia="Arial" w:hAnsi="Arial"/>
          <w:sz w:val="18"/>
          <w:szCs w:val="18"/>
          <w:color w:val="000000"/>
        </w:rPr>
        <w:t>.</w:t>
      </w:r>
    </w:p>
    <w:p>
      <w:pPr>
        <w:spacing w:after="0" w:line="77" w:lineRule="exact"/>
        <w:rPr>
          <w:sz w:val="20"/>
          <w:szCs w:val="20"/>
          <w:color w:val="auto"/>
        </w:rPr>
      </w:pPr>
    </w:p>
    <w:p>
      <w:pPr>
        <w:ind w:left="20"/>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Exhibit 32.2 Certification Pursuant to 18 U.S.C. Section 1350, as Adopted Pursuant to Section 906 of the Sarbanes-Oxley Act of 2002</w:t>
        </w:r>
      </w:hyperlink>
      <w:r>
        <w:rPr>
          <w:rFonts w:ascii="Arial" w:cs="Arial" w:eastAsia="Arial" w:hAnsi="Arial"/>
          <w:sz w:val="18"/>
          <w:szCs w:val="18"/>
          <w:color w:val="000000"/>
        </w:rPr>
        <w:t>.</w:t>
      </w:r>
    </w:p>
    <w:p>
      <w:pPr>
        <w:spacing w:after="0" w:line="77"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80" w:type="dxa"/>
            <w:vAlign w:val="bottom"/>
          </w:tcPr>
          <w:p>
            <w:pPr>
              <w:ind w:left="780"/>
              <w:spacing w:after="0"/>
              <w:rPr>
                <w:sz w:val="20"/>
                <w:szCs w:val="20"/>
                <w:color w:val="auto"/>
              </w:rPr>
            </w:pPr>
            <w:r>
              <w:rPr>
                <w:rFonts w:ascii="Arial" w:cs="Arial" w:eastAsia="Arial" w:hAnsi="Arial"/>
                <w:sz w:val="18"/>
                <w:szCs w:val="18"/>
                <w:b w:val="1"/>
                <w:bCs w:val="1"/>
                <w:color w:val="auto"/>
              </w:rPr>
              <w:t>SIGNATURES</w:t>
            </w:r>
          </w:p>
        </w:tc>
      </w:tr>
      <w:tr>
        <w:trPr>
          <w:trHeight w:val="391"/>
        </w:trPr>
        <w:tc>
          <w:tcPr>
            <w:tcW w:w="11240" w:type="dxa"/>
            <w:vAlign w:val="bottom"/>
            <w:gridSpan w:val="3"/>
          </w:tcPr>
          <w:p>
            <w:pPr>
              <w:ind w:left="660"/>
              <w:spacing w:after="0"/>
              <w:rPr>
                <w:sz w:val="20"/>
                <w:szCs w:val="20"/>
                <w:color w:val="auto"/>
              </w:rPr>
            </w:pPr>
            <w:r>
              <w:rPr>
                <w:rFonts w:ascii="Arial" w:cs="Arial" w:eastAsia="Arial" w:hAnsi="Arial"/>
                <w:sz w:val="18"/>
                <w:szCs w:val="18"/>
                <w:color w:val="auto"/>
                <w:w w:val="91"/>
              </w:rPr>
              <w:t>Pursuant to the requirements of the Securities Exchange Act of 1934, the Registrant has duly caused this report to be signed on its behalf by the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undersigned thereunto duly authorized.</w:t>
            </w:r>
          </w:p>
        </w:tc>
        <w:tc>
          <w:tcPr>
            <w:tcW w:w="90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46"/>
        </w:trPr>
        <w:tc>
          <w:tcPr>
            <w:tcW w:w="3360" w:type="dxa"/>
            <w:vAlign w:val="bottom"/>
          </w:tcPr>
          <w:p>
            <w:pPr>
              <w:spacing w:after="0"/>
              <w:rPr>
                <w:sz w:val="24"/>
                <w:szCs w:val="24"/>
                <w:color w:val="auto"/>
              </w:rPr>
            </w:pPr>
          </w:p>
        </w:tc>
        <w:tc>
          <w:tcPr>
            <w:tcW w:w="7880" w:type="dxa"/>
            <w:vAlign w:val="bottom"/>
            <w:gridSpan w:val="2"/>
          </w:tcPr>
          <w:p>
            <w:pPr>
              <w:ind w:left="520"/>
              <w:spacing w:after="0"/>
              <w:rPr>
                <w:sz w:val="20"/>
                <w:szCs w:val="20"/>
                <w:color w:val="auto"/>
              </w:rPr>
            </w:pPr>
            <w:r>
              <w:rPr>
                <w:rFonts w:ascii="Arial" w:cs="Arial" w:eastAsia="Arial" w:hAnsi="Arial"/>
                <w:sz w:val="18"/>
                <w:szCs w:val="18"/>
                <w:color w:val="auto"/>
              </w:rPr>
              <w:t>CASS INFORMATION SYSTEMS, INC.</w:t>
            </w:r>
          </w:p>
        </w:tc>
      </w:tr>
      <w:tr>
        <w:trPr>
          <w:trHeight w:val="520"/>
        </w:trPr>
        <w:tc>
          <w:tcPr>
            <w:tcW w:w="336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900" w:type="dxa"/>
            <w:vAlign w:val="bottom"/>
          </w:tcPr>
          <w:p>
            <w:pPr>
              <w:ind w:left="520"/>
              <w:spacing w:after="0"/>
              <w:rPr>
                <w:sz w:val="20"/>
                <w:szCs w:val="20"/>
                <w:color w:val="auto"/>
              </w:rPr>
            </w:pPr>
            <w:r>
              <w:rPr>
                <w:rFonts w:ascii="Arial" w:cs="Arial" w:eastAsia="Arial" w:hAnsi="Arial"/>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H. Brunngraber</w:t>
            </w:r>
          </w:p>
        </w:tc>
      </w:tr>
      <w:tr>
        <w:trPr>
          <w:trHeight w:val="243"/>
        </w:trPr>
        <w:tc>
          <w:tcPr>
            <w:tcW w:w="3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Arial" w:cs="Arial" w:eastAsia="Arial" w:hAnsi="Arial"/>
                <w:sz w:val="18"/>
                <w:szCs w:val="18"/>
                <w:color w:val="auto"/>
                <w:w w:val="91"/>
              </w:rPr>
              <w:t>Eric H. Brunngraber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1067"/>
        </w:trPr>
        <w:tc>
          <w:tcPr>
            <w:tcW w:w="336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900" w:type="dxa"/>
            <w:vAlign w:val="bottom"/>
          </w:tcPr>
          <w:p>
            <w:pPr>
              <w:ind w:left="520"/>
              <w:spacing w:after="0"/>
              <w:rPr>
                <w:sz w:val="20"/>
                <w:szCs w:val="20"/>
                <w:color w:val="auto"/>
              </w:rPr>
            </w:pPr>
            <w:r>
              <w:rPr>
                <w:rFonts w:ascii="Arial" w:cs="Arial" w:eastAsia="Arial" w:hAnsi="Arial"/>
                <w:sz w:val="18"/>
                <w:szCs w:val="18"/>
                <w:color w:val="auto"/>
              </w:rPr>
              <w:t>By</w:t>
            </w:r>
          </w:p>
        </w:tc>
        <w:tc>
          <w:tcPr>
            <w:tcW w:w="6980" w:type="dxa"/>
            <w:vAlign w:val="bottom"/>
          </w:tcPr>
          <w:p>
            <w:pPr>
              <w:jc w:val="center"/>
              <w:spacing w:after="0"/>
              <w:rPr>
                <w:sz w:val="20"/>
                <w:szCs w:val="20"/>
                <w:color w:val="auto"/>
              </w:rPr>
            </w:pPr>
            <w:r>
              <w:rPr>
                <w:rFonts w:ascii="Arial" w:cs="Arial" w:eastAsia="Arial" w:hAnsi="Arial"/>
                <w:sz w:val="18"/>
                <w:szCs w:val="18"/>
                <w:color w:val="auto"/>
                <w:w w:val="94"/>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8255</wp:posOffset>
            </wp:positionV>
            <wp:extent cx="4431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 w:lineRule="exact"/>
        <w:rPr>
          <w:sz w:val="20"/>
          <w:szCs w:val="20"/>
          <w:color w:val="auto"/>
        </w:rPr>
      </w:pPr>
    </w:p>
    <w:p>
      <w:pPr>
        <w:jc w:val="center"/>
        <w:ind w:left="4240"/>
        <w:spacing w:after="0"/>
        <w:rPr>
          <w:sz w:val="20"/>
          <w:szCs w:val="20"/>
          <w:color w:val="auto"/>
        </w:rPr>
      </w:pPr>
      <w:r>
        <w:rPr>
          <w:rFonts w:ascii="Arial" w:cs="Arial" w:eastAsia="Arial" w:hAnsi="Arial"/>
          <w:sz w:val="18"/>
          <w:szCs w:val="18"/>
          <w:color w:val="auto"/>
        </w:rPr>
        <w:t>Michael J. Normile</w:t>
      </w:r>
    </w:p>
    <w:p>
      <w:pPr>
        <w:spacing w:after="0" w:line="50" w:lineRule="exact"/>
        <w:rPr>
          <w:sz w:val="20"/>
          <w:szCs w:val="20"/>
          <w:color w:val="auto"/>
        </w:rPr>
      </w:pPr>
    </w:p>
    <w:p>
      <w:pPr>
        <w:jc w:val="center"/>
        <w:ind w:left="424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jc w:val="center"/>
        <w:ind w:left="42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H. Brunngraber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4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5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2021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H. Brunngraber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5, 2021</w:t>
      </w: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3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2021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5, 2021</w:t>
      </w: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2021-11-05T09:04:57Z</dcterms:created>
  <dcterms:modified xsi:type="dcterms:W3CDTF">2021-11-05T09:04:57Z</dcterms:modified>
</cp:coreProperties>
</file>