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8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3203575</wp:posOffset>
            </wp:positionH>
            <wp:positionV relativeFrom="paragraph">
              <wp:posOffset>270510</wp:posOffset>
            </wp:positionV>
            <wp:extent cx="7353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5330" cy="825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191" w:lineRule="exact"/>
        <w:rPr>
          <w:sz w:val="24"/>
          <w:szCs w:val="24"/>
          <w:color w:val="auto"/>
        </w:rPr>
      </w:pPr>
    </w:p>
    <w:p>
      <w:pPr>
        <w:ind w:left="340" w:right="2340" w:hanging="332"/>
        <w:spacing w:after="0" w:line="499" w:lineRule="auto"/>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u w:val="single" w:color="auto"/>
          <w:color w:val="auto"/>
        </w:rPr>
        <w:t>March 31, 2021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24"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224" w:lineRule="exact"/>
        <w:rPr>
          <w:sz w:val="24"/>
          <w:szCs w:val="24"/>
          <w:color w:val="auto"/>
        </w:rPr>
      </w:pPr>
    </w:p>
    <w:p>
      <w:pPr>
        <w:ind w:left="340"/>
        <w:spacing w:after="0"/>
        <w:rPr>
          <w:sz w:val="20"/>
          <w:szCs w:val="20"/>
          <w:color w:val="auto"/>
        </w:rPr>
      </w:pPr>
      <w:r>
        <w:rPr>
          <w:rFonts w:ascii="Arial" w:cs="Arial" w:eastAsia="Arial" w:hAnsi="Arial"/>
          <w:sz w:val="18"/>
          <w:szCs w:val="18"/>
          <w:color w:val="auto"/>
        </w:rPr>
        <w:t>For the transition period from __________ to __________</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000-20827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3203575</wp:posOffset>
            </wp:positionH>
            <wp:positionV relativeFrom="paragraph">
              <wp:posOffset>281940</wp:posOffset>
            </wp:positionV>
            <wp:extent cx="7353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5330" cy="8255"/>
                    </a:xfrm>
                    <a:prstGeom prst="rect">
                      <a:avLst/>
                    </a:prstGeom>
                    <a:noFill/>
                  </pic:spPr>
                </pic:pic>
              </a:graphicData>
            </a:graphic>
          </wp:anchor>
        </w:drawing>
      </w:r>
    </w:p>
    <w:p>
      <w:pPr>
        <w:spacing w:after="0" w:line="200" w:lineRule="exact"/>
        <w:rPr>
          <w:sz w:val="24"/>
          <w:szCs w:val="24"/>
          <w:color w:val="auto"/>
        </w:rPr>
      </w:pPr>
    </w:p>
    <w:p>
      <w:pPr>
        <w:spacing w:after="0" w:line="318" w:lineRule="exact"/>
        <w:rPr>
          <w:sz w:val="24"/>
          <w:szCs w:val="24"/>
          <w:color w:val="auto"/>
        </w:rPr>
      </w:pPr>
    </w:p>
    <w:p>
      <w:pPr>
        <w:ind w:left="3720"/>
        <w:spacing w:after="0"/>
        <w:rPr>
          <w:sz w:val="20"/>
          <w:szCs w:val="20"/>
          <w:color w:val="auto"/>
        </w:rPr>
      </w:pPr>
      <w:r>
        <w:rPr>
          <w:rFonts w:ascii="Arial" w:cs="Arial" w:eastAsia="Arial" w:hAnsi="Arial"/>
          <w:sz w:val="22"/>
          <w:szCs w:val="22"/>
          <w:b w:val="1"/>
          <w:bCs w:val="1"/>
          <w:color w:val="auto"/>
        </w:rPr>
        <w:t>CASS INFORMATION SYSTEMS, INC.</w:t>
      </w:r>
    </w:p>
    <w:p>
      <w:pPr>
        <w:spacing w:after="0" w:line="19" w:lineRule="exact"/>
        <w:rPr>
          <w:sz w:val="24"/>
          <w:szCs w:val="24"/>
          <w:color w:val="auto"/>
        </w:rPr>
      </w:pPr>
    </w:p>
    <w:p>
      <w:pPr>
        <w:ind w:left="3760"/>
        <w:spacing w:after="0"/>
        <w:rPr>
          <w:sz w:val="20"/>
          <w:szCs w:val="20"/>
          <w:color w:val="auto"/>
        </w:rPr>
      </w:pPr>
      <w:r>
        <w:rPr>
          <w:rFonts w:ascii="Arial" w:cs="Arial" w:eastAsia="Arial" w:hAnsi="Arial"/>
          <w:sz w:val="18"/>
          <w:szCs w:val="18"/>
          <w:color w:val="auto"/>
        </w:rPr>
        <w:t>(Exact name of registrant as specified in its charter)</w:t>
      </w:r>
    </w:p>
    <w:p>
      <w:pPr>
        <w:spacing w:after="0" w:line="164" w:lineRule="exact"/>
        <w:rPr>
          <w:sz w:val="24"/>
          <w:szCs w:val="24"/>
          <w:color w:val="auto"/>
        </w:rPr>
      </w:pPr>
    </w:p>
    <w:tbl>
      <w:tblPr>
        <w:tblLayout w:type="fixed"/>
        <w:tblInd w:w="0" w:type="dxa"/>
        <w:tblCellMar>
          <w:top w:w="0" w:type="dxa"/>
          <w:left w:w="0" w:type="dxa"/>
          <w:bottom w:w="0" w:type="dxa"/>
          <w:right w:w="0" w:type="dxa"/>
        </w:tblCellMar>
      </w:tblPr>
      <w:tr>
        <w:trPr>
          <w:trHeight w:val="219"/>
        </w:trPr>
        <w:tc>
          <w:tcPr>
            <w:tcW w:w="454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91"/>
              </w:rPr>
              <w:t>Missouri</w:t>
            </w:r>
          </w:p>
        </w:tc>
        <w:tc>
          <w:tcPr>
            <w:tcW w:w="1920" w:type="dxa"/>
            <w:vAlign w:val="bottom"/>
          </w:tcPr>
          <w:p>
            <w:pPr>
              <w:spacing w:after="0"/>
              <w:rPr>
                <w:sz w:val="19"/>
                <w:szCs w:val="19"/>
                <w:color w:val="auto"/>
              </w:rPr>
            </w:pPr>
          </w:p>
        </w:tc>
        <w:tc>
          <w:tcPr>
            <w:tcW w:w="4780" w:type="dxa"/>
            <w:vAlign w:val="bottom"/>
            <w:gridSpan w:val="2"/>
          </w:tcPr>
          <w:p>
            <w:pPr>
              <w:jc w:val="right"/>
              <w:ind w:right="2290"/>
              <w:spacing w:after="0"/>
              <w:rPr>
                <w:sz w:val="20"/>
                <w:szCs w:val="20"/>
                <w:color w:val="auto"/>
              </w:rPr>
            </w:pPr>
            <w:r>
              <w:rPr>
                <w:rFonts w:ascii="Arial" w:cs="Arial" w:eastAsia="Arial" w:hAnsi="Arial"/>
                <w:sz w:val="18"/>
                <w:szCs w:val="18"/>
                <w:b w:val="1"/>
                <w:bCs w:val="1"/>
                <w:color w:val="auto"/>
              </w:rPr>
              <w:t>43-1265338</w:t>
            </w:r>
          </w:p>
        </w:tc>
      </w:tr>
      <w:tr>
        <w:trPr>
          <w:trHeight w:val="215"/>
        </w:trPr>
        <w:tc>
          <w:tcPr>
            <w:tcW w:w="4540" w:type="dxa"/>
            <w:vAlign w:val="bottom"/>
            <w:gridSpan w:val="3"/>
          </w:tcPr>
          <w:p>
            <w:pPr>
              <w:jc w:val="center"/>
              <w:ind w:left="1010"/>
              <w:spacing w:after="0"/>
              <w:rPr>
                <w:sz w:val="20"/>
                <w:szCs w:val="20"/>
                <w:color w:val="auto"/>
              </w:rPr>
            </w:pPr>
            <w:r>
              <w:rPr>
                <w:rFonts w:ascii="Arial" w:cs="Arial" w:eastAsia="Arial" w:hAnsi="Arial"/>
                <w:sz w:val="18"/>
                <w:szCs w:val="18"/>
                <w:color w:val="auto"/>
                <w:w w:val="92"/>
              </w:rPr>
              <w:t>(State or other jurisdiction of incorporation or</w:t>
            </w: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60" w:type="dxa"/>
            <w:vAlign w:val="bottom"/>
          </w:tcPr>
          <w:p>
            <w:pPr>
              <w:jc w:val="center"/>
              <w:ind w:right="970"/>
              <w:spacing w:after="0"/>
              <w:rPr>
                <w:sz w:val="20"/>
                <w:szCs w:val="20"/>
                <w:color w:val="auto"/>
              </w:rPr>
            </w:pPr>
            <w:r>
              <w:rPr>
                <w:rFonts w:ascii="Arial" w:cs="Arial" w:eastAsia="Arial" w:hAnsi="Arial"/>
                <w:sz w:val="18"/>
                <w:szCs w:val="18"/>
                <w:color w:val="auto"/>
                <w:w w:val="94"/>
              </w:rPr>
              <w:t>(I.R.S. Employer Identification No.)</w:t>
            </w:r>
          </w:p>
        </w:tc>
      </w:tr>
      <w:tr>
        <w:trPr>
          <w:trHeight w:val="211"/>
        </w:trPr>
        <w:tc>
          <w:tcPr>
            <w:tcW w:w="4540" w:type="dxa"/>
            <w:vAlign w:val="bottom"/>
            <w:gridSpan w:val="3"/>
          </w:tcPr>
          <w:p>
            <w:pPr>
              <w:jc w:val="center"/>
              <w:ind w:left="1010"/>
              <w:spacing w:after="0"/>
              <w:rPr>
                <w:sz w:val="20"/>
                <w:szCs w:val="20"/>
                <w:color w:val="auto"/>
              </w:rPr>
            </w:pPr>
            <w:r>
              <w:rPr>
                <w:rFonts w:ascii="Arial" w:cs="Arial" w:eastAsia="Arial" w:hAnsi="Arial"/>
                <w:sz w:val="18"/>
                <w:szCs w:val="18"/>
                <w:color w:val="auto"/>
                <w:w w:val="92"/>
              </w:rPr>
              <w:t>organization)</w:t>
            </w: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60" w:type="dxa"/>
            <w:vAlign w:val="bottom"/>
          </w:tcPr>
          <w:p>
            <w:pPr>
              <w:spacing w:after="0"/>
              <w:rPr>
                <w:sz w:val="18"/>
                <w:szCs w:val="18"/>
                <w:color w:val="auto"/>
              </w:rPr>
            </w:pPr>
          </w:p>
        </w:tc>
      </w:tr>
      <w:tr>
        <w:trPr>
          <w:trHeight w:val="215"/>
        </w:trPr>
        <w:tc>
          <w:tcPr>
            <w:tcW w:w="454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89"/>
              </w:rPr>
              <w:t>12444 Powerscourt Drive, Suite 550</w:t>
            </w: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60" w:type="dxa"/>
            <w:vAlign w:val="bottom"/>
          </w:tcPr>
          <w:p>
            <w:pPr>
              <w:spacing w:after="0"/>
              <w:rPr>
                <w:sz w:val="18"/>
                <w:szCs w:val="18"/>
                <w:color w:val="auto"/>
              </w:rPr>
            </w:pPr>
          </w:p>
        </w:tc>
      </w:tr>
      <w:tr>
        <w:trPr>
          <w:trHeight w:val="219"/>
        </w:trPr>
        <w:tc>
          <w:tcPr>
            <w:tcW w:w="454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89"/>
              </w:rPr>
              <w:t>St. Louis, Missouri</w:t>
            </w:r>
          </w:p>
        </w:tc>
        <w:tc>
          <w:tcPr>
            <w:tcW w:w="1920" w:type="dxa"/>
            <w:vAlign w:val="bottom"/>
          </w:tcPr>
          <w:p>
            <w:pPr>
              <w:spacing w:after="0"/>
              <w:rPr>
                <w:sz w:val="19"/>
                <w:szCs w:val="19"/>
                <w:color w:val="auto"/>
              </w:rPr>
            </w:pPr>
          </w:p>
        </w:tc>
        <w:tc>
          <w:tcPr>
            <w:tcW w:w="4780" w:type="dxa"/>
            <w:vAlign w:val="bottom"/>
            <w:gridSpan w:val="2"/>
          </w:tcPr>
          <w:p>
            <w:pPr>
              <w:jc w:val="right"/>
              <w:ind w:right="2490"/>
              <w:spacing w:after="0"/>
              <w:rPr>
                <w:sz w:val="20"/>
                <w:szCs w:val="20"/>
                <w:color w:val="auto"/>
              </w:rPr>
            </w:pPr>
            <w:r>
              <w:rPr>
                <w:rFonts w:ascii="Arial" w:cs="Arial" w:eastAsia="Arial" w:hAnsi="Arial"/>
                <w:sz w:val="18"/>
                <w:szCs w:val="18"/>
                <w:b w:val="1"/>
                <w:bCs w:val="1"/>
                <w:color w:val="auto"/>
              </w:rPr>
              <w:t>63131</w:t>
            </w:r>
          </w:p>
        </w:tc>
      </w:tr>
      <w:tr>
        <w:trPr>
          <w:trHeight w:val="230"/>
        </w:trPr>
        <w:tc>
          <w:tcPr>
            <w:tcW w:w="4540" w:type="dxa"/>
            <w:vAlign w:val="bottom"/>
            <w:gridSpan w:val="3"/>
          </w:tcPr>
          <w:p>
            <w:pPr>
              <w:jc w:val="center"/>
              <w:ind w:left="1010"/>
              <w:spacing w:after="0"/>
              <w:rPr>
                <w:sz w:val="20"/>
                <w:szCs w:val="20"/>
                <w:color w:val="auto"/>
              </w:rPr>
            </w:pPr>
            <w:r>
              <w:rPr>
                <w:rFonts w:ascii="Arial" w:cs="Arial" w:eastAsia="Arial" w:hAnsi="Arial"/>
                <w:sz w:val="18"/>
                <w:szCs w:val="18"/>
                <w:color w:val="auto"/>
                <w:w w:val="92"/>
              </w:rPr>
              <w:t>(Address of principal executive offices)</w:t>
            </w:r>
          </w:p>
        </w:tc>
        <w:tc>
          <w:tcPr>
            <w:tcW w:w="1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60" w:type="dxa"/>
            <w:vAlign w:val="bottom"/>
          </w:tcPr>
          <w:p>
            <w:pPr>
              <w:jc w:val="center"/>
              <w:ind w:right="970"/>
              <w:spacing w:after="0"/>
              <w:rPr>
                <w:sz w:val="20"/>
                <w:szCs w:val="20"/>
                <w:color w:val="auto"/>
              </w:rPr>
            </w:pPr>
            <w:r>
              <w:rPr>
                <w:rFonts w:ascii="Arial" w:cs="Arial" w:eastAsia="Arial" w:hAnsi="Arial"/>
                <w:sz w:val="18"/>
                <w:szCs w:val="18"/>
                <w:color w:val="auto"/>
                <w:w w:val="91"/>
              </w:rPr>
              <w:t>(Zip Code)</w:t>
            </w:r>
          </w:p>
        </w:tc>
      </w:tr>
      <w:tr>
        <w:trPr>
          <w:trHeight w:val="309"/>
        </w:trPr>
        <w:tc>
          <w:tcPr>
            <w:tcW w:w="3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20" w:type="dxa"/>
            <w:vAlign w:val="bottom"/>
          </w:tcPr>
          <w:p>
            <w:pPr>
              <w:jc w:val="right"/>
              <w:ind w:right="190"/>
              <w:spacing w:after="0"/>
              <w:rPr>
                <w:sz w:val="20"/>
                <w:szCs w:val="20"/>
                <w:color w:val="auto"/>
              </w:rPr>
            </w:pPr>
            <w:r>
              <w:rPr>
                <w:rFonts w:ascii="Arial" w:cs="Arial" w:eastAsia="Arial" w:hAnsi="Arial"/>
                <w:sz w:val="18"/>
                <w:szCs w:val="18"/>
                <w:b w:val="1"/>
                <w:bCs w:val="1"/>
                <w:color w:val="auto"/>
              </w:rPr>
              <w:t>(314) 506-5500</w:t>
            </w:r>
          </w:p>
        </w:tc>
        <w:tc>
          <w:tcPr>
            <w:tcW w:w="22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230"/>
        </w:trPr>
        <w:tc>
          <w:tcPr>
            <w:tcW w:w="11240" w:type="dxa"/>
            <w:vAlign w:val="bottom"/>
            <w:gridSpan w:val="6"/>
          </w:tcPr>
          <w:p>
            <w:pPr>
              <w:jc w:val="center"/>
              <w:spacing w:after="0"/>
              <w:rPr>
                <w:sz w:val="20"/>
                <w:szCs w:val="20"/>
                <w:color w:val="auto"/>
              </w:rPr>
            </w:pPr>
            <w:r>
              <w:rPr>
                <w:rFonts w:ascii="Arial" w:cs="Arial" w:eastAsia="Arial" w:hAnsi="Arial"/>
                <w:sz w:val="18"/>
                <w:szCs w:val="18"/>
                <w:color w:val="auto"/>
                <w:w w:val="89"/>
              </w:rPr>
              <w:t>(Registrant’s telephone number, including area code)</w:t>
            </w:r>
          </w:p>
        </w:tc>
      </w:tr>
      <w:tr>
        <w:trPr>
          <w:trHeight w:val="349"/>
        </w:trPr>
        <w:tc>
          <w:tcPr>
            <w:tcW w:w="4540" w:type="dxa"/>
            <w:vAlign w:val="bottom"/>
            <w:gridSpan w:val="3"/>
          </w:tcPr>
          <w:p>
            <w:pPr>
              <w:spacing w:after="0"/>
              <w:rPr>
                <w:sz w:val="20"/>
                <w:szCs w:val="20"/>
                <w:color w:val="auto"/>
              </w:rPr>
            </w:pPr>
            <w:r>
              <w:rPr>
                <w:rFonts w:ascii="Arial" w:cs="Arial" w:eastAsia="Arial" w:hAnsi="Arial"/>
                <w:sz w:val="18"/>
                <w:szCs w:val="18"/>
                <w:color w:val="auto"/>
                <w:w w:val="98"/>
              </w:rPr>
              <w:t>Securities registered pursuant to Section 12(b) of the Act:</w:t>
            </w:r>
          </w:p>
        </w:tc>
        <w:tc>
          <w:tcPr>
            <w:tcW w:w="1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230"/>
        </w:trPr>
        <w:tc>
          <w:tcPr>
            <w:tcW w:w="4540" w:type="dxa"/>
            <w:vAlign w:val="bottom"/>
            <w:gridSpan w:val="3"/>
          </w:tcPr>
          <w:p>
            <w:pPr>
              <w:jc w:val="center"/>
              <w:ind w:right="780"/>
              <w:spacing w:after="0"/>
              <w:rPr>
                <w:sz w:val="20"/>
                <w:szCs w:val="20"/>
                <w:color w:val="auto"/>
              </w:rPr>
            </w:pPr>
            <w:r>
              <w:rPr>
                <w:rFonts w:ascii="Arial" w:cs="Arial" w:eastAsia="Arial" w:hAnsi="Arial"/>
                <w:sz w:val="18"/>
                <w:szCs w:val="18"/>
                <w:color w:val="auto"/>
                <w:w w:val="88"/>
              </w:rPr>
              <w:t>Title of each class</w:t>
            </w:r>
          </w:p>
        </w:tc>
        <w:tc>
          <w:tcPr>
            <w:tcW w:w="1920" w:type="dxa"/>
            <w:vAlign w:val="bottom"/>
          </w:tcPr>
          <w:p>
            <w:pPr>
              <w:jc w:val="center"/>
              <w:ind w:right="470"/>
              <w:spacing w:after="0"/>
              <w:rPr>
                <w:sz w:val="20"/>
                <w:szCs w:val="20"/>
                <w:color w:val="auto"/>
              </w:rPr>
            </w:pPr>
            <w:r>
              <w:rPr>
                <w:rFonts w:ascii="Arial" w:cs="Arial" w:eastAsia="Arial" w:hAnsi="Arial"/>
                <w:sz w:val="18"/>
                <w:szCs w:val="18"/>
                <w:color w:val="auto"/>
                <w:w w:val="90"/>
              </w:rPr>
              <w:t>Trading symbols</w:t>
            </w:r>
          </w:p>
        </w:tc>
        <w:tc>
          <w:tcPr>
            <w:tcW w:w="220" w:type="dxa"/>
            <w:vAlign w:val="bottom"/>
          </w:tcPr>
          <w:p>
            <w:pPr>
              <w:spacing w:after="0"/>
              <w:rPr>
                <w:sz w:val="19"/>
                <w:szCs w:val="19"/>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37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par value $.50</w:t>
            </w:r>
          </w:p>
        </w:tc>
        <w:tc>
          <w:tcPr>
            <w:tcW w:w="20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920" w:type="dxa"/>
            <w:vAlign w:val="bottom"/>
            <w:tcBorders>
              <w:top w:val="single" w:sz="8" w:color="auto"/>
            </w:tcBorders>
          </w:tcPr>
          <w:p>
            <w:pPr>
              <w:jc w:val="center"/>
              <w:ind w:right="490"/>
              <w:spacing w:after="0"/>
              <w:rPr>
                <w:sz w:val="20"/>
                <w:szCs w:val="20"/>
                <w:color w:val="auto"/>
              </w:rPr>
            </w:pPr>
            <w:r>
              <w:rPr>
                <w:rFonts w:ascii="Arial" w:cs="Arial" w:eastAsia="Arial" w:hAnsi="Arial"/>
                <w:sz w:val="18"/>
                <w:szCs w:val="18"/>
                <w:color w:val="auto"/>
                <w:w w:val="93"/>
              </w:rPr>
              <w:t>CASS</w:t>
            </w:r>
          </w:p>
        </w:tc>
        <w:tc>
          <w:tcPr>
            <w:tcW w:w="220" w:type="dxa"/>
            <w:vAlign w:val="bottom"/>
          </w:tcPr>
          <w:p>
            <w:pPr>
              <w:spacing w:after="0"/>
              <w:rPr>
                <w:sz w:val="19"/>
                <w:szCs w:val="19"/>
                <w:color w:val="auto"/>
              </w:rPr>
            </w:pPr>
          </w:p>
        </w:tc>
        <w:tc>
          <w:tcPr>
            <w:tcW w:w="4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The Nasdaq Global Select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3203575</wp:posOffset>
            </wp:positionH>
            <wp:positionV relativeFrom="paragraph">
              <wp:posOffset>255905</wp:posOffset>
            </wp:positionV>
            <wp:extent cx="7353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5330" cy="8255"/>
                    </a:xfrm>
                    <a:prstGeom prst="rect">
                      <a:avLst/>
                    </a:prstGeom>
                    <a:noFill/>
                  </pic:spPr>
                </pic:pic>
              </a:graphicData>
            </a:graphic>
          </wp:anchor>
        </w:drawing>
      </w:r>
    </w:p>
    <w:p>
      <w:pPr>
        <w:spacing w:after="0" w:line="200" w:lineRule="exact"/>
        <w:rPr>
          <w:sz w:val="24"/>
          <w:szCs w:val="24"/>
          <w:color w:val="auto"/>
        </w:rPr>
      </w:pPr>
    </w:p>
    <w:p>
      <w:pPr>
        <w:spacing w:after="0" w:line="290" w:lineRule="exact"/>
        <w:rPr>
          <w:sz w:val="24"/>
          <w:szCs w:val="24"/>
          <w:color w:val="auto"/>
        </w:rPr>
      </w:pPr>
    </w:p>
    <w:p>
      <w:pPr>
        <w:jc w:val="both"/>
        <w:ind w:firstLine="215"/>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9" w:lineRule="exact"/>
        <w:rPr>
          <w:sz w:val="24"/>
          <w:szCs w:val="24"/>
          <w:color w:val="auto"/>
        </w:rPr>
      </w:pPr>
    </w:p>
    <w:p>
      <w:pPr>
        <w:ind w:left="5100"/>
        <w:spacing w:after="0" w:line="207" w:lineRule="exact"/>
        <w:tabs>
          <w:tab w:leader="none" w:pos="5920" w:val="left"/>
          <w:tab w:leader="none" w:pos="8240" w:val="left"/>
          <w:tab w:leader="none" w:pos="9060" w:val="left"/>
        </w:tabs>
        <w:rPr>
          <w:sz w:val="20"/>
          <w:szCs w:val="20"/>
          <w:color w:val="auto"/>
        </w:rPr>
      </w:pPr>
      <w:r>
        <w:rPr>
          <w:rFonts w:ascii="Arial" w:cs="Arial" w:eastAsia="Arial" w:hAnsi="Arial"/>
          <w:sz w:val="18"/>
          <w:szCs w:val="18"/>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149" w:lineRule="exact"/>
        <w:rPr>
          <w:sz w:val="24"/>
          <w:szCs w:val="24"/>
          <w:color w:val="auto"/>
        </w:rPr>
      </w:pPr>
    </w:p>
    <w:p>
      <w:pPr>
        <w:jc w:val="both"/>
        <w:ind w:firstLine="215"/>
        <w:spacing w:after="0" w:line="341"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91" w:lineRule="exact"/>
        <w:rPr>
          <w:sz w:val="24"/>
          <w:szCs w:val="24"/>
          <w:color w:val="auto"/>
        </w:rPr>
      </w:pPr>
    </w:p>
    <w:p>
      <w:pPr>
        <w:ind w:left="5100"/>
        <w:spacing w:after="0" w:line="207" w:lineRule="exact"/>
        <w:tabs>
          <w:tab w:leader="none" w:pos="5920" w:val="left"/>
          <w:tab w:leader="none" w:pos="8240" w:val="left"/>
          <w:tab w:leader="none" w:pos="9060" w:val="left"/>
        </w:tabs>
        <w:rPr>
          <w:sz w:val="20"/>
          <w:szCs w:val="20"/>
          <w:color w:val="auto"/>
        </w:rPr>
      </w:pPr>
      <w:r>
        <w:rPr>
          <w:rFonts w:ascii="Arial" w:cs="Arial" w:eastAsia="Arial" w:hAnsi="Arial"/>
          <w:sz w:val="18"/>
          <w:szCs w:val="18"/>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149" w:lineRule="exact"/>
        <w:rPr>
          <w:sz w:val="24"/>
          <w:szCs w:val="24"/>
          <w:color w:val="auto"/>
        </w:rPr>
      </w:pPr>
    </w:p>
    <w:p>
      <w:pPr>
        <w:jc w:val="both"/>
        <w:ind w:firstLine="215"/>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9" w:right="339" w:bottom="1440" w:gutter="0" w:footer="0" w:header="0"/>
        </w:sectPr>
      </w:pPr>
    </w:p>
    <w:p>
      <w:pPr>
        <w:spacing w:after="0" w:line="108" w:lineRule="exact"/>
        <w:rPr>
          <w:sz w:val="24"/>
          <w:szCs w:val="24"/>
          <w:color w:val="auto"/>
        </w:rPr>
      </w:pPr>
    </w:p>
    <w:p>
      <w:pPr>
        <w:ind w:left="36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2940" w:space="720"/>
            <w:col w:w="7580"/>
          </w:cols>
          <w:pgMar w:left="320" w:top="229" w:right="339" w:bottom="1440" w:gutter="0" w:footer="0" w:header="0"/>
          <w:type w:val="continuous"/>
        </w:sectPr>
      </w:pPr>
    </w:p>
    <w:p>
      <w:pPr>
        <w:spacing w:after="0" w:line="47" w:lineRule="exact"/>
        <w:rPr>
          <w:sz w:val="24"/>
          <w:szCs w:val="24"/>
          <w:color w:val="auto"/>
        </w:rPr>
      </w:pPr>
    </w:p>
    <w:p>
      <w:pPr>
        <w:ind w:left="36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72" w:lineRule="exact"/>
        <w:rPr>
          <w:sz w:val="24"/>
          <w:szCs w:val="24"/>
          <w:color w:val="auto"/>
        </w:rPr>
      </w:pPr>
    </w:p>
    <w:p>
      <w:pPr>
        <w:sectPr>
          <w:pgSz w:w="11900" w:h="16838" w:orient="portrait"/>
          <w:cols w:equalWidth="0" w:num="3">
            <w:col w:w="2940" w:space="720"/>
            <w:col w:w="2680" w:space="720"/>
            <w:col w:w="4180"/>
          </w:cols>
          <w:pgMar w:left="320" w:top="229" w:right="339" w:bottom="1440" w:gutter="0" w:footer="0" w:header="0"/>
          <w:type w:val="continuous"/>
        </w:sectPr>
      </w:pPr>
    </w:p>
    <w:p>
      <w:pPr>
        <w:ind w:firstLine="215"/>
        <w:spacing w:after="0" w:line="232"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5" w:lineRule="exact"/>
        <w:rPr>
          <w:sz w:val="24"/>
          <w:szCs w:val="24"/>
          <w:color w:val="auto"/>
        </w:rPr>
      </w:pPr>
    </w:p>
    <w:p>
      <w:pPr>
        <w:ind w:left="22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91" w:lineRule="exact"/>
        <w:rPr>
          <w:sz w:val="24"/>
          <w:szCs w:val="24"/>
          <w:color w:val="auto"/>
        </w:rPr>
      </w:pPr>
    </w:p>
    <w:p>
      <w:pPr>
        <w:ind w:left="5100"/>
        <w:spacing w:after="0" w:line="207" w:lineRule="exact"/>
        <w:tabs>
          <w:tab w:leader="none" w:pos="5920" w:val="left"/>
          <w:tab w:leader="none" w:pos="8240" w:val="left"/>
          <w:tab w:leader="none" w:pos="9060" w:val="left"/>
        </w:tabs>
        <w:rPr>
          <w:sz w:val="20"/>
          <w:szCs w:val="20"/>
          <w:color w:val="auto"/>
        </w:rPr>
      </w:pPr>
      <w:r>
        <w:rPr>
          <w:rFonts w:ascii="Arial" w:cs="Arial" w:eastAsia="Arial" w:hAnsi="Arial"/>
          <w:sz w:val="18"/>
          <w:szCs w:val="18"/>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149" w:lineRule="exact"/>
        <w:rPr>
          <w:sz w:val="24"/>
          <w:szCs w:val="24"/>
          <w:color w:val="auto"/>
        </w:rPr>
      </w:pPr>
    </w:p>
    <w:p>
      <w:pPr>
        <w:ind w:firstLine="215"/>
        <w:spacing w:after="0" w:line="276" w:lineRule="auto"/>
        <w:rPr>
          <w:sz w:val="20"/>
          <w:szCs w:val="20"/>
          <w:color w:val="auto"/>
        </w:rPr>
      </w:pPr>
      <w:r>
        <w:rPr>
          <w:rFonts w:ascii="Arial" w:cs="Arial" w:eastAsia="Arial" w:hAnsi="Arial"/>
          <w:sz w:val="18"/>
          <w:szCs w:val="18"/>
          <w:color w:val="auto"/>
        </w:rPr>
        <w:t>The number of shares outstanding of the registrant's only class of common stock as of April 22, 2021: Common stock, par value $.50 per share – 14,400,909 shares outstanding.</w:t>
      </w:r>
    </w:p>
    <w:p>
      <w:pPr>
        <w:spacing w:after="0" w:line="17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8355"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8355" cy="596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4"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 Financial Information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955" cy="281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955" cy="281940"/>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0" w:type="dxa"/>
            <w:vAlign w:val="bottom"/>
          </w:tcPr>
          <w:p>
            <w:pPr>
              <w:spacing w:after="0"/>
              <w:rPr>
                <w:sz w:val="17"/>
                <w:szCs w:val="17"/>
                <w:color w:val="auto"/>
              </w:rPr>
            </w:pPr>
          </w:p>
        </w:tc>
        <w:tc>
          <w:tcPr>
            <w:tcW w:w="80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936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280" w:type="dxa"/>
            <w:vAlign w:val="bottom"/>
          </w:tcPr>
          <w:p>
            <w:pPr>
              <w:spacing w:after="0"/>
              <w:rPr>
                <w:sz w:val="21"/>
                <w:szCs w:val="21"/>
                <w:color w:val="auto"/>
              </w:rPr>
            </w:pPr>
          </w:p>
        </w:tc>
        <w:tc>
          <w:tcPr>
            <w:tcW w:w="500" w:type="dxa"/>
            <w:vAlign w:val="bottom"/>
            <w:tcBorders>
              <w:top w:val="single" w:sz="8" w:color="0000EE"/>
            </w:tcBorders>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7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80" w:type="dxa"/>
            <w:vAlign w:val="bottom"/>
            <w:shd w:val="clear" w:color="auto" w:fill="B2B2B2"/>
          </w:tcPr>
          <w:p>
            <w:pPr>
              <w:spacing w:after="0"/>
              <w:rPr>
                <w:sz w:val="15"/>
                <w:szCs w:val="15"/>
                <w:color w:val="auto"/>
              </w:rPr>
            </w:pPr>
          </w:p>
        </w:tc>
        <w:tc>
          <w:tcPr>
            <w:tcW w:w="500" w:type="dxa"/>
            <w:vAlign w:val="bottom"/>
            <w:shd w:val="clear" w:color="auto" w:fill="B2B2B2"/>
          </w:tcPr>
          <w:p>
            <w:pPr>
              <w:spacing w:after="0"/>
              <w:rPr>
                <w:sz w:val="15"/>
                <w:szCs w:val="15"/>
                <w:color w:val="auto"/>
              </w:rPr>
            </w:pPr>
          </w:p>
        </w:tc>
        <w:tc>
          <w:tcPr>
            <w:tcW w:w="300" w:type="dxa"/>
            <w:vAlign w:val="bottom"/>
            <w:tcBorders>
              <w:right w:val="single" w:sz="8" w:color="B2B2B2"/>
            </w:tcBorders>
            <w:shd w:val="clear" w:color="auto" w:fill="B2B2B2"/>
          </w:tcPr>
          <w:p>
            <w:pPr>
              <w:spacing w:after="0"/>
              <w:rPr>
                <w:sz w:val="15"/>
                <w:szCs w:val="15"/>
                <w:color w:val="auto"/>
              </w:rPr>
            </w:pPr>
          </w:p>
        </w:tc>
        <w:tc>
          <w:tcPr>
            <w:tcW w:w="9360" w:type="dxa"/>
            <w:vAlign w:val="bottom"/>
            <w:gridSpan w:val="16"/>
            <w:shd w:val="clear" w:color="auto" w:fill="B2B2B2"/>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Balance Sheets</w:t>
              </w:r>
            </w:hyperlink>
          </w:p>
        </w:tc>
        <w:tc>
          <w:tcPr>
            <w:tcW w:w="480" w:type="dxa"/>
            <w:vAlign w:val="bottom"/>
            <w:shd w:val="clear" w:color="auto" w:fill="B2B2B2"/>
          </w:tcPr>
          <w:p>
            <w:pPr>
              <w:spacing w:after="0"/>
              <w:rPr>
                <w:sz w:val="15"/>
                <w:szCs w:val="15"/>
                <w:color w:val="auto"/>
              </w:rPr>
            </w:pPr>
          </w:p>
        </w:tc>
        <w:tc>
          <w:tcPr>
            <w:tcW w:w="40" w:type="dxa"/>
            <w:vAlign w:val="bottom"/>
            <w:shd w:val="clear" w:color="auto" w:fill="B2B2B2"/>
          </w:tcPr>
          <w:p>
            <w:pPr>
              <w:spacing w:after="0"/>
              <w:rPr>
                <w:sz w:val="15"/>
                <w:szCs w:val="15"/>
                <w:color w:val="auto"/>
              </w:rPr>
            </w:pPr>
          </w:p>
        </w:tc>
        <w:tc>
          <w:tcPr>
            <w:tcW w:w="100" w:type="dxa"/>
            <w:vAlign w:val="bottom"/>
            <w:shd w:val="clear" w:color="auto" w:fill="B2B2B2"/>
          </w:tcPr>
          <w:p>
            <w:pPr>
              <w:spacing w:after="0"/>
              <w:rPr>
                <w:sz w:val="15"/>
                <w:szCs w:val="15"/>
                <w:color w:val="auto"/>
              </w:rPr>
            </w:pPr>
          </w:p>
        </w:tc>
        <w:tc>
          <w:tcPr>
            <w:tcW w:w="40" w:type="dxa"/>
            <w:vAlign w:val="bottom"/>
            <w:shd w:val="clear" w:color="auto" w:fill="B2B2B2"/>
          </w:tcPr>
          <w:p>
            <w:pPr>
              <w:spacing w:after="0"/>
              <w:rPr>
                <w:sz w:val="15"/>
                <w:szCs w:val="15"/>
                <w:color w:val="auto"/>
              </w:rPr>
            </w:pPr>
          </w:p>
        </w:tc>
        <w:tc>
          <w:tcPr>
            <w:tcW w:w="140" w:type="dxa"/>
            <w:vAlign w:val="bottom"/>
            <w:shd w:val="clear" w:color="auto" w:fill="B2B2B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B2B2B2"/>
          </w:tcPr>
          <w:p>
            <w:pPr>
              <w:spacing w:after="0" w:line="20" w:lineRule="exact"/>
              <w:rPr>
                <w:sz w:val="1"/>
                <w:szCs w:val="1"/>
                <w:color w:val="auto"/>
              </w:rPr>
            </w:pPr>
          </w:p>
        </w:tc>
        <w:tc>
          <w:tcPr>
            <w:tcW w:w="500" w:type="dxa"/>
            <w:vAlign w:val="bottom"/>
            <w:shd w:val="clear" w:color="auto" w:fill="B2B2B2"/>
          </w:tcPr>
          <w:p>
            <w:pPr>
              <w:spacing w:after="0" w:line="20" w:lineRule="exact"/>
              <w:rPr>
                <w:sz w:val="1"/>
                <w:szCs w:val="1"/>
                <w:color w:val="auto"/>
              </w:rPr>
            </w:pPr>
          </w:p>
        </w:tc>
        <w:tc>
          <w:tcPr>
            <w:tcW w:w="300" w:type="dxa"/>
            <w:vAlign w:val="bottom"/>
            <w:tcBorders>
              <w:right w:val="single" w:sz="8" w:color="B2B2B2"/>
            </w:tcBorders>
            <w:shd w:val="clear" w:color="auto" w:fill="B2B2B2"/>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200" w:type="dxa"/>
            <w:vAlign w:val="bottom"/>
            <w:gridSpan w:val="2"/>
            <w:shd w:val="clear" w:color="auto" w:fill="B2B2B2"/>
          </w:tcPr>
          <w:p>
            <w:pPr>
              <w:spacing w:after="0" w:line="20" w:lineRule="exact"/>
              <w:rPr>
                <w:sz w:val="1"/>
                <w:szCs w:val="1"/>
                <w:color w:val="auto"/>
              </w:rPr>
            </w:pPr>
          </w:p>
        </w:tc>
        <w:tc>
          <w:tcPr>
            <w:tcW w:w="280" w:type="dxa"/>
            <w:vAlign w:val="bottom"/>
            <w:shd w:val="clear" w:color="auto" w:fill="B2B2B2"/>
          </w:tcPr>
          <w:p>
            <w:pPr>
              <w:spacing w:after="0" w:line="20" w:lineRule="exact"/>
              <w:rPr>
                <w:sz w:val="1"/>
                <w:szCs w:val="1"/>
                <w:color w:val="auto"/>
              </w:rPr>
            </w:pPr>
          </w:p>
        </w:tc>
        <w:tc>
          <w:tcPr>
            <w:tcW w:w="20" w:type="dxa"/>
            <w:vAlign w:val="bottom"/>
            <w:shd w:val="clear" w:color="auto" w:fill="B2B2B2"/>
          </w:tcPr>
          <w:p>
            <w:pPr>
              <w:spacing w:after="0" w:line="20" w:lineRule="exact"/>
              <w:rPr>
                <w:sz w:val="1"/>
                <w:szCs w:val="1"/>
                <w:color w:val="auto"/>
              </w:rPr>
            </w:pPr>
          </w:p>
        </w:tc>
        <w:tc>
          <w:tcPr>
            <w:tcW w:w="280" w:type="dxa"/>
            <w:vAlign w:val="bottom"/>
            <w:shd w:val="clear" w:color="auto" w:fill="B2B2B2"/>
          </w:tcPr>
          <w:p>
            <w:pPr>
              <w:spacing w:after="0" w:line="20" w:lineRule="exact"/>
              <w:rPr>
                <w:sz w:val="1"/>
                <w:szCs w:val="1"/>
                <w:color w:val="auto"/>
              </w:rPr>
            </w:pPr>
          </w:p>
        </w:tc>
        <w:tc>
          <w:tcPr>
            <w:tcW w:w="680" w:type="dxa"/>
            <w:vAlign w:val="bottom"/>
            <w:shd w:val="clear" w:color="auto" w:fill="B2B2B2"/>
          </w:tcPr>
          <w:p>
            <w:pPr>
              <w:spacing w:after="0" w:line="20" w:lineRule="exact"/>
              <w:rPr>
                <w:sz w:val="1"/>
                <w:szCs w:val="1"/>
                <w:color w:val="auto"/>
              </w:rPr>
            </w:pPr>
          </w:p>
        </w:tc>
        <w:tc>
          <w:tcPr>
            <w:tcW w:w="200" w:type="dxa"/>
            <w:vAlign w:val="bottom"/>
            <w:shd w:val="clear" w:color="auto" w:fill="B2B2B2"/>
          </w:tcPr>
          <w:p>
            <w:pPr>
              <w:spacing w:after="0" w:line="20" w:lineRule="exact"/>
              <w:rPr>
                <w:sz w:val="1"/>
                <w:szCs w:val="1"/>
                <w:color w:val="auto"/>
              </w:rPr>
            </w:pPr>
          </w:p>
        </w:tc>
        <w:tc>
          <w:tcPr>
            <w:tcW w:w="280" w:type="dxa"/>
            <w:vAlign w:val="bottom"/>
            <w:shd w:val="clear" w:color="auto" w:fill="B2B2B2"/>
          </w:tcPr>
          <w:p>
            <w:pPr>
              <w:spacing w:after="0" w:line="20" w:lineRule="exact"/>
              <w:rPr>
                <w:sz w:val="1"/>
                <w:szCs w:val="1"/>
                <w:color w:val="auto"/>
              </w:rPr>
            </w:pPr>
          </w:p>
        </w:tc>
        <w:tc>
          <w:tcPr>
            <w:tcW w:w="20" w:type="dxa"/>
            <w:vAlign w:val="bottom"/>
            <w:shd w:val="clear" w:color="auto" w:fill="B2B2B2"/>
          </w:tcPr>
          <w:p>
            <w:pPr>
              <w:spacing w:after="0" w:line="20" w:lineRule="exact"/>
              <w:rPr>
                <w:sz w:val="1"/>
                <w:szCs w:val="1"/>
                <w:color w:val="auto"/>
              </w:rPr>
            </w:pPr>
          </w:p>
        </w:tc>
        <w:tc>
          <w:tcPr>
            <w:tcW w:w="460" w:type="dxa"/>
            <w:vAlign w:val="bottom"/>
            <w:shd w:val="clear" w:color="auto" w:fill="B2B2B2"/>
          </w:tcPr>
          <w:p>
            <w:pPr>
              <w:spacing w:after="0" w:line="20" w:lineRule="exact"/>
              <w:rPr>
                <w:sz w:val="1"/>
                <w:szCs w:val="1"/>
                <w:color w:val="auto"/>
              </w:rPr>
            </w:pPr>
          </w:p>
        </w:tc>
        <w:tc>
          <w:tcPr>
            <w:tcW w:w="1620" w:type="dxa"/>
            <w:vAlign w:val="bottom"/>
            <w:shd w:val="clear" w:color="auto" w:fill="B2B2B2"/>
          </w:tcPr>
          <w:p>
            <w:pPr>
              <w:spacing w:after="0" w:line="20" w:lineRule="exact"/>
              <w:rPr>
                <w:sz w:val="1"/>
                <w:szCs w:val="1"/>
                <w:color w:val="auto"/>
              </w:rPr>
            </w:pPr>
          </w:p>
        </w:tc>
        <w:tc>
          <w:tcPr>
            <w:tcW w:w="2760" w:type="dxa"/>
            <w:vAlign w:val="bottom"/>
            <w:shd w:val="clear" w:color="auto" w:fill="B2B2B2"/>
          </w:tcPr>
          <w:p>
            <w:pPr>
              <w:spacing w:after="0" w:line="20" w:lineRule="exact"/>
              <w:rPr>
                <w:sz w:val="1"/>
                <w:szCs w:val="1"/>
                <w:color w:val="auto"/>
              </w:rPr>
            </w:pPr>
          </w:p>
        </w:tc>
        <w:tc>
          <w:tcPr>
            <w:tcW w:w="480" w:type="dxa"/>
            <w:vAlign w:val="bottom"/>
            <w:shd w:val="clear" w:color="auto" w:fill="B2B2B2"/>
          </w:tcPr>
          <w:p>
            <w:pPr>
              <w:spacing w:after="0" w:line="20" w:lineRule="exact"/>
              <w:rPr>
                <w:sz w:val="1"/>
                <w:szCs w:val="1"/>
                <w:color w:val="auto"/>
              </w:rPr>
            </w:pPr>
          </w:p>
        </w:tc>
        <w:tc>
          <w:tcPr>
            <w:tcW w:w="480" w:type="dxa"/>
            <w:vAlign w:val="bottom"/>
            <w:shd w:val="clear" w:color="auto" w:fill="B2B2B2"/>
          </w:tcPr>
          <w:p>
            <w:pPr>
              <w:spacing w:after="0" w:line="20" w:lineRule="exact"/>
              <w:rPr>
                <w:sz w:val="1"/>
                <w:szCs w:val="1"/>
                <w:color w:val="auto"/>
              </w:rPr>
            </w:pPr>
          </w:p>
        </w:tc>
        <w:tc>
          <w:tcPr>
            <w:tcW w:w="40" w:type="dxa"/>
            <w:vAlign w:val="bottom"/>
            <w:shd w:val="clear" w:color="auto" w:fill="B2B2B2"/>
          </w:tcPr>
          <w:p>
            <w:pPr>
              <w:spacing w:after="0" w:line="20" w:lineRule="exact"/>
              <w:rPr>
                <w:sz w:val="1"/>
                <w:szCs w:val="1"/>
                <w:color w:val="auto"/>
              </w:rPr>
            </w:pPr>
          </w:p>
        </w:tc>
        <w:tc>
          <w:tcPr>
            <w:tcW w:w="100" w:type="dxa"/>
            <w:vAlign w:val="bottom"/>
            <w:shd w:val="clear" w:color="auto" w:fill="B2B2B2"/>
          </w:tcPr>
          <w:p>
            <w:pPr>
              <w:spacing w:after="0" w:line="20" w:lineRule="exact"/>
              <w:rPr>
                <w:sz w:val="1"/>
                <w:szCs w:val="1"/>
                <w:color w:val="auto"/>
              </w:rPr>
            </w:pPr>
          </w:p>
        </w:tc>
        <w:tc>
          <w:tcPr>
            <w:tcW w:w="40" w:type="dxa"/>
            <w:vAlign w:val="bottom"/>
            <w:shd w:val="clear" w:color="auto" w:fill="B2B2B2"/>
          </w:tcPr>
          <w:p>
            <w:pPr>
              <w:spacing w:after="0" w:line="20" w:lineRule="exact"/>
              <w:rPr>
                <w:sz w:val="1"/>
                <w:szCs w:val="1"/>
                <w:color w:val="auto"/>
              </w:rPr>
            </w:pPr>
          </w:p>
        </w:tc>
        <w:tc>
          <w:tcPr>
            <w:tcW w:w="140" w:type="dxa"/>
            <w:vAlign w:val="bottom"/>
            <w:shd w:val="clear" w:color="auto" w:fill="B2B2B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80" w:type="dxa"/>
            <w:vAlign w:val="bottom"/>
            <w:shd w:val="clear" w:color="auto" w:fill="B2B2B2"/>
          </w:tcPr>
          <w:p>
            <w:pPr>
              <w:spacing w:after="0"/>
              <w:rPr>
                <w:sz w:val="17"/>
                <w:szCs w:val="17"/>
                <w:color w:val="auto"/>
              </w:rPr>
            </w:pPr>
          </w:p>
        </w:tc>
        <w:tc>
          <w:tcPr>
            <w:tcW w:w="500" w:type="dxa"/>
            <w:vAlign w:val="bottom"/>
            <w:shd w:val="clear" w:color="auto" w:fill="B2B2B2"/>
          </w:tcPr>
          <w:p>
            <w:pPr>
              <w:spacing w:after="0"/>
              <w:rPr>
                <w:sz w:val="17"/>
                <w:szCs w:val="17"/>
                <w:color w:val="auto"/>
              </w:rPr>
            </w:pPr>
          </w:p>
        </w:tc>
        <w:tc>
          <w:tcPr>
            <w:tcW w:w="300" w:type="dxa"/>
            <w:vAlign w:val="bottom"/>
            <w:tcBorders>
              <w:right w:val="single" w:sz="8" w:color="B2B2B2"/>
            </w:tcBorders>
            <w:shd w:val="clear" w:color="auto" w:fill="B2B2B2"/>
          </w:tcPr>
          <w:p>
            <w:pPr>
              <w:spacing w:after="0"/>
              <w:rPr>
                <w:sz w:val="17"/>
                <w:szCs w:val="17"/>
                <w:color w:val="auto"/>
              </w:rPr>
            </w:pPr>
          </w:p>
        </w:tc>
        <w:tc>
          <w:tcPr>
            <w:tcW w:w="280" w:type="dxa"/>
            <w:vAlign w:val="bottom"/>
            <w:shd w:val="clear" w:color="auto" w:fill="B2B2B2"/>
          </w:tcPr>
          <w:p>
            <w:pPr>
              <w:spacing w:after="0"/>
              <w:rPr>
                <w:sz w:val="17"/>
                <w:szCs w:val="17"/>
                <w:color w:val="auto"/>
              </w:rPr>
            </w:pPr>
          </w:p>
        </w:tc>
        <w:tc>
          <w:tcPr>
            <w:tcW w:w="9080" w:type="dxa"/>
            <w:vAlign w:val="bottom"/>
            <w:gridSpan w:val="15"/>
            <w:shd w:val="clear" w:color="auto" w:fill="B2B2B2"/>
          </w:tcPr>
          <w:p>
            <w:pPr>
              <w:spacing w:after="0" w:line="195" w:lineRule="exact"/>
              <w:rPr>
                <w:rFonts w:ascii="Arial" w:cs="Arial" w:eastAsia="Arial" w:hAnsi="Arial"/>
                <w:sz w:val="18"/>
                <w:szCs w:val="18"/>
                <w:color w:val="0000EE"/>
              </w:rPr>
            </w:pPr>
            <w:hyperlink w:anchor="page3">
              <w:r>
                <w:rPr>
                  <w:rFonts w:ascii="Arial" w:cs="Arial" w:eastAsia="Arial" w:hAnsi="Arial"/>
                  <w:sz w:val="18"/>
                  <w:szCs w:val="18"/>
                  <w:color w:val="0000EE"/>
                </w:rPr>
                <w:t>March 31, 2021 (unaudited) and December 31, 2020</w:t>
              </w:r>
            </w:hyperlink>
          </w:p>
        </w:tc>
        <w:tc>
          <w:tcPr>
            <w:tcW w:w="660" w:type="dxa"/>
            <w:vAlign w:val="bottom"/>
            <w:gridSpan w:val="4"/>
            <w:shd w:val="clear" w:color="auto" w:fill="B2B2B2"/>
          </w:tcPr>
          <w:p>
            <w:pPr>
              <w:jc w:val="center"/>
              <w:ind w:left="390"/>
              <w:spacing w:after="0" w:line="195"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3</w:t>
              </w:r>
            </w:hyperlink>
          </w:p>
        </w:tc>
        <w:tc>
          <w:tcPr>
            <w:tcW w:w="140" w:type="dxa"/>
            <w:vAlign w:val="bottom"/>
            <w:shd w:val="clear" w:color="auto" w:fill="B2B2B2"/>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280" w:type="dxa"/>
            <w:vAlign w:val="bottom"/>
            <w:tcBorders>
              <w:top w:val="single" w:sz="8" w:color="B2B2B2"/>
            </w:tcBorders>
            <w:shd w:val="clear" w:color="auto" w:fill="B2B2B2"/>
          </w:tcPr>
          <w:p>
            <w:pPr>
              <w:spacing w:after="0"/>
              <w:rPr>
                <w:sz w:val="21"/>
                <w:szCs w:val="21"/>
                <w:color w:val="auto"/>
              </w:rPr>
            </w:pPr>
          </w:p>
        </w:tc>
        <w:tc>
          <w:tcPr>
            <w:tcW w:w="500" w:type="dxa"/>
            <w:vAlign w:val="bottom"/>
            <w:tcBorders>
              <w:top w:val="single" w:sz="8" w:color="B2B2B2"/>
            </w:tcBorders>
            <w:shd w:val="clear" w:color="auto" w:fill="B2B2B2"/>
          </w:tcPr>
          <w:p>
            <w:pPr>
              <w:spacing w:after="0"/>
              <w:rPr>
                <w:sz w:val="21"/>
                <w:szCs w:val="21"/>
                <w:color w:val="auto"/>
              </w:rPr>
            </w:pPr>
          </w:p>
        </w:tc>
        <w:tc>
          <w:tcPr>
            <w:tcW w:w="300" w:type="dxa"/>
            <w:vAlign w:val="bottom"/>
            <w:tcBorders>
              <w:top w:val="single" w:sz="8" w:color="B2B2B2"/>
              <w:right w:val="single" w:sz="8" w:color="B2B2B2"/>
            </w:tcBorders>
            <w:shd w:val="clear" w:color="auto" w:fill="B2B2B2"/>
          </w:tcPr>
          <w:p>
            <w:pPr>
              <w:spacing w:after="0"/>
              <w:rPr>
                <w:sz w:val="21"/>
                <w:szCs w:val="21"/>
                <w:color w:val="auto"/>
              </w:rPr>
            </w:pPr>
          </w:p>
        </w:tc>
        <w:tc>
          <w:tcPr>
            <w:tcW w:w="280" w:type="dxa"/>
            <w:vAlign w:val="bottom"/>
            <w:tcBorders>
              <w:top w:val="single" w:sz="8" w:color="B2B2B2"/>
            </w:tcBorders>
            <w:shd w:val="clear" w:color="auto" w:fill="B2B2B2"/>
          </w:tcPr>
          <w:p>
            <w:pPr>
              <w:spacing w:after="0"/>
              <w:rPr>
                <w:sz w:val="21"/>
                <w:szCs w:val="21"/>
                <w:color w:val="auto"/>
              </w:rPr>
            </w:pPr>
          </w:p>
        </w:tc>
        <w:tc>
          <w:tcPr>
            <w:tcW w:w="20" w:type="dxa"/>
            <w:vAlign w:val="bottom"/>
            <w:tcBorders>
              <w:top w:val="single" w:sz="8" w:color="0000EE"/>
            </w:tcBorders>
            <w:shd w:val="clear" w:color="auto" w:fill="B2B2B2"/>
          </w:tcPr>
          <w:p>
            <w:pPr>
              <w:spacing w:after="0"/>
              <w:rPr>
                <w:sz w:val="21"/>
                <w:szCs w:val="21"/>
                <w:color w:val="auto"/>
              </w:rPr>
            </w:pPr>
          </w:p>
        </w:tc>
        <w:tc>
          <w:tcPr>
            <w:tcW w:w="1780" w:type="dxa"/>
            <w:vAlign w:val="bottom"/>
            <w:tcBorders>
              <w:top w:val="single" w:sz="8" w:color="0000EE"/>
            </w:tcBorders>
            <w:shd w:val="clear" w:color="auto" w:fill="B2B2B2"/>
          </w:tcPr>
          <w:p>
            <w:pPr>
              <w:spacing w:after="0"/>
              <w:rPr>
                <w:sz w:val="21"/>
                <w:szCs w:val="21"/>
                <w:color w:val="auto"/>
              </w:rPr>
            </w:pPr>
          </w:p>
        </w:tc>
        <w:tc>
          <w:tcPr>
            <w:tcW w:w="60" w:type="dxa"/>
            <w:vAlign w:val="bottom"/>
            <w:tcBorders>
              <w:top w:val="single" w:sz="8" w:color="0000EE"/>
            </w:tcBorders>
            <w:shd w:val="clear" w:color="auto" w:fill="B2B2B2"/>
          </w:tcPr>
          <w:p>
            <w:pPr>
              <w:spacing w:after="0"/>
              <w:rPr>
                <w:sz w:val="21"/>
                <w:szCs w:val="21"/>
                <w:color w:val="auto"/>
              </w:rPr>
            </w:pPr>
          </w:p>
        </w:tc>
        <w:tc>
          <w:tcPr>
            <w:tcW w:w="140" w:type="dxa"/>
            <w:vAlign w:val="bottom"/>
            <w:tcBorders>
              <w:top w:val="single" w:sz="8" w:color="0000EE"/>
            </w:tcBorders>
            <w:shd w:val="clear" w:color="auto" w:fill="B2B2B2"/>
          </w:tcPr>
          <w:p>
            <w:pPr>
              <w:spacing w:after="0"/>
              <w:rPr>
                <w:sz w:val="21"/>
                <w:szCs w:val="21"/>
                <w:color w:val="auto"/>
              </w:rPr>
            </w:pPr>
          </w:p>
        </w:tc>
        <w:tc>
          <w:tcPr>
            <w:tcW w:w="280" w:type="dxa"/>
            <w:vAlign w:val="bottom"/>
            <w:tcBorders>
              <w:top w:val="single" w:sz="8" w:color="0000EE"/>
            </w:tcBorders>
            <w:shd w:val="clear" w:color="auto" w:fill="B2B2B2"/>
          </w:tcPr>
          <w:p>
            <w:pPr>
              <w:spacing w:after="0"/>
              <w:rPr>
                <w:sz w:val="21"/>
                <w:szCs w:val="21"/>
                <w:color w:val="auto"/>
              </w:rPr>
            </w:pPr>
          </w:p>
        </w:tc>
        <w:tc>
          <w:tcPr>
            <w:tcW w:w="20" w:type="dxa"/>
            <w:vAlign w:val="bottom"/>
            <w:tcBorders>
              <w:top w:val="single" w:sz="8" w:color="0000EE"/>
            </w:tcBorders>
            <w:shd w:val="clear" w:color="auto" w:fill="B2B2B2"/>
          </w:tcPr>
          <w:p>
            <w:pPr>
              <w:spacing w:after="0"/>
              <w:rPr>
                <w:sz w:val="21"/>
                <w:szCs w:val="21"/>
                <w:color w:val="auto"/>
              </w:rPr>
            </w:pPr>
          </w:p>
        </w:tc>
        <w:tc>
          <w:tcPr>
            <w:tcW w:w="280" w:type="dxa"/>
            <w:vAlign w:val="bottom"/>
            <w:tcBorders>
              <w:top w:val="single" w:sz="8" w:color="0000EE"/>
            </w:tcBorders>
            <w:shd w:val="clear" w:color="auto" w:fill="B2B2B2"/>
          </w:tcPr>
          <w:p>
            <w:pPr>
              <w:spacing w:after="0"/>
              <w:rPr>
                <w:sz w:val="21"/>
                <w:szCs w:val="21"/>
                <w:color w:val="auto"/>
              </w:rPr>
            </w:pPr>
          </w:p>
        </w:tc>
        <w:tc>
          <w:tcPr>
            <w:tcW w:w="680" w:type="dxa"/>
            <w:vAlign w:val="bottom"/>
            <w:tcBorders>
              <w:top w:val="single" w:sz="8" w:color="0000EE"/>
            </w:tcBorders>
            <w:shd w:val="clear" w:color="auto" w:fill="B2B2B2"/>
          </w:tcPr>
          <w:p>
            <w:pPr>
              <w:spacing w:after="0"/>
              <w:rPr>
                <w:sz w:val="21"/>
                <w:szCs w:val="21"/>
                <w:color w:val="auto"/>
              </w:rPr>
            </w:pPr>
          </w:p>
        </w:tc>
        <w:tc>
          <w:tcPr>
            <w:tcW w:w="200" w:type="dxa"/>
            <w:vAlign w:val="bottom"/>
            <w:tcBorders>
              <w:top w:val="single" w:sz="8" w:color="0000EE"/>
            </w:tcBorders>
            <w:shd w:val="clear" w:color="auto" w:fill="B2B2B2"/>
          </w:tcPr>
          <w:p>
            <w:pPr>
              <w:spacing w:after="0"/>
              <w:rPr>
                <w:sz w:val="21"/>
                <w:szCs w:val="21"/>
                <w:color w:val="auto"/>
              </w:rPr>
            </w:pPr>
          </w:p>
        </w:tc>
        <w:tc>
          <w:tcPr>
            <w:tcW w:w="280" w:type="dxa"/>
            <w:vAlign w:val="bottom"/>
            <w:tcBorders>
              <w:top w:val="single" w:sz="8" w:color="0000EE"/>
            </w:tcBorders>
            <w:shd w:val="clear" w:color="auto" w:fill="B2B2B2"/>
          </w:tcPr>
          <w:p>
            <w:pPr>
              <w:spacing w:after="0"/>
              <w:rPr>
                <w:sz w:val="21"/>
                <w:szCs w:val="21"/>
                <w:color w:val="auto"/>
              </w:rPr>
            </w:pPr>
          </w:p>
        </w:tc>
        <w:tc>
          <w:tcPr>
            <w:tcW w:w="20" w:type="dxa"/>
            <w:vAlign w:val="bottom"/>
            <w:tcBorders>
              <w:top w:val="single" w:sz="8" w:color="0000EE"/>
            </w:tcBorders>
            <w:shd w:val="clear" w:color="auto" w:fill="B2B2B2"/>
          </w:tcPr>
          <w:p>
            <w:pPr>
              <w:spacing w:after="0"/>
              <w:rPr>
                <w:sz w:val="21"/>
                <w:szCs w:val="21"/>
                <w:color w:val="auto"/>
              </w:rPr>
            </w:pPr>
          </w:p>
        </w:tc>
        <w:tc>
          <w:tcPr>
            <w:tcW w:w="460" w:type="dxa"/>
            <w:vAlign w:val="bottom"/>
            <w:tcBorders>
              <w:top w:val="single" w:sz="8" w:color="B2B2B2"/>
            </w:tcBorders>
            <w:shd w:val="clear" w:color="auto" w:fill="B2B2B2"/>
          </w:tcPr>
          <w:p>
            <w:pPr>
              <w:spacing w:after="0"/>
              <w:rPr>
                <w:sz w:val="21"/>
                <w:szCs w:val="21"/>
                <w:color w:val="auto"/>
              </w:rPr>
            </w:pPr>
          </w:p>
        </w:tc>
        <w:tc>
          <w:tcPr>
            <w:tcW w:w="1620" w:type="dxa"/>
            <w:vAlign w:val="bottom"/>
            <w:tcBorders>
              <w:top w:val="single" w:sz="8" w:color="B2B2B2"/>
            </w:tcBorders>
            <w:shd w:val="clear" w:color="auto" w:fill="B2B2B2"/>
          </w:tcPr>
          <w:p>
            <w:pPr>
              <w:spacing w:after="0"/>
              <w:rPr>
                <w:sz w:val="21"/>
                <w:szCs w:val="21"/>
                <w:color w:val="auto"/>
              </w:rPr>
            </w:pPr>
          </w:p>
        </w:tc>
        <w:tc>
          <w:tcPr>
            <w:tcW w:w="2760" w:type="dxa"/>
            <w:vAlign w:val="bottom"/>
            <w:tcBorders>
              <w:top w:val="single" w:sz="8" w:color="B2B2B2"/>
            </w:tcBorders>
            <w:shd w:val="clear" w:color="auto" w:fill="B2B2B2"/>
          </w:tcPr>
          <w:p>
            <w:pPr>
              <w:spacing w:after="0"/>
              <w:rPr>
                <w:sz w:val="21"/>
                <w:szCs w:val="21"/>
                <w:color w:val="auto"/>
              </w:rPr>
            </w:pPr>
          </w:p>
        </w:tc>
        <w:tc>
          <w:tcPr>
            <w:tcW w:w="480" w:type="dxa"/>
            <w:vAlign w:val="bottom"/>
            <w:tcBorders>
              <w:top w:val="single" w:sz="8" w:color="B2B2B2"/>
            </w:tcBorders>
            <w:shd w:val="clear" w:color="auto" w:fill="B2B2B2"/>
          </w:tcPr>
          <w:p>
            <w:pPr>
              <w:spacing w:after="0"/>
              <w:rPr>
                <w:sz w:val="21"/>
                <w:szCs w:val="21"/>
                <w:color w:val="auto"/>
              </w:rPr>
            </w:pPr>
          </w:p>
        </w:tc>
        <w:tc>
          <w:tcPr>
            <w:tcW w:w="480" w:type="dxa"/>
            <w:vAlign w:val="bottom"/>
            <w:tcBorders>
              <w:top w:val="single" w:sz="8" w:color="B2B2B2"/>
            </w:tcBorders>
            <w:shd w:val="clear" w:color="auto" w:fill="B2B2B2"/>
          </w:tcPr>
          <w:p>
            <w:pPr>
              <w:spacing w:after="0"/>
              <w:rPr>
                <w:sz w:val="21"/>
                <w:szCs w:val="21"/>
                <w:color w:val="auto"/>
              </w:rPr>
            </w:pPr>
          </w:p>
        </w:tc>
        <w:tc>
          <w:tcPr>
            <w:tcW w:w="40" w:type="dxa"/>
            <w:vAlign w:val="bottom"/>
            <w:tcBorders>
              <w:top w:val="single" w:sz="8" w:color="B2B2B2"/>
            </w:tcBorders>
            <w:shd w:val="clear" w:color="auto" w:fill="B2B2B2"/>
          </w:tcPr>
          <w:p>
            <w:pPr>
              <w:spacing w:after="0"/>
              <w:rPr>
                <w:sz w:val="21"/>
                <w:szCs w:val="21"/>
                <w:color w:val="auto"/>
              </w:rPr>
            </w:pPr>
          </w:p>
        </w:tc>
        <w:tc>
          <w:tcPr>
            <w:tcW w:w="100" w:type="dxa"/>
            <w:vAlign w:val="bottom"/>
            <w:tcBorders>
              <w:top w:val="single" w:sz="8" w:color="0000EE"/>
            </w:tcBorders>
            <w:shd w:val="clear" w:color="auto" w:fill="B2B2B2"/>
          </w:tcPr>
          <w:p>
            <w:pPr>
              <w:spacing w:after="0"/>
              <w:rPr>
                <w:sz w:val="21"/>
                <w:szCs w:val="21"/>
                <w:color w:val="auto"/>
              </w:rPr>
            </w:pPr>
          </w:p>
        </w:tc>
        <w:tc>
          <w:tcPr>
            <w:tcW w:w="40" w:type="dxa"/>
            <w:vAlign w:val="bottom"/>
            <w:tcBorders>
              <w:top w:val="single" w:sz="8" w:color="B2B2B2"/>
            </w:tcBorders>
            <w:shd w:val="clear" w:color="auto" w:fill="B2B2B2"/>
          </w:tcPr>
          <w:p>
            <w:pPr>
              <w:spacing w:after="0"/>
              <w:rPr>
                <w:sz w:val="21"/>
                <w:szCs w:val="21"/>
                <w:color w:val="auto"/>
              </w:rPr>
            </w:pPr>
          </w:p>
        </w:tc>
        <w:tc>
          <w:tcPr>
            <w:tcW w:w="140" w:type="dxa"/>
            <w:vAlign w:val="bottom"/>
            <w:tcBorders>
              <w:top w:val="single" w:sz="8" w:color="B2B2B2"/>
            </w:tcBorders>
            <w:shd w:val="clear" w:color="auto" w:fill="B2B2B2"/>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360" w:type="dxa"/>
            <w:vAlign w:val="bottom"/>
            <w:gridSpan w:val="16"/>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Statements of Income</w:t>
              </w:r>
            </w:hyperlink>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80" w:type="dxa"/>
            <w:vAlign w:val="bottom"/>
            <w:gridSpan w:val="15"/>
          </w:tcPr>
          <w:p>
            <w:pPr>
              <w:spacing w:after="0" w:line="195" w:lineRule="exact"/>
              <w:rPr>
                <w:rFonts w:ascii="Arial" w:cs="Arial" w:eastAsia="Arial" w:hAnsi="Arial"/>
                <w:sz w:val="18"/>
                <w:szCs w:val="18"/>
                <w:color w:val="0000EE"/>
              </w:rPr>
            </w:pPr>
            <w:hyperlink w:anchor="page4">
              <w:r>
                <w:rPr>
                  <w:rFonts w:ascii="Arial" w:cs="Arial" w:eastAsia="Arial" w:hAnsi="Arial"/>
                  <w:sz w:val="18"/>
                  <w:szCs w:val="18"/>
                  <w:color w:val="0000EE"/>
                </w:rPr>
                <w:t>Three months ended March 31, 2021 and 2020 (unaudited)</w:t>
              </w:r>
            </w:hyperlink>
          </w:p>
        </w:tc>
        <w:tc>
          <w:tcPr>
            <w:tcW w:w="660" w:type="dxa"/>
            <w:vAlign w:val="bottom"/>
            <w:gridSpan w:val="4"/>
          </w:tcPr>
          <w:p>
            <w:pPr>
              <w:jc w:val="center"/>
              <w:ind w:left="390"/>
              <w:spacing w:after="0" w:line="195"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4</w:t>
              </w:r>
            </w:hyperlink>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7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68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60" w:type="dxa"/>
            <w:vAlign w:val="bottom"/>
            <w:tcBorders>
              <w:top w:val="single" w:sz="8" w:color="0000EE"/>
            </w:tcBorders>
          </w:tcPr>
          <w:p>
            <w:pPr>
              <w:spacing w:after="0"/>
              <w:rPr>
                <w:sz w:val="21"/>
                <w:szCs w:val="21"/>
                <w:color w:val="auto"/>
              </w:rPr>
            </w:pPr>
          </w:p>
        </w:tc>
        <w:tc>
          <w:tcPr>
            <w:tcW w:w="162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80" w:type="dxa"/>
            <w:vAlign w:val="bottom"/>
            <w:tcBorders>
              <w:bottom w:val="single" w:sz="8" w:color="B2B2B2"/>
            </w:tcBorders>
            <w:shd w:val="clear" w:color="auto" w:fill="B2B2B2"/>
          </w:tcPr>
          <w:p>
            <w:pPr>
              <w:spacing w:after="0"/>
              <w:rPr>
                <w:sz w:val="15"/>
                <w:szCs w:val="15"/>
                <w:color w:val="auto"/>
              </w:rPr>
            </w:pPr>
          </w:p>
        </w:tc>
        <w:tc>
          <w:tcPr>
            <w:tcW w:w="500" w:type="dxa"/>
            <w:vAlign w:val="bottom"/>
            <w:tcBorders>
              <w:bottom w:val="single" w:sz="8" w:color="B2B2B2"/>
            </w:tcBorders>
            <w:shd w:val="clear" w:color="auto" w:fill="B2B2B2"/>
          </w:tcPr>
          <w:p>
            <w:pPr>
              <w:spacing w:after="0"/>
              <w:rPr>
                <w:sz w:val="15"/>
                <w:szCs w:val="15"/>
                <w:color w:val="auto"/>
              </w:rPr>
            </w:pPr>
          </w:p>
        </w:tc>
        <w:tc>
          <w:tcPr>
            <w:tcW w:w="300" w:type="dxa"/>
            <w:vAlign w:val="bottom"/>
            <w:tcBorders>
              <w:bottom w:val="single" w:sz="8" w:color="B2B2B2"/>
              <w:right w:val="single" w:sz="8" w:color="B2B2B2"/>
            </w:tcBorders>
            <w:shd w:val="clear" w:color="auto" w:fill="B2B2B2"/>
          </w:tcPr>
          <w:p>
            <w:pPr>
              <w:spacing w:after="0"/>
              <w:rPr>
                <w:sz w:val="15"/>
                <w:szCs w:val="15"/>
                <w:color w:val="auto"/>
              </w:rPr>
            </w:pPr>
          </w:p>
        </w:tc>
        <w:tc>
          <w:tcPr>
            <w:tcW w:w="3740" w:type="dxa"/>
            <w:vAlign w:val="bottom"/>
            <w:tcBorders>
              <w:bottom w:val="single" w:sz="8" w:color="0000EE"/>
            </w:tcBorders>
            <w:gridSpan w:val="10"/>
            <w:shd w:val="clear" w:color="auto" w:fill="B2B2B2"/>
          </w:tcPr>
          <w:p>
            <w:pPr>
              <w:spacing w:after="0" w:line="17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Statements of Comprehensive Income</w:t>
              </w:r>
            </w:hyperlink>
          </w:p>
        </w:tc>
        <w:tc>
          <w:tcPr>
            <w:tcW w:w="5620" w:type="dxa"/>
            <w:vAlign w:val="bottom"/>
            <w:tcBorders>
              <w:bottom w:val="single" w:sz="8" w:color="B2B2B2"/>
            </w:tcBorders>
            <w:gridSpan w:val="6"/>
            <w:shd w:val="clear" w:color="auto" w:fill="B2B2B2"/>
          </w:tcPr>
          <w:p>
            <w:pPr>
              <w:spacing w:after="0"/>
              <w:rPr>
                <w:sz w:val="15"/>
                <w:szCs w:val="15"/>
                <w:color w:val="auto"/>
              </w:rPr>
            </w:pPr>
          </w:p>
        </w:tc>
        <w:tc>
          <w:tcPr>
            <w:tcW w:w="480" w:type="dxa"/>
            <w:vAlign w:val="bottom"/>
            <w:tcBorders>
              <w:bottom w:val="single" w:sz="8" w:color="B2B2B2"/>
            </w:tcBorders>
            <w:shd w:val="clear" w:color="auto" w:fill="B2B2B2"/>
          </w:tcPr>
          <w:p>
            <w:pPr>
              <w:spacing w:after="0"/>
              <w:rPr>
                <w:sz w:val="15"/>
                <w:szCs w:val="15"/>
                <w:color w:val="auto"/>
              </w:rPr>
            </w:pPr>
          </w:p>
        </w:tc>
        <w:tc>
          <w:tcPr>
            <w:tcW w:w="40" w:type="dxa"/>
            <w:vAlign w:val="bottom"/>
            <w:tcBorders>
              <w:bottom w:val="single" w:sz="8" w:color="B2B2B2"/>
            </w:tcBorders>
            <w:shd w:val="clear" w:color="auto" w:fill="B2B2B2"/>
          </w:tcPr>
          <w:p>
            <w:pPr>
              <w:spacing w:after="0"/>
              <w:rPr>
                <w:sz w:val="15"/>
                <w:szCs w:val="15"/>
                <w:color w:val="auto"/>
              </w:rPr>
            </w:pPr>
          </w:p>
        </w:tc>
        <w:tc>
          <w:tcPr>
            <w:tcW w:w="100" w:type="dxa"/>
            <w:vAlign w:val="bottom"/>
            <w:tcBorders>
              <w:bottom w:val="single" w:sz="8" w:color="B2B2B2"/>
            </w:tcBorders>
            <w:shd w:val="clear" w:color="auto" w:fill="B2B2B2"/>
          </w:tcPr>
          <w:p>
            <w:pPr>
              <w:spacing w:after="0"/>
              <w:rPr>
                <w:sz w:val="15"/>
                <w:szCs w:val="15"/>
                <w:color w:val="auto"/>
              </w:rPr>
            </w:pPr>
          </w:p>
        </w:tc>
        <w:tc>
          <w:tcPr>
            <w:tcW w:w="40" w:type="dxa"/>
            <w:vAlign w:val="bottom"/>
            <w:tcBorders>
              <w:bottom w:val="single" w:sz="8" w:color="B2B2B2"/>
            </w:tcBorders>
            <w:shd w:val="clear" w:color="auto" w:fill="B2B2B2"/>
          </w:tcPr>
          <w:p>
            <w:pPr>
              <w:spacing w:after="0"/>
              <w:rPr>
                <w:sz w:val="15"/>
                <w:szCs w:val="15"/>
                <w:color w:val="auto"/>
              </w:rPr>
            </w:pPr>
          </w:p>
        </w:tc>
        <w:tc>
          <w:tcPr>
            <w:tcW w:w="140" w:type="dxa"/>
            <w:vAlign w:val="bottom"/>
            <w:tcBorders>
              <w:bottom w:val="single" w:sz="8" w:color="B2B2B2"/>
            </w:tcBorders>
            <w:shd w:val="clear" w:color="auto" w:fill="B2B2B2"/>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80" w:type="dxa"/>
            <w:vAlign w:val="bottom"/>
            <w:shd w:val="clear" w:color="auto" w:fill="B2B2B2"/>
          </w:tcPr>
          <w:p>
            <w:pPr>
              <w:spacing w:after="0"/>
              <w:rPr>
                <w:sz w:val="17"/>
                <w:szCs w:val="17"/>
                <w:color w:val="auto"/>
              </w:rPr>
            </w:pPr>
          </w:p>
        </w:tc>
        <w:tc>
          <w:tcPr>
            <w:tcW w:w="500" w:type="dxa"/>
            <w:vAlign w:val="bottom"/>
            <w:shd w:val="clear" w:color="auto" w:fill="B2B2B2"/>
          </w:tcPr>
          <w:p>
            <w:pPr>
              <w:spacing w:after="0"/>
              <w:rPr>
                <w:sz w:val="17"/>
                <w:szCs w:val="17"/>
                <w:color w:val="auto"/>
              </w:rPr>
            </w:pPr>
          </w:p>
        </w:tc>
        <w:tc>
          <w:tcPr>
            <w:tcW w:w="300" w:type="dxa"/>
            <w:vAlign w:val="bottom"/>
            <w:tcBorders>
              <w:right w:val="single" w:sz="8" w:color="B2B2B2"/>
            </w:tcBorders>
            <w:shd w:val="clear" w:color="auto" w:fill="B2B2B2"/>
          </w:tcPr>
          <w:p>
            <w:pPr>
              <w:spacing w:after="0"/>
              <w:rPr>
                <w:sz w:val="17"/>
                <w:szCs w:val="17"/>
                <w:color w:val="auto"/>
              </w:rPr>
            </w:pPr>
          </w:p>
        </w:tc>
        <w:tc>
          <w:tcPr>
            <w:tcW w:w="280" w:type="dxa"/>
            <w:vAlign w:val="bottom"/>
            <w:shd w:val="clear" w:color="auto" w:fill="B2B2B2"/>
          </w:tcPr>
          <w:p>
            <w:pPr>
              <w:spacing w:after="0"/>
              <w:rPr>
                <w:sz w:val="17"/>
                <w:szCs w:val="17"/>
                <w:color w:val="auto"/>
              </w:rPr>
            </w:pPr>
          </w:p>
        </w:tc>
        <w:tc>
          <w:tcPr>
            <w:tcW w:w="9080" w:type="dxa"/>
            <w:vAlign w:val="bottom"/>
            <w:gridSpan w:val="15"/>
            <w:shd w:val="clear" w:color="auto" w:fill="B2B2B2"/>
          </w:tcPr>
          <w:p>
            <w:pPr>
              <w:spacing w:after="0" w:line="195" w:lineRule="exact"/>
              <w:rPr>
                <w:rFonts w:ascii="Arial" w:cs="Arial" w:eastAsia="Arial" w:hAnsi="Arial"/>
                <w:sz w:val="18"/>
                <w:szCs w:val="18"/>
                <w:color w:val="0000EE"/>
              </w:rPr>
            </w:pPr>
            <w:hyperlink w:anchor="page5">
              <w:r>
                <w:rPr>
                  <w:rFonts w:ascii="Arial" w:cs="Arial" w:eastAsia="Arial" w:hAnsi="Arial"/>
                  <w:sz w:val="18"/>
                  <w:szCs w:val="18"/>
                  <w:color w:val="0000EE"/>
                </w:rPr>
                <w:t>Three months ended March 31, 2021 and 2020 (unaudited)</w:t>
              </w:r>
            </w:hyperlink>
          </w:p>
        </w:tc>
        <w:tc>
          <w:tcPr>
            <w:tcW w:w="660" w:type="dxa"/>
            <w:vAlign w:val="bottom"/>
            <w:gridSpan w:val="4"/>
            <w:shd w:val="clear" w:color="auto" w:fill="B2B2B2"/>
          </w:tcPr>
          <w:p>
            <w:pPr>
              <w:jc w:val="center"/>
              <w:ind w:left="390"/>
              <w:spacing w:after="0" w:line="195"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5</w:t>
              </w:r>
            </w:hyperlink>
          </w:p>
        </w:tc>
        <w:tc>
          <w:tcPr>
            <w:tcW w:w="140" w:type="dxa"/>
            <w:vAlign w:val="bottom"/>
            <w:shd w:val="clear" w:color="auto" w:fill="B2B2B2"/>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280" w:type="dxa"/>
            <w:vAlign w:val="bottom"/>
            <w:tcBorders>
              <w:top w:val="single" w:sz="8" w:color="B2B2B2"/>
            </w:tcBorders>
            <w:shd w:val="clear" w:color="auto" w:fill="B2B2B2"/>
          </w:tcPr>
          <w:p>
            <w:pPr>
              <w:spacing w:after="0"/>
              <w:rPr>
                <w:sz w:val="21"/>
                <w:szCs w:val="21"/>
                <w:color w:val="auto"/>
              </w:rPr>
            </w:pPr>
          </w:p>
        </w:tc>
        <w:tc>
          <w:tcPr>
            <w:tcW w:w="500" w:type="dxa"/>
            <w:vAlign w:val="bottom"/>
            <w:tcBorders>
              <w:top w:val="single" w:sz="8" w:color="B2B2B2"/>
            </w:tcBorders>
            <w:shd w:val="clear" w:color="auto" w:fill="B2B2B2"/>
          </w:tcPr>
          <w:p>
            <w:pPr>
              <w:spacing w:after="0"/>
              <w:rPr>
                <w:sz w:val="21"/>
                <w:szCs w:val="21"/>
                <w:color w:val="auto"/>
              </w:rPr>
            </w:pPr>
          </w:p>
        </w:tc>
        <w:tc>
          <w:tcPr>
            <w:tcW w:w="300" w:type="dxa"/>
            <w:vAlign w:val="bottom"/>
            <w:tcBorders>
              <w:top w:val="single" w:sz="8" w:color="B2B2B2"/>
              <w:right w:val="single" w:sz="8" w:color="B2B2B2"/>
            </w:tcBorders>
            <w:shd w:val="clear" w:color="auto" w:fill="B2B2B2"/>
          </w:tcPr>
          <w:p>
            <w:pPr>
              <w:spacing w:after="0"/>
              <w:rPr>
                <w:sz w:val="21"/>
                <w:szCs w:val="21"/>
                <w:color w:val="auto"/>
              </w:rPr>
            </w:pPr>
          </w:p>
        </w:tc>
        <w:tc>
          <w:tcPr>
            <w:tcW w:w="280" w:type="dxa"/>
            <w:vAlign w:val="bottom"/>
            <w:tcBorders>
              <w:top w:val="single" w:sz="8" w:color="B2B2B2"/>
            </w:tcBorders>
            <w:shd w:val="clear" w:color="auto" w:fill="B2B2B2"/>
          </w:tcPr>
          <w:p>
            <w:pPr>
              <w:spacing w:after="0"/>
              <w:rPr>
                <w:sz w:val="21"/>
                <w:szCs w:val="21"/>
                <w:color w:val="auto"/>
              </w:rPr>
            </w:pPr>
          </w:p>
        </w:tc>
        <w:tc>
          <w:tcPr>
            <w:tcW w:w="20" w:type="dxa"/>
            <w:vAlign w:val="bottom"/>
            <w:tcBorders>
              <w:top w:val="single" w:sz="8" w:color="0000EE"/>
            </w:tcBorders>
            <w:shd w:val="clear" w:color="auto" w:fill="B2B2B2"/>
          </w:tcPr>
          <w:p>
            <w:pPr>
              <w:spacing w:after="0"/>
              <w:rPr>
                <w:sz w:val="21"/>
                <w:szCs w:val="21"/>
                <w:color w:val="auto"/>
              </w:rPr>
            </w:pPr>
          </w:p>
        </w:tc>
        <w:tc>
          <w:tcPr>
            <w:tcW w:w="1780" w:type="dxa"/>
            <w:vAlign w:val="bottom"/>
            <w:tcBorders>
              <w:top w:val="single" w:sz="8" w:color="0000EE"/>
            </w:tcBorders>
            <w:shd w:val="clear" w:color="auto" w:fill="B2B2B2"/>
          </w:tcPr>
          <w:p>
            <w:pPr>
              <w:spacing w:after="0"/>
              <w:rPr>
                <w:sz w:val="21"/>
                <w:szCs w:val="21"/>
                <w:color w:val="auto"/>
              </w:rPr>
            </w:pPr>
          </w:p>
        </w:tc>
        <w:tc>
          <w:tcPr>
            <w:tcW w:w="60" w:type="dxa"/>
            <w:vAlign w:val="bottom"/>
            <w:tcBorders>
              <w:top w:val="single" w:sz="8" w:color="0000EE"/>
            </w:tcBorders>
            <w:shd w:val="clear" w:color="auto" w:fill="B2B2B2"/>
          </w:tcPr>
          <w:p>
            <w:pPr>
              <w:spacing w:after="0"/>
              <w:rPr>
                <w:sz w:val="21"/>
                <w:szCs w:val="21"/>
                <w:color w:val="auto"/>
              </w:rPr>
            </w:pPr>
          </w:p>
        </w:tc>
        <w:tc>
          <w:tcPr>
            <w:tcW w:w="140" w:type="dxa"/>
            <w:vAlign w:val="bottom"/>
            <w:tcBorders>
              <w:top w:val="single" w:sz="8" w:color="0000EE"/>
            </w:tcBorders>
            <w:shd w:val="clear" w:color="auto" w:fill="B2B2B2"/>
          </w:tcPr>
          <w:p>
            <w:pPr>
              <w:spacing w:after="0"/>
              <w:rPr>
                <w:sz w:val="21"/>
                <w:szCs w:val="21"/>
                <w:color w:val="auto"/>
              </w:rPr>
            </w:pPr>
          </w:p>
        </w:tc>
        <w:tc>
          <w:tcPr>
            <w:tcW w:w="280" w:type="dxa"/>
            <w:vAlign w:val="bottom"/>
            <w:tcBorders>
              <w:top w:val="single" w:sz="8" w:color="0000EE"/>
            </w:tcBorders>
            <w:shd w:val="clear" w:color="auto" w:fill="B2B2B2"/>
          </w:tcPr>
          <w:p>
            <w:pPr>
              <w:spacing w:after="0"/>
              <w:rPr>
                <w:sz w:val="21"/>
                <w:szCs w:val="21"/>
                <w:color w:val="auto"/>
              </w:rPr>
            </w:pPr>
          </w:p>
        </w:tc>
        <w:tc>
          <w:tcPr>
            <w:tcW w:w="20" w:type="dxa"/>
            <w:vAlign w:val="bottom"/>
            <w:tcBorders>
              <w:top w:val="single" w:sz="8" w:color="0000EE"/>
            </w:tcBorders>
            <w:shd w:val="clear" w:color="auto" w:fill="B2B2B2"/>
          </w:tcPr>
          <w:p>
            <w:pPr>
              <w:spacing w:after="0"/>
              <w:rPr>
                <w:sz w:val="21"/>
                <w:szCs w:val="21"/>
                <w:color w:val="auto"/>
              </w:rPr>
            </w:pPr>
          </w:p>
        </w:tc>
        <w:tc>
          <w:tcPr>
            <w:tcW w:w="280" w:type="dxa"/>
            <w:vAlign w:val="bottom"/>
            <w:tcBorders>
              <w:top w:val="single" w:sz="8" w:color="0000EE"/>
            </w:tcBorders>
            <w:shd w:val="clear" w:color="auto" w:fill="B2B2B2"/>
          </w:tcPr>
          <w:p>
            <w:pPr>
              <w:spacing w:after="0"/>
              <w:rPr>
                <w:sz w:val="21"/>
                <w:szCs w:val="21"/>
                <w:color w:val="auto"/>
              </w:rPr>
            </w:pPr>
          </w:p>
        </w:tc>
        <w:tc>
          <w:tcPr>
            <w:tcW w:w="680" w:type="dxa"/>
            <w:vAlign w:val="bottom"/>
            <w:tcBorders>
              <w:top w:val="single" w:sz="8" w:color="0000EE"/>
            </w:tcBorders>
            <w:shd w:val="clear" w:color="auto" w:fill="B2B2B2"/>
          </w:tcPr>
          <w:p>
            <w:pPr>
              <w:spacing w:after="0"/>
              <w:rPr>
                <w:sz w:val="21"/>
                <w:szCs w:val="21"/>
                <w:color w:val="auto"/>
              </w:rPr>
            </w:pPr>
          </w:p>
        </w:tc>
        <w:tc>
          <w:tcPr>
            <w:tcW w:w="200" w:type="dxa"/>
            <w:vAlign w:val="bottom"/>
            <w:tcBorders>
              <w:top w:val="single" w:sz="8" w:color="0000EE"/>
            </w:tcBorders>
            <w:shd w:val="clear" w:color="auto" w:fill="B2B2B2"/>
          </w:tcPr>
          <w:p>
            <w:pPr>
              <w:spacing w:after="0"/>
              <w:rPr>
                <w:sz w:val="21"/>
                <w:szCs w:val="21"/>
                <w:color w:val="auto"/>
              </w:rPr>
            </w:pPr>
          </w:p>
        </w:tc>
        <w:tc>
          <w:tcPr>
            <w:tcW w:w="280" w:type="dxa"/>
            <w:vAlign w:val="bottom"/>
            <w:tcBorders>
              <w:top w:val="single" w:sz="8" w:color="0000EE"/>
            </w:tcBorders>
            <w:shd w:val="clear" w:color="auto" w:fill="B2B2B2"/>
          </w:tcPr>
          <w:p>
            <w:pPr>
              <w:spacing w:after="0"/>
              <w:rPr>
                <w:sz w:val="21"/>
                <w:szCs w:val="21"/>
                <w:color w:val="auto"/>
              </w:rPr>
            </w:pPr>
          </w:p>
        </w:tc>
        <w:tc>
          <w:tcPr>
            <w:tcW w:w="20" w:type="dxa"/>
            <w:vAlign w:val="bottom"/>
            <w:tcBorders>
              <w:top w:val="single" w:sz="8" w:color="0000EE"/>
            </w:tcBorders>
            <w:shd w:val="clear" w:color="auto" w:fill="B2B2B2"/>
          </w:tcPr>
          <w:p>
            <w:pPr>
              <w:spacing w:after="0"/>
              <w:rPr>
                <w:sz w:val="21"/>
                <w:szCs w:val="21"/>
                <w:color w:val="auto"/>
              </w:rPr>
            </w:pPr>
          </w:p>
        </w:tc>
        <w:tc>
          <w:tcPr>
            <w:tcW w:w="460" w:type="dxa"/>
            <w:vAlign w:val="bottom"/>
            <w:tcBorders>
              <w:top w:val="single" w:sz="8" w:color="0000EE"/>
            </w:tcBorders>
            <w:shd w:val="clear" w:color="auto" w:fill="B2B2B2"/>
          </w:tcPr>
          <w:p>
            <w:pPr>
              <w:spacing w:after="0"/>
              <w:rPr>
                <w:sz w:val="21"/>
                <w:szCs w:val="21"/>
                <w:color w:val="auto"/>
              </w:rPr>
            </w:pPr>
          </w:p>
        </w:tc>
        <w:tc>
          <w:tcPr>
            <w:tcW w:w="1620" w:type="dxa"/>
            <w:vAlign w:val="bottom"/>
            <w:tcBorders>
              <w:top w:val="single" w:sz="8" w:color="B2B2B2"/>
            </w:tcBorders>
            <w:shd w:val="clear" w:color="auto" w:fill="B2B2B2"/>
          </w:tcPr>
          <w:p>
            <w:pPr>
              <w:spacing w:after="0"/>
              <w:rPr>
                <w:sz w:val="21"/>
                <w:szCs w:val="21"/>
                <w:color w:val="auto"/>
              </w:rPr>
            </w:pPr>
          </w:p>
        </w:tc>
        <w:tc>
          <w:tcPr>
            <w:tcW w:w="2760" w:type="dxa"/>
            <w:vAlign w:val="bottom"/>
            <w:tcBorders>
              <w:top w:val="single" w:sz="8" w:color="B2B2B2"/>
            </w:tcBorders>
            <w:shd w:val="clear" w:color="auto" w:fill="B2B2B2"/>
          </w:tcPr>
          <w:p>
            <w:pPr>
              <w:spacing w:after="0"/>
              <w:rPr>
                <w:sz w:val="21"/>
                <w:szCs w:val="21"/>
                <w:color w:val="auto"/>
              </w:rPr>
            </w:pPr>
          </w:p>
        </w:tc>
        <w:tc>
          <w:tcPr>
            <w:tcW w:w="480" w:type="dxa"/>
            <w:vAlign w:val="bottom"/>
            <w:tcBorders>
              <w:top w:val="single" w:sz="8" w:color="B2B2B2"/>
            </w:tcBorders>
            <w:shd w:val="clear" w:color="auto" w:fill="B2B2B2"/>
          </w:tcPr>
          <w:p>
            <w:pPr>
              <w:spacing w:after="0"/>
              <w:rPr>
                <w:sz w:val="21"/>
                <w:szCs w:val="21"/>
                <w:color w:val="auto"/>
              </w:rPr>
            </w:pPr>
          </w:p>
        </w:tc>
        <w:tc>
          <w:tcPr>
            <w:tcW w:w="480" w:type="dxa"/>
            <w:vAlign w:val="bottom"/>
            <w:tcBorders>
              <w:top w:val="single" w:sz="8" w:color="B2B2B2"/>
            </w:tcBorders>
            <w:shd w:val="clear" w:color="auto" w:fill="B2B2B2"/>
          </w:tcPr>
          <w:p>
            <w:pPr>
              <w:spacing w:after="0"/>
              <w:rPr>
                <w:sz w:val="21"/>
                <w:szCs w:val="21"/>
                <w:color w:val="auto"/>
              </w:rPr>
            </w:pPr>
          </w:p>
        </w:tc>
        <w:tc>
          <w:tcPr>
            <w:tcW w:w="40" w:type="dxa"/>
            <w:vAlign w:val="bottom"/>
            <w:tcBorders>
              <w:top w:val="single" w:sz="8" w:color="B2B2B2"/>
            </w:tcBorders>
            <w:shd w:val="clear" w:color="auto" w:fill="B2B2B2"/>
          </w:tcPr>
          <w:p>
            <w:pPr>
              <w:spacing w:after="0"/>
              <w:rPr>
                <w:sz w:val="21"/>
                <w:szCs w:val="21"/>
                <w:color w:val="auto"/>
              </w:rPr>
            </w:pPr>
          </w:p>
        </w:tc>
        <w:tc>
          <w:tcPr>
            <w:tcW w:w="100" w:type="dxa"/>
            <w:vAlign w:val="bottom"/>
            <w:tcBorders>
              <w:top w:val="single" w:sz="8" w:color="0000EE"/>
            </w:tcBorders>
            <w:shd w:val="clear" w:color="auto" w:fill="B2B2B2"/>
          </w:tcPr>
          <w:p>
            <w:pPr>
              <w:spacing w:after="0"/>
              <w:rPr>
                <w:sz w:val="21"/>
                <w:szCs w:val="21"/>
                <w:color w:val="auto"/>
              </w:rPr>
            </w:pPr>
          </w:p>
        </w:tc>
        <w:tc>
          <w:tcPr>
            <w:tcW w:w="40" w:type="dxa"/>
            <w:vAlign w:val="bottom"/>
            <w:tcBorders>
              <w:top w:val="single" w:sz="8" w:color="B2B2B2"/>
            </w:tcBorders>
            <w:shd w:val="clear" w:color="auto" w:fill="B2B2B2"/>
          </w:tcPr>
          <w:p>
            <w:pPr>
              <w:spacing w:after="0"/>
              <w:rPr>
                <w:sz w:val="21"/>
                <w:szCs w:val="21"/>
                <w:color w:val="auto"/>
              </w:rPr>
            </w:pPr>
          </w:p>
        </w:tc>
        <w:tc>
          <w:tcPr>
            <w:tcW w:w="140" w:type="dxa"/>
            <w:vAlign w:val="bottom"/>
            <w:tcBorders>
              <w:top w:val="single" w:sz="8" w:color="B2B2B2"/>
            </w:tcBorders>
            <w:shd w:val="clear" w:color="auto" w:fill="B2B2B2"/>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360" w:type="dxa"/>
            <w:vAlign w:val="bottom"/>
            <w:gridSpan w:val="16"/>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w:t>
              </w:r>
            </w:hyperlink>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80" w:type="dxa"/>
            <w:vAlign w:val="bottom"/>
            <w:gridSpan w:val="15"/>
          </w:tcPr>
          <w:p>
            <w:pPr>
              <w:spacing w:after="0" w:line="195" w:lineRule="exact"/>
              <w:rPr>
                <w:rFonts w:ascii="Arial" w:cs="Arial" w:eastAsia="Arial" w:hAnsi="Arial"/>
                <w:sz w:val="18"/>
                <w:szCs w:val="18"/>
                <w:color w:val="0000EE"/>
              </w:rPr>
            </w:pPr>
            <w:hyperlink w:anchor="page6">
              <w:r>
                <w:rPr>
                  <w:rFonts w:ascii="Arial" w:cs="Arial" w:eastAsia="Arial" w:hAnsi="Arial"/>
                  <w:sz w:val="18"/>
                  <w:szCs w:val="18"/>
                  <w:color w:val="0000EE"/>
                </w:rPr>
                <w:t>Three months ended March 31, 2021 and 2020 (unaudited)</w:t>
              </w:r>
            </w:hyperlink>
          </w:p>
        </w:tc>
        <w:tc>
          <w:tcPr>
            <w:tcW w:w="660" w:type="dxa"/>
            <w:vAlign w:val="bottom"/>
            <w:gridSpan w:val="4"/>
          </w:tcPr>
          <w:p>
            <w:pPr>
              <w:jc w:val="center"/>
              <w:ind w:left="390"/>
              <w:spacing w:after="0" w:line="195" w:lineRule="exact"/>
              <w:rPr>
                <w:rFonts w:ascii="Arial" w:cs="Arial" w:eastAsia="Arial" w:hAnsi="Arial"/>
                <w:sz w:val="18"/>
                <w:szCs w:val="18"/>
                <w:color w:val="0000EE"/>
                <w:w w:val="99"/>
              </w:rPr>
            </w:pPr>
            <w:hyperlink w:anchor="page6">
              <w:r>
                <w:rPr>
                  <w:rFonts w:ascii="Arial" w:cs="Arial" w:eastAsia="Arial" w:hAnsi="Arial"/>
                  <w:sz w:val="18"/>
                  <w:szCs w:val="18"/>
                  <w:color w:val="0000EE"/>
                  <w:w w:val="99"/>
                </w:rPr>
                <w:t>6</w:t>
              </w:r>
            </w:hyperlink>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7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68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60" w:type="dxa"/>
            <w:vAlign w:val="bottom"/>
            <w:tcBorders>
              <w:top w:val="single" w:sz="8" w:color="0000EE"/>
            </w:tcBorders>
          </w:tcPr>
          <w:p>
            <w:pPr>
              <w:spacing w:after="0"/>
              <w:rPr>
                <w:sz w:val="21"/>
                <w:szCs w:val="21"/>
                <w:color w:val="auto"/>
              </w:rPr>
            </w:pPr>
          </w:p>
        </w:tc>
        <w:tc>
          <w:tcPr>
            <w:tcW w:w="162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80" w:type="dxa"/>
            <w:vAlign w:val="bottom"/>
            <w:shd w:val="clear" w:color="auto" w:fill="B2B2B2"/>
          </w:tcPr>
          <w:p>
            <w:pPr>
              <w:spacing w:after="0"/>
              <w:rPr>
                <w:sz w:val="15"/>
                <w:szCs w:val="15"/>
                <w:color w:val="auto"/>
              </w:rPr>
            </w:pPr>
          </w:p>
        </w:tc>
        <w:tc>
          <w:tcPr>
            <w:tcW w:w="500" w:type="dxa"/>
            <w:vAlign w:val="bottom"/>
            <w:shd w:val="clear" w:color="auto" w:fill="B2B2B2"/>
          </w:tcPr>
          <w:p>
            <w:pPr>
              <w:spacing w:after="0"/>
              <w:rPr>
                <w:sz w:val="15"/>
                <w:szCs w:val="15"/>
                <w:color w:val="auto"/>
              </w:rPr>
            </w:pPr>
          </w:p>
        </w:tc>
        <w:tc>
          <w:tcPr>
            <w:tcW w:w="300" w:type="dxa"/>
            <w:vAlign w:val="bottom"/>
            <w:tcBorders>
              <w:right w:val="single" w:sz="8" w:color="B2B2B2"/>
            </w:tcBorders>
            <w:shd w:val="clear" w:color="auto" w:fill="B2B2B2"/>
          </w:tcPr>
          <w:p>
            <w:pPr>
              <w:spacing w:after="0"/>
              <w:rPr>
                <w:sz w:val="15"/>
                <w:szCs w:val="15"/>
                <w:color w:val="auto"/>
              </w:rPr>
            </w:pPr>
          </w:p>
        </w:tc>
        <w:tc>
          <w:tcPr>
            <w:tcW w:w="9360" w:type="dxa"/>
            <w:vAlign w:val="bottom"/>
            <w:gridSpan w:val="16"/>
            <w:shd w:val="clear" w:color="auto" w:fill="B2B2B2"/>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Consolidated Statements of Shareholders’ Equity</w:t>
              </w:r>
            </w:hyperlink>
          </w:p>
        </w:tc>
        <w:tc>
          <w:tcPr>
            <w:tcW w:w="480" w:type="dxa"/>
            <w:vAlign w:val="bottom"/>
            <w:shd w:val="clear" w:color="auto" w:fill="B2B2B2"/>
          </w:tcPr>
          <w:p>
            <w:pPr>
              <w:spacing w:after="0"/>
              <w:rPr>
                <w:sz w:val="15"/>
                <w:szCs w:val="15"/>
                <w:color w:val="auto"/>
              </w:rPr>
            </w:pPr>
          </w:p>
        </w:tc>
        <w:tc>
          <w:tcPr>
            <w:tcW w:w="40" w:type="dxa"/>
            <w:vAlign w:val="bottom"/>
            <w:shd w:val="clear" w:color="auto" w:fill="B2B2B2"/>
          </w:tcPr>
          <w:p>
            <w:pPr>
              <w:spacing w:after="0"/>
              <w:rPr>
                <w:sz w:val="15"/>
                <w:szCs w:val="15"/>
                <w:color w:val="auto"/>
              </w:rPr>
            </w:pPr>
          </w:p>
        </w:tc>
        <w:tc>
          <w:tcPr>
            <w:tcW w:w="100" w:type="dxa"/>
            <w:vAlign w:val="bottom"/>
            <w:shd w:val="clear" w:color="auto" w:fill="B2B2B2"/>
          </w:tcPr>
          <w:p>
            <w:pPr>
              <w:spacing w:after="0"/>
              <w:rPr>
                <w:sz w:val="15"/>
                <w:szCs w:val="15"/>
                <w:color w:val="auto"/>
              </w:rPr>
            </w:pPr>
          </w:p>
        </w:tc>
        <w:tc>
          <w:tcPr>
            <w:tcW w:w="40" w:type="dxa"/>
            <w:vAlign w:val="bottom"/>
            <w:shd w:val="clear" w:color="auto" w:fill="B2B2B2"/>
          </w:tcPr>
          <w:p>
            <w:pPr>
              <w:spacing w:after="0"/>
              <w:rPr>
                <w:sz w:val="15"/>
                <w:szCs w:val="15"/>
                <w:color w:val="auto"/>
              </w:rPr>
            </w:pPr>
          </w:p>
        </w:tc>
        <w:tc>
          <w:tcPr>
            <w:tcW w:w="140" w:type="dxa"/>
            <w:vAlign w:val="bottom"/>
            <w:shd w:val="clear" w:color="auto" w:fill="B2B2B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B2B2B2"/>
          </w:tcPr>
          <w:p>
            <w:pPr>
              <w:spacing w:after="0" w:line="20" w:lineRule="exact"/>
              <w:rPr>
                <w:sz w:val="1"/>
                <w:szCs w:val="1"/>
                <w:color w:val="auto"/>
              </w:rPr>
            </w:pPr>
          </w:p>
        </w:tc>
        <w:tc>
          <w:tcPr>
            <w:tcW w:w="500" w:type="dxa"/>
            <w:vAlign w:val="bottom"/>
            <w:shd w:val="clear" w:color="auto" w:fill="B2B2B2"/>
          </w:tcPr>
          <w:p>
            <w:pPr>
              <w:spacing w:after="0" w:line="20" w:lineRule="exact"/>
              <w:rPr>
                <w:sz w:val="1"/>
                <w:szCs w:val="1"/>
                <w:color w:val="auto"/>
              </w:rPr>
            </w:pPr>
          </w:p>
        </w:tc>
        <w:tc>
          <w:tcPr>
            <w:tcW w:w="300" w:type="dxa"/>
            <w:vAlign w:val="bottom"/>
            <w:tcBorders>
              <w:right w:val="single" w:sz="8" w:color="B2B2B2"/>
            </w:tcBorders>
            <w:shd w:val="clear" w:color="auto" w:fill="B2B2B2"/>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B2B2B2"/>
          </w:tcPr>
          <w:p>
            <w:pPr>
              <w:spacing w:after="0" w:line="20" w:lineRule="exact"/>
              <w:rPr>
                <w:sz w:val="1"/>
                <w:szCs w:val="1"/>
                <w:color w:val="auto"/>
              </w:rPr>
            </w:pPr>
          </w:p>
        </w:tc>
        <w:tc>
          <w:tcPr>
            <w:tcW w:w="2100" w:type="dxa"/>
            <w:vAlign w:val="bottom"/>
            <w:gridSpan w:val="3"/>
            <w:shd w:val="clear" w:color="auto" w:fill="B2B2B2"/>
          </w:tcPr>
          <w:p>
            <w:pPr>
              <w:spacing w:after="0" w:line="20" w:lineRule="exact"/>
              <w:rPr>
                <w:sz w:val="1"/>
                <w:szCs w:val="1"/>
                <w:color w:val="auto"/>
              </w:rPr>
            </w:pPr>
          </w:p>
        </w:tc>
        <w:tc>
          <w:tcPr>
            <w:tcW w:w="2760" w:type="dxa"/>
            <w:vAlign w:val="bottom"/>
            <w:shd w:val="clear" w:color="auto" w:fill="B2B2B2"/>
          </w:tcPr>
          <w:p>
            <w:pPr>
              <w:spacing w:after="0" w:line="20" w:lineRule="exact"/>
              <w:rPr>
                <w:sz w:val="1"/>
                <w:szCs w:val="1"/>
                <w:color w:val="auto"/>
              </w:rPr>
            </w:pPr>
          </w:p>
        </w:tc>
        <w:tc>
          <w:tcPr>
            <w:tcW w:w="480" w:type="dxa"/>
            <w:vAlign w:val="bottom"/>
            <w:shd w:val="clear" w:color="auto" w:fill="B2B2B2"/>
          </w:tcPr>
          <w:p>
            <w:pPr>
              <w:spacing w:after="0" w:line="20" w:lineRule="exact"/>
              <w:rPr>
                <w:sz w:val="1"/>
                <w:szCs w:val="1"/>
                <w:color w:val="auto"/>
              </w:rPr>
            </w:pPr>
          </w:p>
        </w:tc>
        <w:tc>
          <w:tcPr>
            <w:tcW w:w="480" w:type="dxa"/>
            <w:vAlign w:val="bottom"/>
            <w:shd w:val="clear" w:color="auto" w:fill="B2B2B2"/>
          </w:tcPr>
          <w:p>
            <w:pPr>
              <w:spacing w:after="0" w:line="20" w:lineRule="exact"/>
              <w:rPr>
                <w:sz w:val="1"/>
                <w:szCs w:val="1"/>
                <w:color w:val="auto"/>
              </w:rPr>
            </w:pPr>
          </w:p>
        </w:tc>
        <w:tc>
          <w:tcPr>
            <w:tcW w:w="180" w:type="dxa"/>
            <w:vAlign w:val="bottom"/>
            <w:gridSpan w:val="3"/>
            <w:shd w:val="clear" w:color="auto" w:fill="B2B2B2"/>
          </w:tcPr>
          <w:p>
            <w:pPr>
              <w:spacing w:after="0" w:line="20" w:lineRule="exact"/>
              <w:rPr>
                <w:sz w:val="1"/>
                <w:szCs w:val="1"/>
                <w:color w:val="auto"/>
              </w:rPr>
            </w:pPr>
          </w:p>
        </w:tc>
        <w:tc>
          <w:tcPr>
            <w:tcW w:w="140" w:type="dxa"/>
            <w:vAlign w:val="bottom"/>
            <w:shd w:val="clear" w:color="auto" w:fill="B2B2B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80" w:type="dxa"/>
            <w:vAlign w:val="bottom"/>
            <w:shd w:val="clear" w:color="auto" w:fill="B2B2B2"/>
          </w:tcPr>
          <w:p>
            <w:pPr>
              <w:spacing w:after="0"/>
              <w:rPr>
                <w:sz w:val="17"/>
                <w:szCs w:val="17"/>
                <w:color w:val="auto"/>
              </w:rPr>
            </w:pPr>
          </w:p>
        </w:tc>
        <w:tc>
          <w:tcPr>
            <w:tcW w:w="500" w:type="dxa"/>
            <w:vAlign w:val="bottom"/>
            <w:shd w:val="clear" w:color="auto" w:fill="B2B2B2"/>
          </w:tcPr>
          <w:p>
            <w:pPr>
              <w:spacing w:after="0"/>
              <w:rPr>
                <w:sz w:val="17"/>
                <w:szCs w:val="17"/>
                <w:color w:val="auto"/>
              </w:rPr>
            </w:pPr>
          </w:p>
        </w:tc>
        <w:tc>
          <w:tcPr>
            <w:tcW w:w="300" w:type="dxa"/>
            <w:vAlign w:val="bottom"/>
            <w:tcBorders>
              <w:right w:val="single" w:sz="8" w:color="B2B2B2"/>
            </w:tcBorders>
            <w:shd w:val="clear" w:color="auto" w:fill="B2B2B2"/>
          </w:tcPr>
          <w:p>
            <w:pPr>
              <w:spacing w:after="0"/>
              <w:rPr>
                <w:sz w:val="17"/>
                <w:szCs w:val="17"/>
                <w:color w:val="auto"/>
              </w:rPr>
            </w:pPr>
          </w:p>
        </w:tc>
        <w:tc>
          <w:tcPr>
            <w:tcW w:w="280" w:type="dxa"/>
            <w:vAlign w:val="bottom"/>
            <w:shd w:val="clear" w:color="auto" w:fill="B2B2B2"/>
          </w:tcPr>
          <w:p>
            <w:pPr>
              <w:spacing w:after="0"/>
              <w:rPr>
                <w:sz w:val="17"/>
                <w:szCs w:val="17"/>
                <w:color w:val="auto"/>
              </w:rPr>
            </w:pPr>
          </w:p>
        </w:tc>
        <w:tc>
          <w:tcPr>
            <w:tcW w:w="9080" w:type="dxa"/>
            <w:vAlign w:val="bottom"/>
            <w:gridSpan w:val="15"/>
            <w:shd w:val="clear" w:color="auto" w:fill="B2B2B2"/>
          </w:tcPr>
          <w:p>
            <w:pPr>
              <w:spacing w:after="0" w:line="195" w:lineRule="exact"/>
              <w:rPr>
                <w:rFonts w:ascii="Arial" w:cs="Arial" w:eastAsia="Arial" w:hAnsi="Arial"/>
                <w:sz w:val="18"/>
                <w:szCs w:val="18"/>
                <w:color w:val="0000EE"/>
              </w:rPr>
            </w:pPr>
            <w:hyperlink w:anchor="page7">
              <w:r>
                <w:rPr>
                  <w:rFonts w:ascii="Arial" w:cs="Arial" w:eastAsia="Arial" w:hAnsi="Arial"/>
                  <w:sz w:val="18"/>
                  <w:szCs w:val="18"/>
                  <w:color w:val="0000EE"/>
                </w:rPr>
                <w:t>Three months ended March 31, 2021 and 2020 (unaudited)</w:t>
              </w:r>
            </w:hyperlink>
          </w:p>
        </w:tc>
        <w:tc>
          <w:tcPr>
            <w:tcW w:w="660" w:type="dxa"/>
            <w:vAlign w:val="bottom"/>
            <w:gridSpan w:val="4"/>
            <w:shd w:val="clear" w:color="auto" w:fill="B2B2B2"/>
          </w:tcPr>
          <w:p>
            <w:pPr>
              <w:jc w:val="center"/>
              <w:ind w:left="390"/>
              <w:spacing w:after="0" w:line="195" w:lineRule="exact"/>
              <w:rPr>
                <w:rFonts w:ascii="Arial" w:cs="Arial" w:eastAsia="Arial" w:hAnsi="Arial"/>
                <w:sz w:val="18"/>
                <w:szCs w:val="18"/>
                <w:color w:val="0000EE"/>
                <w:w w:val="99"/>
              </w:rPr>
            </w:pPr>
            <w:hyperlink w:anchor="page7">
              <w:r>
                <w:rPr>
                  <w:rFonts w:ascii="Arial" w:cs="Arial" w:eastAsia="Arial" w:hAnsi="Arial"/>
                  <w:sz w:val="18"/>
                  <w:szCs w:val="18"/>
                  <w:color w:val="0000EE"/>
                  <w:w w:val="99"/>
                </w:rPr>
                <w:t>7</w:t>
              </w:r>
            </w:hyperlink>
          </w:p>
        </w:tc>
        <w:tc>
          <w:tcPr>
            <w:tcW w:w="140" w:type="dxa"/>
            <w:vAlign w:val="bottom"/>
            <w:shd w:val="clear" w:color="auto" w:fill="B2B2B2"/>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280" w:type="dxa"/>
            <w:vAlign w:val="bottom"/>
            <w:tcBorders>
              <w:top w:val="single" w:sz="8" w:color="B2B2B2"/>
            </w:tcBorders>
            <w:shd w:val="clear" w:color="auto" w:fill="B2B2B2"/>
          </w:tcPr>
          <w:p>
            <w:pPr>
              <w:spacing w:after="0"/>
              <w:rPr>
                <w:sz w:val="21"/>
                <w:szCs w:val="21"/>
                <w:color w:val="auto"/>
              </w:rPr>
            </w:pPr>
          </w:p>
        </w:tc>
        <w:tc>
          <w:tcPr>
            <w:tcW w:w="500" w:type="dxa"/>
            <w:vAlign w:val="bottom"/>
            <w:tcBorders>
              <w:top w:val="single" w:sz="8" w:color="B2B2B2"/>
            </w:tcBorders>
            <w:shd w:val="clear" w:color="auto" w:fill="B2B2B2"/>
          </w:tcPr>
          <w:p>
            <w:pPr>
              <w:spacing w:after="0"/>
              <w:rPr>
                <w:sz w:val="21"/>
                <w:szCs w:val="21"/>
                <w:color w:val="auto"/>
              </w:rPr>
            </w:pPr>
          </w:p>
        </w:tc>
        <w:tc>
          <w:tcPr>
            <w:tcW w:w="300" w:type="dxa"/>
            <w:vAlign w:val="bottom"/>
            <w:tcBorders>
              <w:top w:val="single" w:sz="8" w:color="B2B2B2"/>
              <w:right w:val="single" w:sz="8" w:color="B2B2B2"/>
            </w:tcBorders>
            <w:shd w:val="clear" w:color="auto" w:fill="B2B2B2"/>
          </w:tcPr>
          <w:p>
            <w:pPr>
              <w:spacing w:after="0"/>
              <w:rPr>
                <w:sz w:val="21"/>
                <w:szCs w:val="21"/>
                <w:color w:val="auto"/>
              </w:rPr>
            </w:pPr>
          </w:p>
        </w:tc>
        <w:tc>
          <w:tcPr>
            <w:tcW w:w="280" w:type="dxa"/>
            <w:vAlign w:val="bottom"/>
            <w:tcBorders>
              <w:top w:val="single" w:sz="8" w:color="B2B2B2"/>
            </w:tcBorders>
            <w:shd w:val="clear" w:color="auto" w:fill="B2B2B2"/>
          </w:tcPr>
          <w:p>
            <w:pPr>
              <w:spacing w:after="0"/>
              <w:rPr>
                <w:sz w:val="21"/>
                <w:szCs w:val="21"/>
                <w:color w:val="auto"/>
              </w:rPr>
            </w:pPr>
          </w:p>
        </w:tc>
        <w:tc>
          <w:tcPr>
            <w:tcW w:w="20" w:type="dxa"/>
            <w:vAlign w:val="bottom"/>
            <w:tcBorders>
              <w:top w:val="single" w:sz="8" w:color="0000EE"/>
            </w:tcBorders>
            <w:shd w:val="clear" w:color="auto" w:fill="B2B2B2"/>
          </w:tcPr>
          <w:p>
            <w:pPr>
              <w:spacing w:after="0"/>
              <w:rPr>
                <w:sz w:val="21"/>
                <w:szCs w:val="21"/>
                <w:color w:val="auto"/>
              </w:rPr>
            </w:pPr>
          </w:p>
        </w:tc>
        <w:tc>
          <w:tcPr>
            <w:tcW w:w="1780" w:type="dxa"/>
            <w:vAlign w:val="bottom"/>
            <w:tcBorders>
              <w:top w:val="single" w:sz="8" w:color="0000EE"/>
            </w:tcBorders>
            <w:shd w:val="clear" w:color="auto" w:fill="B2B2B2"/>
          </w:tcPr>
          <w:p>
            <w:pPr>
              <w:spacing w:after="0"/>
              <w:rPr>
                <w:sz w:val="21"/>
                <w:szCs w:val="21"/>
                <w:color w:val="auto"/>
              </w:rPr>
            </w:pPr>
          </w:p>
        </w:tc>
        <w:tc>
          <w:tcPr>
            <w:tcW w:w="60" w:type="dxa"/>
            <w:vAlign w:val="bottom"/>
            <w:tcBorders>
              <w:top w:val="single" w:sz="8" w:color="0000EE"/>
            </w:tcBorders>
            <w:shd w:val="clear" w:color="auto" w:fill="B2B2B2"/>
          </w:tcPr>
          <w:p>
            <w:pPr>
              <w:spacing w:after="0"/>
              <w:rPr>
                <w:sz w:val="21"/>
                <w:szCs w:val="21"/>
                <w:color w:val="auto"/>
              </w:rPr>
            </w:pPr>
          </w:p>
        </w:tc>
        <w:tc>
          <w:tcPr>
            <w:tcW w:w="140" w:type="dxa"/>
            <w:vAlign w:val="bottom"/>
            <w:tcBorders>
              <w:top w:val="single" w:sz="8" w:color="0000EE"/>
            </w:tcBorders>
            <w:shd w:val="clear" w:color="auto" w:fill="B2B2B2"/>
          </w:tcPr>
          <w:p>
            <w:pPr>
              <w:spacing w:after="0"/>
              <w:rPr>
                <w:sz w:val="21"/>
                <w:szCs w:val="21"/>
                <w:color w:val="auto"/>
              </w:rPr>
            </w:pPr>
          </w:p>
        </w:tc>
        <w:tc>
          <w:tcPr>
            <w:tcW w:w="280" w:type="dxa"/>
            <w:vAlign w:val="bottom"/>
            <w:tcBorders>
              <w:top w:val="single" w:sz="8" w:color="0000EE"/>
            </w:tcBorders>
            <w:shd w:val="clear" w:color="auto" w:fill="B2B2B2"/>
          </w:tcPr>
          <w:p>
            <w:pPr>
              <w:spacing w:after="0"/>
              <w:rPr>
                <w:sz w:val="21"/>
                <w:szCs w:val="21"/>
                <w:color w:val="auto"/>
              </w:rPr>
            </w:pPr>
          </w:p>
        </w:tc>
        <w:tc>
          <w:tcPr>
            <w:tcW w:w="20" w:type="dxa"/>
            <w:vAlign w:val="bottom"/>
            <w:tcBorders>
              <w:top w:val="single" w:sz="8" w:color="0000EE"/>
            </w:tcBorders>
            <w:shd w:val="clear" w:color="auto" w:fill="B2B2B2"/>
          </w:tcPr>
          <w:p>
            <w:pPr>
              <w:spacing w:after="0"/>
              <w:rPr>
                <w:sz w:val="21"/>
                <w:szCs w:val="21"/>
                <w:color w:val="auto"/>
              </w:rPr>
            </w:pPr>
          </w:p>
        </w:tc>
        <w:tc>
          <w:tcPr>
            <w:tcW w:w="280" w:type="dxa"/>
            <w:vAlign w:val="bottom"/>
            <w:tcBorders>
              <w:top w:val="single" w:sz="8" w:color="0000EE"/>
            </w:tcBorders>
            <w:shd w:val="clear" w:color="auto" w:fill="B2B2B2"/>
          </w:tcPr>
          <w:p>
            <w:pPr>
              <w:spacing w:after="0"/>
              <w:rPr>
                <w:sz w:val="21"/>
                <w:szCs w:val="21"/>
                <w:color w:val="auto"/>
              </w:rPr>
            </w:pPr>
          </w:p>
        </w:tc>
        <w:tc>
          <w:tcPr>
            <w:tcW w:w="680" w:type="dxa"/>
            <w:vAlign w:val="bottom"/>
            <w:tcBorders>
              <w:top w:val="single" w:sz="8" w:color="0000EE"/>
            </w:tcBorders>
            <w:shd w:val="clear" w:color="auto" w:fill="B2B2B2"/>
          </w:tcPr>
          <w:p>
            <w:pPr>
              <w:spacing w:after="0"/>
              <w:rPr>
                <w:sz w:val="21"/>
                <w:szCs w:val="21"/>
                <w:color w:val="auto"/>
              </w:rPr>
            </w:pPr>
          </w:p>
        </w:tc>
        <w:tc>
          <w:tcPr>
            <w:tcW w:w="200" w:type="dxa"/>
            <w:vAlign w:val="bottom"/>
            <w:tcBorders>
              <w:top w:val="single" w:sz="8" w:color="0000EE"/>
            </w:tcBorders>
            <w:shd w:val="clear" w:color="auto" w:fill="B2B2B2"/>
          </w:tcPr>
          <w:p>
            <w:pPr>
              <w:spacing w:after="0"/>
              <w:rPr>
                <w:sz w:val="21"/>
                <w:szCs w:val="21"/>
                <w:color w:val="auto"/>
              </w:rPr>
            </w:pPr>
          </w:p>
        </w:tc>
        <w:tc>
          <w:tcPr>
            <w:tcW w:w="280" w:type="dxa"/>
            <w:vAlign w:val="bottom"/>
            <w:tcBorders>
              <w:top w:val="single" w:sz="8" w:color="0000EE"/>
            </w:tcBorders>
            <w:shd w:val="clear" w:color="auto" w:fill="B2B2B2"/>
          </w:tcPr>
          <w:p>
            <w:pPr>
              <w:spacing w:after="0"/>
              <w:rPr>
                <w:sz w:val="21"/>
                <w:szCs w:val="21"/>
                <w:color w:val="auto"/>
              </w:rPr>
            </w:pPr>
          </w:p>
        </w:tc>
        <w:tc>
          <w:tcPr>
            <w:tcW w:w="20" w:type="dxa"/>
            <w:vAlign w:val="bottom"/>
            <w:tcBorders>
              <w:top w:val="single" w:sz="8" w:color="0000EE"/>
            </w:tcBorders>
            <w:shd w:val="clear" w:color="auto" w:fill="B2B2B2"/>
          </w:tcPr>
          <w:p>
            <w:pPr>
              <w:spacing w:after="0"/>
              <w:rPr>
                <w:sz w:val="21"/>
                <w:szCs w:val="21"/>
                <w:color w:val="auto"/>
              </w:rPr>
            </w:pPr>
          </w:p>
        </w:tc>
        <w:tc>
          <w:tcPr>
            <w:tcW w:w="460" w:type="dxa"/>
            <w:vAlign w:val="bottom"/>
            <w:tcBorders>
              <w:top w:val="single" w:sz="8" w:color="0000EE"/>
            </w:tcBorders>
            <w:shd w:val="clear" w:color="auto" w:fill="B2B2B2"/>
          </w:tcPr>
          <w:p>
            <w:pPr>
              <w:spacing w:after="0"/>
              <w:rPr>
                <w:sz w:val="21"/>
                <w:szCs w:val="21"/>
                <w:color w:val="auto"/>
              </w:rPr>
            </w:pPr>
          </w:p>
        </w:tc>
        <w:tc>
          <w:tcPr>
            <w:tcW w:w="1620" w:type="dxa"/>
            <w:vAlign w:val="bottom"/>
            <w:tcBorders>
              <w:top w:val="single" w:sz="8" w:color="B2B2B2"/>
            </w:tcBorders>
            <w:shd w:val="clear" w:color="auto" w:fill="B2B2B2"/>
          </w:tcPr>
          <w:p>
            <w:pPr>
              <w:spacing w:after="0"/>
              <w:rPr>
                <w:sz w:val="21"/>
                <w:szCs w:val="21"/>
                <w:color w:val="auto"/>
              </w:rPr>
            </w:pPr>
          </w:p>
        </w:tc>
        <w:tc>
          <w:tcPr>
            <w:tcW w:w="2760" w:type="dxa"/>
            <w:vAlign w:val="bottom"/>
            <w:tcBorders>
              <w:top w:val="single" w:sz="8" w:color="B2B2B2"/>
            </w:tcBorders>
            <w:shd w:val="clear" w:color="auto" w:fill="B2B2B2"/>
          </w:tcPr>
          <w:p>
            <w:pPr>
              <w:spacing w:after="0"/>
              <w:rPr>
                <w:sz w:val="21"/>
                <w:szCs w:val="21"/>
                <w:color w:val="auto"/>
              </w:rPr>
            </w:pPr>
          </w:p>
        </w:tc>
        <w:tc>
          <w:tcPr>
            <w:tcW w:w="480" w:type="dxa"/>
            <w:vAlign w:val="bottom"/>
            <w:tcBorders>
              <w:top w:val="single" w:sz="8" w:color="B2B2B2"/>
            </w:tcBorders>
            <w:shd w:val="clear" w:color="auto" w:fill="B2B2B2"/>
          </w:tcPr>
          <w:p>
            <w:pPr>
              <w:spacing w:after="0"/>
              <w:rPr>
                <w:sz w:val="21"/>
                <w:szCs w:val="21"/>
                <w:color w:val="auto"/>
              </w:rPr>
            </w:pPr>
          </w:p>
        </w:tc>
        <w:tc>
          <w:tcPr>
            <w:tcW w:w="480" w:type="dxa"/>
            <w:vAlign w:val="bottom"/>
            <w:tcBorders>
              <w:top w:val="single" w:sz="8" w:color="B2B2B2"/>
            </w:tcBorders>
            <w:shd w:val="clear" w:color="auto" w:fill="B2B2B2"/>
          </w:tcPr>
          <w:p>
            <w:pPr>
              <w:spacing w:after="0"/>
              <w:rPr>
                <w:sz w:val="21"/>
                <w:szCs w:val="21"/>
                <w:color w:val="auto"/>
              </w:rPr>
            </w:pPr>
          </w:p>
        </w:tc>
        <w:tc>
          <w:tcPr>
            <w:tcW w:w="40" w:type="dxa"/>
            <w:vAlign w:val="bottom"/>
            <w:tcBorders>
              <w:top w:val="single" w:sz="8" w:color="B2B2B2"/>
            </w:tcBorders>
            <w:shd w:val="clear" w:color="auto" w:fill="B2B2B2"/>
          </w:tcPr>
          <w:p>
            <w:pPr>
              <w:spacing w:after="0"/>
              <w:rPr>
                <w:sz w:val="21"/>
                <w:szCs w:val="21"/>
                <w:color w:val="auto"/>
              </w:rPr>
            </w:pPr>
          </w:p>
        </w:tc>
        <w:tc>
          <w:tcPr>
            <w:tcW w:w="100" w:type="dxa"/>
            <w:vAlign w:val="bottom"/>
            <w:tcBorders>
              <w:top w:val="single" w:sz="8" w:color="0000EE"/>
            </w:tcBorders>
            <w:shd w:val="clear" w:color="auto" w:fill="B2B2B2"/>
          </w:tcPr>
          <w:p>
            <w:pPr>
              <w:spacing w:after="0"/>
              <w:rPr>
                <w:sz w:val="21"/>
                <w:szCs w:val="21"/>
                <w:color w:val="auto"/>
              </w:rPr>
            </w:pPr>
          </w:p>
        </w:tc>
        <w:tc>
          <w:tcPr>
            <w:tcW w:w="40" w:type="dxa"/>
            <w:vAlign w:val="bottom"/>
            <w:tcBorders>
              <w:top w:val="single" w:sz="8" w:color="B2B2B2"/>
            </w:tcBorders>
            <w:shd w:val="clear" w:color="auto" w:fill="B2B2B2"/>
          </w:tcPr>
          <w:p>
            <w:pPr>
              <w:spacing w:after="0"/>
              <w:rPr>
                <w:sz w:val="21"/>
                <w:szCs w:val="21"/>
                <w:color w:val="auto"/>
              </w:rPr>
            </w:pPr>
          </w:p>
        </w:tc>
        <w:tc>
          <w:tcPr>
            <w:tcW w:w="140" w:type="dxa"/>
            <w:vAlign w:val="bottom"/>
            <w:tcBorders>
              <w:top w:val="single" w:sz="8" w:color="B2B2B2"/>
            </w:tcBorders>
            <w:shd w:val="clear" w:color="auto" w:fill="B2B2B2"/>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360" w:type="dxa"/>
            <w:vAlign w:val="bottom"/>
            <w:gridSpan w:val="16"/>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Notes to Consolidated Financial Statements (unaudited)</w:t>
              </w:r>
            </w:hyperlink>
          </w:p>
        </w:tc>
        <w:tc>
          <w:tcPr>
            <w:tcW w:w="660" w:type="dxa"/>
            <w:vAlign w:val="bottom"/>
            <w:gridSpan w:val="4"/>
          </w:tcPr>
          <w:p>
            <w:pPr>
              <w:jc w:val="center"/>
              <w:ind w:left="390"/>
              <w:spacing w:after="0" w:line="176" w:lineRule="exact"/>
              <w:rPr>
                <w:rFonts w:ascii="Arial" w:cs="Arial" w:eastAsia="Arial" w:hAnsi="Arial"/>
                <w:sz w:val="18"/>
                <w:szCs w:val="18"/>
                <w:color w:val="0000EE"/>
                <w:w w:val="99"/>
              </w:rPr>
            </w:pPr>
            <w:hyperlink w:anchor="page8">
              <w:r>
                <w:rPr>
                  <w:rFonts w:ascii="Arial" w:cs="Arial" w:eastAsia="Arial" w:hAnsi="Arial"/>
                  <w:sz w:val="18"/>
                  <w:szCs w:val="18"/>
                  <w:color w:val="0000EE"/>
                  <w:w w:val="99"/>
                </w:rPr>
                <w:t>8</w:t>
              </w:r>
            </w:hyperlink>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7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68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80" w:type="dxa"/>
            <w:vAlign w:val="bottom"/>
            <w:shd w:val="clear" w:color="auto" w:fill="B2B2B2"/>
          </w:tcPr>
          <w:p>
            <w:pPr>
              <w:spacing w:after="0"/>
              <w:rPr>
                <w:sz w:val="15"/>
                <w:szCs w:val="15"/>
                <w:color w:val="auto"/>
              </w:rPr>
            </w:pPr>
          </w:p>
        </w:tc>
        <w:tc>
          <w:tcPr>
            <w:tcW w:w="800" w:type="dxa"/>
            <w:vAlign w:val="bottom"/>
            <w:tcBorders>
              <w:right w:val="single" w:sz="8" w:color="B2B2B2"/>
            </w:tcBorders>
            <w:gridSpan w:val="2"/>
            <w:shd w:val="clear" w:color="auto" w:fill="B2B2B2"/>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Item 2.</w:t>
              </w:r>
            </w:hyperlink>
          </w:p>
        </w:tc>
        <w:tc>
          <w:tcPr>
            <w:tcW w:w="9360" w:type="dxa"/>
            <w:vAlign w:val="bottom"/>
            <w:gridSpan w:val="16"/>
            <w:shd w:val="clear" w:color="auto" w:fill="B2B2B2"/>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MANAGEMENT’S DISCUSSION AND ANALYSIS OF FINANCIAL CONDITION AND RESULTS OF OPERATIONS</w:t>
              </w:r>
            </w:hyperlink>
          </w:p>
        </w:tc>
        <w:tc>
          <w:tcPr>
            <w:tcW w:w="800" w:type="dxa"/>
            <w:vAlign w:val="bottom"/>
            <w:gridSpan w:val="5"/>
            <w:vMerge w:val="restart"/>
            <w:shd w:val="clear" w:color="auto" w:fill="B2B2B2"/>
          </w:tcPr>
          <w:p>
            <w:pPr>
              <w:jc w:val="center"/>
              <w:ind w:left="250"/>
              <w:spacing w:after="0"/>
              <w:rPr>
                <w:rFonts w:ascii="Arial" w:cs="Arial" w:eastAsia="Arial" w:hAnsi="Arial"/>
                <w:sz w:val="18"/>
                <w:szCs w:val="18"/>
                <w:color w:val="0000EE"/>
                <w:w w:val="89"/>
              </w:rPr>
            </w:pPr>
            <w:hyperlink w:anchor="page21">
              <w:r>
                <w:rPr>
                  <w:rFonts w:ascii="Arial" w:cs="Arial" w:eastAsia="Arial" w:hAnsi="Arial"/>
                  <w:sz w:val="18"/>
                  <w:szCs w:val="18"/>
                  <w:color w:val="0000EE"/>
                  <w:w w:val="89"/>
                </w:rPr>
                <w:t>21</w:t>
              </w:r>
            </w:hyperlink>
          </w:p>
        </w:tc>
        <w:tc>
          <w:tcPr>
            <w:tcW w:w="0" w:type="dxa"/>
            <w:vAlign w:val="bottom"/>
          </w:tcPr>
          <w:p>
            <w:pPr>
              <w:spacing w:after="0"/>
              <w:rPr>
                <w:sz w:val="1"/>
                <w:szCs w:val="1"/>
                <w:color w:val="auto"/>
              </w:rPr>
            </w:pPr>
          </w:p>
        </w:tc>
      </w:tr>
      <w:tr>
        <w:trPr>
          <w:trHeight w:val="88"/>
        </w:trPr>
        <w:tc>
          <w:tcPr>
            <w:tcW w:w="280" w:type="dxa"/>
            <w:vAlign w:val="bottom"/>
            <w:tcBorders>
              <w:top w:val="single" w:sz="8" w:color="B2B2B2"/>
            </w:tcBorders>
            <w:shd w:val="clear" w:color="auto" w:fill="B2B2B2"/>
          </w:tcPr>
          <w:p>
            <w:pPr>
              <w:spacing w:after="0"/>
              <w:rPr>
                <w:sz w:val="7"/>
                <w:szCs w:val="7"/>
                <w:color w:val="auto"/>
              </w:rPr>
            </w:pPr>
          </w:p>
        </w:tc>
        <w:tc>
          <w:tcPr>
            <w:tcW w:w="500" w:type="dxa"/>
            <w:vAlign w:val="bottom"/>
            <w:tcBorders>
              <w:top w:val="single" w:sz="8" w:color="0000EE"/>
            </w:tcBorders>
            <w:shd w:val="clear" w:color="auto" w:fill="B2B2B2"/>
          </w:tcPr>
          <w:p>
            <w:pPr>
              <w:spacing w:after="0"/>
              <w:rPr>
                <w:sz w:val="7"/>
                <w:szCs w:val="7"/>
                <w:color w:val="auto"/>
              </w:rPr>
            </w:pPr>
          </w:p>
        </w:tc>
        <w:tc>
          <w:tcPr>
            <w:tcW w:w="300" w:type="dxa"/>
            <w:vAlign w:val="bottom"/>
            <w:tcBorders>
              <w:top w:val="single" w:sz="8" w:color="B2B2B2"/>
              <w:right w:val="single" w:sz="8" w:color="B2B2B2"/>
            </w:tcBorders>
            <w:shd w:val="clear" w:color="auto" w:fill="B2B2B2"/>
          </w:tcPr>
          <w:p>
            <w:pPr>
              <w:spacing w:after="0"/>
              <w:rPr>
                <w:sz w:val="7"/>
                <w:szCs w:val="7"/>
                <w:color w:val="auto"/>
              </w:rPr>
            </w:pPr>
          </w:p>
        </w:tc>
        <w:tc>
          <w:tcPr>
            <w:tcW w:w="280" w:type="dxa"/>
            <w:vAlign w:val="bottom"/>
            <w:tcBorders>
              <w:top w:val="single" w:sz="8" w:color="0000EE"/>
            </w:tcBorders>
            <w:shd w:val="clear" w:color="auto" w:fill="B2B2B2"/>
          </w:tcPr>
          <w:p>
            <w:pPr>
              <w:spacing w:after="0"/>
              <w:rPr>
                <w:sz w:val="7"/>
                <w:szCs w:val="7"/>
                <w:color w:val="auto"/>
              </w:rPr>
            </w:pPr>
          </w:p>
        </w:tc>
        <w:tc>
          <w:tcPr>
            <w:tcW w:w="20" w:type="dxa"/>
            <w:vAlign w:val="bottom"/>
            <w:tcBorders>
              <w:top w:val="single" w:sz="8" w:color="0000EE"/>
            </w:tcBorders>
            <w:shd w:val="clear" w:color="auto" w:fill="B2B2B2"/>
          </w:tcPr>
          <w:p>
            <w:pPr>
              <w:spacing w:after="0"/>
              <w:rPr>
                <w:sz w:val="7"/>
                <w:szCs w:val="7"/>
                <w:color w:val="auto"/>
              </w:rPr>
            </w:pPr>
          </w:p>
        </w:tc>
        <w:tc>
          <w:tcPr>
            <w:tcW w:w="1780" w:type="dxa"/>
            <w:vAlign w:val="bottom"/>
            <w:tcBorders>
              <w:top w:val="single" w:sz="8" w:color="0000EE"/>
            </w:tcBorders>
            <w:shd w:val="clear" w:color="auto" w:fill="B2B2B2"/>
          </w:tcPr>
          <w:p>
            <w:pPr>
              <w:spacing w:after="0"/>
              <w:rPr>
                <w:sz w:val="7"/>
                <w:szCs w:val="7"/>
                <w:color w:val="auto"/>
              </w:rPr>
            </w:pPr>
          </w:p>
        </w:tc>
        <w:tc>
          <w:tcPr>
            <w:tcW w:w="60" w:type="dxa"/>
            <w:vAlign w:val="bottom"/>
            <w:tcBorders>
              <w:top w:val="single" w:sz="8" w:color="0000EE"/>
            </w:tcBorders>
            <w:shd w:val="clear" w:color="auto" w:fill="B2B2B2"/>
          </w:tcPr>
          <w:p>
            <w:pPr>
              <w:spacing w:after="0"/>
              <w:rPr>
                <w:sz w:val="7"/>
                <w:szCs w:val="7"/>
                <w:color w:val="auto"/>
              </w:rPr>
            </w:pPr>
          </w:p>
        </w:tc>
        <w:tc>
          <w:tcPr>
            <w:tcW w:w="140" w:type="dxa"/>
            <w:vAlign w:val="bottom"/>
            <w:tcBorders>
              <w:top w:val="single" w:sz="8" w:color="0000EE"/>
            </w:tcBorders>
            <w:shd w:val="clear" w:color="auto" w:fill="B2B2B2"/>
          </w:tcPr>
          <w:p>
            <w:pPr>
              <w:spacing w:after="0"/>
              <w:rPr>
                <w:sz w:val="7"/>
                <w:szCs w:val="7"/>
                <w:color w:val="auto"/>
              </w:rPr>
            </w:pPr>
          </w:p>
        </w:tc>
        <w:tc>
          <w:tcPr>
            <w:tcW w:w="280" w:type="dxa"/>
            <w:vAlign w:val="bottom"/>
            <w:tcBorders>
              <w:top w:val="single" w:sz="8" w:color="0000EE"/>
            </w:tcBorders>
            <w:shd w:val="clear" w:color="auto" w:fill="B2B2B2"/>
          </w:tcPr>
          <w:p>
            <w:pPr>
              <w:spacing w:after="0"/>
              <w:rPr>
                <w:sz w:val="7"/>
                <w:szCs w:val="7"/>
                <w:color w:val="auto"/>
              </w:rPr>
            </w:pPr>
          </w:p>
        </w:tc>
        <w:tc>
          <w:tcPr>
            <w:tcW w:w="20" w:type="dxa"/>
            <w:vAlign w:val="bottom"/>
            <w:tcBorders>
              <w:top w:val="single" w:sz="8" w:color="0000EE"/>
            </w:tcBorders>
            <w:shd w:val="clear" w:color="auto" w:fill="B2B2B2"/>
          </w:tcPr>
          <w:p>
            <w:pPr>
              <w:spacing w:after="0"/>
              <w:rPr>
                <w:sz w:val="7"/>
                <w:szCs w:val="7"/>
                <w:color w:val="auto"/>
              </w:rPr>
            </w:pPr>
          </w:p>
        </w:tc>
        <w:tc>
          <w:tcPr>
            <w:tcW w:w="280" w:type="dxa"/>
            <w:vAlign w:val="bottom"/>
            <w:tcBorders>
              <w:top w:val="single" w:sz="8" w:color="0000EE"/>
            </w:tcBorders>
            <w:shd w:val="clear" w:color="auto" w:fill="B2B2B2"/>
          </w:tcPr>
          <w:p>
            <w:pPr>
              <w:spacing w:after="0"/>
              <w:rPr>
                <w:sz w:val="7"/>
                <w:szCs w:val="7"/>
                <w:color w:val="auto"/>
              </w:rPr>
            </w:pPr>
          </w:p>
        </w:tc>
        <w:tc>
          <w:tcPr>
            <w:tcW w:w="680" w:type="dxa"/>
            <w:vAlign w:val="bottom"/>
            <w:tcBorders>
              <w:top w:val="single" w:sz="8" w:color="0000EE"/>
            </w:tcBorders>
            <w:shd w:val="clear" w:color="auto" w:fill="B2B2B2"/>
          </w:tcPr>
          <w:p>
            <w:pPr>
              <w:spacing w:after="0"/>
              <w:rPr>
                <w:sz w:val="7"/>
                <w:szCs w:val="7"/>
                <w:color w:val="auto"/>
              </w:rPr>
            </w:pPr>
          </w:p>
        </w:tc>
        <w:tc>
          <w:tcPr>
            <w:tcW w:w="200" w:type="dxa"/>
            <w:vAlign w:val="bottom"/>
            <w:tcBorders>
              <w:top w:val="single" w:sz="8" w:color="0000EE"/>
            </w:tcBorders>
            <w:shd w:val="clear" w:color="auto" w:fill="B2B2B2"/>
          </w:tcPr>
          <w:p>
            <w:pPr>
              <w:spacing w:after="0"/>
              <w:rPr>
                <w:sz w:val="7"/>
                <w:szCs w:val="7"/>
                <w:color w:val="auto"/>
              </w:rPr>
            </w:pPr>
          </w:p>
        </w:tc>
        <w:tc>
          <w:tcPr>
            <w:tcW w:w="280" w:type="dxa"/>
            <w:vAlign w:val="bottom"/>
            <w:tcBorders>
              <w:top w:val="single" w:sz="8" w:color="0000EE"/>
            </w:tcBorders>
            <w:shd w:val="clear" w:color="auto" w:fill="B2B2B2"/>
          </w:tcPr>
          <w:p>
            <w:pPr>
              <w:spacing w:after="0"/>
              <w:rPr>
                <w:sz w:val="7"/>
                <w:szCs w:val="7"/>
                <w:color w:val="auto"/>
              </w:rPr>
            </w:pPr>
          </w:p>
        </w:tc>
        <w:tc>
          <w:tcPr>
            <w:tcW w:w="20" w:type="dxa"/>
            <w:vAlign w:val="bottom"/>
            <w:tcBorders>
              <w:top w:val="single" w:sz="8" w:color="0000EE"/>
            </w:tcBorders>
            <w:shd w:val="clear" w:color="auto" w:fill="B2B2B2"/>
          </w:tcPr>
          <w:p>
            <w:pPr>
              <w:spacing w:after="0"/>
              <w:rPr>
                <w:sz w:val="7"/>
                <w:szCs w:val="7"/>
                <w:color w:val="auto"/>
              </w:rPr>
            </w:pPr>
          </w:p>
        </w:tc>
        <w:tc>
          <w:tcPr>
            <w:tcW w:w="460" w:type="dxa"/>
            <w:vAlign w:val="bottom"/>
            <w:tcBorders>
              <w:top w:val="single" w:sz="8" w:color="0000EE"/>
            </w:tcBorders>
            <w:shd w:val="clear" w:color="auto" w:fill="B2B2B2"/>
          </w:tcPr>
          <w:p>
            <w:pPr>
              <w:spacing w:after="0"/>
              <w:rPr>
                <w:sz w:val="7"/>
                <w:szCs w:val="7"/>
                <w:color w:val="auto"/>
              </w:rPr>
            </w:pPr>
          </w:p>
        </w:tc>
        <w:tc>
          <w:tcPr>
            <w:tcW w:w="1620" w:type="dxa"/>
            <w:vAlign w:val="bottom"/>
            <w:tcBorders>
              <w:top w:val="single" w:sz="8" w:color="0000EE"/>
            </w:tcBorders>
            <w:shd w:val="clear" w:color="auto" w:fill="B2B2B2"/>
          </w:tcPr>
          <w:p>
            <w:pPr>
              <w:spacing w:after="0"/>
              <w:rPr>
                <w:sz w:val="7"/>
                <w:szCs w:val="7"/>
                <w:color w:val="auto"/>
              </w:rPr>
            </w:pPr>
          </w:p>
        </w:tc>
        <w:tc>
          <w:tcPr>
            <w:tcW w:w="2760" w:type="dxa"/>
            <w:vAlign w:val="bottom"/>
            <w:tcBorders>
              <w:top w:val="single" w:sz="8" w:color="0000EE"/>
            </w:tcBorders>
            <w:shd w:val="clear" w:color="auto" w:fill="B2B2B2"/>
          </w:tcPr>
          <w:p>
            <w:pPr>
              <w:spacing w:after="0"/>
              <w:rPr>
                <w:sz w:val="7"/>
                <w:szCs w:val="7"/>
                <w:color w:val="auto"/>
              </w:rPr>
            </w:pPr>
          </w:p>
        </w:tc>
        <w:tc>
          <w:tcPr>
            <w:tcW w:w="480" w:type="dxa"/>
            <w:vAlign w:val="bottom"/>
            <w:tcBorders>
              <w:top w:val="single" w:sz="8" w:color="B2B2B2"/>
            </w:tcBorders>
            <w:shd w:val="clear" w:color="auto" w:fill="B2B2B2"/>
          </w:tcPr>
          <w:p>
            <w:pPr>
              <w:spacing w:after="0"/>
              <w:rPr>
                <w:sz w:val="7"/>
                <w:szCs w:val="7"/>
                <w:color w:val="auto"/>
              </w:rPr>
            </w:pPr>
          </w:p>
        </w:tc>
        <w:tc>
          <w:tcPr>
            <w:tcW w:w="800" w:type="dxa"/>
            <w:vAlign w:val="bottom"/>
            <w:tcBorders>
              <w:top w:val="single" w:sz="8" w:color="B2B2B2"/>
            </w:tcBorders>
            <w:gridSpan w:val="5"/>
            <w:vMerge w:val="continue"/>
            <w:shd w:val="clear" w:color="auto" w:fill="B2B2B2"/>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280" w:type="dxa"/>
            <w:vAlign w:val="bottom"/>
            <w:tcBorders>
              <w:top w:val="single" w:sz="8" w:color="B2B2B2"/>
            </w:tcBorders>
            <w:shd w:val="clear" w:color="auto" w:fill="B2B2B2"/>
          </w:tcPr>
          <w:p>
            <w:pPr>
              <w:spacing w:after="0"/>
              <w:rPr>
                <w:sz w:val="12"/>
                <w:szCs w:val="12"/>
                <w:color w:val="auto"/>
              </w:rPr>
            </w:pPr>
          </w:p>
        </w:tc>
        <w:tc>
          <w:tcPr>
            <w:tcW w:w="500" w:type="dxa"/>
            <w:vAlign w:val="bottom"/>
            <w:tcBorders>
              <w:top w:val="single" w:sz="8" w:color="B2B2B2"/>
            </w:tcBorders>
            <w:shd w:val="clear" w:color="auto" w:fill="B2B2B2"/>
          </w:tcPr>
          <w:p>
            <w:pPr>
              <w:spacing w:after="0"/>
              <w:rPr>
                <w:sz w:val="12"/>
                <w:szCs w:val="12"/>
                <w:color w:val="auto"/>
              </w:rPr>
            </w:pPr>
          </w:p>
        </w:tc>
        <w:tc>
          <w:tcPr>
            <w:tcW w:w="300" w:type="dxa"/>
            <w:vAlign w:val="bottom"/>
            <w:tcBorders>
              <w:top w:val="single" w:sz="8" w:color="B2B2B2"/>
              <w:right w:val="single" w:sz="8" w:color="B2B2B2"/>
            </w:tcBorders>
            <w:shd w:val="clear" w:color="auto" w:fill="B2B2B2"/>
          </w:tcPr>
          <w:p>
            <w:pPr>
              <w:spacing w:after="0"/>
              <w:rPr>
                <w:sz w:val="12"/>
                <w:szCs w:val="12"/>
                <w:color w:val="auto"/>
              </w:rPr>
            </w:pPr>
          </w:p>
        </w:tc>
        <w:tc>
          <w:tcPr>
            <w:tcW w:w="280" w:type="dxa"/>
            <w:vAlign w:val="bottom"/>
            <w:tcBorders>
              <w:top w:val="single" w:sz="8" w:color="B2B2B2"/>
            </w:tcBorders>
            <w:shd w:val="clear" w:color="auto" w:fill="B2B2B2"/>
          </w:tcPr>
          <w:p>
            <w:pPr>
              <w:spacing w:after="0"/>
              <w:rPr>
                <w:sz w:val="12"/>
                <w:szCs w:val="12"/>
                <w:color w:val="auto"/>
              </w:rPr>
            </w:pPr>
          </w:p>
        </w:tc>
        <w:tc>
          <w:tcPr>
            <w:tcW w:w="20" w:type="dxa"/>
            <w:vAlign w:val="bottom"/>
            <w:tcBorders>
              <w:top w:val="single" w:sz="8" w:color="B2B2B2"/>
            </w:tcBorders>
            <w:shd w:val="clear" w:color="auto" w:fill="B2B2B2"/>
          </w:tcPr>
          <w:p>
            <w:pPr>
              <w:spacing w:after="0"/>
              <w:rPr>
                <w:sz w:val="12"/>
                <w:szCs w:val="12"/>
                <w:color w:val="auto"/>
              </w:rPr>
            </w:pPr>
          </w:p>
        </w:tc>
        <w:tc>
          <w:tcPr>
            <w:tcW w:w="1780" w:type="dxa"/>
            <w:vAlign w:val="bottom"/>
            <w:tcBorders>
              <w:top w:val="single" w:sz="8" w:color="B2B2B2"/>
            </w:tcBorders>
            <w:shd w:val="clear" w:color="auto" w:fill="B2B2B2"/>
          </w:tcPr>
          <w:p>
            <w:pPr>
              <w:spacing w:after="0"/>
              <w:rPr>
                <w:sz w:val="12"/>
                <w:szCs w:val="12"/>
                <w:color w:val="auto"/>
              </w:rPr>
            </w:pPr>
          </w:p>
        </w:tc>
        <w:tc>
          <w:tcPr>
            <w:tcW w:w="60" w:type="dxa"/>
            <w:vAlign w:val="bottom"/>
            <w:tcBorders>
              <w:top w:val="single" w:sz="8" w:color="B2B2B2"/>
            </w:tcBorders>
            <w:shd w:val="clear" w:color="auto" w:fill="B2B2B2"/>
          </w:tcPr>
          <w:p>
            <w:pPr>
              <w:spacing w:after="0"/>
              <w:rPr>
                <w:sz w:val="12"/>
                <w:szCs w:val="12"/>
                <w:color w:val="auto"/>
              </w:rPr>
            </w:pPr>
          </w:p>
        </w:tc>
        <w:tc>
          <w:tcPr>
            <w:tcW w:w="140" w:type="dxa"/>
            <w:vAlign w:val="bottom"/>
            <w:tcBorders>
              <w:top w:val="single" w:sz="8" w:color="B2B2B2"/>
            </w:tcBorders>
            <w:shd w:val="clear" w:color="auto" w:fill="B2B2B2"/>
          </w:tcPr>
          <w:p>
            <w:pPr>
              <w:spacing w:after="0"/>
              <w:rPr>
                <w:sz w:val="12"/>
                <w:szCs w:val="12"/>
                <w:color w:val="auto"/>
              </w:rPr>
            </w:pPr>
          </w:p>
        </w:tc>
        <w:tc>
          <w:tcPr>
            <w:tcW w:w="280" w:type="dxa"/>
            <w:vAlign w:val="bottom"/>
            <w:tcBorders>
              <w:top w:val="single" w:sz="8" w:color="B2B2B2"/>
            </w:tcBorders>
            <w:shd w:val="clear" w:color="auto" w:fill="B2B2B2"/>
          </w:tcPr>
          <w:p>
            <w:pPr>
              <w:spacing w:after="0"/>
              <w:rPr>
                <w:sz w:val="12"/>
                <w:szCs w:val="12"/>
                <w:color w:val="auto"/>
              </w:rPr>
            </w:pPr>
          </w:p>
        </w:tc>
        <w:tc>
          <w:tcPr>
            <w:tcW w:w="20" w:type="dxa"/>
            <w:vAlign w:val="bottom"/>
            <w:tcBorders>
              <w:top w:val="single" w:sz="8" w:color="B2B2B2"/>
            </w:tcBorders>
            <w:shd w:val="clear" w:color="auto" w:fill="B2B2B2"/>
          </w:tcPr>
          <w:p>
            <w:pPr>
              <w:spacing w:after="0"/>
              <w:rPr>
                <w:sz w:val="12"/>
                <w:szCs w:val="12"/>
                <w:color w:val="auto"/>
              </w:rPr>
            </w:pPr>
          </w:p>
        </w:tc>
        <w:tc>
          <w:tcPr>
            <w:tcW w:w="280" w:type="dxa"/>
            <w:vAlign w:val="bottom"/>
            <w:tcBorders>
              <w:top w:val="single" w:sz="8" w:color="B2B2B2"/>
            </w:tcBorders>
            <w:shd w:val="clear" w:color="auto" w:fill="B2B2B2"/>
          </w:tcPr>
          <w:p>
            <w:pPr>
              <w:spacing w:after="0"/>
              <w:rPr>
                <w:sz w:val="12"/>
                <w:szCs w:val="12"/>
                <w:color w:val="auto"/>
              </w:rPr>
            </w:pPr>
          </w:p>
        </w:tc>
        <w:tc>
          <w:tcPr>
            <w:tcW w:w="680" w:type="dxa"/>
            <w:vAlign w:val="bottom"/>
            <w:tcBorders>
              <w:top w:val="single" w:sz="8" w:color="B2B2B2"/>
            </w:tcBorders>
            <w:shd w:val="clear" w:color="auto" w:fill="B2B2B2"/>
          </w:tcPr>
          <w:p>
            <w:pPr>
              <w:spacing w:after="0"/>
              <w:rPr>
                <w:sz w:val="12"/>
                <w:szCs w:val="12"/>
                <w:color w:val="auto"/>
              </w:rPr>
            </w:pPr>
          </w:p>
        </w:tc>
        <w:tc>
          <w:tcPr>
            <w:tcW w:w="200" w:type="dxa"/>
            <w:vAlign w:val="bottom"/>
            <w:tcBorders>
              <w:top w:val="single" w:sz="8" w:color="B2B2B2"/>
            </w:tcBorders>
            <w:shd w:val="clear" w:color="auto" w:fill="B2B2B2"/>
          </w:tcPr>
          <w:p>
            <w:pPr>
              <w:spacing w:after="0"/>
              <w:rPr>
                <w:sz w:val="12"/>
                <w:szCs w:val="12"/>
                <w:color w:val="auto"/>
              </w:rPr>
            </w:pPr>
          </w:p>
        </w:tc>
        <w:tc>
          <w:tcPr>
            <w:tcW w:w="280" w:type="dxa"/>
            <w:vAlign w:val="bottom"/>
            <w:tcBorders>
              <w:top w:val="single" w:sz="8" w:color="B2B2B2"/>
            </w:tcBorders>
            <w:shd w:val="clear" w:color="auto" w:fill="B2B2B2"/>
          </w:tcPr>
          <w:p>
            <w:pPr>
              <w:spacing w:after="0"/>
              <w:rPr>
                <w:sz w:val="12"/>
                <w:szCs w:val="12"/>
                <w:color w:val="auto"/>
              </w:rPr>
            </w:pPr>
          </w:p>
        </w:tc>
        <w:tc>
          <w:tcPr>
            <w:tcW w:w="20" w:type="dxa"/>
            <w:vAlign w:val="bottom"/>
            <w:tcBorders>
              <w:top w:val="single" w:sz="8" w:color="B2B2B2"/>
            </w:tcBorders>
            <w:shd w:val="clear" w:color="auto" w:fill="B2B2B2"/>
          </w:tcPr>
          <w:p>
            <w:pPr>
              <w:spacing w:after="0"/>
              <w:rPr>
                <w:sz w:val="12"/>
                <w:szCs w:val="12"/>
                <w:color w:val="auto"/>
              </w:rPr>
            </w:pPr>
          </w:p>
        </w:tc>
        <w:tc>
          <w:tcPr>
            <w:tcW w:w="460" w:type="dxa"/>
            <w:vAlign w:val="bottom"/>
            <w:tcBorders>
              <w:top w:val="single" w:sz="8" w:color="B2B2B2"/>
            </w:tcBorders>
            <w:shd w:val="clear" w:color="auto" w:fill="B2B2B2"/>
          </w:tcPr>
          <w:p>
            <w:pPr>
              <w:spacing w:after="0"/>
              <w:rPr>
                <w:sz w:val="12"/>
                <w:szCs w:val="12"/>
                <w:color w:val="auto"/>
              </w:rPr>
            </w:pPr>
          </w:p>
        </w:tc>
        <w:tc>
          <w:tcPr>
            <w:tcW w:w="1620" w:type="dxa"/>
            <w:vAlign w:val="bottom"/>
            <w:tcBorders>
              <w:top w:val="single" w:sz="8" w:color="B2B2B2"/>
            </w:tcBorders>
            <w:shd w:val="clear" w:color="auto" w:fill="B2B2B2"/>
          </w:tcPr>
          <w:p>
            <w:pPr>
              <w:spacing w:after="0"/>
              <w:rPr>
                <w:sz w:val="12"/>
                <w:szCs w:val="12"/>
                <w:color w:val="auto"/>
              </w:rPr>
            </w:pPr>
          </w:p>
        </w:tc>
        <w:tc>
          <w:tcPr>
            <w:tcW w:w="2760" w:type="dxa"/>
            <w:vAlign w:val="bottom"/>
            <w:tcBorders>
              <w:top w:val="single" w:sz="8" w:color="B2B2B2"/>
            </w:tcBorders>
            <w:shd w:val="clear" w:color="auto" w:fill="B2B2B2"/>
          </w:tcPr>
          <w:p>
            <w:pPr>
              <w:spacing w:after="0"/>
              <w:rPr>
                <w:sz w:val="12"/>
                <w:szCs w:val="12"/>
                <w:color w:val="auto"/>
              </w:rPr>
            </w:pPr>
          </w:p>
        </w:tc>
        <w:tc>
          <w:tcPr>
            <w:tcW w:w="480" w:type="dxa"/>
            <w:vAlign w:val="bottom"/>
            <w:tcBorders>
              <w:top w:val="single" w:sz="8" w:color="B2B2B2"/>
            </w:tcBorders>
            <w:shd w:val="clear" w:color="auto" w:fill="B2B2B2"/>
          </w:tcPr>
          <w:p>
            <w:pPr>
              <w:spacing w:after="0"/>
              <w:rPr>
                <w:sz w:val="12"/>
                <w:szCs w:val="12"/>
                <w:color w:val="auto"/>
              </w:rPr>
            </w:pPr>
          </w:p>
        </w:tc>
        <w:tc>
          <w:tcPr>
            <w:tcW w:w="480" w:type="dxa"/>
            <w:vAlign w:val="bottom"/>
            <w:tcBorders>
              <w:top w:val="single" w:sz="8" w:color="B2B2B2"/>
            </w:tcBorders>
            <w:shd w:val="clear" w:color="auto" w:fill="B2B2B2"/>
          </w:tcPr>
          <w:p>
            <w:pPr>
              <w:spacing w:after="0"/>
              <w:rPr>
                <w:sz w:val="12"/>
                <w:szCs w:val="12"/>
                <w:color w:val="auto"/>
              </w:rPr>
            </w:pPr>
          </w:p>
        </w:tc>
        <w:tc>
          <w:tcPr>
            <w:tcW w:w="40" w:type="dxa"/>
            <w:vAlign w:val="bottom"/>
            <w:tcBorders>
              <w:top w:val="single" w:sz="8" w:color="0000EE"/>
            </w:tcBorders>
            <w:shd w:val="clear" w:color="auto" w:fill="B2B2B2"/>
          </w:tcPr>
          <w:p>
            <w:pPr>
              <w:spacing w:after="0"/>
              <w:rPr>
                <w:sz w:val="12"/>
                <w:szCs w:val="12"/>
                <w:color w:val="auto"/>
              </w:rPr>
            </w:pPr>
          </w:p>
        </w:tc>
        <w:tc>
          <w:tcPr>
            <w:tcW w:w="100" w:type="dxa"/>
            <w:vAlign w:val="bottom"/>
            <w:tcBorders>
              <w:top w:val="single" w:sz="8" w:color="0000EE"/>
            </w:tcBorders>
            <w:shd w:val="clear" w:color="auto" w:fill="B2B2B2"/>
          </w:tcPr>
          <w:p>
            <w:pPr>
              <w:spacing w:after="0"/>
              <w:rPr>
                <w:sz w:val="12"/>
                <w:szCs w:val="12"/>
                <w:color w:val="auto"/>
              </w:rPr>
            </w:pPr>
          </w:p>
        </w:tc>
        <w:tc>
          <w:tcPr>
            <w:tcW w:w="40" w:type="dxa"/>
            <w:vAlign w:val="bottom"/>
            <w:tcBorders>
              <w:top w:val="single" w:sz="8" w:color="0000EE"/>
            </w:tcBorders>
            <w:shd w:val="clear" w:color="auto" w:fill="B2B2B2"/>
          </w:tcPr>
          <w:p>
            <w:pPr>
              <w:spacing w:after="0"/>
              <w:rPr>
                <w:sz w:val="12"/>
                <w:szCs w:val="12"/>
                <w:color w:val="auto"/>
              </w:rPr>
            </w:pPr>
          </w:p>
        </w:tc>
        <w:tc>
          <w:tcPr>
            <w:tcW w:w="140" w:type="dxa"/>
            <w:vAlign w:val="bottom"/>
            <w:tcBorders>
              <w:top w:val="single" w:sz="8" w:color="B2B2B2"/>
            </w:tcBorders>
            <w:shd w:val="clear" w:color="auto" w:fill="B2B2B2"/>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80" w:type="dxa"/>
            <w:vAlign w:val="bottom"/>
          </w:tcPr>
          <w:p>
            <w:pPr>
              <w:spacing w:after="0"/>
              <w:rPr>
                <w:sz w:val="15"/>
                <w:szCs w:val="15"/>
                <w:color w:val="auto"/>
              </w:rPr>
            </w:pPr>
          </w:p>
        </w:tc>
        <w:tc>
          <w:tcPr>
            <w:tcW w:w="800" w:type="dxa"/>
            <w:vAlign w:val="bottom"/>
            <w:gridSpan w:val="2"/>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Item 3.</w:t>
              </w:r>
            </w:hyperlink>
          </w:p>
        </w:tc>
        <w:tc>
          <w:tcPr>
            <w:tcW w:w="9360" w:type="dxa"/>
            <w:vAlign w:val="bottom"/>
            <w:gridSpan w:val="16"/>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QUANTITATIVE AND QUALITATIVE DISCLOSURES ABOUT MARKET RISK</w:t>
              </w:r>
            </w:hyperlink>
          </w:p>
        </w:tc>
        <w:tc>
          <w:tcPr>
            <w:tcW w:w="800" w:type="dxa"/>
            <w:vAlign w:val="bottom"/>
            <w:gridSpan w:val="5"/>
          </w:tcPr>
          <w:p>
            <w:pPr>
              <w:jc w:val="center"/>
              <w:ind w:left="250"/>
              <w:spacing w:after="0" w:line="176"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31</w:t>
              </w:r>
            </w:hyperlink>
          </w:p>
        </w:tc>
        <w:tc>
          <w:tcPr>
            <w:tcW w:w="0" w:type="dxa"/>
            <w:vAlign w:val="bottom"/>
          </w:tcPr>
          <w:p>
            <w:pPr>
              <w:spacing w:after="0"/>
              <w:rPr>
                <w:sz w:val="1"/>
                <w:szCs w:val="1"/>
                <w:color w:val="auto"/>
              </w:rPr>
            </w:pPr>
          </w:p>
        </w:tc>
      </w:tr>
      <w:tr>
        <w:trPr>
          <w:trHeight w:val="249"/>
        </w:trPr>
        <w:tc>
          <w:tcPr>
            <w:tcW w:w="280" w:type="dxa"/>
            <w:vAlign w:val="bottom"/>
          </w:tcPr>
          <w:p>
            <w:pPr>
              <w:spacing w:after="0"/>
              <w:rPr>
                <w:sz w:val="21"/>
                <w:szCs w:val="21"/>
                <w:color w:val="auto"/>
              </w:rPr>
            </w:pPr>
          </w:p>
        </w:tc>
        <w:tc>
          <w:tcPr>
            <w:tcW w:w="500" w:type="dxa"/>
            <w:vAlign w:val="bottom"/>
            <w:tcBorders>
              <w:top w:val="single" w:sz="8" w:color="0000EE"/>
            </w:tcBorders>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7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68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60" w:type="dxa"/>
            <w:vAlign w:val="bottom"/>
            <w:tcBorders>
              <w:top w:val="single" w:sz="8" w:color="0000EE"/>
            </w:tcBorders>
          </w:tcPr>
          <w:p>
            <w:pPr>
              <w:spacing w:after="0"/>
              <w:rPr>
                <w:sz w:val="21"/>
                <w:szCs w:val="21"/>
                <w:color w:val="auto"/>
              </w:rPr>
            </w:pPr>
          </w:p>
        </w:tc>
        <w:tc>
          <w:tcPr>
            <w:tcW w:w="1620" w:type="dxa"/>
            <w:vAlign w:val="bottom"/>
            <w:tcBorders>
              <w:top w:val="single" w:sz="8" w:color="0000EE"/>
            </w:tcBorders>
          </w:tcPr>
          <w:p>
            <w:pPr>
              <w:spacing w:after="0"/>
              <w:rPr>
                <w:sz w:val="21"/>
                <w:szCs w:val="21"/>
                <w:color w:val="auto"/>
              </w:rPr>
            </w:pPr>
          </w:p>
        </w:tc>
        <w:tc>
          <w:tcPr>
            <w:tcW w:w="2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80" w:type="dxa"/>
            <w:vAlign w:val="bottom"/>
            <w:shd w:val="clear" w:color="auto" w:fill="B2B2B2"/>
          </w:tcPr>
          <w:p>
            <w:pPr>
              <w:spacing w:after="0"/>
              <w:rPr>
                <w:sz w:val="15"/>
                <w:szCs w:val="15"/>
                <w:color w:val="auto"/>
              </w:rPr>
            </w:pPr>
          </w:p>
        </w:tc>
        <w:tc>
          <w:tcPr>
            <w:tcW w:w="800" w:type="dxa"/>
            <w:vAlign w:val="bottom"/>
            <w:tcBorders>
              <w:right w:val="single" w:sz="8" w:color="B2B2B2"/>
            </w:tcBorders>
            <w:gridSpan w:val="2"/>
            <w:shd w:val="clear" w:color="auto" w:fill="B2B2B2"/>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Item 4.</w:t>
              </w:r>
            </w:hyperlink>
          </w:p>
        </w:tc>
        <w:tc>
          <w:tcPr>
            <w:tcW w:w="9360" w:type="dxa"/>
            <w:vAlign w:val="bottom"/>
            <w:gridSpan w:val="16"/>
            <w:shd w:val="clear" w:color="auto" w:fill="B2B2B2"/>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CONTROLS AND PROCEDURES</w:t>
              </w:r>
            </w:hyperlink>
          </w:p>
        </w:tc>
        <w:tc>
          <w:tcPr>
            <w:tcW w:w="800" w:type="dxa"/>
            <w:vAlign w:val="bottom"/>
            <w:gridSpan w:val="5"/>
            <w:shd w:val="clear" w:color="auto" w:fill="B2B2B2"/>
          </w:tcPr>
          <w:p>
            <w:pPr>
              <w:jc w:val="center"/>
              <w:ind w:left="250"/>
              <w:spacing w:after="0" w:line="176"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31</w:t>
              </w:r>
            </w:hyperlink>
          </w:p>
        </w:tc>
        <w:tc>
          <w:tcPr>
            <w:tcW w:w="0" w:type="dxa"/>
            <w:vAlign w:val="bottom"/>
          </w:tcPr>
          <w:p>
            <w:pPr>
              <w:spacing w:after="0"/>
              <w:rPr>
                <w:sz w:val="1"/>
                <w:szCs w:val="1"/>
                <w:color w:val="auto"/>
              </w:rPr>
            </w:pPr>
          </w:p>
        </w:tc>
      </w:tr>
      <w:tr>
        <w:trPr>
          <w:trHeight w:val="249"/>
        </w:trPr>
        <w:tc>
          <w:tcPr>
            <w:tcW w:w="280" w:type="dxa"/>
            <w:vAlign w:val="bottom"/>
            <w:tcBorders>
              <w:top w:val="single" w:sz="8" w:color="B2B2B2"/>
            </w:tcBorders>
            <w:shd w:val="clear" w:color="auto" w:fill="B2B2B2"/>
          </w:tcPr>
          <w:p>
            <w:pPr>
              <w:spacing w:after="0"/>
              <w:rPr>
                <w:sz w:val="21"/>
                <w:szCs w:val="21"/>
                <w:color w:val="auto"/>
              </w:rPr>
            </w:pPr>
          </w:p>
        </w:tc>
        <w:tc>
          <w:tcPr>
            <w:tcW w:w="500" w:type="dxa"/>
            <w:vAlign w:val="bottom"/>
            <w:tcBorders>
              <w:top w:val="single" w:sz="8" w:color="0000EE"/>
            </w:tcBorders>
            <w:shd w:val="clear" w:color="auto" w:fill="B2B2B2"/>
          </w:tcPr>
          <w:p>
            <w:pPr>
              <w:spacing w:after="0"/>
              <w:rPr>
                <w:sz w:val="21"/>
                <w:szCs w:val="21"/>
                <w:color w:val="auto"/>
              </w:rPr>
            </w:pPr>
          </w:p>
        </w:tc>
        <w:tc>
          <w:tcPr>
            <w:tcW w:w="300" w:type="dxa"/>
            <w:vAlign w:val="bottom"/>
            <w:tcBorders>
              <w:top w:val="single" w:sz="8" w:color="B2B2B2"/>
              <w:right w:val="single" w:sz="8" w:color="B2B2B2"/>
            </w:tcBorders>
            <w:shd w:val="clear" w:color="auto" w:fill="B2B2B2"/>
          </w:tcPr>
          <w:p>
            <w:pPr>
              <w:spacing w:after="0"/>
              <w:rPr>
                <w:sz w:val="21"/>
                <w:szCs w:val="21"/>
                <w:color w:val="auto"/>
              </w:rPr>
            </w:pPr>
          </w:p>
        </w:tc>
        <w:tc>
          <w:tcPr>
            <w:tcW w:w="280" w:type="dxa"/>
            <w:vAlign w:val="bottom"/>
            <w:tcBorders>
              <w:top w:val="single" w:sz="8" w:color="0000EE"/>
            </w:tcBorders>
            <w:shd w:val="clear" w:color="auto" w:fill="B2B2B2"/>
          </w:tcPr>
          <w:p>
            <w:pPr>
              <w:spacing w:after="0"/>
              <w:rPr>
                <w:sz w:val="21"/>
                <w:szCs w:val="21"/>
                <w:color w:val="auto"/>
              </w:rPr>
            </w:pPr>
          </w:p>
        </w:tc>
        <w:tc>
          <w:tcPr>
            <w:tcW w:w="20" w:type="dxa"/>
            <w:vAlign w:val="bottom"/>
            <w:tcBorders>
              <w:top w:val="single" w:sz="8" w:color="0000EE"/>
            </w:tcBorders>
            <w:shd w:val="clear" w:color="auto" w:fill="B2B2B2"/>
          </w:tcPr>
          <w:p>
            <w:pPr>
              <w:spacing w:after="0"/>
              <w:rPr>
                <w:sz w:val="21"/>
                <w:szCs w:val="21"/>
                <w:color w:val="auto"/>
              </w:rPr>
            </w:pPr>
          </w:p>
        </w:tc>
        <w:tc>
          <w:tcPr>
            <w:tcW w:w="1780" w:type="dxa"/>
            <w:vAlign w:val="bottom"/>
            <w:tcBorders>
              <w:top w:val="single" w:sz="8" w:color="0000EE"/>
            </w:tcBorders>
            <w:shd w:val="clear" w:color="auto" w:fill="B2B2B2"/>
          </w:tcPr>
          <w:p>
            <w:pPr>
              <w:spacing w:after="0"/>
              <w:rPr>
                <w:sz w:val="21"/>
                <w:szCs w:val="21"/>
                <w:color w:val="auto"/>
              </w:rPr>
            </w:pPr>
          </w:p>
        </w:tc>
        <w:tc>
          <w:tcPr>
            <w:tcW w:w="60" w:type="dxa"/>
            <w:vAlign w:val="bottom"/>
            <w:tcBorders>
              <w:top w:val="single" w:sz="8" w:color="0000EE"/>
            </w:tcBorders>
            <w:shd w:val="clear" w:color="auto" w:fill="B2B2B2"/>
          </w:tcPr>
          <w:p>
            <w:pPr>
              <w:spacing w:after="0"/>
              <w:rPr>
                <w:sz w:val="21"/>
                <w:szCs w:val="21"/>
                <w:color w:val="auto"/>
              </w:rPr>
            </w:pPr>
          </w:p>
        </w:tc>
        <w:tc>
          <w:tcPr>
            <w:tcW w:w="140" w:type="dxa"/>
            <w:vAlign w:val="bottom"/>
            <w:tcBorders>
              <w:top w:val="single" w:sz="8" w:color="0000EE"/>
            </w:tcBorders>
            <w:shd w:val="clear" w:color="auto" w:fill="B2B2B2"/>
          </w:tcPr>
          <w:p>
            <w:pPr>
              <w:spacing w:after="0"/>
              <w:rPr>
                <w:sz w:val="21"/>
                <w:szCs w:val="21"/>
                <w:color w:val="auto"/>
              </w:rPr>
            </w:pPr>
          </w:p>
        </w:tc>
        <w:tc>
          <w:tcPr>
            <w:tcW w:w="280" w:type="dxa"/>
            <w:vAlign w:val="bottom"/>
            <w:tcBorders>
              <w:top w:val="single" w:sz="8" w:color="0000EE"/>
            </w:tcBorders>
            <w:shd w:val="clear" w:color="auto" w:fill="B2B2B2"/>
          </w:tcPr>
          <w:p>
            <w:pPr>
              <w:spacing w:after="0"/>
              <w:rPr>
                <w:sz w:val="21"/>
                <w:szCs w:val="21"/>
                <w:color w:val="auto"/>
              </w:rPr>
            </w:pPr>
          </w:p>
        </w:tc>
        <w:tc>
          <w:tcPr>
            <w:tcW w:w="20" w:type="dxa"/>
            <w:vAlign w:val="bottom"/>
            <w:tcBorders>
              <w:top w:val="single" w:sz="8" w:color="0000EE"/>
            </w:tcBorders>
            <w:shd w:val="clear" w:color="auto" w:fill="B2B2B2"/>
          </w:tcPr>
          <w:p>
            <w:pPr>
              <w:spacing w:after="0"/>
              <w:rPr>
                <w:sz w:val="21"/>
                <w:szCs w:val="21"/>
                <w:color w:val="auto"/>
              </w:rPr>
            </w:pPr>
          </w:p>
        </w:tc>
        <w:tc>
          <w:tcPr>
            <w:tcW w:w="280" w:type="dxa"/>
            <w:vAlign w:val="bottom"/>
            <w:tcBorders>
              <w:top w:val="single" w:sz="8" w:color="B2B2B2"/>
            </w:tcBorders>
            <w:shd w:val="clear" w:color="auto" w:fill="B2B2B2"/>
          </w:tcPr>
          <w:p>
            <w:pPr>
              <w:spacing w:after="0"/>
              <w:rPr>
                <w:sz w:val="21"/>
                <w:szCs w:val="21"/>
                <w:color w:val="auto"/>
              </w:rPr>
            </w:pPr>
          </w:p>
        </w:tc>
        <w:tc>
          <w:tcPr>
            <w:tcW w:w="680" w:type="dxa"/>
            <w:vAlign w:val="bottom"/>
            <w:tcBorders>
              <w:top w:val="single" w:sz="8" w:color="B2B2B2"/>
            </w:tcBorders>
            <w:shd w:val="clear" w:color="auto" w:fill="B2B2B2"/>
          </w:tcPr>
          <w:p>
            <w:pPr>
              <w:spacing w:after="0"/>
              <w:rPr>
                <w:sz w:val="21"/>
                <w:szCs w:val="21"/>
                <w:color w:val="auto"/>
              </w:rPr>
            </w:pPr>
          </w:p>
        </w:tc>
        <w:tc>
          <w:tcPr>
            <w:tcW w:w="200" w:type="dxa"/>
            <w:vAlign w:val="bottom"/>
            <w:tcBorders>
              <w:top w:val="single" w:sz="8" w:color="B2B2B2"/>
            </w:tcBorders>
            <w:shd w:val="clear" w:color="auto" w:fill="B2B2B2"/>
          </w:tcPr>
          <w:p>
            <w:pPr>
              <w:spacing w:after="0"/>
              <w:rPr>
                <w:sz w:val="21"/>
                <w:szCs w:val="21"/>
                <w:color w:val="auto"/>
              </w:rPr>
            </w:pPr>
          </w:p>
        </w:tc>
        <w:tc>
          <w:tcPr>
            <w:tcW w:w="280" w:type="dxa"/>
            <w:vAlign w:val="bottom"/>
            <w:tcBorders>
              <w:top w:val="single" w:sz="8" w:color="B2B2B2"/>
            </w:tcBorders>
            <w:shd w:val="clear" w:color="auto" w:fill="B2B2B2"/>
          </w:tcPr>
          <w:p>
            <w:pPr>
              <w:spacing w:after="0"/>
              <w:rPr>
                <w:sz w:val="21"/>
                <w:szCs w:val="21"/>
                <w:color w:val="auto"/>
              </w:rPr>
            </w:pPr>
          </w:p>
        </w:tc>
        <w:tc>
          <w:tcPr>
            <w:tcW w:w="20" w:type="dxa"/>
            <w:vAlign w:val="bottom"/>
            <w:tcBorders>
              <w:top w:val="single" w:sz="8" w:color="B2B2B2"/>
            </w:tcBorders>
            <w:shd w:val="clear" w:color="auto" w:fill="B2B2B2"/>
          </w:tcPr>
          <w:p>
            <w:pPr>
              <w:spacing w:after="0"/>
              <w:rPr>
                <w:sz w:val="21"/>
                <w:szCs w:val="21"/>
                <w:color w:val="auto"/>
              </w:rPr>
            </w:pPr>
          </w:p>
        </w:tc>
        <w:tc>
          <w:tcPr>
            <w:tcW w:w="460" w:type="dxa"/>
            <w:vAlign w:val="bottom"/>
            <w:tcBorders>
              <w:top w:val="single" w:sz="8" w:color="B2B2B2"/>
            </w:tcBorders>
            <w:shd w:val="clear" w:color="auto" w:fill="B2B2B2"/>
          </w:tcPr>
          <w:p>
            <w:pPr>
              <w:spacing w:after="0"/>
              <w:rPr>
                <w:sz w:val="21"/>
                <w:szCs w:val="21"/>
                <w:color w:val="auto"/>
              </w:rPr>
            </w:pPr>
          </w:p>
        </w:tc>
        <w:tc>
          <w:tcPr>
            <w:tcW w:w="1620" w:type="dxa"/>
            <w:vAlign w:val="bottom"/>
            <w:tcBorders>
              <w:top w:val="single" w:sz="8" w:color="B2B2B2"/>
            </w:tcBorders>
            <w:shd w:val="clear" w:color="auto" w:fill="B2B2B2"/>
          </w:tcPr>
          <w:p>
            <w:pPr>
              <w:spacing w:after="0"/>
              <w:rPr>
                <w:sz w:val="21"/>
                <w:szCs w:val="21"/>
                <w:color w:val="auto"/>
              </w:rPr>
            </w:pPr>
          </w:p>
        </w:tc>
        <w:tc>
          <w:tcPr>
            <w:tcW w:w="2760" w:type="dxa"/>
            <w:vAlign w:val="bottom"/>
            <w:tcBorders>
              <w:top w:val="single" w:sz="8" w:color="B2B2B2"/>
            </w:tcBorders>
            <w:shd w:val="clear" w:color="auto" w:fill="B2B2B2"/>
          </w:tcPr>
          <w:p>
            <w:pPr>
              <w:spacing w:after="0"/>
              <w:rPr>
                <w:sz w:val="21"/>
                <w:szCs w:val="21"/>
                <w:color w:val="auto"/>
              </w:rPr>
            </w:pPr>
          </w:p>
        </w:tc>
        <w:tc>
          <w:tcPr>
            <w:tcW w:w="480" w:type="dxa"/>
            <w:vAlign w:val="bottom"/>
            <w:tcBorders>
              <w:top w:val="single" w:sz="8" w:color="B2B2B2"/>
            </w:tcBorders>
            <w:shd w:val="clear" w:color="auto" w:fill="B2B2B2"/>
          </w:tcPr>
          <w:p>
            <w:pPr>
              <w:spacing w:after="0"/>
              <w:rPr>
                <w:sz w:val="21"/>
                <w:szCs w:val="21"/>
                <w:color w:val="auto"/>
              </w:rPr>
            </w:pPr>
          </w:p>
        </w:tc>
        <w:tc>
          <w:tcPr>
            <w:tcW w:w="480" w:type="dxa"/>
            <w:vAlign w:val="bottom"/>
            <w:tcBorders>
              <w:top w:val="single" w:sz="8" w:color="B2B2B2"/>
            </w:tcBorders>
            <w:shd w:val="clear" w:color="auto" w:fill="B2B2B2"/>
          </w:tcPr>
          <w:p>
            <w:pPr>
              <w:spacing w:after="0"/>
              <w:rPr>
                <w:sz w:val="21"/>
                <w:szCs w:val="21"/>
                <w:color w:val="auto"/>
              </w:rPr>
            </w:pPr>
          </w:p>
        </w:tc>
        <w:tc>
          <w:tcPr>
            <w:tcW w:w="40" w:type="dxa"/>
            <w:vAlign w:val="bottom"/>
            <w:tcBorders>
              <w:top w:val="single" w:sz="8" w:color="0000EE"/>
            </w:tcBorders>
            <w:shd w:val="clear" w:color="auto" w:fill="B2B2B2"/>
          </w:tcPr>
          <w:p>
            <w:pPr>
              <w:spacing w:after="0"/>
              <w:rPr>
                <w:sz w:val="21"/>
                <w:szCs w:val="21"/>
                <w:color w:val="auto"/>
              </w:rPr>
            </w:pPr>
          </w:p>
        </w:tc>
        <w:tc>
          <w:tcPr>
            <w:tcW w:w="100" w:type="dxa"/>
            <w:vAlign w:val="bottom"/>
            <w:tcBorders>
              <w:top w:val="single" w:sz="8" w:color="0000EE"/>
            </w:tcBorders>
            <w:shd w:val="clear" w:color="auto" w:fill="B2B2B2"/>
          </w:tcPr>
          <w:p>
            <w:pPr>
              <w:spacing w:after="0"/>
              <w:rPr>
                <w:sz w:val="21"/>
                <w:szCs w:val="21"/>
                <w:color w:val="auto"/>
              </w:rPr>
            </w:pPr>
          </w:p>
        </w:tc>
        <w:tc>
          <w:tcPr>
            <w:tcW w:w="40" w:type="dxa"/>
            <w:vAlign w:val="bottom"/>
            <w:tcBorders>
              <w:top w:val="single" w:sz="8" w:color="0000EE"/>
            </w:tcBorders>
            <w:shd w:val="clear" w:color="auto" w:fill="B2B2B2"/>
          </w:tcPr>
          <w:p>
            <w:pPr>
              <w:spacing w:after="0"/>
              <w:rPr>
                <w:sz w:val="21"/>
                <w:szCs w:val="21"/>
                <w:color w:val="auto"/>
              </w:rPr>
            </w:pPr>
          </w:p>
        </w:tc>
        <w:tc>
          <w:tcPr>
            <w:tcW w:w="140" w:type="dxa"/>
            <w:vAlign w:val="bottom"/>
            <w:tcBorders>
              <w:top w:val="single" w:sz="8" w:color="B2B2B2"/>
            </w:tcBorders>
            <w:shd w:val="clear" w:color="auto" w:fill="B2B2B2"/>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0440" w:type="dxa"/>
            <w:vAlign w:val="bottom"/>
            <w:gridSpan w:val="19"/>
          </w:tcPr>
          <w:p>
            <w:pPr>
              <w:spacing w:after="0" w:line="176" w:lineRule="exact"/>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 xml:space="preserve">PART II – Other Information </w:t>
              </w:r>
              <w:r>
                <w:rPr>
                  <w:rFonts w:ascii="Arial" w:cs="Arial" w:eastAsia="Arial" w:hAnsi="Arial"/>
                  <w:sz w:val="18"/>
                  <w:szCs w:val="18"/>
                  <w:color w:val="0000EE"/>
                </w:rPr>
                <w:t>– Items 1. – 6.</w:t>
              </w:r>
            </w:hyperlink>
          </w:p>
        </w:tc>
        <w:tc>
          <w:tcPr>
            <w:tcW w:w="800" w:type="dxa"/>
            <w:vAlign w:val="bottom"/>
            <w:gridSpan w:val="5"/>
          </w:tcPr>
          <w:p>
            <w:pPr>
              <w:jc w:val="center"/>
              <w:ind w:left="250"/>
              <w:spacing w:after="0" w:line="176"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31</w:t>
              </w:r>
            </w:hyperlink>
          </w:p>
        </w:tc>
        <w:tc>
          <w:tcPr>
            <w:tcW w:w="0" w:type="dxa"/>
            <w:vAlign w:val="bottom"/>
          </w:tcPr>
          <w:p>
            <w:pPr>
              <w:spacing w:after="0"/>
              <w:rPr>
                <w:sz w:val="1"/>
                <w:szCs w:val="1"/>
                <w:color w:val="auto"/>
              </w:rPr>
            </w:pPr>
          </w:p>
        </w:tc>
      </w:tr>
      <w:tr>
        <w:trPr>
          <w:trHeight w:val="249"/>
        </w:trPr>
        <w:tc>
          <w:tcPr>
            <w:tcW w:w="280" w:type="dxa"/>
            <w:vAlign w:val="bottom"/>
            <w:tcBorders>
              <w:top w:val="single" w:sz="8" w:color="0000EE"/>
            </w:tcBorders>
          </w:tcPr>
          <w:p>
            <w:pPr>
              <w:spacing w:after="0"/>
              <w:rPr>
                <w:sz w:val="21"/>
                <w:szCs w:val="21"/>
                <w:color w:val="auto"/>
              </w:rPr>
            </w:pPr>
          </w:p>
        </w:tc>
        <w:tc>
          <w:tcPr>
            <w:tcW w:w="50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7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80" w:type="dxa"/>
            <w:vAlign w:val="bottom"/>
            <w:shd w:val="clear" w:color="auto" w:fill="B2B2B2"/>
          </w:tcPr>
          <w:p>
            <w:pPr>
              <w:spacing w:after="0"/>
              <w:rPr>
                <w:sz w:val="15"/>
                <w:szCs w:val="15"/>
                <w:color w:val="auto"/>
              </w:rPr>
            </w:pPr>
          </w:p>
        </w:tc>
        <w:tc>
          <w:tcPr>
            <w:tcW w:w="10160" w:type="dxa"/>
            <w:vAlign w:val="bottom"/>
            <w:gridSpan w:val="18"/>
            <w:shd w:val="clear" w:color="auto" w:fill="B2B2B2"/>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SIGNATURES</w:t>
              </w:r>
            </w:hyperlink>
          </w:p>
        </w:tc>
        <w:tc>
          <w:tcPr>
            <w:tcW w:w="800" w:type="dxa"/>
            <w:vAlign w:val="bottom"/>
            <w:gridSpan w:val="5"/>
            <w:shd w:val="clear" w:color="auto" w:fill="B2B2B2"/>
          </w:tcPr>
          <w:p>
            <w:pPr>
              <w:jc w:val="center"/>
              <w:ind w:left="250"/>
              <w:spacing w:after="0" w:line="176"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34</w:t>
              </w:r>
            </w:hyperlink>
          </w:p>
        </w:tc>
        <w:tc>
          <w:tcPr>
            <w:tcW w:w="0" w:type="dxa"/>
            <w:vAlign w:val="bottom"/>
          </w:tcPr>
          <w:p>
            <w:pPr>
              <w:spacing w:after="0"/>
              <w:rPr>
                <w:sz w:val="1"/>
                <w:szCs w:val="1"/>
                <w:color w:val="auto"/>
              </w:rPr>
            </w:pPr>
          </w:p>
        </w:tc>
      </w:tr>
      <w:tr>
        <w:trPr>
          <w:trHeight w:val="249"/>
        </w:trPr>
        <w:tc>
          <w:tcPr>
            <w:tcW w:w="280" w:type="dxa"/>
            <w:vAlign w:val="bottom"/>
            <w:tcBorders>
              <w:top w:val="single" w:sz="8" w:color="B2B2B2"/>
            </w:tcBorders>
            <w:shd w:val="clear" w:color="auto" w:fill="B2B2B2"/>
          </w:tcPr>
          <w:p>
            <w:pPr>
              <w:spacing w:after="0"/>
              <w:rPr>
                <w:sz w:val="21"/>
                <w:szCs w:val="21"/>
                <w:color w:val="auto"/>
              </w:rPr>
            </w:pPr>
          </w:p>
        </w:tc>
        <w:tc>
          <w:tcPr>
            <w:tcW w:w="500" w:type="dxa"/>
            <w:vAlign w:val="bottom"/>
            <w:tcBorders>
              <w:top w:val="single" w:sz="8" w:color="0000EE"/>
            </w:tcBorders>
            <w:shd w:val="clear" w:color="auto" w:fill="B2B2B2"/>
          </w:tcPr>
          <w:p>
            <w:pPr>
              <w:spacing w:after="0"/>
              <w:rPr>
                <w:sz w:val="21"/>
                <w:szCs w:val="21"/>
                <w:color w:val="auto"/>
              </w:rPr>
            </w:pPr>
          </w:p>
        </w:tc>
        <w:tc>
          <w:tcPr>
            <w:tcW w:w="300" w:type="dxa"/>
            <w:vAlign w:val="bottom"/>
            <w:tcBorders>
              <w:top w:val="single" w:sz="8" w:color="0000EE"/>
              <w:right w:val="single" w:sz="8" w:color="B2B2B2"/>
            </w:tcBorders>
            <w:shd w:val="clear" w:color="auto" w:fill="B2B2B2"/>
          </w:tcPr>
          <w:p>
            <w:pPr>
              <w:spacing w:after="0"/>
              <w:rPr>
                <w:sz w:val="21"/>
                <w:szCs w:val="21"/>
                <w:color w:val="auto"/>
              </w:rPr>
            </w:pPr>
          </w:p>
        </w:tc>
        <w:tc>
          <w:tcPr>
            <w:tcW w:w="280" w:type="dxa"/>
            <w:vAlign w:val="bottom"/>
            <w:tcBorders>
              <w:top w:val="single" w:sz="8" w:color="0000EE"/>
            </w:tcBorders>
            <w:shd w:val="clear" w:color="auto" w:fill="B2B2B2"/>
          </w:tcPr>
          <w:p>
            <w:pPr>
              <w:spacing w:after="0"/>
              <w:rPr>
                <w:sz w:val="21"/>
                <w:szCs w:val="21"/>
                <w:color w:val="auto"/>
              </w:rPr>
            </w:pPr>
          </w:p>
        </w:tc>
        <w:tc>
          <w:tcPr>
            <w:tcW w:w="20" w:type="dxa"/>
            <w:vAlign w:val="bottom"/>
            <w:tcBorders>
              <w:top w:val="single" w:sz="8" w:color="0000EE"/>
            </w:tcBorders>
            <w:shd w:val="clear" w:color="auto" w:fill="B2B2B2"/>
          </w:tcPr>
          <w:p>
            <w:pPr>
              <w:spacing w:after="0"/>
              <w:rPr>
                <w:sz w:val="21"/>
                <w:szCs w:val="21"/>
                <w:color w:val="auto"/>
              </w:rPr>
            </w:pPr>
          </w:p>
        </w:tc>
        <w:tc>
          <w:tcPr>
            <w:tcW w:w="1780" w:type="dxa"/>
            <w:vAlign w:val="bottom"/>
            <w:tcBorders>
              <w:top w:val="single" w:sz="8" w:color="B2B2B2"/>
            </w:tcBorders>
            <w:shd w:val="clear" w:color="auto" w:fill="B2B2B2"/>
          </w:tcPr>
          <w:p>
            <w:pPr>
              <w:spacing w:after="0"/>
              <w:rPr>
                <w:sz w:val="21"/>
                <w:szCs w:val="21"/>
                <w:color w:val="auto"/>
              </w:rPr>
            </w:pPr>
          </w:p>
        </w:tc>
        <w:tc>
          <w:tcPr>
            <w:tcW w:w="60" w:type="dxa"/>
            <w:vAlign w:val="bottom"/>
            <w:tcBorders>
              <w:top w:val="single" w:sz="8" w:color="B2B2B2"/>
            </w:tcBorders>
            <w:shd w:val="clear" w:color="auto" w:fill="B2B2B2"/>
          </w:tcPr>
          <w:p>
            <w:pPr>
              <w:spacing w:after="0"/>
              <w:rPr>
                <w:sz w:val="21"/>
                <w:szCs w:val="21"/>
                <w:color w:val="auto"/>
              </w:rPr>
            </w:pPr>
          </w:p>
        </w:tc>
        <w:tc>
          <w:tcPr>
            <w:tcW w:w="140" w:type="dxa"/>
            <w:vAlign w:val="bottom"/>
            <w:tcBorders>
              <w:top w:val="single" w:sz="8" w:color="B2B2B2"/>
            </w:tcBorders>
            <w:shd w:val="clear" w:color="auto" w:fill="B2B2B2"/>
          </w:tcPr>
          <w:p>
            <w:pPr>
              <w:spacing w:after="0"/>
              <w:rPr>
                <w:sz w:val="21"/>
                <w:szCs w:val="21"/>
                <w:color w:val="auto"/>
              </w:rPr>
            </w:pPr>
          </w:p>
        </w:tc>
        <w:tc>
          <w:tcPr>
            <w:tcW w:w="280" w:type="dxa"/>
            <w:vAlign w:val="bottom"/>
            <w:tcBorders>
              <w:top w:val="single" w:sz="8" w:color="B2B2B2"/>
            </w:tcBorders>
            <w:shd w:val="clear" w:color="auto" w:fill="B2B2B2"/>
          </w:tcPr>
          <w:p>
            <w:pPr>
              <w:spacing w:after="0"/>
              <w:rPr>
                <w:sz w:val="21"/>
                <w:szCs w:val="21"/>
                <w:color w:val="auto"/>
              </w:rPr>
            </w:pPr>
          </w:p>
        </w:tc>
        <w:tc>
          <w:tcPr>
            <w:tcW w:w="20" w:type="dxa"/>
            <w:vAlign w:val="bottom"/>
            <w:tcBorders>
              <w:top w:val="single" w:sz="8" w:color="B2B2B2"/>
            </w:tcBorders>
            <w:shd w:val="clear" w:color="auto" w:fill="B2B2B2"/>
          </w:tcPr>
          <w:p>
            <w:pPr>
              <w:spacing w:after="0"/>
              <w:rPr>
                <w:sz w:val="21"/>
                <w:szCs w:val="21"/>
                <w:color w:val="auto"/>
              </w:rPr>
            </w:pPr>
          </w:p>
        </w:tc>
        <w:tc>
          <w:tcPr>
            <w:tcW w:w="280" w:type="dxa"/>
            <w:vAlign w:val="bottom"/>
            <w:tcBorders>
              <w:top w:val="single" w:sz="8" w:color="B2B2B2"/>
            </w:tcBorders>
            <w:shd w:val="clear" w:color="auto" w:fill="B2B2B2"/>
          </w:tcPr>
          <w:p>
            <w:pPr>
              <w:spacing w:after="0"/>
              <w:rPr>
                <w:sz w:val="21"/>
                <w:szCs w:val="21"/>
                <w:color w:val="auto"/>
              </w:rPr>
            </w:pPr>
          </w:p>
        </w:tc>
        <w:tc>
          <w:tcPr>
            <w:tcW w:w="680" w:type="dxa"/>
            <w:vAlign w:val="bottom"/>
            <w:tcBorders>
              <w:top w:val="single" w:sz="8" w:color="B2B2B2"/>
            </w:tcBorders>
            <w:shd w:val="clear" w:color="auto" w:fill="B2B2B2"/>
          </w:tcPr>
          <w:p>
            <w:pPr>
              <w:spacing w:after="0"/>
              <w:rPr>
                <w:sz w:val="21"/>
                <w:szCs w:val="21"/>
                <w:color w:val="auto"/>
              </w:rPr>
            </w:pPr>
          </w:p>
        </w:tc>
        <w:tc>
          <w:tcPr>
            <w:tcW w:w="200" w:type="dxa"/>
            <w:vAlign w:val="bottom"/>
            <w:tcBorders>
              <w:top w:val="single" w:sz="8" w:color="B2B2B2"/>
            </w:tcBorders>
            <w:shd w:val="clear" w:color="auto" w:fill="B2B2B2"/>
          </w:tcPr>
          <w:p>
            <w:pPr>
              <w:spacing w:after="0"/>
              <w:rPr>
                <w:sz w:val="21"/>
                <w:szCs w:val="21"/>
                <w:color w:val="auto"/>
              </w:rPr>
            </w:pPr>
          </w:p>
        </w:tc>
        <w:tc>
          <w:tcPr>
            <w:tcW w:w="280" w:type="dxa"/>
            <w:vAlign w:val="bottom"/>
            <w:tcBorders>
              <w:top w:val="single" w:sz="8" w:color="B2B2B2"/>
            </w:tcBorders>
            <w:shd w:val="clear" w:color="auto" w:fill="B2B2B2"/>
          </w:tcPr>
          <w:p>
            <w:pPr>
              <w:spacing w:after="0"/>
              <w:rPr>
                <w:sz w:val="21"/>
                <w:szCs w:val="21"/>
                <w:color w:val="auto"/>
              </w:rPr>
            </w:pPr>
          </w:p>
        </w:tc>
        <w:tc>
          <w:tcPr>
            <w:tcW w:w="20" w:type="dxa"/>
            <w:vAlign w:val="bottom"/>
            <w:tcBorders>
              <w:top w:val="single" w:sz="8" w:color="B2B2B2"/>
            </w:tcBorders>
            <w:shd w:val="clear" w:color="auto" w:fill="B2B2B2"/>
          </w:tcPr>
          <w:p>
            <w:pPr>
              <w:spacing w:after="0"/>
              <w:rPr>
                <w:sz w:val="21"/>
                <w:szCs w:val="21"/>
                <w:color w:val="auto"/>
              </w:rPr>
            </w:pPr>
          </w:p>
        </w:tc>
        <w:tc>
          <w:tcPr>
            <w:tcW w:w="460" w:type="dxa"/>
            <w:vAlign w:val="bottom"/>
            <w:tcBorders>
              <w:top w:val="single" w:sz="8" w:color="B2B2B2"/>
            </w:tcBorders>
            <w:shd w:val="clear" w:color="auto" w:fill="B2B2B2"/>
          </w:tcPr>
          <w:p>
            <w:pPr>
              <w:spacing w:after="0"/>
              <w:rPr>
                <w:sz w:val="21"/>
                <w:szCs w:val="21"/>
                <w:color w:val="auto"/>
              </w:rPr>
            </w:pPr>
          </w:p>
        </w:tc>
        <w:tc>
          <w:tcPr>
            <w:tcW w:w="1620" w:type="dxa"/>
            <w:vAlign w:val="bottom"/>
            <w:tcBorders>
              <w:top w:val="single" w:sz="8" w:color="B2B2B2"/>
            </w:tcBorders>
            <w:shd w:val="clear" w:color="auto" w:fill="B2B2B2"/>
          </w:tcPr>
          <w:p>
            <w:pPr>
              <w:spacing w:after="0"/>
              <w:rPr>
                <w:sz w:val="21"/>
                <w:szCs w:val="21"/>
                <w:color w:val="auto"/>
              </w:rPr>
            </w:pPr>
          </w:p>
        </w:tc>
        <w:tc>
          <w:tcPr>
            <w:tcW w:w="2760" w:type="dxa"/>
            <w:vAlign w:val="bottom"/>
            <w:tcBorders>
              <w:top w:val="single" w:sz="8" w:color="B2B2B2"/>
            </w:tcBorders>
            <w:shd w:val="clear" w:color="auto" w:fill="B2B2B2"/>
          </w:tcPr>
          <w:p>
            <w:pPr>
              <w:spacing w:after="0"/>
              <w:rPr>
                <w:sz w:val="21"/>
                <w:szCs w:val="21"/>
                <w:color w:val="auto"/>
              </w:rPr>
            </w:pPr>
          </w:p>
        </w:tc>
        <w:tc>
          <w:tcPr>
            <w:tcW w:w="480" w:type="dxa"/>
            <w:vAlign w:val="bottom"/>
            <w:tcBorders>
              <w:top w:val="single" w:sz="8" w:color="B2B2B2"/>
            </w:tcBorders>
            <w:shd w:val="clear" w:color="auto" w:fill="B2B2B2"/>
          </w:tcPr>
          <w:p>
            <w:pPr>
              <w:spacing w:after="0"/>
              <w:rPr>
                <w:sz w:val="21"/>
                <w:szCs w:val="21"/>
                <w:color w:val="auto"/>
              </w:rPr>
            </w:pPr>
          </w:p>
        </w:tc>
        <w:tc>
          <w:tcPr>
            <w:tcW w:w="480" w:type="dxa"/>
            <w:vAlign w:val="bottom"/>
            <w:tcBorders>
              <w:top w:val="single" w:sz="8" w:color="B2B2B2"/>
            </w:tcBorders>
            <w:shd w:val="clear" w:color="auto" w:fill="B2B2B2"/>
          </w:tcPr>
          <w:p>
            <w:pPr>
              <w:spacing w:after="0"/>
              <w:rPr>
                <w:sz w:val="21"/>
                <w:szCs w:val="21"/>
                <w:color w:val="auto"/>
              </w:rPr>
            </w:pPr>
          </w:p>
        </w:tc>
        <w:tc>
          <w:tcPr>
            <w:tcW w:w="40" w:type="dxa"/>
            <w:vAlign w:val="bottom"/>
            <w:tcBorders>
              <w:top w:val="single" w:sz="8" w:color="0000EE"/>
            </w:tcBorders>
            <w:shd w:val="clear" w:color="auto" w:fill="B2B2B2"/>
          </w:tcPr>
          <w:p>
            <w:pPr>
              <w:spacing w:after="0"/>
              <w:rPr>
                <w:sz w:val="21"/>
                <w:szCs w:val="21"/>
                <w:color w:val="auto"/>
              </w:rPr>
            </w:pPr>
          </w:p>
        </w:tc>
        <w:tc>
          <w:tcPr>
            <w:tcW w:w="100" w:type="dxa"/>
            <w:vAlign w:val="bottom"/>
            <w:tcBorders>
              <w:top w:val="single" w:sz="8" w:color="0000EE"/>
            </w:tcBorders>
            <w:shd w:val="clear" w:color="auto" w:fill="B2B2B2"/>
          </w:tcPr>
          <w:p>
            <w:pPr>
              <w:spacing w:after="0"/>
              <w:rPr>
                <w:sz w:val="21"/>
                <w:szCs w:val="21"/>
                <w:color w:val="auto"/>
              </w:rPr>
            </w:pPr>
          </w:p>
        </w:tc>
        <w:tc>
          <w:tcPr>
            <w:tcW w:w="40" w:type="dxa"/>
            <w:vAlign w:val="bottom"/>
            <w:tcBorders>
              <w:top w:val="single" w:sz="8" w:color="0000EE"/>
            </w:tcBorders>
            <w:shd w:val="clear" w:color="auto" w:fill="B2B2B2"/>
          </w:tcPr>
          <w:p>
            <w:pPr>
              <w:spacing w:after="0"/>
              <w:rPr>
                <w:sz w:val="21"/>
                <w:szCs w:val="21"/>
                <w:color w:val="auto"/>
              </w:rPr>
            </w:pPr>
          </w:p>
        </w:tc>
        <w:tc>
          <w:tcPr>
            <w:tcW w:w="140" w:type="dxa"/>
            <w:vAlign w:val="bottom"/>
            <w:tcBorders>
              <w:top w:val="single" w:sz="8" w:color="B2B2B2"/>
            </w:tcBorders>
            <w:shd w:val="clear" w:color="auto" w:fill="B2B2B2"/>
          </w:tcPr>
          <w:p>
            <w:pPr>
              <w:spacing w:after="0"/>
              <w:rPr>
                <w:sz w:val="21"/>
                <w:szCs w:val="2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 Factors That May Affect Future Results</w:t>
      </w:r>
    </w:p>
    <w:p>
      <w:pPr>
        <w:spacing w:after="0" w:line="20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report may contain or incorporate by reference forward-looking statements made pursuant to the safe harbor provisions of Section 27A of the Securities Act of 1933, as amended, and Section 21E of the Securities Exchange Act of 1934, as amended. Although we believe that, in making any such statements, our expectations are based on reasonable assumptions, forward-looking statements are not guarantees of future performance and involve risks, uncertainties, and other factors beyond our control, which may cause future performance to be materially different from expected performance summarized in the forward-looking statements. These risks, uncertainties and other factors are discussed in Part I, Item 1A, “Risk Factors” of the Company’s 2020 Annual Report on Form 10-K, filed with the Securities and Exchange Commission (“SEC”), which may be updated from time to time in our future filings with the SEC. We undertake no obligation to publicly update or revise any forward-looking statements to reflect changed assumptions, the occurrence of anticipated or unanticipated events, or changes to future results over time.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121285</wp:posOffset>
            </wp:positionV>
            <wp:extent cx="7158355" cy="508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8355" cy="5080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CASS INFORMATION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and Per Share Data)</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March 31,</w:t>
            </w: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58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8"/>
                <w:szCs w:val="18"/>
                <w:b w:val="1"/>
                <w:bCs w:val="1"/>
                <w:color w:val="auto"/>
                <w:w w:val="91"/>
              </w:rPr>
              <w:t>(Unaudited)</w:t>
            </w: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880" w:type="dxa"/>
            <w:vAlign w:val="bottom"/>
            <w:shd w:val="clear" w:color="auto" w:fill="B2B2B2"/>
          </w:tcPr>
          <w:p>
            <w:pPr>
              <w:spacing w:after="0"/>
              <w:rPr>
                <w:sz w:val="20"/>
                <w:szCs w:val="20"/>
                <w:color w:val="auto"/>
              </w:rPr>
            </w:pPr>
            <w:r>
              <w:rPr>
                <w:rFonts w:ascii="Arial" w:cs="Arial" w:eastAsia="Arial" w:hAnsi="Arial"/>
                <w:sz w:val="18"/>
                <w:szCs w:val="18"/>
                <w:b w:val="1"/>
                <w:bCs w:val="1"/>
                <w:color w:val="auto"/>
              </w:rPr>
              <w:t>Assets</w:t>
            </w:r>
          </w:p>
        </w:tc>
        <w:tc>
          <w:tcPr>
            <w:tcW w:w="200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36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380" w:type="dxa"/>
            <w:vAlign w:val="bottom"/>
            <w:shd w:val="clear" w:color="auto" w:fill="B2B2B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8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2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25,291</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30,985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80" w:type="dxa"/>
            <w:vAlign w:val="bottom"/>
            <w:shd w:val="clear" w:color="auto" w:fill="B2B2B2"/>
          </w:tcPr>
          <w:p>
            <w:pPr>
              <w:spacing w:after="0"/>
              <w:rPr>
                <w:sz w:val="20"/>
                <w:szCs w:val="20"/>
                <w:color w:val="auto"/>
              </w:rPr>
            </w:pPr>
            <w:r>
              <w:rPr>
                <w:rFonts w:ascii="Arial" w:cs="Arial" w:eastAsia="Arial" w:hAnsi="Arial"/>
                <w:sz w:val="18"/>
                <w:szCs w:val="18"/>
                <w:color w:val="auto"/>
              </w:rPr>
              <w:t>Interest-bearing deposits in other financial institutions</w:t>
            </w:r>
          </w:p>
        </w:tc>
        <w:tc>
          <w:tcPr>
            <w:tcW w:w="200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580" w:type="dxa"/>
            <w:vAlign w:val="bottom"/>
            <w:gridSpan w:val="2"/>
            <w:shd w:val="clear" w:color="auto" w:fill="B2B2B2"/>
          </w:tcPr>
          <w:p>
            <w:pPr>
              <w:jc w:val="right"/>
              <w:ind w:right="220"/>
              <w:spacing w:after="0"/>
              <w:rPr>
                <w:sz w:val="20"/>
                <w:szCs w:val="20"/>
                <w:color w:val="auto"/>
              </w:rPr>
            </w:pPr>
            <w:r>
              <w:rPr>
                <w:rFonts w:ascii="Arial" w:cs="Arial" w:eastAsia="Arial" w:hAnsi="Arial"/>
                <w:sz w:val="18"/>
                <w:szCs w:val="18"/>
                <w:color w:val="auto"/>
              </w:rPr>
              <w:t>444,624</w:t>
            </w:r>
          </w:p>
        </w:tc>
        <w:tc>
          <w:tcPr>
            <w:tcW w:w="180" w:type="dxa"/>
            <w:vAlign w:val="bottom"/>
            <w:shd w:val="clear" w:color="auto" w:fill="B2B2B2"/>
          </w:tcPr>
          <w:p>
            <w:pPr>
              <w:spacing w:after="0"/>
              <w:rPr>
                <w:sz w:val="18"/>
                <w:szCs w:val="18"/>
                <w:color w:val="auto"/>
              </w:rPr>
            </w:pPr>
          </w:p>
        </w:tc>
        <w:tc>
          <w:tcPr>
            <w:tcW w:w="13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393,810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80" w:type="dxa"/>
            <w:vAlign w:val="bottom"/>
          </w:tcPr>
          <w:p>
            <w:pPr>
              <w:spacing w:after="0"/>
              <w:rPr>
                <w:sz w:val="20"/>
                <w:szCs w:val="20"/>
                <w:color w:val="auto"/>
              </w:rPr>
            </w:pPr>
            <w:r>
              <w:rPr>
                <w:rFonts w:ascii="Arial" w:cs="Arial" w:eastAsia="Arial" w:hAnsi="Arial"/>
                <w:sz w:val="18"/>
                <w:szCs w:val="18"/>
                <w:color w:val="auto"/>
              </w:rPr>
              <w:t>Federal funds sold and other short-term investments</w:t>
            </w:r>
          </w:p>
        </w:tc>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129,744</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245,733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80" w:type="dxa"/>
            <w:vAlign w:val="bottom"/>
            <w:shd w:val="clear" w:color="auto" w:fill="B2B2B2"/>
          </w:tcPr>
          <w:p>
            <w:pPr>
              <w:ind w:left="360"/>
              <w:spacing w:after="0"/>
              <w:rPr>
                <w:sz w:val="20"/>
                <w:szCs w:val="20"/>
                <w:color w:val="auto"/>
              </w:rPr>
            </w:pPr>
            <w:r>
              <w:rPr>
                <w:rFonts w:ascii="Arial" w:cs="Arial" w:eastAsia="Arial" w:hAnsi="Arial"/>
                <w:sz w:val="18"/>
                <w:szCs w:val="18"/>
                <w:color w:val="auto"/>
              </w:rPr>
              <w:t>Cash and cash equivalents</w:t>
            </w:r>
          </w:p>
        </w:tc>
        <w:tc>
          <w:tcPr>
            <w:tcW w:w="200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580" w:type="dxa"/>
            <w:vAlign w:val="bottom"/>
            <w:gridSpan w:val="2"/>
            <w:shd w:val="clear" w:color="auto" w:fill="B2B2B2"/>
          </w:tcPr>
          <w:p>
            <w:pPr>
              <w:jc w:val="right"/>
              <w:ind w:right="220"/>
              <w:spacing w:after="0"/>
              <w:rPr>
                <w:sz w:val="20"/>
                <w:szCs w:val="20"/>
                <w:color w:val="auto"/>
              </w:rPr>
            </w:pPr>
            <w:r>
              <w:rPr>
                <w:rFonts w:ascii="Arial" w:cs="Arial" w:eastAsia="Arial" w:hAnsi="Arial"/>
                <w:sz w:val="18"/>
                <w:szCs w:val="18"/>
                <w:color w:val="auto"/>
              </w:rPr>
              <w:t>599,659</w:t>
            </w:r>
          </w:p>
        </w:tc>
        <w:tc>
          <w:tcPr>
            <w:tcW w:w="180" w:type="dxa"/>
            <w:vAlign w:val="bottom"/>
            <w:shd w:val="clear" w:color="auto" w:fill="B2B2B2"/>
          </w:tcPr>
          <w:p>
            <w:pPr>
              <w:spacing w:after="0"/>
              <w:rPr>
                <w:sz w:val="18"/>
                <w:szCs w:val="18"/>
                <w:color w:val="auto"/>
              </w:rPr>
            </w:pPr>
          </w:p>
        </w:tc>
        <w:tc>
          <w:tcPr>
            <w:tcW w:w="13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670,528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shd w:val="clear" w:color="auto" w:fill="B2B2B2"/>
          </w:tcPr>
          <w:p>
            <w:pPr>
              <w:spacing w:after="0" w:line="20" w:lineRule="exact"/>
              <w:rPr>
                <w:sz w:val="1"/>
                <w:szCs w:val="1"/>
                <w:color w:val="auto"/>
              </w:rPr>
            </w:pPr>
          </w:p>
        </w:tc>
        <w:tc>
          <w:tcPr>
            <w:tcW w:w="2000" w:type="dxa"/>
            <w:vAlign w:val="bottom"/>
            <w:shd w:val="clear" w:color="auto" w:fill="B2B2B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shd w:val="clear" w:color="auto" w:fill="B2B2B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80" w:type="dxa"/>
            <w:vAlign w:val="bottom"/>
          </w:tcPr>
          <w:p>
            <w:pPr>
              <w:spacing w:after="0"/>
              <w:rPr>
                <w:sz w:val="20"/>
                <w:szCs w:val="20"/>
                <w:color w:val="auto"/>
              </w:rPr>
            </w:pPr>
            <w:r>
              <w:rPr>
                <w:rFonts w:ascii="Arial" w:cs="Arial" w:eastAsia="Arial" w:hAnsi="Arial"/>
                <w:sz w:val="18"/>
                <w:szCs w:val="18"/>
                <w:color w:val="auto"/>
              </w:rPr>
              <w:t>Securities available-for-sale, at fair value</w:t>
            </w:r>
          </w:p>
        </w:tc>
        <w:tc>
          <w:tcPr>
            <w:tcW w:w="2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427,244</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357,726</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ectPr>
          <w:pgSz w:w="11900" w:h="16838" w:orient="portrait"/>
          <w:cols w:equalWidth="0" w:num="1">
            <w:col w:w="11240"/>
          </w:cols>
          <w:pgMar w:left="320" w:top="296" w:right="339" w:bottom="1440" w:gutter="0" w:footer="0" w:header="0"/>
        </w:sectPr>
      </w:pPr>
    </w:p>
    <w:p>
      <w:pPr>
        <w:spacing w:after="0"/>
        <w:rPr>
          <w:sz w:val="20"/>
          <w:szCs w:val="20"/>
          <w:color w:val="auto"/>
        </w:rPr>
      </w:pPr>
      <w:r>
        <w:rPr>
          <w:rFonts w:ascii="Arial" w:cs="Arial" w:eastAsia="Arial" w:hAnsi="Arial"/>
          <w:sz w:val="18"/>
          <w:szCs w:val="18"/>
          <w:color w:val="auto"/>
        </w:rPr>
        <w:t>Loans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Less: Allowance for credit losses</w:t>
      </w:r>
    </w:p>
    <w:p>
      <w:pPr>
        <w:spacing w:after="0" w:line="3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Loans, net</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Payments in excess of funding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Premises and equipment, net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Investment in bank-owned life insurance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Goodwill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assets</w:t>
      </w:r>
    </w:p>
    <w:p>
      <w:pPr>
        <w:spacing w:after="0" w:line="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888,575</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891,676</w:t>
            </w:r>
          </w:p>
        </w:tc>
      </w:tr>
      <w:tr>
        <w:trPr>
          <w:trHeight w:val="230"/>
        </w:trPr>
        <w:tc>
          <w:tcPr>
            <w:tcW w:w="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11,721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11,944</w:t>
            </w:r>
          </w:p>
        </w:tc>
        <w:tc>
          <w:tcPr>
            <w:tcW w:w="2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876,854</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879,732</w:t>
            </w:r>
          </w:p>
        </w:tc>
        <w:tc>
          <w:tcPr>
            <w:tcW w:w="20" w:type="dxa"/>
            <w:vAlign w:val="bottom"/>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20" w:type="dxa"/>
            <w:vAlign w:val="bottom"/>
            <w:gridSpan w:val="2"/>
          </w:tcPr>
          <w:p>
            <w:pPr>
              <w:jc w:val="right"/>
              <w:ind w:right="20"/>
              <w:spacing w:after="0" w:line="195" w:lineRule="exact"/>
              <w:rPr>
                <w:sz w:val="20"/>
                <w:szCs w:val="20"/>
                <w:color w:val="auto"/>
              </w:rPr>
            </w:pPr>
            <w:r>
              <w:rPr>
                <w:rFonts w:ascii="Arial" w:cs="Arial" w:eastAsia="Arial" w:hAnsi="Arial"/>
                <w:sz w:val="18"/>
                <w:szCs w:val="18"/>
                <w:color w:val="auto"/>
              </w:rPr>
              <w:t>216,475</w:t>
            </w: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tcPr>
          <w:p>
            <w:pPr>
              <w:jc w:val="right"/>
              <w:spacing w:after="0" w:line="195" w:lineRule="exact"/>
              <w:rPr>
                <w:sz w:val="20"/>
                <w:szCs w:val="20"/>
                <w:color w:val="auto"/>
              </w:rPr>
            </w:pPr>
            <w:r>
              <w:rPr>
                <w:rFonts w:ascii="Arial" w:cs="Arial" w:eastAsia="Arial" w:hAnsi="Arial"/>
                <w:sz w:val="18"/>
                <w:szCs w:val="18"/>
                <w:color w:val="auto"/>
              </w:rPr>
              <w:t>194,563</w:t>
            </w:r>
          </w:p>
        </w:tc>
        <w:tc>
          <w:tcPr>
            <w:tcW w:w="20" w:type="dxa"/>
            <w:vAlign w:val="bottom"/>
          </w:tcPr>
          <w:p>
            <w:pPr>
              <w:spacing w:after="0"/>
              <w:rPr>
                <w:sz w:val="16"/>
                <w:szCs w:val="16"/>
                <w:color w:val="auto"/>
              </w:rPr>
            </w:pPr>
          </w:p>
        </w:tc>
      </w:tr>
      <w:tr>
        <w:trPr>
          <w:trHeight w:val="215"/>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17,825</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18,057</w:t>
            </w:r>
          </w:p>
        </w:tc>
      </w:tr>
      <w:tr>
        <w:trPr>
          <w:trHeight w:val="215"/>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17,646</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18,058</w:t>
            </w:r>
          </w:p>
        </w:tc>
      </w:tr>
      <w:tr>
        <w:trPr>
          <w:trHeight w:val="215"/>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14,262</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14,262</w:t>
            </w:r>
          </w:p>
        </w:tc>
      </w:tr>
      <w:tr>
        <w:trPr>
          <w:trHeight w:val="215"/>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3,208</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3,423</w:t>
            </w:r>
          </w:p>
        </w:tc>
      </w:tr>
      <w:tr>
        <w:trPr>
          <w:trHeight w:val="230"/>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43,400</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46,886</w:t>
            </w:r>
          </w:p>
        </w:tc>
      </w:tr>
      <w:tr>
        <w:trPr>
          <w:trHeight w:val="209"/>
        </w:trPr>
        <w:tc>
          <w:tcPr>
            <w:tcW w:w="20" w:type="dxa"/>
            <w:vAlign w:val="bottom"/>
            <w:tcBorders>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2,216,573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2,203,235</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-4998085</wp:posOffset>
            </wp:positionH>
            <wp:positionV relativeFrom="paragraph">
              <wp:posOffset>-1419225</wp:posOffset>
            </wp:positionV>
            <wp:extent cx="7132955" cy="136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955" cy="136525"/>
                    </a:xfrm>
                    <a:prstGeom prst="rect">
                      <a:avLst/>
                    </a:prstGeom>
                    <a:noFill/>
                  </pic:spPr>
                </pic:pic>
              </a:graphicData>
            </a:graphic>
          </wp:anchor>
        </w:drawing>
        <w:drawing>
          <wp:anchor simplePos="0" relativeHeight="251657728" behindDoc="1" locked="0" layoutInCell="0" allowOverlap="1">
            <wp:simplePos x="0" y="0"/>
            <wp:positionH relativeFrom="column">
              <wp:posOffset>-4998085</wp:posOffset>
            </wp:positionH>
            <wp:positionV relativeFrom="paragraph">
              <wp:posOffset>-1136650</wp:posOffset>
            </wp:positionV>
            <wp:extent cx="7132955" cy="145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955" cy="145415"/>
                    </a:xfrm>
                    <a:prstGeom prst="rect">
                      <a:avLst/>
                    </a:prstGeom>
                    <a:noFill/>
                  </pic:spPr>
                </pic:pic>
              </a:graphicData>
            </a:graphic>
          </wp:anchor>
        </w:drawing>
        <w:drawing>
          <wp:anchor simplePos="0" relativeHeight="251657728" behindDoc="1" locked="0" layoutInCell="0" allowOverlap="1">
            <wp:simplePos x="0" y="0"/>
            <wp:positionH relativeFrom="column">
              <wp:posOffset>-4998085</wp:posOffset>
            </wp:positionH>
            <wp:positionV relativeFrom="paragraph">
              <wp:posOffset>-854710</wp:posOffset>
            </wp:positionV>
            <wp:extent cx="7132955" cy="136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955" cy="136525"/>
                    </a:xfrm>
                    <a:prstGeom prst="rect">
                      <a:avLst/>
                    </a:prstGeom>
                    <a:noFill/>
                  </pic:spPr>
                </pic:pic>
              </a:graphicData>
            </a:graphic>
          </wp:anchor>
        </w:drawing>
        <w:drawing>
          <wp:anchor simplePos="0" relativeHeight="251657728" behindDoc="1" locked="0" layoutInCell="0" allowOverlap="1">
            <wp:simplePos x="0" y="0"/>
            <wp:positionH relativeFrom="column">
              <wp:posOffset>-4998085</wp:posOffset>
            </wp:positionH>
            <wp:positionV relativeFrom="paragraph">
              <wp:posOffset>-581025</wp:posOffset>
            </wp:positionV>
            <wp:extent cx="7132955" cy="136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955" cy="136525"/>
                    </a:xfrm>
                    <a:prstGeom prst="rect">
                      <a:avLst/>
                    </a:prstGeom>
                    <a:noFill/>
                  </pic:spPr>
                </pic:pic>
              </a:graphicData>
            </a:graphic>
          </wp:anchor>
        </w:drawing>
        <w:drawing>
          <wp:anchor simplePos="0" relativeHeight="251657728" behindDoc="1" locked="0" layoutInCell="0" allowOverlap="1">
            <wp:simplePos x="0" y="0"/>
            <wp:positionH relativeFrom="column">
              <wp:posOffset>-4998085</wp:posOffset>
            </wp:positionH>
            <wp:positionV relativeFrom="paragraph">
              <wp:posOffset>-307340</wp:posOffset>
            </wp:positionV>
            <wp:extent cx="7132955"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955"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160" w:space="720"/>
            <w:col w:w="3360"/>
          </w:cols>
          <w:pgMar w:left="320" w:top="296" w:right="339" w:bottom="1440" w:gutter="0" w:footer="0" w:header="0"/>
          <w:type w:val="continuous"/>
        </w:sectPr>
      </w:pP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60" w:type="dxa"/>
            <w:vAlign w:val="bottom"/>
            <w:gridSpan w:val="3"/>
            <w:shd w:val="clear" w:color="auto" w:fill="B2B2B2"/>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20" w:type="dxa"/>
            <w:vAlign w:val="bottom"/>
            <w:shd w:val="clear" w:color="auto" w:fill="B2B2B2"/>
          </w:tcPr>
          <w:p>
            <w:pPr>
              <w:spacing w:after="0"/>
              <w:rPr>
                <w:sz w:val="18"/>
                <w:szCs w:val="18"/>
                <w:color w:val="auto"/>
              </w:rPr>
            </w:pPr>
          </w:p>
        </w:tc>
        <w:tc>
          <w:tcPr>
            <w:tcW w:w="480" w:type="dxa"/>
            <w:vAlign w:val="bottom"/>
            <w:shd w:val="clear" w:color="auto" w:fill="B2B2B2"/>
          </w:tcPr>
          <w:p>
            <w:pPr>
              <w:spacing w:after="0"/>
              <w:rPr>
                <w:sz w:val="18"/>
                <w:szCs w:val="18"/>
                <w:color w:val="auto"/>
              </w:rPr>
            </w:pPr>
          </w:p>
        </w:tc>
        <w:tc>
          <w:tcPr>
            <w:tcW w:w="110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460" w:type="dxa"/>
            <w:vAlign w:val="bottom"/>
            <w:shd w:val="clear" w:color="auto" w:fill="B2B2B2"/>
          </w:tcPr>
          <w:p>
            <w:pPr>
              <w:spacing w:after="0"/>
              <w:rPr>
                <w:sz w:val="18"/>
                <w:szCs w:val="18"/>
                <w:color w:val="auto"/>
              </w:rPr>
            </w:pPr>
          </w:p>
        </w:tc>
        <w:tc>
          <w:tcPr>
            <w:tcW w:w="1100" w:type="dxa"/>
            <w:vAlign w:val="bottom"/>
            <w:shd w:val="clear" w:color="auto" w:fill="B2B2B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660" w:type="dxa"/>
            <w:vAlign w:val="bottom"/>
            <w:gridSpan w:val="3"/>
          </w:tcPr>
          <w:p>
            <w:pPr>
              <w:spacing w:after="0" w:line="176" w:lineRule="exact"/>
              <w:rPr>
                <w:sz w:val="20"/>
                <w:szCs w:val="20"/>
                <w:color w:val="auto"/>
              </w:rPr>
            </w:pPr>
            <w:r>
              <w:rPr>
                <w:rFonts w:ascii="Arial" w:cs="Arial" w:eastAsia="Arial" w:hAnsi="Arial"/>
                <w:sz w:val="18"/>
                <w:szCs w:val="18"/>
                <w:color w:val="auto"/>
              </w:rPr>
              <w:t>Liabilities:</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7660" w:type="dxa"/>
            <w:vAlign w:val="bottom"/>
            <w:gridSpan w:val="3"/>
            <w:shd w:val="clear" w:color="auto" w:fill="B2B2B2"/>
          </w:tcPr>
          <w:p>
            <w:pPr>
              <w:spacing w:after="0"/>
              <w:rPr>
                <w:sz w:val="20"/>
                <w:szCs w:val="20"/>
                <w:color w:val="auto"/>
              </w:rPr>
            </w:pPr>
            <w:r>
              <w:rPr>
                <w:rFonts w:ascii="Arial" w:cs="Arial" w:eastAsia="Arial" w:hAnsi="Arial"/>
                <w:sz w:val="18"/>
                <w:szCs w:val="18"/>
                <w:color w:val="auto"/>
              </w:rPr>
              <w:t>Deposits:</w:t>
            </w:r>
          </w:p>
        </w:tc>
        <w:tc>
          <w:tcPr>
            <w:tcW w:w="220" w:type="dxa"/>
            <w:vAlign w:val="bottom"/>
            <w:shd w:val="clear" w:color="auto" w:fill="B2B2B2"/>
          </w:tcPr>
          <w:p>
            <w:pPr>
              <w:spacing w:after="0"/>
              <w:rPr>
                <w:sz w:val="18"/>
                <w:szCs w:val="18"/>
                <w:color w:val="auto"/>
              </w:rPr>
            </w:pPr>
          </w:p>
        </w:tc>
        <w:tc>
          <w:tcPr>
            <w:tcW w:w="480" w:type="dxa"/>
            <w:vAlign w:val="bottom"/>
            <w:shd w:val="clear" w:color="auto" w:fill="B2B2B2"/>
          </w:tcPr>
          <w:p>
            <w:pPr>
              <w:spacing w:after="0"/>
              <w:rPr>
                <w:sz w:val="18"/>
                <w:szCs w:val="18"/>
                <w:color w:val="auto"/>
              </w:rPr>
            </w:pPr>
          </w:p>
        </w:tc>
        <w:tc>
          <w:tcPr>
            <w:tcW w:w="110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460" w:type="dxa"/>
            <w:vAlign w:val="bottom"/>
            <w:shd w:val="clear" w:color="auto" w:fill="B2B2B2"/>
          </w:tcPr>
          <w:p>
            <w:pPr>
              <w:spacing w:after="0"/>
              <w:rPr>
                <w:sz w:val="18"/>
                <w:szCs w:val="18"/>
                <w:color w:val="auto"/>
              </w:rPr>
            </w:pPr>
          </w:p>
        </w:tc>
        <w:tc>
          <w:tcPr>
            <w:tcW w:w="1100" w:type="dxa"/>
            <w:vAlign w:val="bottom"/>
            <w:shd w:val="clear" w:color="auto" w:fill="B2B2B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660" w:type="dxa"/>
            <w:vAlign w:val="bottom"/>
            <w:gridSpan w:val="3"/>
          </w:tcPr>
          <w:p>
            <w:pPr>
              <w:ind w:left="180"/>
              <w:spacing w:after="0"/>
              <w:rPr>
                <w:sz w:val="20"/>
                <w:szCs w:val="20"/>
                <w:color w:val="auto"/>
              </w:rPr>
            </w:pPr>
            <w:r>
              <w:rPr>
                <w:rFonts w:ascii="Arial" w:cs="Arial" w:eastAsia="Arial" w:hAnsi="Arial"/>
                <w:sz w:val="18"/>
                <w:szCs w:val="18"/>
                <w:color w:val="auto"/>
              </w:rPr>
              <w:t>Noninterest-bearing</w:t>
            </w:r>
          </w:p>
        </w:tc>
        <w:tc>
          <w:tcPr>
            <w:tcW w:w="70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424,859</w:t>
            </w:r>
          </w:p>
        </w:tc>
        <w:tc>
          <w:tcPr>
            <w:tcW w:w="460" w:type="dxa"/>
            <w:vAlign w:val="bottom"/>
          </w:tcPr>
          <w:p>
            <w:pPr>
              <w:jc w:val="right"/>
              <w:ind w:right="307"/>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493,504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660" w:type="dxa"/>
            <w:vAlign w:val="bottom"/>
            <w:gridSpan w:val="3"/>
            <w:shd w:val="clear" w:color="auto" w:fill="B2B2B2"/>
          </w:tcPr>
          <w:p>
            <w:pPr>
              <w:ind w:left="180"/>
              <w:spacing w:after="0"/>
              <w:rPr>
                <w:sz w:val="20"/>
                <w:szCs w:val="20"/>
                <w:color w:val="auto"/>
              </w:rPr>
            </w:pPr>
            <w:r>
              <w:rPr>
                <w:rFonts w:ascii="Arial" w:cs="Arial" w:eastAsia="Arial" w:hAnsi="Arial"/>
                <w:sz w:val="18"/>
                <w:szCs w:val="18"/>
                <w:color w:val="auto"/>
              </w:rPr>
              <w:t>Interest-bearing</w:t>
            </w:r>
          </w:p>
        </w:tc>
        <w:tc>
          <w:tcPr>
            <w:tcW w:w="220" w:type="dxa"/>
            <w:vAlign w:val="bottom"/>
            <w:shd w:val="clear" w:color="auto" w:fill="B2B2B2"/>
          </w:tcPr>
          <w:p>
            <w:pPr>
              <w:spacing w:after="0"/>
              <w:rPr>
                <w:sz w:val="18"/>
                <w:szCs w:val="18"/>
                <w:color w:val="auto"/>
              </w:rPr>
            </w:pPr>
          </w:p>
        </w:tc>
        <w:tc>
          <w:tcPr>
            <w:tcW w:w="480" w:type="dxa"/>
            <w:vAlign w:val="bottom"/>
            <w:shd w:val="clear" w:color="auto" w:fill="B2B2B2"/>
          </w:tcPr>
          <w:p>
            <w:pPr>
              <w:spacing w:after="0"/>
              <w:rPr>
                <w:sz w:val="18"/>
                <w:szCs w:val="18"/>
                <w:color w:val="auto"/>
              </w:rPr>
            </w:pPr>
          </w:p>
        </w:tc>
        <w:tc>
          <w:tcPr>
            <w:tcW w:w="1320" w:type="dxa"/>
            <w:vAlign w:val="bottom"/>
            <w:gridSpan w:val="2"/>
            <w:shd w:val="clear" w:color="auto" w:fill="B2B2B2"/>
          </w:tcPr>
          <w:p>
            <w:pPr>
              <w:jc w:val="right"/>
              <w:ind w:right="220"/>
              <w:spacing w:after="0"/>
              <w:rPr>
                <w:sz w:val="20"/>
                <w:szCs w:val="20"/>
                <w:color w:val="auto"/>
              </w:rPr>
            </w:pPr>
            <w:r>
              <w:rPr>
                <w:rFonts w:ascii="Arial" w:cs="Arial" w:eastAsia="Arial" w:hAnsi="Arial"/>
                <w:sz w:val="18"/>
                <w:szCs w:val="18"/>
                <w:color w:val="auto"/>
              </w:rPr>
              <w:t>578,276</w:t>
            </w:r>
          </w:p>
        </w:tc>
        <w:tc>
          <w:tcPr>
            <w:tcW w:w="460" w:type="dxa"/>
            <w:vAlign w:val="bottom"/>
            <w:shd w:val="clear" w:color="auto" w:fill="B2B2B2"/>
          </w:tcPr>
          <w:p>
            <w:pPr>
              <w:spacing w:after="0"/>
              <w:rPr>
                <w:sz w:val="18"/>
                <w:szCs w:val="18"/>
                <w:color w:val="auto"/>
              </w:rPr>
            </w:pPr>
          </w:p>
        </w:tc>
        <w:tc>
          <w:tcPr>
            <w:tcW w:w="11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557,352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60" w:type="dxa"/>
            <w:vAlign w:val="bottom"/>
            <w:tcBorders>
              <w:top w:val="single" w:sz="8" w:color="B2B2B2"/>
            </w:tcBorders>
            <w:gridSpan w:val="3"/>
          </w:tcPr>
          <w:p>
            <w:pPr>
              <w:ind w:left="360"/>
              <w:spacing w:after="0"/>
              <w:rPr>
                <w:sz w:val="20"/>
                <w:szCs w:val="20"/>
                <w:color w:val="auto"/>
              </w:rPr>
            </w:pPr>
            <w:r>
              <w:rPr>
                <w:rFonts w:ascii="Arial" w:cs="Arial" w:eastAsia="Arial" w:hAnsi="Arial"/>
                <w:sz w:val="18"/>
                <w:szCs w:val="18"/>
                <w:color w:val="auto"/>
              </w:rPr>
              <w:t>Total deposits</w:t>
            </w:r>
          </w:p>
        </w:tc>
        <w:tc>
          <w:tcPr>
            <w:tcW w:w="220" w:type="dxa"/>
            <w:vAlign w:val="bottom"/>
            <w:tcBorders>
              <w:top w:val="single" w:sz="8" w:color="B2B2B2"/>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1,003,135</w:t>
            </w:r>
          </w:p>
        </w:tc>
        <w:tc>
          <w:tcPr>
            <w:tcW w:w="220" w:type="dxa"/>
            <w:vAlign w:val="bottom"/>
            <w:tcBorders>
              <w:top w:val="single" w:sz="8" w:color="B2B2B2"/>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1,050,856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60" w:type="dxa"/>
            <w:vAlign w:val="bottom"/>
            <w:gridSpan w:val="3"/>
            <w:shd w:val="clear" w:color="auto" w:fill="B2B2B2"/>
          </w:tcPr>
          <w:p>
            <w:pPr>
              <w:spacing w:after="0"/>
              <w:rPr>
                <w:sz w:val="20"/>
                <w:szCs w:val="20"/>
                <w:color w:val="auto"/>
              </w:rPr>
            </w:pPr>
            <w:r>
              <w:rPr>
                <w:rFonts w:ascii="Arial" w:cs="Arial" w:eastAsia="Arial" w:hAnsi="Arial"/>
                <w:sz w:val="18"/>
                <w:szCs w:val="18"/>
                <w:color w:val="auto"/>
              </w:rPr>
              <w:t>Accounts and drafts payable</w:t>
            </w:r>
          </w:p>
        </w:tc>
        <w:tc>
          <w:tcPr>
            <w:tcW w:w="220" w:type="dxa"/>
            <w:vAlign w:val="bottom"/>
            <w:shd w:val="clear" w:color="auto" w:fill="B2B2B2"/>
          </w:tcPr>
          <w:p>
            <w:pPr>
              <w:spacing w:after="0"/>
              <w:rPr>
                <w:sz w:val="18"/>
                <w:szCs w:val="18"/>
                <w:color w:val="auto"/>
              </w:rPr>
            </w:pPr>
          </w:p>
        </w:tc>
        <w:tc>
          <w:tcPr>
            <w:tcW w:w="480" w:type="dxa"/>
            <w:vAlign w:val="bottom"/>
            <w:shd w:val="clear" w:color="auto" w:fill="B2B2B2"/>
          </w:tcPr>
          <w:p>
            <w:pPr>
              <w:spacing w:after="0"/>
              <w:rPr>
                <w:sz w:val="18"/>
                <w:szCs w:val="18"/>
                <w:color w:val="auto"/>
              </w:rPr>
            </w:pPr>
          </w:p>
        </w:tc>
        <w:tc>
          <w:tcPr>
            <w:tcW w:w="1320" w:type="dxa"/>
            <w:vAlign w:val="bottom"/>
            <w:gridSpan w:val="2"/>
            <w:shd w:val="clear" w:color="auto" w:fill="B2B2B2"/>
          </w:tcPr>
          <w:p>
            <w:pPr>
              <w:jc w:val="right"/>
              <w:ind w:right="220"/>
              <w:spacing w:after="0"/>
              <w:rPr>
                <w:sz w:val="20"/>
                <w:szCs w:val="20"/>
                <w:color w:val="auto"/>
              </w:rPr>
            </w:pPr>
            <w:r>
              <w:rPr>
                <w:rFonts w:ascii="Arial" w:cs="Arial" w:eastAsia="Arial" w:hAnsi="Arial"/>
                <w:sz w:val="18"/>
                <w:szCs w:val="18"/>
                <w:color w:val="auto"/>
              </w:rPr>
              <w:t>897,508</w:t>
            </w:r>
          </w:p>
        </w:tc>
        <w:tc>
          <w:tcPr>
            <w:tcW w:w="460" w:type="dxa"/>
            <w:vAlign w:val="bottom"/>
            <w:shd w:val="clear" w:color="auto" w:fill="B2B2B2"/>
          </w:tcPr>
          <w:p>
            <w:pPr>
              <w:spacing w:after="0"/>
              <w:rPr>
                <w:sz w:val="18"/>
                <w:szCs w:val="18"/>
                <w:color w:val="auto"/>
              </w:rPr>
            </w:pPr>
          </w:p>
        </w:tc>
        <w:tc>
          <w:tcPr>
            <w:tcW w:w="11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835,386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660" w:type="dxa"/>
            <w:vAlign w:val="bottom"/>
            <w:gridSpan w:val="3"/>
          </w:tcPr>
          <w:p>
            <w:pPr>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56,443</w:t>
            </w: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55,833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60" w:type="dxa"/>
            <w:vAlign w:val="bottom"/>
            <w:tcBorders>
              <w:bottom w:val="single" w:sz="8" w:color="B2B2B2"/>
            </w:tcBorders>
            <w:gridSpan w:val="3"/>
            <w:shd w:val="clear" w:color="auto" w:fill="B2B2B2"/>
          </w:tcPr>
          <w:p>
            <w:pPr>
              <w:ind w:left="36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B2B2B2"/>
            </w:tcBorders>
            <w:shd w:val="clear" w:color="auto" w:fill="B2B2B2"/>
          </w:tcPr>
          <w:p>
            <w:pPr>
              <w:spacing w:after="0"/>
              <w:rPr>
                <w:sz w:val="18"/>
                <w:szCs w:val="18"/>
                <w:color w:val="auto"/>
              </w:rPr>
            </w:pPr>
          </w:p>
        </w:tc>
        <w:tc>
          <w:tcPr>
            <w:tcW w:w="480" w:type="dxa"/>
            <w:vAlign w:val="bottom"/>
            <w:tcBorders>
              <w:top w:val="single" w:sz="8" w:color="auto"/>
              <w:bottom w:val="single" w:sz="8" w:color="auto"/>
            </w:tcBorders>
            <w:shd w:val="clear" w:color="auto" w:fill="B2B2B2"/>
          </w:tcPr>
          <w:p>
            <w:pPr>
              <w:spacing w:after="0"/>
              <w:rPr>
                <w:sz w:val="18"/>
                <w:szCs w:val="18"/>
                <w:color w:val="auto"/>
              </w:rPr>
            </w:pPr>
          </w:p>
        </w:tc>
        <w:tc>
          <w:tcPr>
            <w:tcW w:w="1100" w:type="dxa"/>
            <w:vAlign w:val="bottom"/>
            <w:tcBorders>
              <w:top w:val="single" w:sz="8" w:color="auto"/>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1,957,086</w:t>
            </w:r>
          </w:p>
        </w:tc>
        <w:tc>
          <w:tcPr>
            <w:tcW w:w="220" w:type="dxa"/>
            <w:vAlign w:val="bottom"/>
            <w:tcBorders>
              <w:bottom w:val="single" w:sz="8" w:color="B2B2B2"/>
            </w:tcBorders>
            <w:shd w:val="clear" w:color="auto" w:fill="B2B2B2"/>
          </w:tcPr>
          <w:p>
            <w:pPr>
              <w:spacing w:after="0"/>
              <w:rPr>
                <w:sz w:val="18"/>
                <w:szCs w:val="18"/>
                <w:color w:val="auto"/>
              </w:rPr>
            </w:pPr>
          </w:p>
        </w:tc>
        <w:tc>
          <w:tcPr>
            <w:tcW w:w="460" w:type="dxa"/>
            <w:vAlign w:val="bottom"/>
            <w:tcBorders>
              <w:top w:val="single" w:sz="8" w:color="auto"/>
              <w:bottom w:val="single" w:sz="8" w:color="auto"/>
            </w:tcBorders>
            <w:shd w:val="clear" w:color="auto" w:fill="B2B2B2"/>
          </w:tcPr>
          <w:p>
            <w:pPr>
              <w:spacing w:after="0"/>
              <w:rPr>
                <w:sz w:val="18"/>
                <w:szCs w:val="18"/>
                <w:color w:val="auto"/>
              </w:rPr>
            </w:pPr>
          </w:p>
        </w:tc>
        <w:tc>
          <w:tcPr>
            <w:tcW w:w="1100" w:type="dxa"/>
            <w:vAlign w:val="bottom"/>
            <w:tcBorders>
              <w:top w:val="single" w:sz="8" w:color="auto"/>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1,942,075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0" w:type="dxa"/>
            <w:vAlign w:val="bottom"/>
            <w:shd w:val="clear" w:color="auto" w:fill="B2B2B2"/>
          </w:tcPr>
          <w:p>
            <w:pPr>
              <w:spacing w:after="0"/>
              <w:rPr>
                <w:sz w:val="18"/>
                <w:szCs w:val="18"/>
                <w:color w:val="auto"/>
              </w:rPr>
            </w:pPr>
          </w:p>
        </w:tc>
        <w:tc>
          <w:tcPr>
            <w:tcW w:w="800" w:type="dxa"/>
            <w:vAlign w:val="bottom"/>
            <w:shd w:val="clear" w:color="auto" w:fill="B2B2B2"/>
          </w:tcPr>
          <w:p>
            <w:pPr>
              <w:spacing w:after="0"/>
              <w:rPr>
                <w:sz w:val="18"/>
                <w:szCs w:val="18"/>
                <w:color w:val="auto"/>
              </w:rPr>
            </w:pPr>
          </w:p>
        </w:tc>
        <w:tc>
          <w:tcPr>
            <w:tcW w:w="608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480" w:type="dxa"/>
            <w:vAlign w:val="bottom"/>
            <w:shd w:val="clear" w:color="auto" w:fill="B2B2B2"/>
          </w:tcPr>
          <w:p>
            <w:pPr>
              <w:spacing w:after="0"/>
              <w:rPr>
                <w:sz w:val="18"/>
                <w:szCs w:val="18"/>
                <w:color w:val="auto"/>
              </w:rPr>
            </w:pPr>
          </w:p>
        </w:tc>
        <w:tc>
          <w:tcPr>
            <w:tcW w:w="110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460" w:type="dxa"/>
            <w:vAlign w:val="bottom"/>
            <w:shd w:val="clear" w:color="auto" w:fill="B2B2B2"/>
          </w:tcPr>
          <w:p>
            <w:pPr>
              <w:spacing w:after="0"/>
              <w:rPr>
                <w:sz w:val="18"/>
                <w:szCs w:val="18"/>
                <w:color w:val="auto"/>
              </w:rPr>
            </w:pPr>
          </w:p>
        </w:tc>
        <w:tc>
          <w:tcPr>
            <w:tcW w:w="1100" w:type="dxa"/>
            <w:vAlign w:val="bottom"/>
            <w:shd w:val="clear" w:color="auto" w:fill="B2B2B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660" w:type="dxa"/>
            <w:vAlign w:val="bottom"/>
            <w:gridSpan w:val="3"/>
          </w:tcPr>
          <w:p>
            <w:pPr>
              <w:spacing w:after="0" w:line="176" w:lineRule="exact"/>
              <w:rPr>
                <w:sz w:val="20"/>
                <w:szCs w:val="20"/>
                <w:color w:val="auto"/>
              </w:rPr>
            </w:pPr>
            <w:r>
              <w:rPr>
                <w:rFonts w:ascii="Arial" w:cs="Arial" w:eastAsia="Arial" w:hAnsi="Arial"/>
                <w:sz w:val="18"/>
                <w:szCs w:val="18"/>
                <w:color w:val="auto"/>
              </w:rPr>
              <w:t>Shareholders’ Equity:</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7660" w:type="dxa"/>
            <w:vAlign w:val="bottom"/>
            <w:gridSpan w:val="3"/>
            <w:shd w:val="clear" w:color="auto" w:fill="B2B2B2"/>
          </w:tcPr>
          <w:p>
            <w:pPr>
              <w:spacing w:after="0"/>
              <w:rPr>
                <w:sz w:val="20"/>
                <w:szCs w:val="20"/>
                <w:color w:val="auto"/>
              </w:rPr>
            </w:pPr>
            <w:r>
              <w:rPr>
                <w:rFonts w:ascii="Arial" w:cs="Arial" w:eastAsia="Arial" w:hAnsi="Arial"/>
                <w:sz w:val="18"/>
                <w:szCs w:val="18"/>
                <w:color w:val="auto"/>
              </w:rPr>
              <w:t>Preferred stock, par value $.50 per share; 2,000,000 shares authorized and no shares issued</w:t>
            </w:r>
          </w:p>
        </w:tc>
        <w:tc>
          <w:tcPr>
            <w:tcW w:w="220" w:type="dxa"/>
            <w:vAlign w:val="bottom"/>
            <w:shd w:val="clear" w:color="auto" w:fill="B2B2B2"/>
          </w:tcPr>
          <w:p>
            <w:pPr>
              <w:spacing w:after="0"/>
              <w:rPr>
                <w:sz w:val="18"/>
                <w:szCs w:val="18"/>
                <w:color w:val="auto"/>
              </w:rPr>
            </w:pPr>
          </w:p>
        </w:tc>
        <w:tc>
          <w:tcPr>
            <w:tcW w:w="480" w:type="dxa"/>
            <w:vAlign w:val="bottom"/>
            <w:shd w:val="clear" w:color="auto" w:fill="B2B2B2"/>
          </w:tcPr>
          <w:p>
            <w:pPr>
              <w:spacing w:after="0"/>
              <w:rPr>
                <w:sz w:val="18"/>
                <w:szCs w:val="18"/>
                <w:color w:val="auto"/>
              </w:rPr>
            </w:pPr>
          </w:p>
        </w:tc>
        <w:tc>
          <w:tcPr>
            <w:tcW w:w="1320" w:type="dxa"/>
            <w:vAlign w:val="bottom"/>
            <w:gridSpan w:val="2"/>
            <w:shd w:val="clear" w:color="auto" w:fill="B2B2B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B2B2B2"/>
          </w:tcPr>
          <w:p>
            <w:pPr>
              <w:spacing w:after="0"/>
              <w:rPr>
                <w:sz w:val="18"/>
                <w:szCs w:val="18"/>
                <w:color w:val="auto"/>
              </w:rPr>
            </w:pPr>
          </w:p>
        </w:tc>
        <w:tc>
          <w:tcPr>
            <w:tcW w:w="11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7660" w:type="dxa"/>
            <w:vAlign w:val="bottom"/>
            <w:gridSpan w:val="3"/>
          </w:tcPr>
          <w:p>
            <w:pPr>
              <w:spacing w:after="0" w:line="201" w:lineRule="exact"/>
              <w:rPr>
                <w:sz w:val="20"/>
                <w:szCs w:val="20"/>
                <w:color w:val="auto"/>
              </w:rPr>
            </w:pPr>
            <w:r>
              <w:rPr>
                <w:rFonts w:ascii="Arial" w:cs="Arial" w:eastAsia="Arial" w:hAnsi="Arial"/>
                <w:sz w:val="18"/>
                <w:szCs w:val="18"/>
                <w:color w:val="auto"/>
                <w:w w:val="91"/>
              </w:rPr>
              <w:t>Common stock, par value $.50 per share; 40,000,000 shares authorized and 15,505,772 shares issued at</w:t>
            </w: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660" w:type="dxa"/>
            <w:vAlign w:val="bottom"/>
            <w:gridSpan w:val="3"/>
          </w:tcPr>
          <w:p>
            <w:pPr>
              <w:ind w:left="180"/>
              <w:spacing w:after="0"/>
              <w:rPr>
                <w:sz w:val="20"/>
                <w:szCs w:val="20"/>
                <w:color w:val="auto"/>
              </w:rPr>
            </w:pPr>
            <w:r>
              <w:rPr>
                <w:rFonts w:ascii="Arial" w:cs="Arial" w:eastAsia="Arial" w:hAnsi="Arial"/>
                <w:sz w:val="18"/>
                <w:szCs w:val="18"/>
                <w:color w:val="auto"/>
              </w:rPr>
              <w:t>March 31, 2021 and December 31, 2020</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7,753</w:t>
            </w:r>
          </w:p>
        </w:tc>
        <w:tc>
          <w:tcPr>
            <w:tcW w:w="46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7,753</w:t>
            </w:r>
          </w:p>
        </w:tc>
        <w:tc>
          <w:tcPr>
            <w:tcW w:w="0" w:type="dxa"/>
            <w:vAlign w:val="bottom"/>
          </w:tcPr>
          <w:p>
            <w:pPr>
              <w:spacing w:after="0"/>
              <w:rPr>
                <w:sz w:val="1"/>
                <w:szCs w:val="1"/>
                <w:color w:val="auto"/>
              </w:rPr>
            </w:pPr>
          </w:p>
        </w:tc>
      </w:tr>
      <w:tr>
        <w:trPr>
          <w:trHeight w:val="215"/>
        </w:trPr>
        <w:tc>
          <w:tcPr>
            <w:tcW w:w="7660" w:type="dxa"/>
            <w:vAlign w:val="bottom"/>
            <w:gridSpan w:val="3"/>
            <w:shd w:val="clear" w:color="auto" w:fill="B2B2B2"/>
          </w:tcPr>
          <w:p>
            <w:pPr>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B2B2B2"/>
          </w:tcPr>
          <w:p>
            <w:pPr>
              <w:spacing w:after="0"/>
              <w:rPr>
                <w:sz w:val="18"/>
                <w:szCs w:val="18"/>
                <w:color w:val="auto"/>
              </w:rPr>
            </w:pPr>
          </w:p>
        </w:tc>
        <w:tc>
          <w:tcPr>
            <w:tcW w:w="480" w:type="dxa"/>
            <w:vAlign w:val="bottom"/>
            <w:shd w:val="clear" w:color="auto" w:fill="B2B2B2"/>
          </w:tcPr>
          <w:p>
            <w:pPr>
              <w:spacing w:after="0"/>
              <w:rPr>
                <w:sz w:val="18"/>
                <w:szCs w:val="18"/>
                <w:color w:val="auto"/>
              </w:rPr>
            </w:pPr>
          </w:p>
        </w:tc>
        <w:tc>
          <w:tcPr>
            <w:tcW w:w="1320" w:type="dxa"/>
            <w:vAlign w:val="bottom"/>
            <w:gridSpan w:val="2"/>
            <w:shd w:val="clear" w:color="auto" w:fill="B2B2B2"/>
          </w:tcPr>
          <w:p>
            <w:pPr>
              <w:jc w:val="right"/>
              <w:ind w:right="220"/>
              <w:spacing w:after="0"/>
              <w:rPr>
                <w:sz w:val="20"/>
                <w:szCs w:val="20"/>
                <w:color w:val="auto"/>
              </w:rPr>
            </w:pPr>
            <w:r>
              <w:rPr>
                <w:rFonts w:ascii="Arial" w:cs="Arial" w:eastAsia="Arial" w:hAnsi="Arial"/>
                <w:sz w:val="18"/>
                <w:szCs w:val="18"/>
                <w:color w:val="auto"/>
              </w:rPr>
              <w:t>202,828</w:t>
            </w:r>
          </w:p>
        </w:tc>
        <w:tc>
          <w:tcPr>
            <w:tcW w:w="460" w:type="dxa"/>
            <w:vAlign w:val="bottom"/>
            <w:shd w:val="clear" w:color="auto" w:fill="B2B2B2"/>
          </w:tcPr>
          <w:p>
            <w:pPr>
              <w:spacing w:after="0"/>
              <w:rPr>
                <w:sz w:val="18"/>
                <w:szCs w:val="18"/>
                <w:color w:val="auto"/>
              </w:rPr>
            </w:pPr>
          </w:p>
        </w:tc>
        <w:tc>
          <w:tcPr>
            <w:tcW w:w="11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204,875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660" w:type="dxa"/>
            <w:vAlign w:val="bottom"/>
            <w:gridSpan w:val="3"/>
          </w:tcPr>
          <w:p>
            <w:pPr>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102,247</w:t>
            </w: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99,062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7660" w:type="dxa"/>
            <w:vAlign w:val="bottom"/>
            <w:gridSpan w:val="3"/>
            <w:shd w:val="clear" w:color="auto" w:fill="B2B2B2"/>
          </w:tcPr>
          <w:p>
            <w:pPr>
              <w:spacing w:after="0" w:line="201" w:lineRule="exact"/>
              <w:rPr>
                <w:sz w:val="20"/>
                <w:szCs w:val="20"/>
                <w:color w:val="auto"/>
              </w:rPr>
            </w:pPr>
            <w:r>
              <w:rPr>
                <w:rFonts w:ascii="Arial" w:cs="Arial" w:eastAsia="Arial" w:hAnsi="Arial"/>
                <w:sz w:val="18"/>
                <w:szCs w:val="18"/>
                <w:color w:val="auto"/>
                <w:w w:val="97"/>
              </w:rPr>
              <w:t>Common shares in treasury, at cost (1,106,941 shares at March 31, 2021 and 1,113,103 shares at</w:t>
            </w:r>
          </w:p>
        </w:tc>
        <w:tc>
          <w:tcPr>
            <w:tcW w:w="220" w:type="dxa"/>
            <w:vAlign w:val="bottom"/>
            <w:shd w:val="clear" w:color="auto" w:fill="B2B2B2"/>
          </w:tcPr>
          <w:p>
            <w:pPr>
              <w:spacing w:after="0"/>
              <w:rPr>
                <w:sz w:val="17"/>
                <w:szCs w:val="17"/>
                <w:color w:val="auto"/>
              </w:rPr>
            </w:pPr>
          </w:p>
        </w:tc>
        <w:tc>
          <w:tcPr>
            <w:tcW w:w="480" w:type="dxa"/>
            <w:vAlign w:val="bottom"/>
            <w:shd w:val="clear" w:color="auto" w:fill="B2B2B2"/>
          </w:tcPr>
          <w:p>
            <w:pPr>
              <w:spacing w:after="0"/>
              <w:rPr>
                <w:sz w:val="17"/>
                <w:szCs w:val="17"/>
                <w:color w:val="auto"/>
              </w:rPr>
            </w:pPr>
          </w:p>
        </w:tc>
        <w:tc>
          <w:tcPr>
            <w:tcW w:w="1100" w:type="dxa"/>
            <w:vAlign w:val="bottom"/>
            <w:shd w:val="clear" w:color="auto" w:fill="B2B2B2"/>
          </w:tcPr>
          <w:p>
            <w:pPr>
              <w:spacing w:after="0"/>
              <w:rPr>
                <w:sz w:val="17"/>
                <w:szCs w:val="17"/>
                <w:color w:val="auto"/>
              </w:rPr>
            </w:pPr>
          </w:p>
        </w:tc>
        <w:tc>
          <w:tcPr>
            <w:tcW w:w="220" w:type="dxa"/>
            <w:vAlign w:val="bottom"/>
            <w:shd w:val="clear" w:color="auto" w:fill="B2B2B2"/>
          </w:tcPr>
          <w:p>
            <w:pPr>
              <w:spacing w:after="0"/>
              <w:rPr>
                <w:sz w:val="17"/>
                <w:szCs w:val="17"/>
                <w:color w:val="auto"/>
              </w:rPr>
            </w:pPr>
          </w:p>
        </w:tc>
        <w:tc>
          <w:tcPr>
            <w:tcW w:w="460" w:type="dxa"/>
            <w:vAlign w:val="bottom"/>
            <w:shd w:val="clear" w:color="auto" w:fill="B2B2B2"/>
          </w:tcPr>
          <w:p>
            <w:pPr>
              <w:spacing w:after="0"/>
              <w:rPr>
                <w:sz w:val="17"/>
                <w:szCs w:val="17"/>
                <w:color w:val="auto"/>
              </w:rPr>
            </w:pPr>
          </w:p>
        </w:tc>
        <w:tc>
          <w:tcPr>
            <w:tcW w:w="1100" w:type="dxa"/>
            <w:vAlign w:val="bottom"/>
            <w:shd w:val="clear" w:color="auto" w:fill="B2B2B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660" w:type="dxa"/>
            <w:vAlign w:val="bottom"/>
            <w:gridSpan w:val="3"/>
            <w:shd w:val="clear" w:color="auto" w:fill="B2B2B2"/>
          </w:tcPr>
          <w:p>
            <w:pPr>
              <w:ind w:left="180"/>
              <w:spacing w:after="0"/>
              <w:rPr>
                <w:sz w:val="20"/>
                <w:szCs w:val="20"/>
                <w:color w:val="auto"/>
              </w:rPr>
            </w:pPr>
            <w:r>
              <w:rPr>
                <w:rFonts w:ascii="Arial" w:cs="Arial" w:eastAsia="Arial" w:hAnsi="Arial"/>
                <w:sz w:val="18"/>
                <w:szCs w:val="18"/>
                <w:color w:val="auto"/>
              </w:rPr>
              <w:t>December 31, 2020)</w:t>
            </w:r>
          </w:p>
        </w:tc>
        <w:tc>
          <w:tcPr>
            <w:tcW w:w="220" w:type="dxa"/>
            <w:vAlign w:val="bottom"/>
            <w:shd w:val="clear" w:color="auto" w:fill="B2B2B2"/>
          </w:tcPr>
          <w:p>
            <w:pPr>
              <w:spacing w:after="0"/>
              <w:rPr>
                <w:sz w:val="19"/>
                <w:szCs w:val="19"/>
                <w:color w:val="auto"/>
              </w:rPr>
            </w:pPr>
          </w:p>
        </w:tc>
        <w:tc>
          <w:tcPr>
            <w:tcW w:w="480" w:type="dxa"/>
            <w:vAlign w:val="bottom"/>
            <w:shd w:val="clear" w:color="auto" w:fill="B2B2B2"/>
          </w:tcPr>
          <w:p>
            <w:pPr>
              <w:spacing w:after="0"/>
              <w:rPr>
                <w:sz w:val="19"/>
                <w:szCs w:val="19"/>
                <w:color w:val="auto"/>
              </w:rPr>
            </w:pPr>
          </w:p>
        </w:tc>
        <w:tc>
          <w:tcPr>
            <w:tcW w:w="1320" w:type="dxa"/>
            <w:vAlign w:val="bottom"/>
            <w:gridSpan w:val="2"/>
            <w:shd w:val="clear" w:color="auto" w:fill="B2B2B2"/>
          </w:tcPr>
          <w:p>
            <w:pPr>
              <w:jc w:val="right"/>
              <w:ind w:right="220"/>
              <w:spacing w:after="0"/>
              <w:rPr>
                <w:sz w:val="20"/>
                <w:szCs w:val="20"/>
                <w:color w:val="auto"/>
              </w:rPr>
            </w:pPr>
            <w:r>
              <w:rPr>
                <w:rFonts w:ascii="Arial" w:cs="Arial" w:eastAsia="Arial" w:hAnsi="Arial"/>
                <w:sz w:val="18"/>
                <w:szCs w:val="18"/>
                <w:color w:val="auto"/>
              </w:rPr>
              <w:t>(49,949)</w:t>
            </w:r>
          </w:p>
        </w:tc>
        <w:tc>
          <w:tcPr>
            <w:tcW w:w="460" w:type="dxa"/>
            <w:vAlign w:val="bottom"/>
            <w:shd w:val="clear" w:color="auto" w:fill="B2B2B2"/>
          </w:tcPr>
          <w:p>
            <w:pPr>
              <w:spacing w:after="0"/>
              <w:rPr>
                <w:sz w:val="19"/>
                <w:szCs w:val="19"/>
                <w:color w:val="auto"/>
              </w:rPr>
            </w:pPr>
          </w:p>
        </w:tc>
        <w:tc>
          <w:tcPr>
            <w:tcW w:w="11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(50,515)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660" w:type="dxa"/>
            <w:vAlign w:val="bottom"/>
            <w:gridSpan w:val="3"/>
          </w:tcPr>
          <w:p>
            <w:pPr>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(3,392)</w:t>
            </w: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60" w:type="dxa"/>
            <w:vAlign w:val="bottom"/>
            <w:gridSpan w:val="3"/>
            <w:shd w:val="clear" w:color="auto" w:fill="B2B2B2"/>
          </w:tcPr>
          <w:p>
            <w:pPr>
              <w:ind w:left="360"/>
              <w:spacing w:after="0"/>
              <w:rPr>
                <w:sz w:val="20"/>
                <w:szCs w:val="20"/>
                <w:color w:val="auto"/>
              </w:rPr>
            </w:pPr>
            <w:r>
              <w:rPr>
                <w:rFonts w:ascii="Arial" w:cs="Arial" w:eastAsia="Arial" w:hAnsi="Arial"/>
                <w:sz w:val="18"/>
                <w:szCs w:val="18"/>
                <w:color w:val="auto"/>
              </w:rPr>
              <w:t>Total shareholders’ equity</w:t>
            </w:r>
          </w:p>
        </w:tc>
        <w:tc>
          <w:tcPr>
            <w:tcW w:w="220" w:type="dxa"/>
            <w:vAlign w:val="bottom"/>
            <w:shd w:val="clear" w:color="auto" w:fill="B2B2B2"/>
          </w:tcPr>
          <w:p>
            <w:pPr>
              <w:spacing w:after="0"/>
              <w:rPr>
                <w:sz w:val="18"/>
                <w:szCs w:val="18"/>
                <w:color w:val="auto"/>
              </w:rPr>
            </w:pPr>
          </w:p>
        </w:tc>
        <w:tc>
          <w:tcPr>
            <w:tcW w:w="480" w:type="dxa"/>
            <w:vAlign w:val="bottom"/>
            <w:shd w:val="clear" w:color="auto" w:fill="B2B2B2"/>
          </w:tcPr>
          <w:p>
            <w:pPr>
              <w:spacing w:after="0"/>
              <w:rPr>
                <w:sz w:val="18"/>
                <w:szCs w:val="18"/>
                <w:color w:val="auto"/>
              </w:rPr>
            </w:pPr>
          </w:p>
        </w:tc>
        <w:tc>
          <w:tcPr>
            <w:tcW w:w="1320" w:type="dxa"/>
            <w:vAlign w:val="bottom"/>
            <w:gridSpan w:val="2"/>
            <w:shd w:val="clear" w:color="auto" w:fill="B2B2B2"/>
          </w:tcPr>
          <w:p>
            <w:pPr>
              <w:jc w:val="right"/>
              <w:ind w:right="220"/>
              <w:spacing w:after="0"/>
              <w:rPr>
                <w:sz w:val="20"/>
                <w:szCs w:val="20"/>
                <w:color w:val="auto"/>
              </w:rPr>
            </w:pPr>
            <w:r>
              <w:rPr>
                <w:rFonts w:ascii="Arial" w:cs="Arial" w:eastAsia="Arial" w:hAnsi="Arial"/>
                <w:sz w:val="18"/>
                <w:szCs w:val="18"/>
                <w:color w:val="auto"/>
              </w:rPr>
              <w:t>259,487</w:t>
            </w:r>
          </w:p>
        </w:tc>
        <w:tc>
          <w:tcPr>
            <w:tcW w:w="460" w:type="dxa"/>
            <w:vAlign w:val="bottom"/>
            <w:shd w:val="clear" w:color="auto" w:fill="B2B2B2"/>
          </w:tcPr>
          <w:p>
            <w:pPr>
              <w:spacing w:after="0"/>
              <w:rPr>
                <w:sz w:val="18"/>
                <w:szCs w:val="18"/>
                <w:color w:val="auto"/>
              </w:rPr>
            </w:pPr>
          </w:p>
        </w:tc>
        <w:tc>
          <w:tcPr>
            <w:tcW w:w="11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261,160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60" w:type="dxa"/>
            <w:vAlign w:val="bottom"/>
            <w:tcBorders>
              <w:top w:val="single" w:sz="8" w:color="B2B2B2"/>
            </w:tcBorders>
            <w:gridSpan w:val="3"/>
          </w:tcPr>
          <w:p>
            <w:pPr>
              <w:ind w:left="540"/>
              <w:spacing w:after="0"/>
              <w:rPr>
                <w:sz w:val="20"/>
                <w:szCs w:val="20"/>
                <w:color w:val="auto"/>
              </w:rPr>
            </w:pPr>
            <w:r>
              <w:rPr>
                <w:rFonts w:ascii="Arial" w:cs="Arial" w:eastAsia="Arial" w:hAnsi="Arial"/>
                <w:sz w:val="18"/>
                <w:szCs w:val="18"/>
                <w:color w:val="auto"/>
              </w:rPr>
              <w:t>Total liabilities and shareholders’ equity</w:t>
            </w:r>
          </w:p>
        </w:tc>
        <w:tc>
          <w:tcPr>
            <w:tcW w:w="220" w:type="dxa"/>
            <w:vAlign w:val="bottom"/>
            <w:tcBorders>
              <w:top w:val="single" w:sz="8" w:color="B2B2B2"/>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2,216,573</w:t>
            </w:r>
          </w:p>
        </w:tc>
        <w:tc>
          <w:tcPr>
            <w:tcW w:w="220" w:type="dxa"/>
            <w:vAlign w:val="bottom"/>
            <w:tcBorders>
              <w:top w:val="single" w:sz="8" w:color="B2B2B2"/>
            </w:tcBorders>
          </w:tcPr>
          <w:p>
            <w:pPr>
              <w:spacing w:after="0"/>
              <w:rPr>
                <w:sz w:val="18"/>
                <w:szCs w:val="18"/>
                <w:color w:val="auto"/>
              </w:rPr>
            </w:pPr>
          </w:p>
        </w:tc>
        <w:tc>
          <w:tcPr>
            <w:tcW w:w="460" w:type="dxa"/>
            <w:vAlign w:val="bottom"/>
            <w:tcBorders>
              <w:top w:val="single" w:sz="8" w:color="auto"/>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2,203,235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8355" cy="59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355" cy="5969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822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20"/>
        </w:trPr>
        <w:tc>
          <w:tcPr>
            <w:tcW w:w="1360" w:type="dxa"/>
            <w:vAlign w:val="bottom"/>
            <w:tcBorders>
              <w:top w:val="single" w:sz="8" w:color="0000EE"/>
            </w:tcBorders>
          </w:tcPr>
          <w:p>
            <w:pPr>
              <w:spacing w:after="0"/>
              <w:rPr>
                <w:sz w:val="24"/>
                <w:szCs w:val="24"/>
                <w:color w:val="auto"/>
              </w:rPr>
            </w:pPr>
          </w:p>
        </w:tc>
        <w:tc>
          <w:tcPr>
            <w:tcW w:w="6860" w:type="dxa"/>
            <w:vAlign w:val="bottom"/>
          </w:tcPr>
          <w:p>
            <w:pPr>
              <w:jc w:val="center"/>
              <w:ind w:left="1570"/>
              <w:spacing w:after="0"/>
              <w:rPr>
                <w:sz w:val="20"/>
                <w:szCs w:val="20"/>
                <w:color w:val="auto"/>
              </w:rPr>
            </w:pPr>
            <w:r>
              <w:rPr>
                <w:rFonts w:ascii="Arial" w:cs="Arial" w:eastAsia="Arial" w:hAnsi="Arial"/>
                <w:sz w:val="18"/>
                <w:szCs w:val="18"/>
                <w:b w:val="1"/>
                <w:bCs w:val="1"/>
                <w:color w:val="auto"/>
                <w:w w:val="99"/>
              </w:rPr>
              <w:t>CASS INFORMATION SYSTEMS, INC. AND SUBSIDIARIES</w:t>
            </w: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9"/>
        </w:trPr>
        <w:tc>
          <w:tcPr>
            <w:tcW w:w="1360" w:type="dxa"/>
            <w:vAlign w:val="bottom"/>
          </w:tcPr>
          <w:p>
            <w:pPr>
              <w:spacing w:after="0"/>
              <w:rPr>
                <w:sz w:val="19"/>
                <w:szCs w:val="19"/>
                <w:color w:val="auto"/>
              </w:rPr>
            </w:pPr>
          </w:p>
        </w:tc>
        <w:tc>
          <w:tcPr>
            <w:tcW w:w="6860" w:type="dxa"/>
            <w:vAlign w:val="bottom"/>
          </w:tcPr>
          <w:p>
            <w:pPr>
              <w:jc w:val="center"/>
              <w:ind w:left="1590"/>
              <w:spacing w:after="0"/>
              <w:rPr>
                <w:sz w:val="20"/>
                <w:szCs w:val="20"/>
                <w:color w:val="auto"/>
              </w:rPr>
            </w:pPr>
            <w:r>
              <w:rPr>
                <w:rFonts w:ascii="Arial" w:cs="Arial" w:eastAsia="Arial" w:hAnsi="Arial"/>
                <w:sz w:val="18"/>
                <w:szCs w:val="18"/>
                <w:b w:val="1"/>
                <w:bCs w:val="1"/>
                <w:color w:val="auto"/>
                <w:w w:val="99"/>
              </w:rPr>
              <w:t>CONSOLIDATED STATEMENTS OF INCOME</w:t>
            </w: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1360" w:type="dxa"/>
            <w:vAlign w:val="bottom"/>
          </w:tcPr>
          <w:p>
            <w:pPr>
              <w:spacing w:after="0"/>
              <w:rPr>
                <w:sz w:val="18"/>
                <w:szCs w:val="18"/>
                <w:color w:val="auto"/>
              </w:rPr>
            </w:pPr>
          </w:p>
        </w:tc>
        <w:tc>
          <w:tcPr>
            <w:tcW w:w="6860" w:type="dxa"/>
            <w:vAlign w:val="bottom"/>
          </w:tcPr>
          <w:p>
            <w:pPr>
              <w:jc w:val="center"/>
              <w:ind w:left="1590"/>
              <w:spacing w:after="0"/>
              <w:rPr>
                <w:sz w:val="20"/>
                <w:szCs w:val="20"/>
                <w:color w:val="auto"/>
              </w:rPr>
            </w:pPr>
            <w:r>
              <w:rPr>
                <w:rFonts w:ascii="Arial" w:cs="Arial" w:eastAsia="Arial" w:hAnsi="Arial"/>
                <w:sz w:val="18"/>
                <w:szCs w:val="18"/>
                <w:color w:val="auto"/>
                <w:w w:val="91"/>
              </w:rPr>
              <w:t>(Unaudited)</w:t>
            </w: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360" w:type="dxa"/>
            <w:vAlign w:val="bottom"/>
          </w:tcPr>
          <w:p>
            <w:pPr>
              <w:spacing w:after="0"/>
              <w:rPr>
                <w:sz w:val="19"/>
                <w:szCs w:val="19"/>
                <w:color w:val="auto"/>
              </w:rPr>
            </w:pPr>
          </w:p>
        </w:tc>
        <w:tc>
          <w:tcPr>
            <w:tcW w:w="6860" w:type="dxa"/>
            <w:vAlign w:val="bottom"/>
          </w:tcPr>
          <w:p>
            <w:pPr>
              <w:jc w:val="center"/>
              <w:ind w:left="1570"/>
              <w:spacing w:after="0"/>
              <w:rPr>
                <w:sz w:val="20"/>
                <w:szCs w:val="20"/>
                <w:color w:val="auto"/>
              </w:rPr>
            </w:pPr>
            <w:r>
              <w:rPr>
                <w:rFonts w:ascii="Arial" w:cs="Arial" w:eastAsia="Arial" w:hAnsi="Arial"/>
                <w:sz w:val="18"/>
                <w:szCs w:val="18"/>
                <w:color w:val="auto"/>
                <w:w w:val="89"/>
              </w:rPr>
              <w:t>(Dollars in Thousands except Per Share Data)</w:t>
            </w: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72"/>
        </w:trPr>
        <w:tc>
          <w:tcPr>
            <w:tcW w:w="136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2500" w:type="dxa"/>
            <w:vAlign w:val="bottom"/>
            <w:gridSpan w:val="5"/>
          </w:tcPr>
          <w:p>
            <w:pPr>
              <w:jc w:val="center"/>
              <w:ind w:left="430"/>
              <w:spacing w:after="0"/>
              <w:rPr>
                <w:sz w:val="20"/>
                <w:szCs w:val="20"/>
                <w:color w:val="auto"/>
              </w:rPr>
            </w:pPr>
            <w:r>
              <w:rPr>
                <w:rFonts w:ascii="Arial" w:cs="Arial" w:eastAsia="Arial" w:hAnsi="Arial"/>
                <w:sz w:val="18"/>
                <w:szCs w:val="18"/>
                <w:b w:val="1"/>
                <w:bCs w:val="1"/>
                <w:color w:val="auto"/>
                <w:w w:val="90"/>
              </w:rPr>
              <w:t>Three Months Ended</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1360" w:type="dxa"/>
            <w:vAlign w:val="bottom"/>
          </w:tcPr>
          <w:p>
            <w:pPr>
              <w:spacing w:after="0"/>
              <w:rPr>
                <w:sz w:val="20"/>
                <w:szCs w:val="20"/>
                <w:color w:val="auto"/>
              </w:rPr>
            </w:pPr>
          </w:p>
        </w:tc>
        <w:tc>
          <w:tcPr>
            <w:tcW w:w="686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center"/>
              <w:ind w:right="420"/>
              <w:spacing w:after="0"/>
              <w:rPr>
                <w:sz w:val="20"/>
                <w:szCs w:val="20"/>
                <w:color w:val="auto"/>
              </w:rPr>
            </w:pPr>
            <w:r>
              <w:rPr>
                <w:rFonts w:ascii="Arial" w:cs="Arial" w:eastAsia="Arial" w:hAnsi="Arial"/>
                <w:sz w:val="18"/>
                <w:szCs w:val="18"/>
                <w:b w:val="1"/>
                <w:bCs w:val="1"/>
                <w:color w:val="auto"/>
                <w:w w:val="93"/>
              </w:rPr>
              <w:t>March 31,</w:t>
            </w:r>
          </w:p>
        </w:tc>
        <w:tc>
          <w:tcPr>
            <w:tcW w:w="5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09"/>
        </w:trPr>
        <w:tc>
          <w:tcPr>
            <w:tcW w:w="1360" w:type="dxa"/>
            <w:vAlign w:val="bottom"/>
            <w:tcBorders>
              <w:bottom w:val="single" w:sz="8" w:color="auto"/>
            </w:tcBorders>
          </w:tcPr>
          <w:p>
            <w:pPr>
              <w:spacing w:after="0"/>
              <w:rPr>
                <w:sz w:val="18"/>
                <w:szCs w:val="18"/>
                <w:color w:val="auto"/>
              </w:rPr>
            </w:pPr>
          </w:p>
        </w:tc>
        <w:tc>
          <w:tcPr>
            <w:tcW w:w="68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8220" w:type="dxa"/>
            <w:vAlign w:val="bottom"/>
            <w:gridSpan w:val="2"/>
            <w:shd w:val="clear" w:color="auto" w:fill="B2B2B2"/>
          </w:tcPr>
          <w:p>
            <w:pPr>
              <w:spacing w:after="0"/>
              <w:rPr>
                <w:sz w:val="20"/>
                <w:szCs w:val="20"/>
                <w:color w:val="auto"/>
              </w:rPr>
            </w:pPr>
            <w:r>
              <w:rPr>
                <w:rFonts w:ascii="Arial" w:cs="Arial" w:eastAsia="Arial" w:hAnsi="Arial"/>
                <w:sz w:val="18"/>
                <w:szCs w:val="18"/>
                <w:b w:val="1"/>
                <w:bCs w:val="1"/>
                <w:color w:val="auto"/>
              </w:rPr>
              <w:t>Fee Revenue and Other Income:</w:t>
            </w:r>
          </w:p>
        </w:tc>
        <w:tc>
          <w:tcPr>
            <w:tcW w:w="940" w:type="dxa"/>
            <w:vAlign w:val="bottom"/>
            <w:shd w:val="clear" w:color="auto" w:fill="B2B2B2"/>
          </w:tcPr>
          <w:p>
            <w:pPr>
              <w:spacing w:after="0"/>
              <w:rPr>
                <w:sz w:val="18"/>
                <w:szCs w:val="18"/>
                <w:color w:val="auto"/>
              </w:rPr>
            </w:pPr>
          </w:p>
        </w:tc>
        <w:tc>
          <w:tcPr>
            <w:tcW w:w="520" w:type="dxa"/>
            <w:vAlign w:val="bottom"/>
            <w:shd w:val="clear" w:color="auto" w:fill="B2B2B2"/>
          </w:tcPr>
          <w:p>
            <w:pPr>
              <w:spacing w:after="0"/>
              <w:rPr>
                <w:sz w:val="18"/>
                <w:szCs w:val="18"/>
                <w:color w:val="auto"/>
              </w:rPr>
            </w:pPr>
          </w:p>
        </w:tc>
        <w:tc>
          <w:tcPr>
            <w:tcW w:w="8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c>
          <w:tcPr>
            <w:tcW w:w="940" w:type="dxa"/>
            <w:vAlign w:val="bottom"/>
            <w:shd w:val="clear" w:color="auto" w:fill="B2B2B2"/>
          </w:tcPr>
          <w:p>
            <w:pPr>
              <w:spacing w:after="0"/>
              <w:rPr>
                <w:sz w:val="18"/>
                <w:szCs w:val="18"/>
                <w:color w:val="auto"/>
              </w:rPr>
            </w:pPr>
          </w:p>
        </w:tc>
        <w:tc>
          <w:tcPr>
            <w:tcW w:w="520" w:type="dxa"/>
            <w:vAlign w:val="bottom"/>
            <w:shd w:val="clear" w:color="auto" w:fill="B2B2B2"/>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8220" w:type="dxa"/>
            <w:vAlign w:val="bottom"/>
            <w:gridSpan w:val="2"/>
          </w:tcPr>
          <w:p>
            <w:pPr>
              <w:spacing w:after="0"/>
              <w:rPr>
                <w:sz w:val="20"/>
                <w:szCs w:val="20"/>
                <w:color w:val="auto"/>
              </w:rPr>
            </w:pPr>
            <w:r>
              <w:rPr>
                <w:rFonts w:ascii="Arial" w:cs="Arial" w:eastAsia="Arial" w:hAnsi="Arial"/>
                <w:sz w:val="18"/>
                <w:szCs w:val="18"/>
                <w:color w:val="auto"/>
              </w:rPr>
              <w:t>Information services payment and processing revenue</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25,216</w:t>
            </w:r>
          </w:p>
        </w:tc>
        <w:tc>
          <w:tcPr>
            <w:tcW w:w="960" w:type="dxa"/>
            <w:vAlign w:val="bottom"/>
            <w:gridSpan w:val="2"/>
          </w:tcPr>
          <w:p>
            <w:pPr>
              <w:jc w:val="right"/>
              <w:ind w:right="84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25,503</w:t>
            </w:r>
          </w:p>
        </w:tc>
        <w:tc>
          <w:tcPr>
            <w:tcW w:w="20" w:type="dxa"/>
            <w:vAlign w:val="bottom"/>
          </w:tcPr>
          <w:p>
            <w:pPr>
              <w:spacing w:after="0"/>
              <w:rPr>
                <w:sz w:val="18"/>
                <w:szCs w:val="18"/>
                <w:color w:val="auto"/>
              </w:rPr>
            </w:pPr>
          </w:p>
        </w:tc>
      </w:tr>
      <w:tr>
        <w:trPr>
          <w:trHeight w:val="215"/>
        </w:trPr>
        <w:tc>
          <w:tcPr>
            <w:tcW w:w="822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Bank service fees</w:t>
            </w:r>
          </w:p>
        </w:tc>
        <w:tc>
          <w:tcPr>
            <w:tcW w:w="940" w:type="dxa"/>
            <w:vAlign w:val="bottom"/>
            <w:shd w:val="clear" w:color="auto" w:fill="B2B2B2"/>
          </w:tcPr>
          <w:p>
            <w:pPr>
              <w:spacing w:after="0"/>
              <w:rPr>
                <w:sz w:val="18"/>
                <w:szCs w:val="18"/>
                <w:color w:val="auto"/>
              </w:rPr>
            </w:pPr>
          </w:p>
        </w:tc>
        <w:tc>
          <w:tcPr>
            <w:tcW w:w="600" w:type="dxa"/>
            <w:vAlign w:val="bottom"/>
            <w:gridSpan w:val="2"/>
            <w:shd w:val="clear" w:color="auto" w:fill="B2B2B2"/>
          </w:tcPr>
          <w:p>
            <w:pPr>
              <w:jc w:val="right"/>
              <w:ind w:right="80"/>
              <w:spacing w:after="0"/>
              <w:rPr>
                <w:sz w:val="20"/>
                <w:szCs w:val="20"/>
                <w:color w:val="auto"/>
              </w:rPr>
            </w:pPr>
            <w:r>
              <w:rPr>
                <w:rFonts w:ascii="Arial" w:cs="Arial" w:eastAsia="Arial" w:hAnsi="Arial"/>
                <w:sz w:val="18"/>
                <w:szCs w:val="18"/>
                <w:color w:val="auto"/>
              </w:rPr>
              <w:t>494</w:t>
            </w:r>
          </w:p>
        </w:tc>
        <w:tc>
          <w:tcPr>
            <w:tcW w:w="20" w:type="dxa"/>
            <w:vAlign w:val="bottom"/>
            <w:shd w:val="clear" w:color="auto" w:fill="B2B2B2"/>
          </w:tcPr>
          <w:p>
            <w:pPr>
              <w:spacing w:after="0"/>
              <w:rPr>
                <w:sz w:val="18"/>
                <w:szCs w:val="18"/>
                <w:color w:val="auto"/>
              </w:rPr>
            </w:pPr>
          </w:p>
        </w:tc>
        <w:tc>
          <w:tcPr>
            <w:tcW w:w="940" w:type="dxa"/>
            <w:vAlign w:val="bottom"/>
            <w:shd w:val="clear" w:color="auto" w:fill="B2B2B2"/>
          </w:tcPr>
          <w:p>
            <w:pPr>
              <w:spacing w:after="0"/>
              <w:rPr>
                <w:sz w:val="18"/>
                <w:szCs w:val="18"/>
                <w:color w:val="auto"/>
              </w:rPr>
            </w:pPr>
          </w:p>
        </w:tc>
        <w:tc>
          <w:tcPr>
            <w:tcW w:w="5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410</w:t>
            </w:r>
          </w:p>
        </w:tc>
        <w:tc>
          <w:tcPr>
            <w:tcW w:w="20" w:type="dxa"/>
            <w:vAlign w:val="bottom"/>
          </w:tcPr>
          <w:p>
            <w:pPr>
              <w:spacing w:after="0"/>
              <w:rPr>
                <w:sz w:val="18"/>
                <w:szCs w:val="18"/>
                <w:color w:val="auto"/>
              </w:rPr>
            </w:pPr>
          </w:p>
        </w:tc>
      </w:tr>
      <w:tr>
        <w:trPr>
          <w:trHeight w:val="215"/>
        </w:trPr>
        <w:tc>
          <w:tcPr>
            <w:tcW w:w="8220" w:type="dxa"/>
            <w:vAlign w:val="bottom"/>
            <w:gridSpan w:val="2"/>
          </w:tcPr>
          <w:p>
            <w:pPr>
              <w:spacing w:after="0"/>
              <w:rPr>
                <w:sz w:val="20"/>
                <w:szCs w:val="20"/>
                <w:color w:val="auto"/>
              </w:rPr>
            </w:pPr>
            <w:r>
              <w:rPr>
                <w:rFonts w:ascii="Arial" w:cs="Arial" w:eastAsia="Arial" w:hAnsi="Arial"/>
                <w:sz w:val="18"/>
                <w:szCs w:val="18"/>
                <w:color w:val="auto"/>
              </w:rPr>
              <w:t>Gains on sales of securities</w:t>
            </w:r>
          </w:p>
        </w:tc>
        <w:tc>
          <w:tcPr>
            <w:tcW w:w="94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1,069</w:t>
            </w:r>
          </w:p>
        </w:tc>
        <w:tc>
          <w:tcPr>
            <w:tcW w:w="20" w:type="dxa"/>
            <w:vAlign w:val="bottom"/>
          </w:tcPr>
          <w:p>
            <w:pPr>
              <w:spacing w:after="0"/>
              <w:rPr>
                <w:sz w:val="18"/>
                <w:szCs w:val="18"/>
                <w:color w:val="auto"/>
              </w:rPr>
            </w:pPr>
          </w:p>
        </w:tc>
      </w:tr>
      <w:tr>
        <w:trPr>
          <w:trHeight w:val="215"/>
        </w:trPr>
        <w:tc>
          <w:tcPr>
            <w:tcW w:w="8220" w:type="dxa"/>
            <w:vAlign w:val="bottom"/>
            <w:tcBorders>
              <w:bottom w:val="single" w:sz="8" w:color="B2B2B2"/>
            </w:tcBorders>
            <w:gridSpan w:val="2"/>
            <w:shd w:val="clear" w:color="auto" w:fill="B2B2B2"/>
          </w:tcPr>
          <w:p>
            <w:pPr>
              <w:spacing w:after="0"/>
              <w:rPr>
                <w:sz w:val="20"/>
                <w:szCs w:val="20"/>
                <w:color w:val="auto"/>
              </w:rPr>
            </w:pPr>
            <w:r>
              <w:rPr>
                <w:rFonts w:ascii="Arial" w:cs="Arial" w:eastAsia="Arial" w:hAnsi="Arial"/>
                <w:sz w:val="18"/>
                <w:szCs w:val="18"/>
                <w:color w:val="auto"/>
              </w:rPr>
              <w:t>Other</w:t>
            </w:r>
          </w:p>
        </w:tc>
        <w:tc>
          <w:tcPr>
            <w:tcW w:w="940" w:type="dxa"/>
            <w:vAlign w:val="bottom"/>
            <w:tcBorders>
              <w:bottom w:val="single" w:sz="8" w:color="auto"/>
            </w:tcBorders>
            <w:shd w:val="clear" w:color="auto" w:fill="B2B2B2"/>
          </w:tcPr>
          <w:p>
            <w:pPr>
              <w:spacing w:after="0"/>
              <w:rPr>
                <w:sz w:val="18"/>
                <w:szCs w:val="18"/>
                <w:color w:val="auto"/>
              </w:rPr>
            </w:pPr>
          </w:p>
        </w:tc>
        <w:tc>
          <w:tcPr>
            <w:tcW w:w="5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417</w:t>
            </w:r>
          </w:p>
        </w:tc>
        <w:tc>
          <w:tcPr>
            <w:tcW w:w="80" w:type="dxa"/>
            <w:vAlign w:val="bottom"/>
            <w:tcBorders>
              <w:bottom w:val="single" w:sz="8" w:color="B2B2B2"/>
            </w:tcBorders>
            <w:shd w:val="clear" w:color="auto" w:fill="B2B2B2"/>
          </w:tcPr>
          <w:p>
            <w:pPr>
              <w:spacing w:after="0"/>
              <w:rPr>
                <w:sz w:val="18"/>
                <w:szCs w:val="18"/>
                <w:color w:val="auto"/>
              </w:rPr>
            </w:pPr>
          </w:p>
        </w:tc>
        <w:tc>
          <w:tcPr>
            <w:tcW w:w="20" w:type="dxa"/>
            <w:vAlign w:val="bottom"/>
            <w:tcBorders>
              <w:bottom w:val="single" w:sz="8" w:color="B2B2B2"/>
            </w:tcBorders>
            <w:shd w:val="clear" w:color="auto" w:fill="B2B2B2"/>
          </w:tcPr>
          <w:p>
            <w:pPr>
              <w:spacing w:after="0"/>
              <w:rPr>
                <w:sz w:val="18"/>
                <w:szCs w:val="18"/>
                <w:color w:val="auto"/>
              </w:rPr>
            </w:pPr>
          </w:p>
        </w:tc>
        <w:tc>
          <w:tcPr>
            <w:tcW w:w="940" w:type="dxa"/>
            <w:vAlign w:val="bottom"/>
            <w:tcBorders>
              <w:bottom w:val="single" w:sz="8" w:color="auto"/>
            </w:tcBorders>
            <w:shd w:val="clear" w:color="auto" w:fill="B2B2B2"/>
          </w:tcPr>
          <w:p>
            <w:pPr>
              <w:spacing w:after="0"/>
              <w:rPr>
                <w:sz w:val="18"/>
                <w:szCs w:val="18"/>
                <w:color w:val="auto"/>
              </w:rPr>
            </w:pPr>
          </w:p>
        </w:tc>
        <w:tc>
          <w:tcPr>
            <w:tcW w:w="5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113</w:t>
            </w:r>
          </w:p>
        </w:tc>
        <w:tc>
          <w:tcPr>
            <w:tcW w:w="20" w:type="dxa"/>
            <w:vAlign w:val="bottom"/>
          </w:tcPr>
          <w:p>
            <w:pPr>
              <w:spacing w:after="0"/>
              <w:rPr>
                <w:sz w:val="18"/>
                <w:szCs w:val="18"/>
                <w:color w:val="auto"/>
              </w:rPr>
            </w:pPr>
          </w:p>
        </w:tc>
      </w:tr>
      <w:tr>
        <w:trPr>
          <w:trHeight w:val="209"/>
        </w:trPr>
        <w:tc>
          <w:tcPr>
            <w:tcW w:w="8220" w:type="dxa"/>
            <w:vAlign w:val="bottom"/>
            <w:gridSpan w:val="2"/>
          </w:tcPr>
          <w:p>
            <w:pPr>
              <w:ind w:left="360"/>
              <w:spacing w:after="0"/>
              <w:rPr>
                <w:sz w:val="20"/>
                <w:szCs w:val="20"/>
                <w:color w:val="auto"/>
              </w:rPr>
            </w:pPr>
            <w:r>
              <w:rPr>
                <w:rFonts w:ascii="Arial" w:cs="Arial" w:eastAsia="Arial" w:hAnsi="Arial"/>
                <w:sz w:val="18"/>
                <w:szCs w:val="18"/>
                <w:color w:val="auto"/>
              </w:rPr>
              <w:t>Total fee revenue and other income</w:t>
            </w:r>
          </w:p>
        </w:tc>
        <w:tc>
          <w:tcPr>
            <w:tcW w:w="94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26,175</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27,095</w:t>
            </w:r>
          </w:p>
        </w:tc>
        <w:tc>
          <w:tcPr>
            <w:tcW w:w="20" w:type="dxa"/>
            <w:vAlign w:val="bottom"/>
          </w:tcPr>
          <w:p>
            <w:pPr>
              <w:spacing w:after="0"/>
              <w:rPr>
                <w:sz w:val="18"/>
                <w:szCs w:val="18"/>
                <w:color w:val="auto"/>
              </w:rPr>
            </w:pPr>
          </w:p>
        </w:tc>
      </w:tr>
      <w:tr>
        <w:trPr>
          <w:trHeight w:val="209"/>
        </w:trPr>
        <w:tc>
          <w:tcPr>
            <w:tcW w:w="136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8220" w:type="dxa"/>
            <w:vAlign w:val="bottom"/>
            <w:gridSpan w:val="2"/>
            <w:shd w:val="clear" w:color="auto" w:fill="B2B2B2"/>
          </w:tcPr>
          <w:p>
            <w:pPr>
              <w:spacing w:after="0"/>
              <w:rPr>
                <w:sz w:val="20"/>
                <w:szCs w:val="20"/>
                <w:color w:val="auto"/>
              </w:rPr>
            </w:pPr>
            <w:r>
              <w:rPr>
                <w:rFonts w:ascii="Arial" w:cs="Arial" w:eastAsia="Arial" w:hAnsi="Arial"/>
                <w:sz w:val="18"/>
                <w:szCs w:val="18"/>
                <w:b w:val="1"/>
                <w:bCs w:val="1"/>
                <w:color w:val="auto"/>
              </w:rPr>
              <w:t>Interest Income:</w:t>
            </w:r>
          </w:p>
        </w:tc>
        <w:tc>
          <w:tcPr>
            <w:tcW w:w="940" w:type="dxa"/>
            <w:vAlign w:val="bottom"/>
            <w:shd w:val="clear" w:color="auto" w:fill="B2B2B2"/>
          </w:tcPr>
          <w:p>
            <w:pPr>
              <w:spacing w:after="0"/>
              <w:rPr>
                <w:sz w:val="18"/>
                <w:szCs w:val="18"/>
                <w:color w:val="auto"/>
              </w:rPr>
            </w:pPr>
          </w:p>
        </w:tc>
        <w:tc>
          <w:tcPr>
            <w:tcW w:w="520" w:type="dxa"/>
            <w:vAlign w:val="bottom"/>
            <w:shd w:val="clear" w:color="auto" w:fill="B2B2B2"/>
          </w:tcPr>
          <w:p>
            <w:pPr>
              <w:spacing w:after="0"/>
              <w:rPr>
                <w:sz w:val="18"/>
                <w:szCs w:val="18"/>
                <w:color w:val="auto"/>
              </w:rPr>
            </w:pPr>
          </w:p>
        </w:tc>
        <w:tc>
          <w:tcPr>
            <w:tcW w:w="8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c>
          <w:tcPr>
            <w:tcW w:w="940" w:type="dxa"/>
            <w:vAlign w:val="bottom"/>
            <w:shd w:val="clear" w:color="auto" w:fill="B2B2B2"/>
          </w:tcPr>
          <w:p>
            <w:pPr>
              <w:spacing w:after="0"/>
              <w:rPr>
                <w:sz w:val="18"/>
                <w:szCs w:val="18"/>
                <w:color w:val="auto"/>
              </w:rPr>
            </w:pPr>
          </w:p>
        </w:tc>
        <w:tc>
          <w:tcPr>
            <w:tcW w:w="520" w:type="dxa"/>
            <w:vAlign w:val="bottom"/>
            <w:shd w:val="clear" w:color="auto" w:fill="B2B2B2"/>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8220" w:type="dxa"/>
            <w:vAlign w:val="bottom"/>
            <w:gridSpan w:val="2"/>
          </w:tcPr>
          <w:p>
            <w:pPr>
              <w:spacing w:after="0"/>
              <w:rPr>
                <w:sz w:val="20"/>
                <w:szCs w:val="20"/>
                <w:color w:val="auto"/>
              </w:rPr>
            </w:pPr>
            <w:r>
              <w:rPr>
                <w:rFonts w:ascii="Arial" w:cs="Arial" w:eastAsia="Arial" w:hAnsi="Arial"/>
                <w:sz w:val="18"/>
                <w:szCs w:val="18"/>
                <w:color w:val="auto"/>
              </w:rPr>
              <w:t>Interest and fees on loans</w:t>
            </w:r>
          </w:p>
        </w:tc>
        <w:tc>
          <w:tcPr>
            <w:tcW w:w="94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8,587</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9,001</w:t>
            </w:r>
          </w:p>
        </w:tc>
        <w:tc>
          <w:tcPr>
            <w:tcW w:w="20" w:type="dxa"/>
            <w:vAlign w:val="bottom"/>
          </w:tcPr>
          <w:p>
            <w:pPr>
              <w:spacing w:after="0"/>
              <w:rPr>
                <w:sz w:val="18"/>
                <w:szCs w:val="18"/>
                <w:color w:val="auto"/>
              </w:rPr>
            </w:pPr>
          </w:p>
        </w:tc>
      </w:tr>
      <w:tr>
        <w:trPr>
          <w:trHeight w:val="215"/>
        </w:trPr>
        <w:tc>
          <w:tcPr>
            <w:tcW w:w="822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Interest and dividends on securities:</w:t>
            </w:r>
          </w:p>
        </w:tc>
        <w:tc>
          <w:tcPr>
            <w:tcW w:w="940" w:type="dxa"/>
            <w:vAlign w:val="bottom"/>
            <w:shd w:val="clear" w:color="auto" w:fill="B2B2B2"/>
          </w:tcPr>
          <w:p>
            <w:pPr>
              <w:spacing w:after="0"/>
              <w:rPr>
                <w:sz w:val="18"/>
                <w:szCs w:val="18"/>
                <w:color w:val="auto"/>
              </w:rPr>
            </w:pPr>
          </w:p>
        </w:tc>
        <w:tc>
          <w:tcPr>
            <w:tcW w:w="520" w:type="dxa"/>
            <w:vAlign w:val="bottom"/>
            <w:shd w:val="clear" w:color="auto" w:fill="B2B2B2"/>
          </w:tcPr>
          <w:p>
            <w:pPr>
              <w:spacing w:after="0"/>
              <w:rPr>
                <w:sz w:val="18"/>
                <w:szCs w:val="18"/>
                <w:color w:val="auto"/>
              </w:rPr>
            </w:pPr>
          </w:p>
        </w:tc>
        <w:tc>
          <w:tcPr>
            <w:tcW w:w="8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c>
          <w:tcPr>
            <w:tcW w:w="940" w:type="dxa"/>
            <w:vAlign w:val="bottom"/>
            <w:shd w:val="clear" w:color="auto" w:fill="B2B2B2"/>
          </w:tcPr>
          <w:p>
            <w:pPr>
              <w:spacing w:after="0"/>
              <w:rPr>
                <w:sz w:val="18"/>
                <w:szCs w:val="18"/>
                <w:color w:val="auto"/>
              </w:rPr>
            </w:pPr>
          </w:p>
        </w:tc>
        <w:tc>
          <w:tcPr>
            <w:tcW w:w="520" w:type="dxa"/>
            <w:vAlign w:val="bottom"/>
            <w:shd w:val="clear" w:color="auto" w:fill="B2B2B2"/>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8220" w:type="dxa"/>
            <w:vAlign w:val="bottom"/>
            <w:gridSpan w:val="2"/>
          </w:tcPr>
          <w:p>
            <w:pPr>
              <w:ind w:left="360"/>
              <w:spacing w:after="0"/>
              <w:rPr>
                <w:sz w:val="20"/>
                <w:szCs w:val="20"/>
                <w:color w:val="auto"/>
              </w:rPr>
            </w:pPr>
            <w:r>
              <w:rPr>
                <w:rFonts w:ascii="Arial" w:cs="Arial" w:eastAsia="Arial" w:hAnsi="Arial"/>
                <w:sz w:val="18"/>
                <w:szCs w:val="18"/>
                <w:color w:val="auto"/>
              </w:rPr>
              <w:t>Taxable</w:t>
            </w:r>
          </w:p>
        </w:tc>
        <w:tc>
          <w:tcPr>
            <w:tcW w:w="94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198</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560</w:t>
            </w:r>
          </w:p>
        </w:tc>
        <w:tc>
          <w:tcPr>
            <w:tcW w:w="20" w:type="dxa"/>
            <w:vAlign w:val="bottom"/>
          </w:tcPr>
          <w:p>
            <w:pPr>
              <w:spacing w:after="0"/>
              <w:rPr>
                <w:sz w:val="18"/>
                <w:szCs w:val="18"/>
                <w:color w:val="auto"/>
              </w:rPr>
            </w:pPr>
          </w:p>
        </w:tc>
      </w:tr>
      <w:tr>
        <w:trPr>
          <w:trHeight w:val="215"/>
        </w:trPr>
        <w:tc>
          <w:tcPr>
            <w:tcW w:w="8220" w:type="dxa"/>
            <w:vAlign w:val="bottom"/>
            <w:gridSpan w:val="2"/>
            <w:shd w:val="clear" w:color="auto" w:fill="B2B2B2"/>
          </w:tcPr>
          <w:p>
            <w:pPr>
              <w:ind w:left="360"/>
              <w:spacing w:after="0"/>
              <w:rPr>
                <w:sz w:val="20"/>
                <w:szCs w:val="20"/>
                <w:color w:val="auto"/>
              </w:rPr>
            </w:pPr>
            <w:r>
              <w:rPr>
                <w:rFonts w:ascii="Arial" w:cs="Arial" w:eastAsia="Arial" w:hAnsi="Arial"/>
                <w:sz w:val="18"/>
                <w:szCs w:val="18"/>
                <w:color w:val="auto"/>
              </w:rPr>
              <w:t>Exempt from federal income taxes</w:t>
            </w:r>
          </w:p>
        </w:tc>
        <w:tc>
          <w:tcPr>
            <w:tcW w:w="940" w:type="dxa"/>
            <w:vAlign w:val="bottom"/>
            <w:shd w:val="clear" w:color="auto" w:fill="B2B2B2"/>
          </w:tcPr>
          <w:p>
            <w:pPr>
              <w:spacing w:after="0"/>
              <w:rPr>
                <w:sz w:val="18"/>
                <w:szCs w:val="18"/>
                <w:color w:val="auto"/>
              </w:rPr>
            </w:pPr>
          </w:p>
        </w:tc>
        <w:tc>
          <w:tcPr>
            <w:tcW w:w="600" w:type="dxa"/>
            <w:vAlign w:val="bottom"/>
            <w:gridSpan w:val="2"/>
            <w:shd w:val="clear" w:color="auto" w:fill="B2B2B2"/>
          </w:tcPr>
          <w:p>
            <w:pPr>
              <w:jc w:val="right"/>
              <w:ind w:right="80"/>
              <w:spacing w:after="0"/>
              <w:rPr>
                <w:sz w:val="20"/>
                <w:szCs w:val="20"/>
                <w:color w:val="auto"/>
              </w:rPr>
            </w:pPr>
            <w:r>
              <w:rPr>
                <w:rFonts w:ascii="Arial" w:cs="Arial" w:eastAsia="Arial" w:hAnsi="Arial"/>
                <w:sz w:val="18"/>
                <w:szCs w:val="18"/>
                <w:color w:val="auto"/>
              </w:rPr>
              <w:t>1,739</w:t>
            </w:r>
          </w:p>
        </w:tc>
        <w:tc>
          <w:tcPr>
            <w:tcW w:w="20" w:type="dxa"/>
            <w:vAlign w:val="bottom"/>
            <w:shd w:val="clear" w:color="auto" w:fill="B2B2B2"/>
          </w:tcPr>
          <w:p>
            <w:pPr>
              <w:spacing w:after="0"/>
              <w:rPr>
                <w:sz w:val="18"/>
                <w:szCs w:val="18"/>
                <w:color w:val="auto"/>
              </w:rPr>
            </w:pPr>
          </w:p>
        </w:tc>
        <w:tc>
          <w:tcPr>
            <w:tcW w:w="940" w:type="dxa"/>
            <w:vAlign w:val="bottom"/>
            <w:shd w:val="clear" w:color="auto" w:fill="B2B2B2"/>
          </w:tcPr>
          <w:p>
            <w:pPr>
              <w:spacing w:after="0"/>
              <w:rPr>
                <w:sz w:val="18"/>
                <w:szCs w:val="18"/>
                <w:color w:val="auto"/>
              </w:rPr>
            </w:pPr>
          </w:p>
        </w:tc>
        <w:tc>
          <w:tcPr>
            <w:tcW w:w="5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1,819</w:t>
            </w:r>
          </w:p>
        </w:tc>
        <w:tc>
          <w:tcPr>
            <w:tcW w:w="20" w:type="dxa"/>
            <w:vAlign w:val="bottom"/>
          </w:tcPr>
          <w:p>
            <w:pPr>
              <w:spacing w:after="0"/>
              <w:rPr>
                <w:sz w:val="18"/>
                <w:szCs w:val="18"/>
                <w:color w:val="auto"/>
              </w:rPr>
            </w:pPr>
          </w:p>
        </w:tc>
      </w:tr>
      <w:tr>
        <w:trPr>
          <w:trHeight w:val="215"/>
        </w:trPr>
        <w:tc>
          <w:tcPr>
            <w:tcW w:w="8220" w:type="dxa"/>
            <w:vAlign w:val="bottom"/>
            <w:gridSpan w:val="2"/>
          </w:tcPr>
          <w:p>
            <w:pPr>
              <w:spacing w:after="0"/>
              <w:rPr>
                <w:sz w:val="20"/>
                <w:szCs w:val="20"/>
                <w:color w:val="auto"/>
              </w:rPr>
            </w:pPr>
            <w:r>
              <w:rPr>
                <w:rFonts w:ascii="Arial" w:cs="Arial" w:eastAsia="Arial" w:hAnsi="Arial"/>
                <w:sz w:val="18"/>
                <w:szCs w:val="18"/>
                <w:color w:val="auto"/>
              </w:rPr>
              <w:t>Interest on federal funds sold and other short-term investments</w:t>
            </w: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w:t>
            </w:r>
          </w:p>
        </w:tc>
        <w:tc>
          <w:tcPr>
            <w:tcW w:w="20" w:type="dxa"/>
            <w:vAlign w:val="bottom"/>
          </w:tcPr>
          <w:p>
            <w:pPr>
              <w:spacing w:after="0"/>
              <w:rPr>
                <w:sz w:val="18"/>
                <w:szCs w:val="18"/>
                <w:color w:val="auto"/>
              </w:rPr>
            </w:pPr>
          </w:p>
        </w:tc>
      </w:tr>
      <w:tr>
        <w:trPr>
          <w:trHeight w:val="209"/>
        </w:trPr>
        <w:tc>
          <w:tcPr>
            <w:tcW w:w="8220" w:type="dxa"/>
            <w:vAlign w:val="bottom"/>
            <w:gridSpan w:val="2"/>
            <w:shd w:val="clear" w:color="auto" w:fill="B2B2B2"/>
          </w:tcPr>
          <w:p>
            <w:pPr>
              <w:ind w:left="360"/>
              <w:spacing w:after="0"/>
              <w:rPr>
                <w:sz w:val="20"/>
                <w:szCs w:val="20"/>
                <w:color w:val="auto"/>
              </w:rPr>
            </w:pPr>
            <w:r>
              <w:rPr>
                <w:rFonts w:ascii="Arial" w:cs="Arial" w:eastAsia="Arial" w:hAnsi="Arial"/>
                <w:sz w:val="18"/>
                <w:szCs w:val="18"/>
                <w:color w:val="auto"/>
              </w:rPr>
              <w:t>Total interest income</w:t>
            </w:r>
          </w:p>
        </w:tc>
        <w:tc>
          <w:tcPr>
            <w:tcW w:w="940" w:type="dxa"/>
            <w:vAlign w:val="bottom"/>
            <w:shd w:val="clear" w:color="auto" w:fill="B2B2B2"/>
          </w:tcPr>
          <w:p>
            <w:pPr>
              <w:spacing w:after="0"/>
              <w:rPr>
                <w:sz w:val="18"/>
                <w:szCs w:val="18"/>
                <w:color w:val="auto"/>
              </w:rPr>
            </w:pPr>
          </w:p>
        </w:tc>
        <w:tc>
          <w:tcPr>
            <w:tcW w:w="600" w:type="dxa"/>
            <w:vAlign w:val="bottom"/>
            <w:gridSpan w:val="2"/>
            <w:shd w:val="clear" w:color="auto" w:fill="B2B2B2"/>
          </w:tcPr>
          <w:p>
            <w:pPr>
              <w:jc w:val="right"/>
              <w:ind w:right="80"/>
              <w:spacing w:after="0"/>
              <w:rPr>
                <w:sz w:val="20"/>
                <w:szCs w:val="20"/>
                <w:color w:val="auto"/>
              </w:rPr>
            </w:pPr>
            <w:r>
              <w:rPr>
                <w:rFonts w:ascii="Arial" w:cs="Arial" w:eastAsia="Arial" w:hAnsi="Arial"/>
                <w:sz w:val="18"/>
                <w:szCs w:val="18"/>
                <w:color w:val="auto"/>
                <w:w w:val="90"/>
              </w:rPr>
              <w:t>10,676</w:t>
            </w:r>
          </w:p>
        </w:tc>
        <w:tc>
          <w:tcPr>
            <w:tcW w:w="20" w:type="dxa"/>
            <w:vAlign w:val="bottom"/>
            <w:shd w:val="clear" w:color="auto" w:fill="B2B2B2"/>
          </w:tcPr>
          <w:p>
            <w:pPr>
              <w:spacing w:after="0"/>
              <w:rPr>
                <w:sz w:val="18"/>
                <w:szCs w:val="18"/>
                <w:color w:val="auto"/>
              </w:rPr>
            </w:pPr>
          </w:p>
        </w:tc>
        <w:tc>
          <w:tcPr>
            <w:tcW w:w="940" w:type="dxa"/>
            <w:vAlign w:val="bottom"/>
            <w:shd w:val="clear" w:color="auto" w:fill="B2B2B2"/>
          </w:tcPr>
          <w:p>
            <w:pPr>
              <w:spacing w:after="0"/>
              <w:rPr>
                <w:sz w:val="18"/>
                <w:szCs w:val="18"/>
                <w:color w:val="auto"/>
              </w:rPr>
            </w:pPr>
          </w:p>
        </w:tc>
        <w:tc>
          <w:tcPr>
            <w:tcW w:w="520" w:type="dxa"/>
            <w:vAlign w:val="bottom"/>
            <w:shd w:val="clear" w:color="auto" w:fill="B2B2B2"/>
          </w:tcPr>
          <w:p>
            <w:pPr>
              <w:jc w:val="right"/>
              <w:spacing w:after="0"/>
              <w:rPr>
                <w:sz w:val="20"/>
                <w:szCs w:val="20"/>
                <w:color w:val="auto"/>
              </w:rPr>
            </w:pPr>
            <w:r>
              <w:rPr>
                <w:rFonts w:ascii="Arial" w:cs="Arial" w:eastAsia="Arial" w:hAnsi="Arial"/>
                <w:sz w:val="18"/>
                <w:szCs w:val="18"/>
                <w:color w:val="auto"/>
                <w:w w:val="90"/>
              </w:rPr>
              <w:t>12,338</w:t>
            </w:r>
          </w:p>
        </w:tc>
        <w:tc>
          <w:tcPr>
            <w:tcW w:w="20" w:type="dxa"/>
            <w:vAlign w:val="bottom"/>
          </w:tcPr>
          <w:p>
            <w:pPr>
              <w:spacing w:after="0"/>
              <w:rPr>
                <w:sz w:val="18"/>
                <w:szCs w:val="18"/>
                <w:color w:val="auto"/>
              </w:rPr>
            </w:pPr>
          </w:p>
        </w:tc>
      </w:tr>
      <w:tr>
        <w:trPr>
          <w:trHeight w:val="209"/>
        </w:trPr>
        <w:tc>
          <w:tcPr>
            <w:tcW w:w="1360" w:type="dxa"/>
            <w:vAlign w:val="bottom"/>
            <w:tcBorders>
              <w:top w:val="single" w:sz="8" w:color="B2B2B2"/>
            </w:tcBorders>
            <w:shd w:val="clear" w:color="auto" w:fill="B2B2B2"/>
          </w:tcPr>
          <w:p>
            <w:pPr>
              <w:spacing w:after="0"/>
              <w:rPr>
                <w:sz w:val="18"/>
                <w:szCs w:val="18"/>
                <w:color w:val="auto"/>
              </w:rPr>
            </w:pPr>
          </w:p>
        </w:tc>
        <w:tc>
          <w:tcPr>
            <w:tcW w:w="6860" w:type="dxa"/>
            <w:vAlign w:val="bottom"/>
            <w:tcBorders>
              <w:top w:val="single" w:sz="8" w:color="B2B2B2"/>
            </w:tcBorders>
            <w:shd w:val="clear" w:color="auto" w:fill="B2B2B2"/>
          </w:tcPr>
          <w:p>
            <w:pPr>
              <w:spacing w:after="0"/>
              <w:rPr>
                <w:sz w:val="18"/>
                <w:szCs w:val="18"/>
                <w:color w:val="auto"/>
              </w:rPr>
            </w:pPr>
          </w:p>
        </w:tc>
        <w:tc>
          <w:tcPr>
            <w:tcW w:w="940" w:type="dxa"/>
            <w:vAlign w:val="bottom"/>
            <w:tcBorders>
              <w:top w:val="single" w:sz="8" w:color="auto"/>
            </w:tcBorders>
            <w:shd w:val="clear" w:color="auto" w:fill="B2B2B2"/>
          </w:tcPr>
          <w:p>
            <w:pPr>
              <w:spacing w:after="0"/>
              <w:rPr>
                <w:sz w:val="18"/>
                <w:szCs w:val="18"/>
                <w:color w:val="auto"/>
              </w:rPr>
            </w:pPr>
          </w:p>
        </w:tc>
        <w:tc>
          <w:tcPr>
            <w:tcW w:w="520" w:type="dxa"/>
            <w:vAlign w:val="bottom"/>
            <w:tcBorders>
              <w:top w:val="single" w:sz="8" w:color="auto"/>
            </w:tcBorders>
            <w:shd w:val="clear" w:color="auto" w:fill="B2B2B2"/>
          </w:tcPr>
          <w:p>
            <w:pPr>
              <w:spacing w:after="0"/>
              <w:rPr>
                <w:sz w:val="18"/>
                <w:szCs w:val="18"/>
                <w:color w:val="auto"/>
              </w:rPr>
            </w:pPr>
          </w:p>
        </w:tc>
        <w:tc>
          <w:tcPr>
            <w:tcW w:w="80" w:type="dxa"/>
            <w:vAlign w:val="bottom"/>
            <w:tcBorders>
              <w:top w:val="single" w:sz="8" w:color="B2B2B2"/>
            </w:tcBorders>
            <w:shd w:val="clear" w:color="auto" w:fill="B2B2B2"/>
          </w:tcPr>
          <w:p>
            <w:pPr>
              <w:spacing w:after="0"/>
              <w:rPr>
                <w:sz w:val="18"/>
                <w:szCs w:val="18"/>
                <w:color w:val="auto"/>
              </w:rPr>
            </w:pPr>
          </w:p>
        </w:tc>
        <w:tc>
          <w:tcPr>
            <w:tcW w:w="20" w:type="dxa"/>
            <w:vAlign w:val="bottom"/>
            <w:tcBorders>
              <w:top w:val="single" w:sz="8" w:color="B2B2B2"/>
            </w:tcBorders>
            <w:shd w:val="clear" w:color="auto" w:fill="B2B2B2"/>
          </w:tcPr>
          <w:p>
            <w:pPr>
              <w:spacing w:after="0"/>
              <w:rPr>
                <w:sz w:val="18"/>
                <w:szCs w:val="18"/>
                <w:color w:val="auto"/>
              </w:rPr>
            </w:pPr>
          </w:p>
        </w:tc>
        <w:tc>
          <w:tcPr>
            <w:tcW w:w="940" w:type="dxa"/>
            <w:vAlign w:val="bottom"/>
            <w:tcBorders>
              <w:top w:val="single" w:sz="8" w:color="auto"/>
            </w:tcBorders>
            <w:shd w:val="clear" w:color="auto" w:fill="B2B2B2"/>
          </w:tcPr>
          <w:p>
            <w:pPr>
              <w:spacing w:after="0"/>
              <w:rPr>
                <w:sz w:val="18"/>
                <w:szCs w:val="18"/>
                <w:color w:val="auto"/>
              </w:rPr>
            </w:pPr>
          </w:p>
        </w:tc>
        <w:tc>
          <w:tcPr>
            <w:tcW w:w="520" w:type="dxa"/>
            <w:vAlign w:val="bottom"/>
            <w:tcBorders>
              <w:top w:val="single" w:sz="8" w:color="auto"/>
            </w:tcBorders>
            <w:shd w:val="clear" w:color="auto" w:fill="B2B2B2"/>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8220" w:type="dxa"/>
            <w:vAlign w:val="bottom"/>
            <w:gridSpan w:val="2"/>
          </w:tcPr>
          <w:p>
            <w:pPr>
              <w:spacing w:after="0"/>
              <w:rPr>
                <w:sz w:val="20"/>
                <w:szCs w:val="20"/>
                <w:color w:val="auto"/>
              </w:rPr>
            </w:pPr>
            <w:r>
              <w:rPr>
                <w:rFonts w:ascii="Arial" w:cs="Arial" w:eastAsia="Arial" w:hAnsi="Arial"/>
                <w:sz w:val="18"/>
                <w:szCs w:val="18"/>
                <w:b w:val="1"/>
                <w:bCs w:val="1"/>
                <w:color w:val="auto"/>
              </w:rPr>
              <w:t>Interest Expense:</w:t>
            </w: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822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Interest on deposits</w:t>
            </w:r>
          </w:p>
        </w:tc>
        <w:tc>
          <w:tcPr>
            <w:tcW w:w="940" w:type="dxa"/>
            <w:vAlign w:val="bottom"/>
            <w:shd w:val="clear" w:color="auto" w:fill="B2B2B2"/>
          </w:tcPr>
          <w:p>
            <w:pPr>
              <w:spacing w:after="0"/>
              <w:rPr>
                <w:sz w:val="18"/>
                <w:szCs w:val="18"/>
                <w:color w:val="auto"/>
              </w:rPr>
            </w:pPr>
          </w:p>
        </w:tc>
        <w:tc>
          <w:tcPr>
            <w:tcW w:w="600" w:type="dxa"/>
            <w:vAlign w:val="bottom"/>
            <w:gridSpan w:val="2"/>
            <w:shd w:val="clear" w:color="auto" w:fill="B2B2B2"/>
          </w:tcPr>
          <w:p>
            <w:pPr>
              <w:jc w:val="right"/>
              <w:ind w:right="80"/>
              <w:spacing w:after="0"/>
              <w:rPr>
                <w:sz w:val="20"/>
                <w:szCs w:val="20"/>
                <w:color w:val="auto"/>
              </w:rPr>
            </w:pPr>
            <w:r>
              <w:rPr>
                <w:rFonts w:ascii="Arial" w:cs="Arial" w:eastAsia="Arial" w:hAnsi="Arial"/>
                <w:sz w:val="18"/>
                <w:szCs w:val="18"/>
                <w:color w:val="auto"/>
              </w:rPr>
              <w:t>331</w:t>
            </w:r>
          </w:p>
        </w:tc>
        <w:tc>
          <w:tcPr>
            <w:tcW w:w="20" w:type="dxa"/>
            <w:vAlign w:val="bottom"/>
            <w:shd w:val="clear" w:color="auto" w:fill="B2B2B2"/>
          </w:tcPr>
          <w:p>
            <w:pPr>
              <w:spacing w:after="0"/>
              <w:rPr>
                <w:sz w:val="18"/>
                <w:szCs w:val="18"/>
                <w:color w:val="auto"/>
              </w:rPr>
            </w:pPr>
          </w:p>
        </w:tc>
        <w:tc>
          <w:tcPr>
            <w:tcW w:w="940" w:type="dxa"/>
            <w:vAlign w:val="bottom"/>
            <w:shd w:val="clear" w:color="auto" w:fill="B2B2B2"/>
          </w:tcPr>
          <w:p>
            <w:pPr>
              <w:spacing w:after="0"/>
              <w:rPr>
                <w:sz w:val="18"/>
                <w:szCs w:val="18"/>
                <w:color w:val="auto"/>
              </w:rPr>
            </w:pPr>
          </w:p>
        </w:tc>
        <w:tc>
          <w:tcPr>
            <w:tcW w:w="5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963</w:t>
            </w:r>
          </w:p>
        </w:tc>
        <w:tc>
          <w:tcPr>
            <w:tcW w:w="20" w:type="dxa"/>
            <w:vAlign w:val="bottom"/>
          </w:tcPr>
          <w:p>
            <w:pPr>
              <w:spacing w:after="0"/>
              <w:rPr>
                <w:sz w:val="18"/>
                <w:szCs w:val="18"/>
                <w:color w:val="auto"/>
              </w:rPr>
            </w:pPr>
          </w:p>
        </w:tc>
      </w:tr>
      <w:tr>
        <w:trPr>
          <w:trHeight w:val="215"/>
        </w:trPr>
        <w:tc>
          <w:tcPr>
            <w:tcW w:w="8220" w:type="dxa"/>
            <w:vAlign w:val="bottom"/>
            <w:gridSpan w:val="2"/>
          </w:tcPr>
          <w:p>
            <w:pPr>
              <w:spacing w:after="0"/>
              <w:rPr>
                <w:sz w:val="20"/>
                <w:szCs w:val="20"/>
                <w:color w:val="auto"/>
              </w:rPr>
            </w:pPr>
            <w:r>
              <w:rPr>
                <w:rFonts w:ascii="Arial" w:cs="Arial" w:eastAsia="Arial" w:hAnsi="Arial"/>
                <w:sz w:val="18"/>
                <w:szCs w:val="18"/>
                <w:color w:val="auto"/>
              </w:rPr>
              <w:t>Interest on short-term borrowings</w:t>
            </w: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r>
      <w:tr>
        <w:trPr>
          <w:trHeight w:val="209"/>
        </w:trPr>
        <w:tc>
          <w:tcPr>
            <w:tcW w:w="8220" w:type="dxa"/>
            <w:vAlign w:val="bottom"/>
            <w:tcBorders>
              <w:bottom w:val="single" w:sz="8" w:color="B2B2B2"/>
            </w:tcBorders>
            <w:gridSpan w:val="2"/>
            <w:shd w:val="clear" w:color="auto" w:fill="B2B2B2"/>
          </w:tcPr>
          <w:p>
            <w:pPr>
              <w:ind w:left="360"/>
              <w:spacing w:after="0"/>
              <w:rPr>
                <w:sz w:val="20"/>
                <w:szCs w:val="20"/>
                <w:color w:val="auto"/>
              </w:rPr>
            </w:pPr>
            <w:r>
              <w:rPr>
                <w:rFonts w:ascii="Arial" w:cs="Arial" w:eastAsia="Arial" w:hAnsi="Arial"/>
                <w:sz w:val="18"/>
                <w:szCs w:val="18"/>
                <w:color w:val="auto"/>
              </w:rPr>
              <w:t>Total interest expense</w:t>
            </w:r>
          </w:p>
        </w:tc>
        <w:tc>
          <w:tcPr>
            <w:tcW w:w="940" w:type="dxa"/>
            <w:vAlign w:val="bottom"/>
            <w:tcBorders>
              <w:bottom w:val="single" w:sz="8" w:color="auto"/>
            </w:tcBorders>
            <w:shd w:val="clear" w:color="auto" w:fill="B2B2B2"/>
          </w:tcPr>
          <w:p>
            <w:pPr>
              <w:spacing w:after="0"/>
              <w:rPr>
                <w:sz w:val="18"/>
                <w:szCs w:val="18"/>
                <w:color w:val="auto"/>
              </w:rPr>
            </w:pPr>
          </w:p>
        </w:tc>
        <w:tc>
          <w:tcPr>
            <w:tcW w:w="5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331</w:t>
            </w:r>
          </w:p>
        </w:tc>
        <w:tc>
          <w:tcPr>
            <w:tcW w:w="80" w:type="dxa"/>
            <w:vAlign w:val="bottom"/>
            <w:tcBorders>
              <w:bottom w:val="single" w:sz="8" w:color="B2B2B2"/>
            </w:tcBorders>
            <w:shd w:val="clear" w:color="auto" w:fill="B2B2B2"/>
          </w:tcPr>
          <w:p>
            <w:pPr>
              <w:spacing w:after="0"/>
              <w:rPr>
                <w:sz w:val="18"/>
                <w:szCs w:val="18"/>
                <w:color w:val="auto"/>
              </w:rPr>
            </w:pPr>
          </w:p>
        </w:tc>
        <w:tc>
          <w:tcPr>
            <w:tcW w:w="20" w:type="dxa"/>
            <w:vAlign w:val="bottom"/>
            <w:tcBorders>
              <w:bottom w:val="single" w:sz="8" w:color="B2B2B2"/>
            </w:tcBorders>
            <w:shd w:val="clear" w:color="auto" w:fill="B2B2B2"/>
          </w:tcPr>
          <w:p>
            <w:pPr>
              <w:spacing w:after="0"/>
              <w:rPr>
                <w:sz w:val="18"/>
                <w:szCs w:val="18"/>
                <w:color w:val="auto"/>
              </w:rPr>
            </w:pPr>
          </w:p>
        </w:tc>
        <w:tc>
          <w:tcPr>
            <w:tcW w:w="940" w:type="dxa"/>
            <w:vAlign w:val="bottom"/>
            <w:tcBorders>
              <w:bottom w:val="single" w:sz="8" w:color="auto"/>
            </w:tcBorders>
            <w:shd w:val="clear" w:color="auto" w:fill="B2B2B2"/>
          </w:tcPr>
          <w:p>
            <w:pPr>
              <w:spacing w:after="0"/>
              <w:rPr>
                <w:sz w:val="18"/>
                <w:szCs w:val="18"/>
                <w:color w:val="auto"/>
              </w:rPr>
            </w:pPr>
          </w:p>
        </w:tc>
        <w:tc>
          <w:tcPr>
            <w:tcW w:w="5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965</w:t>
            </w:r>
          </w:p>
        </w:tc>
        <w:tc>
          <w:tcPr>
            <w:tcW w:w="20" w:type="dxa"/>
            <w:vAlign w:val="bottom"/>
          </w:tcPr>
          <w:p>
            <w:pPr>
              <w:spacing w:after="0"/>
              <w:rPr>
                <w:sz w:val="18"/>
                <w:szCs w:val="18"/>
                <w:color w:val="auto"/>
              </w:rPr>
            </w:pPr>
          </w:p>
        </w:tc>
      </w:tr>
      <w:tr>
        <w:trPr>
          <w:trHeight w:val="209"/>
        </w:trPr>
        <w:tc>
          <w:tcPr>
            <w:tcW w:w="8220" w:type="dxa"/>
            <w:vAlign w:val="bottom"/>
            <w:gridSpan w:val="2"/>
          </w:tcPr>
          <w:p>
            <w:pPr>
              <w:ind w:left="540"/>
              <w:spacing w:after="0"/>
              <w:rPr>
                <w:sz w:val="20"/>
                <w:szCs w:val="20"/>
                <w:color w:val="auto"/>
              </w:rPr>
            </w:pPr>
            <w:r>
              <w:rPr>
                <w:rFonts w:ascii="Arial" w:cs="Arial" w:eastAsia="Arial" w:hAnsi="Arial"/>
                <w:sz w:val="18"/>
                <w:szCs w:val="18"/>
                <w:color w:val="auto"/>
              </w:rPr>
              <w:t>Net interest income</w:t>
            </w:r>
          </w:p>
        </w:tc>
        <w:tc>
          <w:tcPr>
            <w:tcW w:w="94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10,345</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11,373</w:t>
            </w:r>
          </w:p>
        </w:tc>
        <w:tc>
          <w:tcPr>
            <w:tcW w:w="20" w:type="dxa"/>
            <w:vAlign w:val="bottom"/>
          </w:tcPr>
          <w:p>
            <w:pPr>
              <w:spacing w:after="0"/>
              <w:rPr>
                <w:sz w:val="18"/>
                <w:szCs w:val="18"/>
                <w:color w:val="auto"/>
              </w:rPr>
            </w:pPr>
          </w:p>
        </w:tc>
      </w:tr>
      <w:tr>
        <w:trPr>
          <w:trHeight w:val="215"/>
        </w:trPr>
        <w:tc>
          <w:tcPr>
            <w:tcW w:w="822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(Release of) provision for credit losses</w:t>
            </w:r>
          </w:p>
        </w:tc>
        <w:tc>
          <w:tcPr>
            <w:tcW w:w="940" w:type="dxa"/>
            <w:vAlign w:val="bottom"/>
            <w:shd w:val="clear" w:color="auto" w:fill="B2B2B2"/>
          </w:tcPr>
          <w:p>
            <w:pPr>
              <w:spacing w:after="0"/>
              <w:rPr>
                <w:sz w:val="18"/>
                <w:szCs w:val="18"/>
                <w:color w:val="auto"/>
              </w:rPr>
            </w:pPr>
          </w:p>
        </w:tc>
        <w:tc>
          <w:tcPr>
            <w:tcW w:w="600" w:type="dxa"/>
            <w:vAlign w:val="bottom"/>
            <w:gridSpan w:val="2"/>
            <w:shd w:val="clear" w:color="auto" w:fill="B2B2B2"/>
          </w:tcPr>
          <w:p>
            <w:pPr>
              <w:jc w:val="right"/>
              <w:ind w:right="20"/>
              <w:spacing w:after="0"/>
              <w:rPr>
                <w:sz w:val="20"/>
                <w:szCs w:val="20"/>
                <w:color w:val="auto"/>
              </w:rPr>
            </w:pPr>
            <w:r>
              <w:rPr>
                <w:rFonts w:ascii="Arial" w:cs="Arial" w:eastAsia="Arial" w:hAnsi="Arial"/>
                <w:sz w:val="18"/>
                <w:szCs w:val="18"/>
                <w:color w:val="auto"/>
              </w:rPr>
              <w:t>(600)</w:t>
            </w:r>
          </w:p>
        </w:tc>
        <w:tc>
          <w:tcPr>
            <w:tcW w:w="20" w:type="dxa"/>
            <w:vAlign w:val="bottom"/>
            <w:shd w:val="clear" w:color="auto" w:fill="B2B2B2"/>
          </w:tcPr>
          <w:p>
            <w:pPr>
              <w:spacing w:after="0"/>
              <w:rPr>
                <w:sz w:val="18"/>
                <w:szCs w:val="18"/>
                <w:color w:val="auto"/>
              </w:rPr>
            </w:pPr>
          </w:p>
        </w:tc>
        <w:tc>
          <w:tcPr>
            <w:tcW w:w="940" w:type="dxa"/>
            <w:vAlign w:val="bottom"/>
            <w:shd w:val="clear" w:color="auto" w:fill="B2B2B2"/>
          </w:tcPr>
          <w:p>
            <w:pPr>
              <w:spacing w:after="0"/>
              <w:rPr>
                <w:sz w:val="18"/>
                <w:szCs w:val="18"/>
                <w:color w:val="auto"/>
              </w:rPr>
            </w:pPr>
          </w:p>
        </w:tc>
        <w:tc>
          <w:tcPr>
            <w:tcW w:w="5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325</w:t>
            </w:r>
          </w:p>
        </w:tc>
        <w:tc>
          <w:tcPr>
            <w:tcW w:w="20" w:type="dxa"/>
            <w:vAlign w:val="bottom"/>
          </w:tcPr>
          <w:p>
            <w:pPr>
              <w:spacing w:after="0"/>
              <w:rPr>
                <w:sz w:val="18"/>
                <w:szCs w:val="18"/>
                <w:color w:val="auto"/>
              </w:rPr>
            </w:pPr>
          </w:p>
        </w:tc>
      </w:tr>
      <w:tr>
        <w:trPr>
          <w:trHeight w:val="209"/>
        </w:trPr>
        <w:tc>
          <w:tcPr>
            <w:tcW w:w="8220" w:type="dxa"/>
            <w:vAlign w:val="bottom"/>
            <w:tcBorders>
              <w:top w:val="single" w:sz="8" w:color="B2B2B2"/>
            </w:tcBorders>
            <w:gridSpan w:val="2"/>
          </w:tcPr>
          <w:p>
            <w:pPr>
              <w:ind w:left="540"/>
              <w:spacing w:after="0"/>
              <w:rPr>
                <w:sz w:val="20"/>
                <w:szCs w:val="20"/>
                <w:color w:val="auto"/>
              </w:rPr>
            </w:pPr>
            <w:r>
              <w:rPr>
                <w:rFonts w:ascii="Arial" w:cs="Arial" w:eastAsia="Arial" w:hAnsi="Arial"/>
                <w:sz w:val="18"/>
                <w:szCs w:val="18"/>
                <w:color w:val="auto"/>
              </w:rPr>
              <w:t>Net interest income after provision for credit losses</w:t>
            </w:r>
          </w:p>
        </w:tc>
        <w:tc>
          <w:tcPr>
            <w:tcW w:w="94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10,945</w:t>
            </w:r>
          </w:p>
        </w:tc>
        <w:tc>
          <w:tcPr>
            <w:tcW w:w="80" w:type="dxa"/>
            <w:vAlign w:val="bottom"/>
            <w:tcBorders>
              <w:top w:val="single" w:sz="8" w:color="B2B2B2"/>
            </w:tcBorders>
          </w:tcPr>
          <w:p>
            <w:pPr>
              <w:spacing w:after="0"/>
              <w:rPr>
                <w:sz w:val="18"/>
                <w:szCs w:val="18"/>
                <w:color w:val="auto"/>
              </w:rPr>
            </w:pPr>
          </w:p>
        </w:tc>
        <w:tc>
          <w:tcPr>
            <w:tcW w:w="20" w:type="dxa"/>
            <w:vAlign w:val="bottom"/>
            <w:tcBorders>
              <w:top w:val="single" w:sz="8" w:color="B2B2B2"/>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11,048</w:t>
            </w:r>
          </w:p>
        </w:tc>
        <w:tc>
          <w:tcPr>
            <w:tcW w:w="20" w:type="dxa"/>
            <w:vAlign w:val="bottom"/>
          </w:tcPr>
          <w:p>
            <w:pPr>
              <w:spacing w:after="0"/>
              <w:rPr>
                <w:sz w:val="18"/>
                <w:szCs w:val="18"/>
                <w:color w:val="auto"/>
              </w:rPr>
            </w:pPr>
          </w:p>
        </w:tc>
      </w:tr>
      <w:tr>
        <w:trPr>
          <w:trHeight w:val="209"/>
        </w:trPr>
        <w:tc>
          <w:tcPr>
            <w:tcW w:w="8220" w:type="dxa"/>
            <w:vAlign w:val="bottom"/>
            <w:gridSpan w:val="2"/>
            <w:shd w:val="clear" w:color="auto" w:fill="B2B2B2"/>
          </w:tcPr>
          <w:p>
            <w:pPr>
              <w:ind w:left="540"/>
              <w:spacing w:after="0"/>
              <w:rPr>
                <w:sz w:val="20"/>
                <w:szCs w:val="20"/>
                <w:color w:val="auto"/>
              </w:rPr>
            </w:pPr>
            <w:r>
              <w:rPr>
                <w:rFonts w:ascii="Arial" w:cs="Arial" w:eastAsia="Arial" w:hAnsi="Arial"/>
                <w:sz w:val="18"/>
                <w:szCs w:val="18"/>
                <w:color w:val="auto"/>
              </w:rPr>
              <w:t>Total net revenue</w:t>
            </w:r>
          </w:p>
        </w:tc>
        <w:tc>
          <w:tcPr>
            <w:tcW w:w="940" w:type="dxa"/>
            <w:vAlign w:val="bottom"/>
            <w:shd w:val="clear" w:color="auto" w:fill="B2B2B2"/>
          </w:tcPr>
          <w:p>
            <w:pPr>
              <w:spacing w:after="0"/>
              <w:rPr>
                <w:sz w:val="18"/>
                <w:szCs w:val="18"/>
                <w:color w:val="auto"/>
              </w:rPr>
            </w:pPr>
          </w:p>
        </w:tc>
        <w:tc>
          <w:tcPr>
            <w:tcW w:w="600" w:type="dxa"/>
            <w:vAlign w:val="bottom"/>
            <w:gridSpan w:val="2"/>
            <w:shd w:val="clear" w:color="auto" w:fill="B2B2B2"/>
          </w:tcPr>
          <w:p>
            <w:pPr>
              <w:jc w:val="right"/>
              <w:ind w:right="80"/>
              <w:spacing w:after="0"/>
              <w:rPr>
                <w:sz w:val="20"/>
                <w:szCs w:val="20"/>
                <w:color w:val="auto"/>
              </w:rPr>
            </w:pPr>
            <w:r>
              <w:rPr>
                <w:rFonts w:ascii="Arial" w:cs="Arial" w:eastAsia="Arial" w:hAnsi="Arial"/>
                <w:sz w:val="18"/>
                <w:szCs w:val="18"/>
                <w:color w:val="auto"/>
                <w:w w:val="90"/>
              </w:rPr>
              <w:t>37,120</w:t>
            </w:r>
          </w:p>
        </w:tc>
        <w:tc>
          <w:tcPr>
            <w:tcW w:w="20" w:type="dxa"/>
            <w:vAlign w:val="bottom"/>
            <w:shd w:val="clear" w:color="auto" w:fill="B2B2B2"/>
          </w:tcPr>
          <w:p>
            <w:pPr>
              <w:spacing w:after="0"/>
              <w:rPr>
                <w:sz w:val="18"/>
                <w:szCs w:val="18"/>
                <w:color w:val="auto"/>
              </w:rPr>
            </w:pPr>
          </w:p>
        </w:tc>
        <w:tc>
          <w:tcPr>
            <w:tcW w:w="940" w:type="dxa"/>
            <w:vAlign w:val="bottom"/>
            <w:shd w:val="clear" w:color="auto" w:fill="B2B2B2"/>
          </w:tcPr>
          <w:p>
            <w:pPr>
              <w:spacing w:after="0"/>
              <w:rPr>
                <w:sz w:val="18"/>
                <w:szCs w:val="18"/>
                <w:color w:val="auto"/>
              </w:rPr>
            </w:pPr>
          </w:p>
        </w:tc>
        <w:tc>
          <w:tcPr>
            <w:tcW w:w="520" w:type="dxa"/>
            <w:vAlign w:val="bottom"/>
            <w:shd w:val="clear" w:color="auto" w:fill="B2B2B2"/>
          </w:tcPr>
          <w:p>
            <w:pPr>
              <w:jc w:val="right"/>
              <w:spacing w:after="0"/>
              <w:rPr>
                <w:sz w:val="20"/>
                <w:szCs w:val="20"/>
                <w:color w:val="auto"/>
              </w:rPr>
            </w:pPr>
            <w:r>
              <w:rPr>
                <w:rFonts w:ascii="Arial" w:cs="Arial" w:eastAsia="Arial" w:hAnsi="Arial"/>
                <w:sz w:val="18"/>
                <w:szCs w:val="18"/>
                <w:color w:val="auto"/>
                <w:w w:val="90"/>
              </w:rPr>
              <w:t>38,143</w:t>
            </w:r>
          </w:p>
        </w:tc>
        <w:tc>
          <w:tcPr>
            <w:tcW w:w="20" w:type="dxa"/>
            <w:vAlign w:val="bottom"/>
          </w:tcPr>
          <w:p>
            <w:pPr>
              <w:spacing w:after="0"/>
              <w:rPr>
                <w:sz w:val="18"/>
                <w:szCs w:val="18"/>
                <w:color w:val="auto"/>
              </w:rPr>
            </w:pPr>
          </w:p>
        </w:tc>
      </w:tr>
      <w:tr>
        <w:trPr>
          <w:trHeight w:val="215"/>
        </w:trPr>
        <w:tc>
          <w:tcPr>
            <w:tcW w:w="1360" w:type="dxa"/>
            <w:vAlign w:val="bottom"/>
            <w:shd w:val="clear" w:color="auto" w:fill="B2B2B2"/>
          </w:tcPr>
          <w:p>
            <w:pPr>
              <w:spacing w:after="0"/>
              <w:rPr>
                <w:sz w:val="18"/>
                <w:szCs w:val="18"/>
                <w:color w:val="auto"/>
              </w:rPr>
            </w:pPr>
          </w:p>
        </w:tc>
        <w:tc>
          <w:tcPr>
            <w:tcW w:w="6860" w:type="dxa"/>
            <w:vAlign w:val="bottom"/>
            <w:shd w:val="clear" w:color="auto" w:fill="B2B2B2"/>
          </w:tcPr>
          <w:p>
            <w:pPr>
              <w:spacing w:after="0"/>
              <w:rPr>
                <w:sz w:val="18"/>
                <w:szCs w:val="18"/>
                <w:color w:val="auto"/>
              </w:rPr>
            </w:pPr>
          </w:p>
        </w:tc>
        <w:tc>
          <w:tcPr>
            <w:tcW w:w="940" w:type="dxa"/>
            <w:vAlign w:val="bottom"/>
            <w:shd w:val="clear" w:color="auto" w:fill="B2B2B2"/>
          </w:tcPr>
          <w:p>
            <w:pPr>
              <w:spacing w:after="0"/>
              <w:rPr>
                <w:sz w:val="18"/>
                <w:szCs w:val="18"/>
                <w:color w:val="auto"/>
              </w:rPr>
            </w:pPr>
          </w:p>
        </w:tc>
        <w:tc>
          <w:tcPr>
            <w:tcW w:w="520" w:type="dxa"/>
            <w:vAlign w:val="bottom"/>
            <w:shd w:val="clear" w:color="auto" w:fill="B2B2B2"/>
          </w:tcPr>
          <w:p>
            <w:pPr>
              <w:spacing w:after="0"/>
              <w:rPr>
                <w:sz w:val="18"/>
                <w:szCs w:val="18"/>
                <w:color w:val="auto"/>
              </w:rPr>
            </w:pPr>
          </w:p>
        </w:tc>
        <w:tc>
          <w:tcPr>
            <w:tcW w:w="8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c>
          <w:tcPr>
            <w:tcW w:w="940" w:type="dxa"/>
            <w:vAlign w:val="bottom"/>
            <w:shd w:val="clear" w:color="auto" w:fill="B2B2B2"/>
          </w:tcPr>
          <w:p>
            <w:pPr>
              <w:spacing w:after="0"/>
              <w:rPr>
                <w:sz w:val="18"/>
                <w:szCs w:val="18"/>
                <w:color w:val="auto"/>
              </w:rPr>
            </w:pPr>
          </w:p>
        </w:tc>
        <w:tc>
          <w:tcPr>
            <w:tcW w:w="520" w:type="dxa"/>
            <w:vAlign w:val="bottom"/>
            <w:shd w:val="clear" w:color="auto" w:fill="B2B2B2"/>
          </w:tcPr>
          <w:p>
            <w:pPr>
              <w:spacing w:after="0"/>
              <w:rPr>
                <w:sz w:val="18"/>
                <w:szCs w:val="18"/>
                <w:color w:val="auto"/>
              </w:rPr>
            </w:pPr>
          </w:p>
        </w:tc>
        <w:tc>
          <w:tcPr>
            <w:tcW w:w="20" w:type="dxa"/>
            <w:vAlign w:val="bottom"/>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283" w:right="339" w:bottom="1440" w:gutter="0" w:footer="0" w:header="0"/>
        </w:sectPr>
      </w:pPr>
    </w:p>
    <w:p>
      <w:pPr>
        <w:spacing w:after="0"/>
        <w:rPr>
          <w:sz w:val="20"/>
          <w:szCs w:val="20"/>
          <w:color w:val="auto"/>
        </w:rPr>
      </w:pPr>
      <w:r>
        <w:rPr>
          <w:rFonts w:ascii="Arial" w:cs="Arial" w:eastAsia="Arial" w:hAnsi="Arial"/>
          <w:sz w:val="18"/>
          <w:szCs w:val="18"/>
          <w:b w:val="1"/>
          <w:bCs w:val="1"/>
          <w:color w:val="auto"/>
        </w:rPr>
        <w:t>Operating Expense: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Personnel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Occupancy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Equipment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intangible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operating expense</w:t>
      </w:r>
    </w:p>
    <w:p>
      <w:pPr>
        <w:spacing w:after="0" w:line="2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operating expense</w:t>
      </w:r>
    </w:p>
    <w:p>
      <w:pPr>
        <w:spacing w:after="0" w:line="2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Income before income tax expense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w:t>
      </w:r>
    </w:p>
    <w:p>
      <w:pPr>
        <w:spacing w:after="0" w:line="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22,526</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22,427</w:t>
            </w:r>
          </w:p>
        </w:tc>
      </w:tr>
      <w:tr>
        <w:trPr>
          <w:trHeight w:val="215"/>
        </w:trPr>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947</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941</w:t>
            </w:r>
          </w:p>
        </w:tc>
      </w:tr>
      <w:tr>
        <w:trPr>
          <w:trHeight w:val="215"/>
        </w:trPr>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1,675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1,635</w:t>
            </w:r>
          </w:p>
        </w:tc>
      </w:tr>
      <w:tr>
        <w:trPr>
          <w:trHeight w:val="215"/>
        </w:trPr>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215</w:t>
            </w:r>
          </w:p>
        </w:tc>
      </w:tr>
      <w:tr>
        <w:trPr>
          <w:trHeight w:val="230"/>
        </w:trPr>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3,162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3,711</w:t>
            </w:r>
          </w:p>
        </w:tc>
      </w:tr>
      <w:tr>
        <w:trPr>
          <w:trHeight w:val="209"/>
        </w:trPr>
        <w:tc>
          <w:tcPr>
            <w:tcW w:w="120" w:type="dxa"/>
            <w:vAlign w:val="bottom"/>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28,525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28,929</w:t>
            </w:r>
          </w:p>
        </w:tc>
        <w:tc>
          <w:tcPr>
            <w:tcW w:w="20" w:type="dxa"/>
            <w:vAlign w:val="bottom"/>
          </w:tcPr>
          <w:p>
            <w:pPr>
              <w:spacing w:after="0"/>
              <w:rPr>
                <w:sz w:val="18"/>
                <w:szCs w:val="18"/>
                <w:color w:val="auto"/>
              </w:rPr>
            </w:pPr>
          </w:p>
        </w:tc>
      </w:tr>
      <w:tr>
        <w:trPr>
          <w:trHeight w:val="195"/>
        </w:trPr>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40" w:type="dxa"/>
            <w:vAlign w:val="bottom"/>
          </w:tcPr>
          <w:p>
            <w:pPr>
              <w:jc w:val="right"/>
              <w:spacing w:after="0" w:line="195" w:lineRule="exact"/>
              <w:rPr>
                <w:sz w:val="20"/>
                <w:szCs w:val="20"/>
                <w:color w:val="auto"/>
              </w:rPr>
            </w:pPr>
            <w:r>
              <w:rPr>
                <w:rFonts w:ascii="Arial" w:cs="Arial" w:eastAsia="Arial" w:hAnsi="Arial"/>
                <w:sz w:val="18"/>
                <w:szCs w:val="18"/>
                <w:color w:val="auto"/>
              </w:rPr>
              <w:t>8,595</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tcPr>
          <w:p>
            <w:pPr>
              <w:jc w:val="right"/>
              <w:spacing w:after="0" w:line="195" w:lineRule="exact"/>
              <w:rPr>
                <w:sz w:val="20"/>
                <w:szCs w:val="20"/>
                <w:color w:val="auto"/>
              </w:rPr>
            </w:pPr>
            <w:r>
              <w:rPr>
                <w:rFonts w:ascii="Arial" w:cs="Arial" w:eastAsia="Arial" w:hAnsi="Arial"/>
                <w:sz w:val="18"/>
                <w:szCs w:val="18"/>
                <w:color w:val="auto"/>
              </w:rPr>
              <w:t>9,214</w:t>
            </w:r>
          </w:p>
        </w:tc>
        <w:tc>
          <w:tcPr>
            <w:tcW w:w="20" w:type="dxa"/>
            <w:vAlign w:val="bottom"/>
          </w:tcPr>
          <w:p>
            <w:pPr>
              <w:spacing w:after="0"/>
              <w:rPr>
                <w:sz w:val="16"/>
                <w:szCs w:val="16"/>
                <w:color w:val="auto"/>
              </w:rPr>
            </w:pPr>
          </w:p>
        </w:tc>
      </w:tr>
      <w:tr>
        <w:trPr>
          <w:trHeight w:val="230"/>
        </w:trPr>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1,524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1,669</w:t>
            </w:r>
          </w:p>
        </w:tc>
      </w:tr>
      <w:tr>
        <w:trPr>
          <w:trHeight w:val="209"/>
        </w:trPr>
        <w:tc>
          <w:tcPr>
            <w:tcW w:w="12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7,071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7,545</w:t>
            </w:r>
          </w:p>
        </w:tc>
        <w:tc>
          <w:tcPr>
            <w:tcW w:w="2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0" w:type="dxa"/>
            <w:vAlign w:val="bottom"/>
            <w:shd w:val="clear" w:color="auto" w:fill="B2B2B2"/>
          </w:tcPr>
          <w:p>
            <w:pPr>
              <w:spacing w:after="0"/>
              <w:rPr>
                <w:sz w:val="17"/>
                <w:szCs w:val="17"/>
                <w:color w:val="auto"/>
              </w:rPr>
            </w:pPr>
          </w:p>
        </w:tc>
        <w:tc>
          <w:tcPr>
            <w:tcW w:w="520" w:type="dxa"/>
            <w:vAlign w:val="bottom"/>
            <w:shd w:val="clear" w:color="auto" w:fill="B2B2B2"/>
          </w:tcPr>
          <w:p>
            <w:pPr>
              <w:spacing w:after="0"/>
              <w:rPr>
                <w:sz w:val="17"/>
                <w:szCs w:val="17"/>
                <w:color w:val="auto"/>
              </w:rPr>
            </w:pPr>
          </w:p>
        </w:tc>
        <w:tc>
          <w:tcPr>
            <w:tcW w:w="940" w:type="dxa"/>
            <w:vAlign w:val="bottom"/>
            <w:shd w:val="clear" w:color="auto" w:fill="B2B2B2"/>
          </w:tcPr>
          <w:p>
            <w:pPr>
              <w:spacing w:after="0"/>
              <w:rPr>
                <w:sz w:val="17"/>
                <w:szCs w:val="17"/>
                <w:color w:val="auto"/>
              </w:rPr>
            </w:pPr>
          </w:p>
        </w:tc>
        <w:tc>
          <w:tcPr>
            <w:tcW w:w="60" w:type="dxa"/>
            <w:vAlign w:val="bottom"/>
            <w:shd w:val="clear" w:color="auto" w:fill="B2B2B2"/>
          </w:tcPr>
          <w:p>
            <w:pPr>
              <w:spacing w:after="0"/>
              <w:rPr>
                <w:sz w:val="17"/>
                <w:szCs w:val="17"/>
                <w:color w:val="auto"/>
              </w:rPr>
            </w:pPr>
          </w:p>
        </w:tc>
        <w:tc>
          <w:tcPr>
            <w:tcW w:w="40" w:type="dxa"/>
            <w:vAlign w:val="bottom"/>
            <w:shd w:val="clear" w:color="auto" w:fill="B2B2B2"/>
          </w:tcPr>
          <w:p>
            <w:pPr>
              <w:spacing w:after="0"/>
              <w:rPr>
                <w:sz w:val="17"/>
                <w:szCs w:val="17"/>
                <w:color w:val="auto"/>
              </w:rPr>
            </w:pPr>
          </w:p>
        </w:tc>
        <w:tc>
          <w:tcPr>
            <w:tcW w:w="540" w:type="dxa"/>
            <w:vAlign w:val="bottom"/>
            <w:shd w:val="clear" w:color="auto" w:fill="B2B2B2"/>
          </w:tcPr>
          <w:p>
            <w:pPr>
              <w:spacing w:after="0"/>
              <w:rPr>
                <w:sz w:val="17"/>
                <w:szCs w:val="17"/>
                <w:color w:val="auto"/>
              </w:rPr>
            </w:pPr>
          </w:p>
        </w:tc>
        <w:tc>
          <w:tcPr>
            <w:tcW w:w="920" w:type="dxa"/>
            <w:vAlign w:val="bottom"/>
            <w:shd w:val="clear" w:color="auto" w:fill="B2B2B2"/>
          </w:tcPr>
          <w:p>
            <w:pPr>
              <w:spacing w:after="0"/>
              <w:rPr>
                <w:sz w:val="17"/>
                <w:szCs w:val="17"/>
                <w:color w:val="auto"/>
              </w:rPr>
            </w:pP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-5137785</wp:posOffset>
            </wp:positionH>
            <wp:positionV relativeFrom="paragraph">
              <wp:posOffset>-1419225</wp:posOffset>
            </wp:positionV>
            <wp:extent cx="7132955" cy="136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955" cy="136525"/>
                    </a:xfrm>
                    <a:prstGeom prst="rect">
                      <a:avLst/>
                    </a:prstGeom>
                    <a:noFill/>
                  </pic:spPr>
                </pic:pic>
              </a:graphicData>
            </a:graphic>
          </wp:anchor>
        </w:drawing>
        <w:drawing>
          <wp:anchor simplePos="0" relativeHeight="251657728" behindDoc="1" locked="0" layoutInCell="0" allowOverlap="1">
            <wp:simplePos x="0" y="0"/>
            <wp:positionH relativeFrom="column">
              <wp:posOffset>-5137785</wp:posOffset>
            </wp:positionH>
            <wp:positionV relativeFrom="paragraph">
              <wp:posOffset>-1145540</wp:posOffset>
            </wp:positionV>
            <wp:extent cx="7132955" cy="136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955" cy="136525"/>
                    </a:xfrm>
                    <a:prstGeom prst="rect">
                      <a:avLst/>
                    </a:prstGeom>
                    <a:noFill/>
                  </pic:spPr>
                </pic:pic>
              </a:graphicData>
            </a:graphic>
          </wp:anchor>
        </w:drawing>
        <w:drawing>
          <wp:anchor simplePos="0" relativeHeight="251657728" behindDoc="1" locked="0" layoutInCell="0" allowOverlap="1">
            <wp:simplePos x="0" y="0"/>
            <wp:positionH relativeFrom="column">
              <wp:posOffset>-5137785</wp:posOffset>
            </wp:positionH>
            <wp:positionV relativeFrom="paragraph">
              <wp:posOffset>-871855</wp:posOffset>
            </wp:positionV>
            <wp:extent cx="7132955"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955" cy="145415"/>
                    </a:xfrm>
                    <a:prstGeom prst="rect">
                      <a:avLst/>
                    </a:prstGeom>
                    <a:noFill/>
                  </pic:spPr>
                </pic:pic>
              </a:graphicData>
            </a:graphic>
          </wp:anchor>
        </w:drawing>
        <w:drawing>
          <wp:anchor simplePos="0" relativeHeight="251657728" behindDoc="1" locked="0" layoutInCell="0" allowOverlap="1">
            <wp:simplePos x="0" y="0"/>
            <wp:positionH relativeFrom="column">
              <wp:posOffset>-5137785</wp:posOffset>
            </wp:positionH>
            <wp:positionV relativeFrom="paragraph">
              <wp:posOffset>-581025</wp:posOffset>
            </wp:positionV>
            <wp:extent cx="7132955" cy="136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955" cy="136525"/>
                    </a:xfrm>
                    <a:prstGeom prst="rect">
                      <a:avLst/>
                    </a:prstGeom>
                    <a:noFill/>
                  </pic:spPr>
                </pic:pic>
              </a:graphicData>
            </a:graphic>
          </wp:anchor>
        </w:drawing>
        <w:drawing>
          <wp:anchor simplePos="0" relativeHeight="251657728" behindDoc="1" locked="0" layoutInCell="0" allowOverlap="1">
            <wp:simplePos x="0" y="0"/>
            <wp:positionH relativeFrom="column">
              <wp:posOffset>-5137785</wp:posOffset>
            </wp:positionH>
            <wp:positionV relativeFrom="paragraph">
              <wp:posOffset>-298450</wp:posOffset>
            </wp:positionV>
            <wp:extent cx="7132955" cy="2990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955" cy="29908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7380" w:space="720"/>
            <w:col w:w="3140"/>
          </w:cols>
          <w:pgMar w:left="320" w:top="283" w:right="339" w:bottom="1440" w:gutter="0" w:footer="0" w:header="0"/>
          <w:type w:val="continuous"/>
        </w:sectPr>
      </w:pPr>
    </w:p>
    <w:tbl>
      <w:tblPr>
        <w:tblLayout w:type="fixed"/>
        <w:tblInd w:w="0" w:type="dxa"/>
        <w:tblCellMar>
          <w:top w:w="0" w:type="dxa"/>
          <w:left w:w="0" w:type="dxa"/>
          <w:bottom w:w="0" w:type="dxa"/>
          <w:right w:w="0" w:type="dxa"/>
        </w:tblCellMar>
      </w:tblPr>
      <w:tr>
        <w:trPr>
          <w:trHeight w:val="215"/>
        </w:trPr>
        <w:tc>
          <w:tcPr>
            <w:tcW w:w="506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38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.49</w:t>
            </w:r>
          </w:p>
        </w:tc>
        <w:tc>
          <w:tcPr>
            <w:tcW w:w="70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5"/>
        </w:trPr>
        <w:tc>
          <w:tcPr>
            <w:tcW w:w="5060" w:type="dxa"/>
            <w:vAlign w:val="bottom"/>
            <w:shd w:val="clear" w:color="auto" w:fill="B2B2B2"/>
          </w:tcPr>
          <w:p>
            <w:pPr>
              <w:spacing w:after="0"/>
              <w:rPr>
                <w:sz w:val="20"/>
                <w:szCs w:val="20"/>
                <w:color w:val="auto"/>
              </w:rPr>
            </w:pPr>
            <w:r>
              <w:rPr>
                <w:rFonts w:ascii="Arial" w:cs="Arial" w:eastAsia="Arial" w:hAnsi="Arial"/>
                <w:sz w:val="18"/>
                <w:szCs w:val="18"/>
                <w:color w:val="auto"/>
              </w:rPr>
              <w:t>Diluted earnings per share</w:t>
            </w:r>
          </w:p>
        </w:tc>
        <w:tc>
          <w:tcPr>
            <w:tcW w:w="3820" w:type="dxa"/>
            <w:vAlign w:val="bottom"/>
            <w:shd w:val="clear" w:color="auto" w:fill="B2B2B2"/>
          </w:tcPr>
          <w:p>
            <w:pPr>
              <w:spacing w:after="0"/>
              <w:rPr>
                <w:sz w:val="18"/>
                <w:szCs w:val="18"/>
                <w:color w:val="auto"/>
              </w:rPr>
            </w:pPr>
          </w:p>
        </w:tc>
        <w:tc>
          <w:tcPr>
            <w:tcW w:w="8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.49</w:t>
            </w:r>
          </w:p>
        </w:tc>
        <w:tc>
          <w:tcPr>
            <w:tcW w:w="700" w:type="dxa"/>
            <w:vAlign w:val="bottom"/>
            <w:shd w:val="clear" w:color="auto" w:fill="B2B2B2"/>
          </w:tcPr>
          <w:p>
            <w:pPr>
              <w:spacing w:after="0"/>
              <w:rPr>
                <w:sz w:val="18"/>
                <w:szCs w:val="18"/>
                <w:color w:val="auto"/>
              </w:rPr>
            </w:pPr>
          </w:p>
        </w:tc>
        <w:tc>
          <w:tcPr>
            <w:tcW w:w="8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.52</w:t>
            </w:r>
          </w:p>
        </w:tc>
      </w:tr>
    </w:tbl>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121285</wp:posOffset>
            </wp:positionV>
            <wp:extent cx="7158355" cy="50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355" cy="5080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822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9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20"/>
        </w:trPr>
        <w:tc>
          <w:tcPr>
            <w:tcW w:w="1360" w:type="dxa"/>
            <w:vAlign w:val="bottom"/>
            <w:tcBorders>
              <w:top w:val="single" w:sz="8" w:color="0000EE"/>
            </w:tcBorders>
          </w:tcPr>
          <w:p>
            <w:pPr>
              <w:spacing w:after="0"/>
              <w:rPr>
                <w:sz w:val="24"/>
                <w:szCs w:val="24"/>
                <w:color w:val="auto"/>
              </w:rPr>
            </w:pPr>
          </w:p>
        </w:tc>
        <w:tc>
          <w:tcPr>
            <w:tcW w:w="6860" w:type="dxa"/>
            <w:vAlign w:val="bottom"/>
          </w:tcPr>
          <w:p>
            <w:pPr>
              <w:jc w:val="center"/>
              <w:ind w:left="1570"/>
              <w:spacing w:after="0"/>
              <w:rPr>
                <w:sz w:val="20"/>
                <w:szCs w:val="20"/>
                <w:color w:val="auto"/>
              </w:rPr>
            </w:pPr>
            <w:r>
              <w:rPr>
                <w:rFonts w:ascii="Arial" w:cs="Arial" w:eastAsia="Arial" w:hAnsi="Arial"/>
                <w:sz w:val="18"/>
                <w:szCs w:val="18"/>
                <w:b w:val="1"/>
                <w:bCs w:val="1"/>
                <w:color w:val="auto"/>
                <w:w w:val="99"/>
              </w:rPr>
              <w:t>CASS INFORMATION SYSTEMS, INC. AND SUBSIDIARIES</w:t>
            </w: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9"/>
        </w:trPr>
        <w:tc>
          <w:tcPr>
            <w:tcW w:w="1360" w:type="dxa"/>
            <w:vAlign w:val="bottom"/>
          </w:tcPr>
          <w:p>
            <w:pPr>
              <w:spacing w:after="0"/>
              <w:rPr>
                <w:sz w:val="19"/>
                <w:szCs w:val="19"/>
                <w:color w:val="auto"/>
              </w:rPr>
            </w:pPr>
          </w:p>
        </w:tc>
        <w:tc>
          <w:tcPr>
            <w:tcW w:w="7780" w:type="dxa"/>
            <w:vAlign w:val="bottom"/>
            <w:gridSpan w:val="2"/>
          </w:tcPr>
          <w:p>
            <w:pPr>
              <w:jc w:val="center"/>
              <w:ind w:left="650"/>
              <w:spacing w:after="0"/>
              <w:rPr>
                <w:sz w:val="20"/>
                <w:szCs w:val="20"/>
                <w:color w:val="auto"/>
              </w:rPr>
            </w:pPr>
            <w:r>
              <w:rPr>
                <w:rFonts w:ascii="Arial" w:cs="Arial" w:eastAsia="Arial" w:hAnsi="Arial"/>
                <w:sz w:val="18"/>
                <w:szCs w:val="18"/>
                <w:b w:val="1"/>
                <w:bCs w:val="1"/>
                <w:color w:val="auto"/>
              </w:rPr>
              <w:t>CONSOLIDATED STATEMENTS OF COMPREHENSIVE INCOME</w:t>
            </w: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1360" w:type="dxa"/>
            <w:vAlign w:val="bottom"/>
          </w:tcPr>
          <w:p>
            <w:pPr>
              <w:spacing w:after="0"/>
              <w:rPr>
                <w:sz w:val="18"/>
                <w:szCs w:val="18"/>
                <w:color w:val="auto"/>
              </w:rPr>
            </w:pPr>
          </w:p>
        </w:tc>
        <w:tc>
          <w:tcPr>
            <w:tcW w:w="6860" w:type="dxa"/>
            <w:vAlign w:val="bottom"/>
          </w:tcPr>
          <w:p>
            <w:pPr>
              <w:jc w:val="center"/>
              <w:ind w:left="1590"/>
              <w:spacing w:after="0"/>
              <w:rPr>
                <w:sz w:val="20"/>
                <w:szCs w:val="20"/>
                <w:color w:val="auto"/>
              </w:rPr>
            </w:pPr>
            <w:r>
              <w:rPr>
                <w:rFonts w:ascii="Arial" w:cs="Arial" w:eastAsia="Arial" w:hAnsi="Arial"/>
                <w:sz w:val="18"/>
                <w:szCs w:val="18"/>
                <w:color w:val="auto"/>
                <w:w w:val="91"/>
              </w:rPr>
              <w:t>(Unaudited)</w:t>
            </w: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360" w:type="dxa"/>
            <w:vAlign w:val="bottom"/>
          </w:tcPr>
          <w:p>
            <w:pPr>
              <w:spacing w:after="0"/>
              <w:rPr>
                <w:sz w:val="19"/>
                <w:szCs w:val="19"/>
                <w:color w:val="auto"/>
              </w:rPr>
            </w:pPr>
          </w:p>
        </w:tc>
        <w:tc>
          <w:tcPr>
            <w:tcW w:w="6860" w:type="dxa"/>
            <w:vAlign w:val="bottom"/>
          </w:tcPr>
          <w:p>
            <w:pPr>
              <w:jc w:val="center"/>
              <w:ind w:left="1590"/>
              <w:spacing w:after="0"/>
              <w:rPr>
                <w:sz w:val="20"/>
                <w:szCs w:val="20"/>
                <w:color w:val="auto"/>
              </w:rPr>
            </w:pPr>
            <w:r>
              <w:rPr>
                <w:rFonts w:ascii="Arial" w:cs="Arial" w:eastAsia="Arial" w:hAnsi="Arial"/>
                <w:sz w:val="18"/>
                <w:szCs w:val="18"/>
                <w:color w:val="auto"/>
                <w:w w:val="91"/>
              </w:rPr>
              <w:t>(Dollars in Thousands)</w:t>
            </w:r>
          </w:p>
        </w:tc>
        <w:tc>
          <w:tcPr>
            <w:tcW w:w="9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72"/>
        </w:trPr>
        <w:tc>
          <w:tcPr>
            <w:tcW w:w="136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2480" w:type="dxa"/>
            <w:vAlign w:val="bottom"/>
            <w:gridSpan w:val="5"/>
          </w:tcPr>
          <w:p>
            <w:pPr>
              <w:jc w:val="right"/>
              <w:ind w:right="70"/>
              <w:spacing w:after="0"/>
              <w:rPr>
                <w:sz w:val="20"/>
                <w:szCs w:val="20"/>
                <w:color w:val="auto"/>
              </w:rPr>
            </w:pPr>
            <w:r>
              <w:rPr>
                <w:rFonts w:ascii="Arial" w:cs="Arial" w:eastAsia="Arial" w:hAnsi="Arial"/>
                <w:sz w:val="18"/>
                <w:szCs w:val="18"/>
                <w:b w:val="1"/>
                <w:bCs w:val="1"/>
                <w:color w:val="auto"/>
              </w:rPr>
              <w:t>Three Months Ended</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1360" w:type="dxa"/>
            <w:vAlign w:val="bottom"/>
          </w:tcPr>
          <w:p>
            <w:pPr>
              <w:spacing w:after="0"/>
              <w:rPr>
                <w:sz w:val="20"/>
                <w:szCs w:val="20"/>
                <w:color w:val="auto"/>
              </w:rPr>
            </w:pPr>
          </w:p>
        </w:tc>
        <w:tc>
          <w:tcPr>
            <w:tcW w:w="686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ind w:right="490"/>
              <w:spacing w:after="0"/>
              <w:rPr>
                <w:sz w:val="20"/>
                <w:szCs w:val="20"/>
                <w:color w:val="auto"/>
              </w:rPr>
            </w:pPr>
            <w:r>
              <w:rPr>
                <w:rFonts w:ascii="Arial" w:cs="Arial" w:eastAsia="Arial" w:hAnsi="Arial"/>
                <w:sz w:val="18"/>
                <w:szCs w:val="18"/>
                <w:b w:val="1"/>
                <w:bCs w:val="1"/>
                <w:color w:val="auto"/>
              </w:rPr>
              <w:t>March 31,</w:t>
            </w:r>
          </w:p>
        </w:tc>
        <w:tc>
          <w:tcPr>
            <w:tcW w:w="5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09"/>
        </w:trPr>
        <w:tc>
          <w:tcPr>
            <w:tcW w:w="1360" w:type="dxa"/>
            <w:vAlign w:val="bottom"/>
            <w:tcBorders>
              <w:bottom w:val="single" w:sz="8" w:color="auto"/>
            </w:tcBorders>
          </w:tcPr>
          <w:p>
            <w:pPr>
              <w:spacing w:after="0"/>
              <w:rPr>
                <w:sz w:val="18"/>
                <w:szCs w:val="18"/>
                <w:color w:val="auto"/>
              </w:rPr>
            </w:pPr>
          </w:p>
        </w:tc>
        <w:tc>
          <w:tcPr>
            <w:tcW w:w="68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2020</w:t>
            </w:r>
          </w:p>
        </w:tc>
        <w:tc>
          <w:tcPr>
            <w:tcW w:w="5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8220" w:type="dxa"/>
            <w:vAlign w:val="bottom"/>
            <w:gridSpan w:val="2"/>
            <w:shd w:val="clear" w:color="auto" w:fill="B2B2B2"/>
          </w:tcPr>
          <w:p>
            <w:pPr>
              <w:spacing w:after="0"/>
              <w:rPr>
                <w:sz w:val="20"/>
                <w:szCs w:val="20"/>
                <w:color w:val="auto"/>
              </w:rPr>
            </w:pPr>
            <w:r>
              <w:rPr>
                <w:rFonts w:ascii="Arial" w:cs="Arial" w:eastAsia="Arial" w:hAnsi="Arial"/>
                <w:sz w:val="18"/>
                <w:szCs w:val="18"/>
                <w:b w:val="1"/>
                <w:bCs w:val="1"/>
                <w:color w:val="auto"/>
              </w:rPr>
              <w:t>Comprehensive Income:</w:t>
            </w:r>
          </w:p>
        </w:tc>
        <w:tc>
          <w:tcPr>
            <w:tcW w:w="920" w:type="dxa"/>
            <w:vAlign w:val="bottom"/>
            <w:shd w:val="clear" w:color="auto" w:fill="B2B2B2"/>
          </w:tcPr>
          <w:p>
            <w:pPr>
              <w:spacing w:after="0"/>
              <w:rPr>
                <w:sz w:val="18"/>
                <w:szCs w:val="18"/>
                <w:color w:val="auto"/>
              </w:rPr>
            </w:pPr>
          </w:p>
        </w:tc>
        <w:tc>
          <w:tcPr>
            <w:tcW w:w="54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920" w:type="dxa"/>
            <w:vAlign w:val="bottom"/>
            <w:shd w:val="clear" w:color="auto" w:fill="B2B2B2"/>
          </w:tcPr>
          <w:p>
            <w:pPr>
              <w:spacing w:after="0"/>
              <w:rPr>
                <w:sz w:val="18"/>
                <w:szCs w:val="18"/>
                <w:color w:val="auto"/>
              </w:rPr>
            </w:pPr>
          </w:p>
        </w:tc>
        <w:tc>
          <w:tcPr>
            <w:tcW w:w="540" w:type="dxa"/>
            <w:vAlign w:val="bottom"/>
            <w:shd w:val="clear" w:color="auto" w:fill="B2B2B2"/>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82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7,071</w:t>
            </w:r>
          </w:p>
        </w:tc>
        <w:tc>
          <w:tcPr>
            <w:tcW w:w="96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7,545</w:t>
            </w:r>
          </w:p>
        </w:tc>
        <w:tc>
          <w:tcPr>
            <w:tcW w:w="20" w:type="dxa"/>
            <w:vAlign w:val="bottom"/>
          </w:tcPr>
          <w:p>
            <w:pPr>
              <w:spacing w:after="0"/>
              <w:rPr>
                <w:sz w:val="18"/>
                <w:szCs w:val="18"/>
                <w:color w:val="auto"/>
              </w:rPr>
            </w:pPr>
          </w:p>
        </w:tc>
      </w:tr>
      <w:tr>
        <w:trPr>
          <w:trHeight w:val="215"/>
        </w:trPr>
        <w:tc>
          <w:tcPr>
            <w:tcW w:w="822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Other comprehensive (loss) income:</w:t>
            </w:r>
          </w:p>
        </w:tc>
        <w:tc>
          <w:tcPr>
            <w:tcW w:w="920" w:type="dxa"/>
            <w:vAlign w:val="bottom"/>
            <w:shd w:val="clear" w:color="auto" w:fill="B2B2B2"/>
          </w:tcPr>
          <w:p>
            <w:pPr>
              <w:spacing w:after="0"/>
              <w:rPr>
                <w:sz w:val="18"/>
                <w:szCs w:val="18"/>
                <w:color w:val="auto"/>
              </w:rPr>
            </w:pPr>
          </w:p>
        </w:tc>
        <w:tc>
          <w:tcPr>
            <w:tcW w:w="54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920" w:type="dxa"/>
            <w:vAlign w:val="bottom"/>
            <w:shd w:val="clear" w:color="auto" w:fill="B2B2B2"/>
          </w:tcPr>
          <w:p>
            <w:pPr>
              <w:spacing w:after="0"/>
              <w:rPr>
                <w:sz w:val="18"/>
                <w:szCs w:val="18"/>
                <w:color w:val="auto"/>
              </w:rPr>
            </w:pPr>
          </w:p>
        </w:tc>
        <w:tc>
          <w:tcPr>
            <w:tcW w:w="540" w:type="dxa"/>
            <w:vAlign w:val="bottom"/>
            <w:shd w:val="clear" w:color="auto" w:fill="B2B2B2"/>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Net unrealized (loss) gain on securities available-for-sale</w:t>
            </w:r>
          </w:p>
        </w:tc>
        <w:tc>
          <w:tcPr>
            <w:tcW w:w="9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(4,214)</w:t>
            </w: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578</w:t>
            </w:r>
          </w:p>
        </w:tc>
        <w:tc>
          <w:tcPr>
            <w:tcW w:w="20" w:type="dxa"/>
            <w:vAlign w:val="bottom"/>
          </w:tcPr>
          <w:p>
            <w:pPr>
              <w:spacing w:after="0"/>
              <w:rPr>
                <w:sz w:val="18"/>
                <w:szCs w:val="18"/>
                <w:color w:val="auto"/>
              </w:rPr>
            </w:pPr>
          </w:p>
        </w:tc>
      </w:tr>
      <w:tr>
        <w:trPr>
          <w:trHeight w:val="215"/>
        </w:trPr>
        <w:tc>
          <w:tcPr>
            <w:tcW w:w="8220" w:type="dxa"/>
            <w:vAlign w:val="bottom"/>
            <w:gridSpan w:val="2"/>
            <w:shd w:val="clear" w:color="auto" w:fill="B2B2B2"/>
          </w:tcPr>
          <w:p>
            <w:pPr>
              <w:ind w:left="360"/>
              <w:spacing w:after="0"/>
              <w:rPr>
                <w:sz w:val="20"/>
                <w:szCs w:val="20"/>
                <w:color w:val="auto"/>
              </w:rPr>
            </w:pPr>
            <w:r>
              <w:rPr>
                <w:rFonts w:ascii="Arial" w:cs="Arial" w:eastAsia="Arial" w:hAnsi="Arial"/>
                <w:sz w:val="18"/>
                <w:szCs w:val="18"/>
                <w:color w:val="auto"/>
              </w:rPr>
              <w:t>Tax effect</w:t>
            </w:r>
          </w:p>
        </w:tc>
        <w:tc>
          <w:tcPr>
            <w:tcW w:w="920" w:type="dxa"/>
            <w:vAlign w:val="bottom"/>
            <w:shd w:val="clear" w:color="auto" w:fill="B2B2B2"/>
          </w:tcPr>
          <w:p>
            <w:pPr>
              <w:spacing w:after="0"/>
              <w:rPr>
                <w:sz w:val="18"/>
                <w:szCs w:val="18"/>
                <w:color w:val="auto"/>
              </w:rPr>
            </w:pPr>
          </w:p>
        </w:tc>
        <w:tc>
          <w:tcPr>
            <w:tcW w:w="600" w:type="dxa"/>
            <w:vAlign w:val="bottom"/>
            <w:gridSpan w:val="2"/>
            <w:shd w:val="clear" w:color="auto" w:fill="B2B2B2"/>
          </w:tcPr>
          <w:p>
            <w:pPr>
              <w:jc w:val="right"/>
              <w:ind w:right="60"/>
              <w:spacing w:after="0"/>
              <w:rPr>
                <w:sz w:val="20"/>
                <w:szCs w:val="20"/>
                <w:color w:val="auto"/>
              </w:rPr>
            </w:pPr>
            <w:r>
              <w:rPr>
                <w:rFonts w:ascii="Arial" w:cs="Arial" w:eastAsia="Arial" w:hAnsi="Arial"/>
                <w:sz w:val="18"/>
                <w:szCs w:val="18"/>
                <w:color w:val="auto"/>
              </w:rPr>
              <w:t>1,003</w:t>
            </w:r>
          </w:p>
        </w:tc>
        <w:tc>
          <w:tcPr>
            <w:tcW w:w="40" w:type="dxa"/>
            <w:vAlign w:val="bottom"/>
            <w:shd w:val="clear" w:color="auto" w:fill="B2B2B2"/>
          </w:tcPr>
          <w:p>
            <w:pPr>
              <w:spacing w:after="0"/>
              <w:rPr>
                <w:sz w:val="18"/>
                <w:szCs w:val="18"/>
                <w:color w:val="auto"/>
              </w:rPr>
            </w:pPr>
          </w:p>
        </w:tc>
        <w:tc>
          <w:tcPr>
            <w:tcW w:w="920" w:type="dxa"/>
            <w:vAlign w:val="bottom"/>
            <w:shd w:val="clear" w:color="auto" w:fill="B2B2B2"/>
          </w:tcPr>
          <w:p>
            <w:pPr>
              <w:spacing w:after="0"/>
              <w:rPr>
                <w:sz w:val="18"/>
                <w:szCs w:val="18"/>
                <w:color w:val="auto"/>
              </w:rPr>
            </w:pPr>
          </w:p>
        </w:tc>
        <w:tc>
          <w:tcPr>
            <w:tcW w:w="5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(138)</w:t>
            </w:r>
          </w:p>
        </w:tc>
        <w:tc>
          <w:tcPr>
            <w:tcW w:w="20" w:type="dxa"/>
            <w:vAlign w:val="bottom"/>
          </w:tcPr>
          <w:p>
            <w:pPr>
              <w:spacing w:after="0"/>
              <w:rPr>
                <w:sz w:val="18"/>
                <w:szCs w:val="18"/>
                <w:color w:val="auto"/>
              </w:rPr>
            </w:pPr>
          </w:p>
        </w:tc>
      </w:tr>
      <w:tr>
        <w:trPr>
          <w:trHeight w:val="215"/>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Reclassification adjustments for gains included in net income</w:t>
            </w:r>
          </w:p>
        </w:tc>
        <w:tc>
          <w:tcPr>
            <w:tcW w:w="9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(48)</w:t>
            </w: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1"/>
              </w:rPr>
              <w:t>(1,069)</w:t>
            </w:r>
          </w:p>
        </w:tc>
        <w:tc>
          <w:tcPr>
            <w:tcW w:w="20" w:type="dxa"/>
            <w:vAlign w:val="bottom"/>
          </w:tcPr>
          <w:p>
            <w:pPr>
              <w:spacing w:after="0"/>
              <w:rPr>
                <w:sz w:val="18"/>
                <w:szCs w:val="18"/>
                <w:color w:val="auto"/>
              </w:rPr>
            </w:pPr>
          </w:p>
        </w:tc>
      </w:tr>
      <w:tr>
        <w:trPr>
          <w:trHeight w:val="215"/>
        </w:trPr>
        <w:tc>
          <w:tcPr>
            <w:tcW w:w="8220" w:type="dxa"/>
            <w:vAlign w:val="bottom"/>
            <w:gridSpan w:val="2"/>
            <w:shd w:val="clear" w:color="auto" w:fill="B2B2B2"/>
          </w:tcPr>
          <w:p>
            <w:pPr>
              <w:ind w:left="360"/>
              <w:spacing w:after="0"/>
              <w:rPr>
                <w:sz w:val="20"/>
                <w:szCs w:val="20"/>
                <w:color w:val="auto"/>
              </w:rPr>
            </w:pPr>
            <w:r>
              <w:rPr>
                <w:rFonts w:ascii="Arial" w:cs="Arial" w:eastAsia="Arial" w:hAnsi="Arial"/>
                <w:sz w:val="18"/>
                <w:szCs w:val="18"/>
                <w:color w:val="auto"/>
              </w:rPr>
              <w:t>Tax effect</w:t>
            </w:r>
          </w:p>
        </w:tc>
        <w:tc>
          <w:tcPr>
            <w:tcW w:w="920" w:type="dxa"/>
            <w:vAlign w:val="bottom"/>
            <w:shd w:val="clear" w:color="auto" w:fill="B2B2B2"/>
          </w:tcPr>
          <w:p>
            <w:pPr>
              <w:spacing w:after="0"/>
              <w:rPr>
                <w:sz w:val="18"/>
                <w:szCs w:val="18"/>
                <w:color w:val="auto"/>
              </w:rPr>
            </w:pPr>
          </w:p>
        </w:tc>
        <w:tc>
          <w:tcPr>
            <w:tcW w:w="600" w:type="dxa"/>
            <w:vAlign w:val="bottom"/>
            <w:gridSpan w:val="2"/>
            <w:shd w:val="clear" w:color="auto" w:fill="B2B2B2"/>
          </w:tcPr>
          <w:p>
            <w:pPr>
              <w:jc w:val="right"/>
              <w:ind w:right="60"/>
              <w:spacing w:after="0"/>
              <w:rPr>
                <w:sz w:val="20"/>
                <w:szCs w:val="20"/>
                <w:color w:val="auto"/>
              </w:rPr>
            </w:pPr>
            <w:r>
              <w:rPr>
                <w:rFonts w:ascii="Arial" w:cs="Arial" w:eastAsia="Arial" w:hAnsi="Arial"/>
                <w:sz w:val="18"/>
                <w:szCs w:val="18"/>
                <w:color w:val="auto"/>
              </w:rPr>
              <w:t>11</w:t>
            </w:r>
          </w:p>
        </w:tc>
        <w:tc>
          <w:tcPr>
            <w:tcW w:w="40" w:type="dxa"/>
            <w:vAlign w:val="bottom"/>
            <w:shd w:val="clear" w:color="auto" w:fill="B2B2B2"/>
          </w:tcPr>
          <w:p>
            <w:pPr>
              <w:spacing w:after="0"/>
              <w:rPr>
                <w:sz w:val="18"/>
                <w:szCs w:val="18"/>
                <w:color w:val="auto"/>
              </w:rPr>
            </w:pPr>
          </w:p>
        </w:tc>
        <w:tc>
          <w:tcPr>
            <w:tcW w:w="920" w:type="dxa"/>
            <w:vAlign w:val="bottom"/>
            <w:shd w:val="clear" w:color="auto" w:fill="B2B2B2"/>
          </w:tcPr>
          <w:p>
            <w:pPr>
              <w:spacing w:after="0"/>
              <w:rPr>
                <w:sz w:val="18"/>
                <w:szCs w:val="18"/>
                <w:color w:val="auto"/>
              </w:rPr>
            </w:pPr>
          </w:p>
        </w:tc>
        <w:tc>
          <w:tcPr>
            <w:tcW w:w="5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254</w:t>
            </w:r>
          </w:p>
        </w:tc>
        <w:tc>
          <w:tcPr>
            <w:tcW w:w="20" w:type="dxa"/>
            <w:vAlign w:val="bottom"/>
          </w:tcPr>
          <w:p>
            <w:pPr>
              <w:spacing w:after="0"/>
              <w:rPr>
                <w:sz w:val="18"/>
                <w:szCs w:val="18"/>
                <w:color w:val="auto"/>
              </w:rPr>
            </w:pPr>
          </w:p>
        </w:tc>
      </w:tr>
      <w:tr>
        <w:trPr>
          <w:trHeight w:val="215"/>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9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20" w:type="dxa"/>
            <w:vAlign w:val="bottom"/>
          </w:tcPr>
          <w:p>
            <w:pPr>
              <w:spacing w:after="0"/>
              <w:rPr>
                <w:sz w:val="18"/>
                <w:szCs w:val="18"/>
                <w:color w:val="auto"/>
              </w:rPr>
            </w:pPr>
          </w:p>
        </w:tc>
      </w:tr>
      <w:tr>
        <w:trPr>
          <w:trHeight w:val="249"/>
        </w:trPr>
        <w:tc>
          <w:tcPr>
            <w:tcW w:w="8220" w:type="dxa"/>
            <w:vAlign w:val="bottom"/>
            <w:tcBorders>
              <w:bottom w:val="single" w:sz="8" w:color="B2B2B2"/>
            </w:tcBorders>
            <w:gridSpan w:val="2"/>
            <w:shd w:val="clear" w:color="auto" w:fill="B2B2B2"/>
          </w:tcPr>
          <w:p>
            <w:pPr>
              <w:spacing w:after="0"/>
              <w:rPr>
                <w:sz w:val="20"/>
                <w:szCs w:val="20"/>
                <w:color w:val="auto"/>
              </w:rPr>
            </w:pPr>
            <w:r>
              <w:rPr>
                <w:rFonts w:ascii="Arial" w:cs="Arial" w:eastAsia="Arial" w:hAnsi="Arial"/>
                <w:sz w:val="18"/>
                <w:szCs w:val="18"/>
                <w:color w:val="auto"/>
              </w:rPr>
              <w:t>Total comprehensive income</w:t>
            </w:r>
          </w:p>
        </w:tc>
        <w:tc>
          <w:tcPr>
            <w:tcW w:w="920" w:type="dxa"/>
            <w:vAlign w:val="bottom"/>
            <w:tcBorders>
              <w:bottom w:val="single" w:sz="8" w:color="auto"/>
            </w:tcBorders>
            <w:shd w:val="clear" w:color="auto" w:fill="B2B2B2"/>
          </w:tcPr>
          <w:p>
            <w:pPr>
              <w:jc w:val="right"/>
              <w:ind w:right="73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3,694</w:t>
            </w:r>
          </w:p>
        </w:tc>
        <w:tc>
          <w:tcPr>
            <w:tcW w:w="60" w:type="dxa"/>
            <w:vAlign w:val="bottom"/>
            <w:tcBorders>
              <w:bottom w:val="single" w:sz="8" w:color="B2B2B2"/>
            </w:tcBorders>
            <w:shd w:val="clear" w:color="auto" w:fill="B2B2B2"/>
          </w:tcPr>
          <w:p>
            <w:pPr>
              <w:spacing w:after="0"/>
              <w:rPr>
                <w:sz w:val="21"/>
                <w:szCs w:val="21"/>
                <w:color w:val="auto"/>
              </w:rPr>
            </w:pPr>
          </w:p>
        </w:tc>
        <w:tc>
          <w:tcPr>
            <w:tcW w:w="40" w:type="dxa"/>
            <w:vAlign w:val="bottom"/>
            <w:tcBorders>
              <w:bottom w:val="single" w:sz="8" w:color="B2B2B2"/>
            </w:tcBorders>
            <w:shd w:val="clear" w:color="auto" w:fill="B2B2B2"/>
          </w:tcPr>
          <w:p>
            <w:pPr>
              <w:spacing w:after="0"/>
              <w:rPr>
                <w:sz w:val="21"/>
                <w:szCs w:val="21"/>
                <w:color w:val="auto"/>
              </w:rPr>
            </w:pPr>
          </w:p>
        </w:tc>
        <w:tc>
          <w:tcPr>
            <w:tcW w:w="920" w:type="dxa"/>
            <w:vAlign w:val="bottom"/>
            <w:tcBorders>
              <w:bottom w:val="single" w:sz="8" w:color="auto"/>
            </w:tcBorders>
            <w:shd w:val="clear" w:color="auto" w:fill="B2B2B2"/>
          </w:tcPr>
          <w:p>
            <w:pPr>
              <w:jc w:val="right"/>
              <w:ind w:right="73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7,026</w:t>
            </w:r>
          </w:p>
        </w:tc>
        <w:tc>
          <w:tcPr>
            <w:tcW w:w="20" w:type="dxa"/>
            <w:vAlign w:val="bottom"/>
          </w:tcPr>
          <w:p>
            <w:pPr>
              <w:spacing w:after="0"/>
              <w:rPr>
                <w:sz w:val="21"/>
                <w:szCs w:val="21"/>
                <w:color w:val="auto"/>
              </w:rPr>
            </w:pPr>
          </w:p>
        </w:tc>
      </w:tr>
    </w:tbl>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121285</wp:posOffset>
            </wp:positionV>
            <wp:extent cx="7158355" cy="508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355" cy="5080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778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0"/>
        </w:trPr>
        <w:tc>
          <w:tcPr>
            <w:tcW w:w="1360" w:type="dxa"/>
            <w:vAlign w:val="bottom"/>
            <w:tcBorders>
              <w:top w:val="single" w:sz="8" w:color="0000EE"/>
            </w:tcBorders>
          </w:tcPr>
          <w:p>
            <w:pPr>
              <w:spacing w:after="0"/>
              <w:rPr>
                <w:sz w:val="24"/>
                <w:szCs w:val="24"/>
                <w:color w:val="auto"/>
              </w:rPr>
            </w:pPr>
          </w:p>
        </w:tc>
        <w:tc>
          <w:tcPr>
            <w:tcW w:w="6880" w:type="dxa"/>
            <w:vAlign w:val="bottom"/>
            <w:gridSpan w:val="2"/>
          </w:tcPr>
          <w:p>
            <w:pPr>
              <w:jc w:val="center"/>
              <w:ind w:left="1550"/>
              <w:spacing w:after="0"/>
              <w:rPr>
                <w:sz w:val="20"/>
                <w:szCs w:val="20"/>
                <w:color w:val="auto"/>
              </w:rPr>
            </w:pPr>
            <w:r>
              <w:rPr>
                <w:rFonts w:ascii="Arial" w:cs="Arial" w:eastAsia="Arial" w:hAnsi="Arial"/>
                <w:sz w:val="18"/>
                <w:szCs w:val="18"/>
                <w:b w:val="1"/>
                <w:bCs w:val="1"/>
                <w:color w:val="auto"/>
                <w:w w:val="99"/>
              </w:rPr>
              <w:t>CASS INFORMATION SYSTEMS, INC. AND SUBSIDIARIES</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1360" w:type="dxa"/>
            <w:vAlign w:val="bottom"/>
          </w:tcPr>
          <w:p>
            <w:pPr>
              <w:spacing w:after="0"/>
              <w:rPr>
                <w:sz w:val="19"/>
                <w:szCs w:val="19"/>
                <w:color w:val="auto"/>
              </w:rPr>
            </w:pPr>
          </w:p>
        </w:tc>
        <w:tc>
          <w:tcPr>
            <w:tcW w:w="6420" w:type="dxa"/>
            <w:vAlign w:val="bottom"/>
          </w:tcPr>
          <w:p>
            <w:pPr>
              <w:jc w:val="center"/>
              <w:ind w:left="2030"/>
              <w:spacing w:after="0"/>
              <w:rPr>
                <w:sz w:val="20"/>
                <w:szCs w:val="20"/>
                <w:color w:val="auto"/>
              </w:rPr>
            </w:pPr>
            <w:r>
              <w:rPr>
                <w:rFonts w:ascii="Arial" w:cs="Arial" w:eastAsia="Arial" w:hAnsi="Arial"/>
                <w:sz w:val="18"/>
                <w:szCs w:val="18"/>
                <w:b w:val="1"/>
                <w:bCs w:val="1"/>
                <w:color w:val="auto"/>
                <w:w w:val="98"/>
              </w:rPr>
              <w:t>CONSOLIDATED STATEMENTS OF CASH FLOWS</w:t>
            </w: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360" w:type="dxa"/>
            <w:vAlign w:val="bottom"/>
          </w:tcPr>
          <w:p>
            <w:pPr>
              <w:spacing w:after="0"/>
              <w:rPr>
                <w:sz w:val="18"/>
                <w:szCs w:val="18"/>
                <w:color w:val="auto"/>
              </w:rPr>
            </w:pPr>
          </w:p>
        </w:tc>
        <w:tc>
          <w:tcPr>
            <w:tcW w:w="6420" w:type="dxa"/>
            <w:vAlign w:val="bottom"/>
          </w:tcPr>
          <w:p>
            <w:pPr>
              <w:jc w:val="center"/>
              <w:ind w:left="2030"/>
              <w:spacing w:after="0"/>
              <w:rPr>
                <w:sz w:val="20"/>
                <w:szCs w:val="20"/>
                <w:color w:val="auto"/>
              </w:rPr>
            </w:pPr>
            <w:r>
              <w:rPr>
                <w:rFonts w:ascii="Arial" w:cs="Arial" w:eastAsia="Arial" w:hAnsi="Arial"/>
                <w:sz w:val="18"/>
                <w:szCs w:val="18"/>
                <w:color w:val="auto"/>
                <w:w w:val="91"/>
              </w:rPr>
              <w:t>(Unaudited)</w:t>
            </w: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60" w:type="dxa"/>
            <w:vAlign w:val="bottom"/>
          </w:tcPr>
          <w:p>
            <w:pPr>
              <w:spacing w:after="0"/>
              <w:rPr>
                <w:sz w:val="19"/>
                <w:szCs w:val="19"/>
                <w:color w:val="auto"/>
              </w:rPr>
            </w:pPr>
          </w:p>
        </w:tc>
        <w:tc>
          <w:tcPr>
            <w:tcW w:w="6420" w:type="dxa"/>
            <w:vAlign w:val="bottom"/>
          </w:tcPr>
          <w:p>
            <w:pPr>
              <w:jc w:val="center"/>
              <w:ind w:left="2030"/>
              <w:spacing w:after="0"/>
              <w:rPr>
                <w:sz w:val="20"/>
                <w:szCs w:val="20"/>
                <w:color w:val="auto"/>
              </w:rPr>
            </w:pPr>
            <w:r>
              <w:rPr>
                <w:rFonts w:ascii="Arial" w:cs="Arial" w:eastAsia="Arial" w:hAnsi="Arial"/>
                <w:sz w:val="18"/>
                <w:szCs w:val="18"/>
                <w:color w:val="auto"/>
                <w:w w:val="91"/>
              </w:rPr>
              <w:t>(Dollars in Thousands)</w:t>
            </w: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136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8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8"/>
                <w:szCs w:val="18"/>
                <w:b w:val="1"/>
                <w:bCs w:val="1"/>
                <w:color w:val="auto"/>
              </w:rPr>
              <w:t>March 31,</w:t>
            </w:r>
          </w:p>
        </w:tc>
        <w:tc>
          <w:tcPr>
            <w:tcW w:w="9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360" w:type="dxa"/>
            <w:vAlign w:val="bottom"/>
            <w:tcBorders>
              <w:bottom w:val="single" w:sz="8" w:color="auto"/>
            </w:tcBorders>
          </w:tcPr>
          <w:p>
            <w:pPr>
              <w:spacing w:after="0"/>
              <w:rPr>
                <w:sz w:val="18"/>
                <w:szCs w:val="18"/>
                <w:color w:val="auto"/>
              </w:rPr>
            </w:pPr>
          </w:p>
        </w:tc>
        <w:tc>
          <w:tcPr>
            <w:tcW w:w="64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89"/>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80" w:type="dxa"/>
            <w:vAlign w:val="bottom"/>
            <w:gridSpan w:val="2"/>
            <w:shd w:val="clear" w:color="auto" w:fill="B2B2B2"/>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460" w:type="dxa"/>
            <w:vAlign w:val="bottom"/>
            <w:shd w:val="clear" w:color="auto" w:fill="B2B2B2"/>
          </w:tcPr>
          <w:p>
            <w:pPr>
              <w:spacing w:after="0"/>
              <w:rPr>
                <w:sz w:val="18"/>
                <w:szCs w:val="18"/>
                <w:color w:val="auto"/>
              </w:rPr>
            </w:pPr>
          </w:p>
        </w:tc>
        <w:tc>
          <w:tcPr>
            <w:tcW w:w="110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540" w:type="dxa"/>
            <w:vAlign w:val="bottom"/>
            <w:shd w:val="clear" w:color="auto" w:fill="B2B2B2"/>
          </w:tcPr>
          <w:p>
            <w:pPr>
              <w:spacing w:after="0"/>
              <w:rPr>
                <w:sz w:val="18"/>
                <w:szCs w:val="18"/>
                <w:color w:val="auto"/>
              </w:rPr>
            </w:pPr>
          </w:p>
        </w:tc>
        <w:tc>
          <w:tcPr>
            <w:tcW w:w="920" w:type="dxa"/>
            <w:vAlign w:val="bottom"/>
            <w:shd w:val="clear" w:color="auto" w:fill="B2B2B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460" w:type="dxa"/>
            <w:vAlign w:val="bottom"/>
          </w:tcPr>
          <w:p>
            <w:pPr>
              <w:jc w:val="right"/>
              <w:ind w:right="307"/>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7,071</w:t>
            </w:r>
          </w:p>
        </w:tc>
        <w:tc>
          <w:tcPr>
            <w:tcW w:w="220" w:type="dxa"/>
            <w:vAlign w:val="bottom"/>
          </w:tcPr>
          <w:p>
            <w:pPr>
              <w:spacing w:after="0"/>
              <w:rPr>
                <w:sz w:val="18"/>
                <w:szCs w:val="18"/>
                <w:color w:val="auto"/>
              </w:rPr>
            </w:pPr>
          </w:p>
        </w:tc>
        <w:tc>
          <w:tcPr>
            <w:tcW w:w="7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7,545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8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460" w:type="dxa"/>
            <w:vAlign w:val="bottom"/>
            <w:shd w:val="clear" w:color="auto" w:fill="B2B2B2"/>
          </w:tcPr>
          <w:p>
            <w:pPr>
              <w:spacing w:after="0"/>
              <w:rPr>
                <w:sz w:val="18"/>
                <w:szCs w:val="18"/>
                <w:color w:val="auto"/>
              </w:rPr>
            </w:pPr>
          </w:p>
        </w:tc>
        <w:tc>
          <w:tcPr>
            <w:tcW w:w="110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540" w:type="dxa"/>
            <w:vAlign w:val="bottom"/>
            <w:shd w:val="clear" w:color="auto" w:fill="B2B2B2"/>
          </w:tcPr>
          <w:p>
            <w:pPr>
              <w:spacing w:after="0"/>
              <w:rPr>
                <w:sz w:val="18"/>
                <w:szCs w:val="18"/>
                <w:color w:val="auto"/>
              </w:rPr>
            </w:pPr>
          </w:p>
        </w:tc>
        <w:tc>
          <w:tcPr>
            <w:tcW w:w="920" w:type="dxa"/>
            <w:vAlign w:val="bottom"/>
            <w:shd w:val="clear" w:color="auto" w:fill="B2B2B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80" w:type="dxa"/>
            <w:vAlign w:val="bottom"/>
            <w:gridSpan w:val="2"/>
          </w:tcPr>
          <w:p>
            <w:pPr>
              <w:ind w:left="360"/>
              <w:spacing w:after="0"/>
              <w:rPr>
                <w:sz w:val="20"/>
                <w:szCs w:val="20"/>
                <w:color w:val="auto"/>
              </w:rPr>
            </w:pPr>
            <w:r>
              <w:rPr>
                <w:rFonts w:ascii="Arial" w:cs="Arial" w:eastAsia="Arial" w:hAnsi="Arial"/>
                <w:sz w:val="18"/>
                <w:szCs w:val="18"/>
                <w:color w:val="auto"/>
              </w:rPr>
              <w:t>Depreciation and amortization</w:t>
            </w: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2,978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80" w:type="dxa"/>
            <w:vAlign w:val="bottom"/>
            <w:gridSpan w:val="2"/>
            <w:shd w:val="clear" w:color="auto" w:fill="B2B2B2"/>
          </w:tcPr>
          <w:p>
            <w:pPr>
              <w:ind w:left="360"/>
              <w:spacing w:after="0"/>
              <w:rPr>
                <w:sz w:val="20"/>
                <w:szCs w:val="20"/>
                <w:color w:val="auto"/>
              </w:rPr>
            </w:pPr>
            <w:r>
              <w:rPr>
                <w:rFonts w:ascii="Arial" w:cs="Arial" w:eastAsia="Arial" w:hAnsi="Arial"/>
                <w:sz w:val="18"/>
                <w:szCs w:val="18"/>
                <w:color w:val="auto"/>
              </w:rPr>
              <w:t>Gains on sales of securities</w:t>
            </w:r>
          </w:p>
        </w:tc>
        <w:tc>
          <w:tcPr>
            <w:tcW w:w="460" w:type="dxa"/>
            <w:vAlign w:val="bottom"/>
            <w:shd w:val="clear" w:color="auto" w:fill="B2B2B2"/>
          </w:tcPr>
          <w:p>
            <w:pPr>
              <w:spacing w:after="0"/>
              <w:rPr>
                <w:sz w:val="18"/>
                <w:szCs w:val="18"/>
                <w:color w:val="auto"/>
              </w:rPr>
            </w:pPr>
          </w:p>
        </w:tc>
        <w:tc>
          <w:tcPr>
            <w:tcW w:w="11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(48)</w:t>
            </w:r>
          </w:p>
        </w:tc>
        <w:tc>
          <w:tcPr>
            <w:tcW w:w="22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540" w:type="dxa"/>
            <w:vAlign w:val="bottom"/>
            <w:shd w:val="clear" w:color="auto" w:fill="B2B2B2"/>
          </w:tcPr>
          <w:p>
            <w:pPr>
              <w:spacing w:after="0"/>
              <w:rPr>
                <w:sz w:val="18"/>
                <w:szCs w:val="18"/>
                <w:color w:val="auto"/>
              </w:rPr>
            </w:pPr>
          </w:p>
        </w:tc>
        <w:tc>
          <w:tcPr>
            <w:tcW w:w="9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(1,069)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80" w:type="dxa"/>
            <w:vAlign w:val="bottom"/>
            <w:gridSpan w:val="2"/>
          </w:tcPr>
          <w:p>
            <w:pPr>
              <w:ind w:left="360"/>
              <w:spacing w:after="0"/>
              <w:rPr>
                <w:sz w:val="20"/>
                <w:szCs w:val="20"/>
                <w:color w:val="auto"/>
              </w:rPr>
            </w:pPr>
            <w:r>
              <w:rPr>
                <w:rFonts w:ascii="Arial" w:cs="Arial" w:eastAsia="Arial" w:hAnsi="Arial"/>
                <w:sz w:val="18"/>
                <w:szCs w:val="18"/>
                <w:color w:val="auto"/>
              </w:rPr>
              <w:t>Stock-based compensation expense</w:t>
            </w:r>
          </w:p>
        </w:tc>
        <w:tc>
          <w:tcPr>
            <w:tcW w:w="46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693</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80" w:type="dxa"/>
            <w:vAlign w:val="bottom"/>
            <w:gridSpan w:val="2"/>
            <w:shd w:val="clear" w:color="auto" w:fill="B2B2B2"/>
          </w:tcPr>
          <w:p>
            <w:pPr>
              <w:ind w:left="360"/>
              <w:spacing w:after="0"/>
              <w:rPr>
                <w:sz w:val="20"/>
                <w:szCs w:val="20"/>
                <w:color w:val="auto"/>
              </w:rPr>
            </w:pPr>
            <w:r>
              <w:rPr>
                <w:rFonts w:ascii="Arial" w:cs="Arial" w:eastAsia="Arial" w:hAnsi="Arial"/>
                <w:sz w:val="18"/>
                <w:szCs w:val="18"/>
                <w:color w:val="auto"/>
              </w:rPr>
              <w:t>(Release of) provision for credit losses</w:t>
            </w:r>
          </w:p>
        </w:tc>
        <w:tc>
          <w:tcPr>
            <w:tcW w:w="460" w:type="dxa"/>
            <w:vAlign w:val="bottom"/>
            <w:shd w:val="clear" w:color="auto" w:fill="B2B2B2"/>
          </w:tcPr>
          <w:p>
            <w:pPr>
              <w:spacing w:after="0"/>
              <w:rPr>
                <w:sz w:val="18"/>
                <w:szCs w:val="18"/>
                <w:color w:val="auto"/>
              </w:rPr>
            </w:pPr>
          </w:p>
        </w:tc>
        <w:tc>
          <w:tcPr>
            <w:tcW w:w="1320" w:type="dxa"/>
            <w:vAlign w:val="bottom"/>
            <w:gridSpan w:val="2"/>
            <w:shd w:val="clear" w:color="auto" w:fill="B2B2B2"/>
          </w:tcPr>
          <w:p>
            <w:pPr>
              <w:jc w:val="right"/>
              <w:ind w:right="220"/>
              <w:spacing w:after="0"/>
              <w:rPr>
                <w:sz w:val="20"/>
                <w:szCs w:val="20"/>
                <w:color w:val="auto"/>
              </w:rPr>
            </w:pPr>
            <w:r>
              <w:rPr>
                <w:rFonts w:ascii="Arial" w:cs="Arial" w:eastAsia="Arial" w:hAnsi="Arial"/>
                <w:sz w:val="18"/>
                <w:szCs w:val="18"/>
                <w:color w:val="auto"/>
              </w:rPr>
              <w:t>(600)</w:t>
            </w:r>
          </w:p>
        </w:tc>
        <w:tc>
          <w:tcPr>
            <w:tcW w:w="220" w:type="dxa"/>
            <w:vAlign w:val="bottom"/>
            <w:shd w:val="clear" w:color="auto" w:fill="B2B2B2"/>
          </w:tcPr>
          <w:p>
            <w:pPr>
              <w:spacing w:after="0"/>
              <w:rPr>
                <w:sz w:val="18"/>
                <w:szCs w:val="18"/>
                <w:color w:val="auto"/>
              </w:rPr>
            </w:pPr>
          </w:p>
        </w:tc>
        <w:tc>
          <w:tcPr>
            <w:tcW w:w="540" w:type="dxa"/>
            <w:vAlign w:val="bottom"/>
            <w:shd w:val="clear" w:color="auto" w:fill="B2B2B2"/>
          </w:tcPr>
          <w:p>
            <w:pPr>
              <w:spacing w:after="0"/>
              <w:rPr>
                <w:sz w:val="18"/>
                <w:szCs w:val="18"/>
                <w:color w:val="auto"/>
              </w:rPr>
            </w:pPr>
          </w:p>
        </w:tc>
        <w:tc>
          <w:tcPr>
            <w:tcW w:w="9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80" w:type="dxa"/>
            <w:vAlign w:val="bottom"/>
            <w:gridSpan w:val="2"/>
          </w:tcPr>
          <w:p>
            <w:pPr>
              <w:ind w:left="360"/>
              <w:spacing w:after="0"/>
              <w:rPr>
                <w:sz w:val="20"/>
                <w:szCs w:val="20"/>
                <w:color w:val="auto"/>
              </w:rPr>
            </w:pPr>
            <w:r>
              <w:rPr>
                <w:rFonts w:ascii="Arial" w:cs="Arial" w:eastAsia="Arial" w:hAnsi="Arial"/>
                <w:sz w:val="18"/>
                <w:szCs w:val="18"/>
                <w:color w:val="auto"/>
              </w:rPr>
              <w:t>Increase in income tax liability</w:t>
            </w: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1,355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80" w:type="dxa"/>
            <w:vAlign w:val="bottom"/>
            <w:gridSpan w:val="2"/>
            <w:shd w:val="clear" w:color="auto" w:fill="B2B2B2"/>
          </w:tcPr>
          <w:p>
            <w:pPr>
              <w:ind w:left="360"/>
              <w:spacing w:after="0"/>
              <w:rPr>
                <w:sz w:val="20"/>
                <w:szCs w:val="20"/>
                <w:color w:val="auto"/>
              </w:rPr>
            </w:pPr>
            <w:r>
              <w:rPr>
                <w:rFonts w:ascii="Arial" w:cs="Arial" w:eastAsia="Arial" w:hAnsi="Arial"/>
                <w:sz w:val="18"/>
                <w:szCs w:val="18"/>
                <w:color w:val="auto"/>
              </w:rPr>
              <w:t>Increase in pension liability</w:t>
            </w:r>
          </w:p>
        </w:tc>
        <w:tc>
          <w:tcPr>
            <w:tcW w:w="460" w:type="dxa"/>
            <w:vAlign w:val="bottom"/>
            <w:shd w:val="clear" w:color="auto" w:fill="B2B2B2"/>
          </w:tcPr>
          <w:p>
            <w:pPr>
              <w:spacing w:after="0"/>
              <w:rPr>
                <w:sz w:val="18"/>
                <w:szCs w:val="18"/>
                <w:color w:val="auto"/>
              </w:rPr>
            </w:pPr>
          </w:p>
        </w:tc>
        <w:tc>
          <w:tcPr>
            <w:tcW w:w="1320" w:type="dxa"/>
            <w:vAlign w:val="bottom"/>
            <w:gridSpan w:val="2"/>
            <w:shd w:val="clear" w:color="auto" w:fill="B2B2B2"/>
          </w:tcPr>
          <w:p>
            <w:pPr>
              <w:jc w:val="right"/>
              <w:ind w:right="220"/>
              <w:spacing w:after="0"/>
              <w:rPr>
                <w:sz w:val="20"/>
                <w:szCs w:val="20"/>
                <w:color w:val="auto"/>
              </w:rPr>
            </w:pPr>
            <w:r>
              <w:rPr>
                <w:rFonts w:ascii="Arial" w:cs="Arial" w:eastAsia="Arial" w:hAnsi="Arial"/>
                <w:sz w:val="18"/>
                <w:szCs w:val="18"/>
                <w:color w:val="auto"/>
              </w:rPr>
              <w:t>336</w:t>
            </w:r>
          </w:p>
        </w:tc>
        <w:tc>
          <w:tcPr>
            <w:tcW w:w="220" w:type="dxa"/>
            <w:vAlign w:val="bottom"/>
            <w:shd w:val="clear" w:color="auto" w:fill="B2B2B2"/>
          </w:tcPr>
          <w:p>
            <w:pPr>
              <w:spacing w:after="0"/>
              <w:rPr>
                <w:sz w:val="18"/>
                <w:szCs w:val="18"/>
                <w:color w:val="auto"/>
              </w:rPr>
            </w:pPr>
          </w:p>
        </w:tc>
        <w:tc>
          <w:tcPr>
            <w:tcW w:w="540" w:type="dxa"/>
            <w:vAlign w:val="bottom"/>
            <w:shd w:val="clear" w:color="auto" w:fill="B2B2B2"/>
          </w:tcPr>
          <w:p>
            <w:pPr>
              <w:spacing w:after="0"/>
              <w:rPr>
                <w:sz w:val="18"/>
                <w:szCs w:val="18"/>
                <w:color w:val="auto"/>
              </w:rPr>
            </w:pPr>
          </w:p>
        </w:tc>
        <w:tc>
          <w:tcPr>
            <w:tcW w:w="9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1,079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80" w:type="dxa"/>
            <w:vAlign w:val="bottom"/>
            <w:gridSpan w:val="2"/>
          </w:tcPr>
          <w:p>
            <w:pPr>
              <w:ind w:left="360"/>
              <w:spacing w:after="0"/>
              <w:rPr>
                <w:sz w:val="20"/>
                <w:szCs w:val="20"/>
                <w:color w:val="auto"/>
              </w:rPr>
            </w:pPr>
            <w:r>
              <w:rPr>
                <w:rFonts w:ascii="Arial" w:cs="Arial" w:eastAsia="Arial" w:hAnsi="Arial"/>
                <w:sz w:val="18"/>
                <w:szCs w:val="18"/>
                <w:color w:val="auto"/>
              </w:rPr>
              <w:t>Increase in accounts receivable</w:t>
            </w:r>
          </w:p>
        </w:tc>
        <w:tc>
          <w:tcPr>
            <w:tcW w:w="46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(237)</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80" w:type="dxa"/>
            <w:vAlign w:val="bottom"/>
            <w:tcBorders>
              <w:bottom w:val="single" w:sz="8" w:color="B2B2B2"/>
            </w:tcBorders>
            <w:gridSpan w:val="2"/>
            <w:shd w:val="clear" w:color="auto" w:fill="B2B2B2"/>
          </w:tcPr>
          <w:p>
            <w:pPr>
              <w:ind w:left="360"/>
              <w:spacing w:after="0"/>
              <w:rPr>
                <w:sz w:val="20"/>
                <w:szCs w:val="20"/>
                <w:color w:val="auto"/>
              </w:rPr>
            </w:pPr>
            <w:r>
              <w:rPr>
                <w:rFonts w:ascii="Arial" w:cs="Arial" w:eastAsia="Arial" w:hAnsi="Arial"/>
                <w:sz w:val="18"/>
                <w:szCs w:val="18"/>
                <w:color w:val="auto"/>
              </w:rPr>
              <w:t>Other operating activities, net</w:t>
            </w:r>
          </w:p>
        </w:tc>
        <w:tc>
          <w:tcPr>
            <w:tcW w:w="460" w:type="dxa"/>
            <w:vAlign w:val="bottom"/>
            <w:tcBorders>
              <w:bottom w:val="single" w:sz="8" w:color="auto"/>
            </w:tcBorders>
            <w:shd w:val="clear" w:color="auto" w:fill="B2B2B2"/>
          </w:tcPr>
          <w:p>
            <w:pPr>
              <w:spacing w:after="0"/>
              <w:rPr>
                <w:sz w:val="18"/>
                <w:szCs w:val="18"/>
                <w:color w:val="auto"/>
              </w:rPr>
            </w:pPr>
          </w:p>
        </w:tc>
        <w:tc>
          <w:tcPr>
            <w:tcW w:w="110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5,156</w:t>
            </w:r>
          </w:p>
        </w:tc>
        <w:tc>
          <w:tcPr>
            <w:tcW w:w="220" w:type="dxa"/>
            <w:vAlign w:val="bottom"/>
            <w:tcBorders>
              <w:bottom w:val="single" w:sz="8" w:color="B2B2B2"/>
            </w:tcBorders>
            <w:shd w:val="clear" w:color="auto" w:fill="B2B2B2"/>
          </w:tcPr>
          <w:p>
            <w:pPr>
              <w:spacing w:after="0"/>
              <w:rPr>
                <w:sz w:val="18"/>
                <w:szCs w:val="18"/>
                <w:color w:val="auto"/>
              </w:rPr>
            </w:pPr>
          </w:p>
        </w:tc>
        <w:tc>
          <w:tcPr>
            <w:tcW w:w="220" w:type="dxa"/>
            <w:vAlign w:val="bottom"/>
            <w:tcBorders>
              <w:bottom w:val="single" w:sz="8" w:color="B2B2B2"/>
            </w:tcBorders>
            <w:shd w:val="clear" w:color="auto" w:fill="B2B2B2"/>
          </w:tcPr>
          <w:p>
            <w:pPr>
              <w:spacing w:after="0"/>
              <w:rPr>
                <w:sz w:val="18"/>
                <w:szCs w:val="18"/>
                <w:color w:val="auto"/>
              </w:rPr>
            </w:pPr>
          </w:p>
        </w:tc>
        <w:tc>
          <w:tcPr>
            <w:tcW w:w="540" w:type="dxa"/>
            <w:vAlign w:val="bottom"/>
            <w:tcBorders>
              <w:bottom w:val="single" w:sz="8" w:color="auto"/>
            </w:tcBorders>
            <w:shd w:val="clear" w:color="auto" w:fill="B2B2B2"/>
          </w:tcPr>
          <w:p>
            <w:pPr>
              <w:spacing w:after="0"/>
              <w:rPr>
                <w:sz w:val="18"/>
                <w:szCs w:val="18"/>
                <w:color w:val="auto"/>
              </w:rPr>
            </w:pPr>
          </w:p>
        </w:tc>
        <w:tc>
          <w:tcPr>
            <w:tcW w:w="9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5,361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80" w:type="dxa"/>
            <w:vAlign w:val="bottom"/>
            <w:gridSpan w:val="2"/>
          </w:tcPr>
          <w:p>
            <w:pPr>
              <w:ind w:left="540"/>
              <w:spacing w:after="0"/>
              <w:rPr>
                <w:sz w:val="20"/>
                <w:szCs w:val="20"/>
                <w:color w:val="auto"/>
              </w:rPr>
            </w:pPr>
            <w:r>
              <w:rPr>
                <w:rFonts w:ascii="Arial" w:cs="Arial" w:eastAsia="Arial" w:hAnsi="Arial"/>
                <w:sz w:val="18"/>
                <w:szCs w:val="18"/>
                <w:color w:val="auto"/>
              </w:rPr>
              <w:t>Net cash provided by operating activities</w:t>
            </w:r>
          </w:p>
        </w:tc>
        <w:tc>
          <w:tcPr>
            <w:tcW w:w="46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16,704</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18,160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36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80" w:type="dxa"/>
            <w:vAlign w:val="bottom"/>
            <w:gridSpan w:val="2"/>
            <w:shd w:val="clear" w:color="auto" w:fill="B2B2B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460" w:type="dxa"/>
            <w:vAlign w:val="bottom"/>
            <w:shd w:val="clear" w:color="auto" w:fill="B2B2B2"/>
          </w:tcPr>
          <w:p>
            <w:pPr>
              <w:spacing w:after="0"/>
              <w:rPr>
                <w:sz w:val="18"/>
                <w:szCs w:val="18"/>
                <w:color w:val="auto"/>
              </w:rPr>
            </w:pPr>
          </w:p>
        </w:tc>
        <w:tc>
          <w:tcPr>
            <w:tcW w:w="110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540" w:type="dxa"/>
            <w:vAlign w:val="bottom"/>
            <w:shd w:val="clear" w:color="auto" w:fill="B2B2B2"/>
          </w:tcPr>
          <w:p>
            <w:pPr>
              <w:spacing w:after="0"/>
              <w:rPr>
                <w:sz w:val="18"/>
                <w:szCs w:val="18"/>
                <w:color w:val="auto"/>
              </w:rPr>
            </w:pPr>
          </w:p>
        </w:tc>
        <w:tc>
          <w:tcPr>
            <w:tcW w:w="920" w:type="dxa"/>
            <w:vAlign w:val="bottom"/>
            <w:shd w:val="clear" w:color="auto" w:fill="B2B2B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80" w:type="dxa"/>
            <w:vAlign w:val="bottom"/>
            <w:gridSpan w:val="2"/>
          </w:tcPr>
          <w:p>
            <w:pPr>
              <w:spacing w:after="0"/>
              <w:rPr>
                <w:sz w:val="20"/>
                <w:szCs w:val="20"/>
                <w:color w:val="auto"/>
              </w:rPr>
            </w:pPr>
            <w:r>
              <w:rPr>
                <w:rFonts w:ascii="Arial" w:cs="Arial" w:eastAsia="Arial" w:hAnsi="Arial"/>
                <w:sz w:val="18"/>
                <w:szCs w:val="18"/>
                <w:color w:val="auto"/>
              </w:rPr>
              <w:t>Proceeds from sales of securities available-for-sale</w:t>
            </w: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2,991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19,629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8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Proceeds from maturities of securities available-for-sale</w:t>
            </w:r>
          </w:p>
        </w:tc>
        <w:tc>
          <w:tcPr>
            <w:tcW w:w="460" w:type="dxa"/>
            <w:vAlign w:val="bottom"/>
            <w:shd w:val="clear" w:color="auto" w:fill="B2B2B2"/>
          </w:tcPr>
          <w:p>
            <w:pPr>
              <w:spacing w:after="0"/>
              <w:rPr>
                <w:sz w:val="18"/>
                <w:szCs w:val="18"/>
                <w:color w:val="auto"/>
              </w:rPr>
            </w:pPr>
          </w:p>
        </w:tc>
        <w:tc>
          <w:tcPr>
            <w:tcW w:w="11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47,113</w:t>
            </w:r>
          </w:p>
        </w:tc>
        <w:tc>
          <w:tcPr>
            <w:tcW w:w="22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540" w:type="dxa"/>
            <w:vAlign w:val="bottom"/>
            <w:shd w:val="clear" w:color="auto" w:fill="B2B2B2"/>
          </w:tcPr>
          <w:p>
            <w:pPr>
              <w:spacing w:after="0"/>
              <w:rPr>
                <w:sz w:val="18"/>
                <w:szCs w:val="18"/>
                <w:color w:val="auto"/>
              </w:rPr>
            </w:pPr>
          </w:p>
        </w:tc>
        <w:tc>
          <w:tcPr>
            <w:tcW w:w="9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14,148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8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Purchase of securities available-for-sale</w:t>
            </w:r>
          </w:p>
        </w:tc>
        <w:tc>
          <w:tcPr>
            <w:tcW w:w="460" w:type="dxa"/>
            <w:vAlign w:val="bottom"/>
            <w:shd w:val="clear" w:color="auto" w:fill="B2B2B2"/>
          </w:tcPr>
          <w:p>
            <w:pPr>
              <w:spacing w:after="0"/>
              <w:rPr>
                <w:sz w:val="18"/>
                <w:szCs w:val="18"/>
                <w:color w:val="auto"/>
              </w:rPr>
            </w:pPr>
          </w:p>
        </w:tc>
        <w:tc>
          <w:tcPr>
            <w:tcW w:w="1320" w:type="dxa"/>
            <w:vAlign w:val="bottom"/>
            <w:gridSpan w:val="2"/>
            <w:shd w:val="clear" w:color="auto" w:fill="B2B2B2"/>
          </w:tcPr>
          <w:p>
            <w:pPr>
              <w:jc w:val="right"/>
              <w:ind w:right="220"/>
              <w:spacing w:after="0"/>
              <w:rPr>
                <w:sz w:val="20"/>
                <w:szCs w:val="20"/>
                <w:color w:val="auto"/>
              </w:rPr>
            </w:pPr>
            <w:r>
              <w:rPr>
                <w:rFonts w:ascii="Arial" w:cs="Arial" w:eastAsia="Arial" w:hAnsi="Arial"/>
                <w:sz w:val="18"/>
                <w:szCs w:val="18"/>
                <w:color w:val="auto"/>
              </w:rPr>
              <w:t>(125,467)</w:t>
            </w:r>
          </w:p>
        </w:tc>
        <w:tc>
          <w:tcPr>
            <w:tcW w:w="220" w:type="dxa"/>
            <w:vAlign w:val="bottom"/>
            <w:shd w:val="clear" w:color="auto" w:fill="B2B2B2"/>
          </w:tcPr>
          <w:p>
            <w:pPr>
              <w:spacing w:after="0"/>
              <w:rPr>
                <w:sz w:val="18"/>
                <w:szCs w:val="18"/>
                <w:color w:val="auto"/>
              </w:rPr>
            </w:pPr>
          </w:p>
        </w:tc>
        <w:tc>
          <w:tcPr>
            <w:tcW w:w="540" w:type="dxa"/>
            <w:vAlign w:val="bottom"/>
            <w:shd w:val="clear" w:color="auto" w:fill="B2B2B2"/>
          </w:tcPr>
          <w:p>
            <w:pPr>
              <w:spacing w:after="0"/>
              <w:rPr>
                <w:sz w:val="18"/>
                <w:szCs w:val="18"/>
                <w:color w:val="auto"/>
              </w:rPr>
            </w:pPr>
          </w:p>
        </w:tc>
        <w:tc>
          <w:tcPr>
            <w:tcW w:w="9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80" w:type="dxa"/>
            <w:vAlign w:val="bottom"/>
            <w:gridSpan w:val="2"/>
          </w:tcPr>
          <w:p>
            <w:pPr>
              <w:spacing w:after="0"/>
              <w:rPr>
                <w:sz w:val="20"/>
                <w:szCs w:val="20"/>
                <w:color w:val="auto"/>
              </w:rPr>
            </w:pPr>
            <w:r>
              <w:rPr>
                <w:rFonts w:ascii="Arial" w:cs="Arial" w:eastAsia="Arial" w:hAnsi="Arial"/>
                <w:sz w:val="18"/>
                <w:szCs w:val="18"/>
                <w:color w:val="auto"/>
              </w:rPr>
              <w:t>Net decrease (increase) in loans</w:t>
            </w: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3,478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(82,134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8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Increase in payments in excess of funding</w:t>
            </w:r>
          </w:p>
        </w:tc>
        <w:tc>
          <w:tcPr>
            <w:tcW w:w="460" w:type="dxa"/>
            <w:vAlign w:val="bottom"/>
            <w:shd w:val="clear" w:color="auto" w:fill="B2B2B2"/>
          </w:tcPr>
          <w:p>
            <w:pPr>
              <w:spacing w:after="0"/>
              <w:rPr>
                <w:sz w:val="18"/>
                <w:szCs w:val="18"/>
                <w:color w:val="auto"/>
              </w:rPr>
            </w:pPr>
          </w:p>
        </w:tc>
        <w:tc>
          <w:tcPr>
            <w:tcW w:w="1320" w:type="dxa"/>
            <w:vAlign w:val="bottom"/>
            <w:gridSpan w:val="2"/>
            <w:shd w:val="clear" w:color="auto" w:fill="B2B2B2"/>
          </w:tcPr>
          <w:p>
            <w:pPr>
              <w:jc w:val="right"/>
              <w:ind w:right="220"/>
              <w:spacing w:after="0"/>
              <w:rPr>
                <w:sz w:val="20"/>
                <w:szCs w:val="20"/>
                <w:color w:val="auto"/>
              </w:rPr>
            </w:pPr>
            <w:r>
              <w:rPr>
                <w:rFonts w:ascii="Arial" w:cs="Arial" w:eastAsia="Arial" w:hAnsi="Arial"/>
                <w:sz w:val="18"/>
                <w:szCs w:val="18"/>
                <w:color w:val="auto"/>
              </w:rPr>
              <w:t>(21,912)</w:t>
            </w:r>
          </w:p>
        </w:tc>
        <w:tc>
          <w:tcPr>
            <w:tcW w:w="220" w:type="dxa"/>
            <w:vAlign w:val="bottom"/>
            <w:shd w:val="clear" w:color="auto" w:fill="B2B2B2"/>
          </w:tcPr>
          <w:p>
            <w:pPr>
              <w:spacing w:after="0"/>
              <w:rPr>
                <w:sz w:val="18"/>
                <w:szCs w:val="18"/>
                <w:color w:val="auto"/>
              </w:rPr>
            </w:pPr>
          </w:p>
        </w:tc>
        <w:tc>
          <w:tcPr>
            <w:tcW w:w="540" w:type="dxa"/>
            <w:vAlign w:val="bottom"/>
            <w:shd w:val="clear" w:color="auto" w:fill="B2B2B2"/>
          </w:tcPr>
          <w:p>
            <w:pPr>
              <w:spacing w:after="0"/>
              <w:rPr>
                <w:sz w:val="18"/>
                <w:szCs w:val="18"/>
                <w:color w:val="auto"/>
              </w:rPr>
            </w:pPr>
          </w:p>
        </w:tc>
        <w:tc>
          <w:tcPr>
            <w:tcW w:w="9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(2,687)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80" w:type="dxa"/>
            <w:vAlign w:val="bottom"/>
            <w:gridSpan w:val="2"/>
          </w:tcPr>
          <w:p>
            <w:pPr>
              <w:spacing w:after="0"/>
              <w:rPr>
                <w:sz w:val="20"/>
                <w:szCs w:val="20"/>
                <w:color w:val="auto"/>
              </w:rPr>
            </w:pPr>
            <w:r>
              <w:rPr>
                <w:rFonts w:ascii="Arial" w:cs="Arial" w:eastAsia="Arial" w:hAnsi="Arial"/>
                <w:sz w:val="18"/>
                <w:szCs w:val="18"/>
                <w:color w:val="auto"/>
              </w:rPr>
              <w:t>Purchases of premises and equipment, net</w:t>
            </w:r>
          </w:p>
        </w:tc>
        <w:tc>
          <w:tcPr>
            <w:tcW w:w="46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(900)</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80" w:type="dxa"/>
            <w:vAlign w:val="bottom"/>
            <w:gridSpan w:val="2"/>
            <w:shd w:val="clear" w:color="auto" w:fill="B2B2B2"/>
          </w:tcPr>
          <w:p>
            <w:pPr>
              <w:ind w:left="540"/>
              <w:spacing w:after="0"/>
              <w:rPr>
                <w:sz w:val="20"/>
                <w:szCs w:val="20"/>
                <w:color w:val="auto"/>
              </w:rPr>
            </w:pPr>
            <w:r>
              <w:rPr>
                <w:rFonts w:ascii="Arial" w:cs="Arial" w:eastAsia="Arial" w:hAnsi="Arial"/>
                <w:sz w:val="18"/>
                <w:szCs w:val="18"/>
                <w:color w:val="auto"/>
              </w:rPr>
              <w:t>Net cash used in investing activities</w:t>
            </w:r>
          </w:p>
        </w:tc>
        <w:tc>
          <w:tcPr>
            <w:tcW w:w="460" w:type="dxa"/>
            <w:vAlign w:val="bottom"/>
            <w:shd w:val="clear" w:color="auto" w:fill="B2B2B2"/>
          </w:tcPr>
          <w:p>
            <w:pPr>
              <w:spacing w:after="0"/>
              <w:rPr>
                <w:sz w:val="18"/>
                <w:szCs w:val="18"/>
                <w:color w:val="auto"/>
              </w:rPr>
            </w:pPr>
          </w:p>
        </w:tc>
        <w:tc>
          <w:tcPr>
            <w:tcW w:w="1320" w:type="dxa"/>
            <w:vAlign w:val="bottom"/>
            <w:gridSpan w:val="2"/>
            <w:shd w:val="clear" w:color="auto" w:fill="B2B2B2"/>
          </w:tcPr>
          <w:p>
            <w:pPr>
              <w:jc w:val="right"/>
              <w:ind w:right="220"/>
              <w:spacing w:after="0"/>
              <w:rPr>
                <w:sz w:val="20"/>
                <w:szCs w:val="20"/>
                <w:color w:val="auto"/>
              </w:rPr>
            </w:pPr>
            <w:r>
              <w:rPr>
                <w:rFonts w:ascii="Arial" w:cs="Arial" w:eastAsia="Arial" w:hAnsi="Arial"/>
                <w:sz w:val="18"/>
                <w:szCs w:val="18"/>
                <w:color w:val="auto"/>
              </w:rPr>
              <w:t>(94,697)</w:t>
            </w:r>
          </w:p>
        </w:tc>
        <w:tc>
          <w:tcPr>
            <w:tcW w:w="220" w:type="dxa"/>
            <w:vAlign w:val="bottom"/>
            <w:shd w:val="clear" w:color="auto" w:fill="B2B2B2"/>
          </w:tcPr>
          <w:p>
            <w:pPr>
              <w:spacing w:after="0"/>
              <w:rPr>
                <w:sz w:val="18"/>
                <w:szCs w:val="18"/>
                <w:color w:val="auto"/>
              </w:rPr>
            </w:pPr>
          </w:p>
        </w:tc>
        <w:tc>
          <w:tcPr>
            <w:tcW w:w="540" w:type="dxa"/>
            <w:vAlign w:val="bottom"/>
            <w:shd w:val="clear" w:color="auto" w:fill="B2B2B2"/>
          </w:tcPr>
          <w:p>
            <w:pPr>
              <w:spacing w:after="0"/>
              <w:rPr>
                <w:sz w:val="18"/>
                <w:szCs w:val="18"/>
                <w:color w:val="auto"/>
              </w:rPr>
            </w:pPr>
          </w:p>
        </w:tc>
        <w:tc>
          <w:tcPr>
            <w:tcW w:w="9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(51,375)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360" w:type="dxa"/>
            <w:vAlign w:val="bottom"/>
            <w:tcBorders>
              <w:top w:val="single" w:sz="8" w:color="B2B2B2"/>
            </w:tcBorders>
            <w:shd w:val="clear" w:color="auto" w:fill="B2B2B2"/>
          </w:tcPr>
          <w:p>
            <w:pPr>
              <w:spacing w:after="0"/>
              <w:rPr>
                <w:sz w:val="18"/>
                <w:szCs w:val="18"/>
                <w:color w:val="auto"/>
              </w:rPr>
            </w:pPr>
          </w:p>
        </w:tc>
        <w:tc>
          <w:tcPr>
            <w:tcW w:w="6420" w:type="dxa"/>
            <w:vAlign w:val="bottom"/>
            <w:tcBorders>
              <w:top w:val="single" w:sz="8" w:color="B2B2B2"/>
            </w:tcBorders>
            <w:shd w:val="clear" w:color="auto" w:fill="B2B2B2"/>
          </w:tcPr>
          <w:p>
            <w:pPr>
              <w:spacing w:after="0"/>
              <w:rPr>
                <w:sz w:val="18"/>
                <w:szCs w:val="18"/>
                <w:color w:val="auto"/>
              </w:rPr>
            </w:pPr>
          </w:p>
        </w:tc>
        <w:tc>
          <w:tcPr>
            <w:tcW w:w="460" w:type="dxa"/>
            <w:vAlign w:val="bottom"/>
            <w:tcBorders>
              <w:top w:val="single" w:sz="8" w:color="auto"/>
            </w:tcBorders>
            <w:shd w:val="clear" w:color="auto" w:fill="B2B2B2"/>
          </w:tcPr>
          <w:p>
            <w:pPr>
              <w:spacing w:after="0"/>
              <w:rPr>
                <w:sz w:val="18"/>
                <w:szCs w:val="18"/>
                <w:color w:val="auto"/>
              </w:rPr>
            </w:pPr>
          </w:p>
        </w:tc>
        <w:tc>
          <w:tcPr>
            <w:tcW w:w="1100" w:type="dxa"/>
            <w:vAlign w:val="bottom"/>
            <w:tcBorders>
              <w:top w:val="single" w:sz="8" w:color="auto"/>
            </w:tcBorders>
            <w:shd w:val="clear" w:color="auto" w:fill="B2B2B2"/>
          </w:tcPr>
          <w:p>
            <w:pPr>
              <w:spacing w:after="0"/>
              <w:rPr>
                <w:sz w:val="18"/>
                <w:szCs w:val="18"/>
                <w:color w:val="auto"/>
              </w:rPr>
            </w:pPr>
          </w:p>
        </w:tc>
        <w:tc>
          <w:tcPr>
            <w:tcW w:w="220" w:type="dxa"/>
            <w:vAlign w:val="bottom"/>
            <w:tcBorders>
              <w:top w:val="single" w:sz="8" w:color="B2B2B2"/>
            </w:tcBorders>
            <w:shd w:val="clear" w:color="auto" w:fill="B2B2B2"/>
          </w:tcPr>
          <w:p>
            <w:pPr>
              <w:spacing w:after="0"/>
              <w:rPr>
                <w:sz w:val="18"/>
                <w:szCs w:val="18"/>
                <w:color w:val="auto"/>
              </w:rPr>
            </w:pPr>
          </w:p>
        </w:tc>
        <w:tc>
          <w:tcPr>
            <w:tcW w:w="220" w:type="dxa"/>
            <w:vAlign w:val="bottom"/>
            <w:tcBorders>
              <w:top w:val="single" w:sz="8" w:color="B2B2B2"/>
            </w:tcBorders>
            <w:shd w:val="clear" w:color="auto" w:fill="B2B2B2"/>
          </w:tcPr>
          <w:p>
            <w:pPr>
              <w:spacing w:after="0"/>
              <w:rPr>
                <w:sz w:val="18"/>
                <w:szCs w:val="18"/>
                <w:color w:val="auto"/>
              </w:rPr>
            </w:pPr>
          </w:p>
        </w:tc>
        <w:tc>
          <w:tcPr>
            <w:tcW w:w="540" w:type="dxa"/>
            <w:vAlign w:val="bottom"/>
            <w:tcBorders>
              <w:top w:val="single" w:sz="8" w:color="auto"/>
            </w:tcBorders>
            <w:shd w:val="clear" w:color="auto" w:fill="B2B2B2"/>
          </w:tcPr>
          <w:p>
            <w:pPr>
              <w:spacing w:after="0"/>
              <w:rPr>
                <w:sz w:val="18"/>
                <w:szCs w:val="18"/>
                <w:color w:val="auto"/>
              </w:rPr>
            </w:pPr>
          </w:p>
        </w:tc>
        <w:tc>
          <w:tcPr>
            <w:tcW w:w="920" w:type="dxa"/>
            <w:vAlign w:val="bottom"/>
            <w:tcBorders>
              <w:top w:val="single" w:sz="8" w:color="auto"/>
            </w:tcBorders>
            <w:shd w:val="clear" w:color="auto" w:fill="B2B2B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8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Net decrease in noninterest-bearing demand deposits</w:t>
            </w:r>
          </w:p>
        </w:tc>
        <w:tc>
          <w:tcPr>
            <w:tcW w:w="460" w:type="dxa"/>
            <w:vAlign w:val="bottom"/>
            <w:shd w:val="clear" w:color="auto" w:fill="B2B2B2"/>
          </w:tcPr>
          <w:p>
            <w:pPr>
              <w:spacing w:after="0"/>
              <w:rPr>
                <w:sz w:val="18"/>
                <w:szCs w:val="18"/>
                <w:color w:val="auto"/>
              </w:rPr>
            </w:pPr>
          </w:p>
        </w:tc>
        <w:tc>
          <w:tcPr>
            <w:tcW w:w="1320" w:type="dxa"/>
            <w:vAlign w:val="bottom"/>
            <w:gridSpan w:val="2"/>
            <w:shd w:val="clear" w:color="auto" w:fill="B2B2B2"/>
          </w:tcPr>
          <w:p>
            <w:pPr>
              <w:jc w:val="right"/>
              <w:ind w:right="220"/>
              <w:spacing w:after="0"/>
              <w:rPr>
                <w:sz w:val="20"/>
                <w:szCs w:val="20"/>
                <w:color w:val="auto"/>
              </w:rPr>
            </w:pPr>
            <w:r>
              <w:rPr>
                <w:rFonts w:ascii="Arial" w:cs="Arial" w:eastAsia="Arial" w:hAnsi="Arial"/>
                <w:sz w:val="18"/>
                <w:szCs w:val="18"/>
                <w:color w:val="auto"/>
              </w:rPr>
              <w:t>(68,645)</w:t>
            </w:r>
          </w:p>
        </w:tc>
        <w:tc>
          <w:tcPr>
            <w:tcW w:w="220" w:type="dxa"/>
            <w:vAlign w:val="bottom"/>
            <w:shd w:val="clear" w:color="auto" w:fill="B2B2B2"/>
          </w:tcPr>
          <w:p>
            <w:pPr>
              <w:spacing w:after="0"/>
              <w:rPr>
                <w:sz w:val="18"/>
                <w:szCs w:val="18"/>
                <w:color w:val="auto"/>
              </w:rPr>
            </w:pPr>
          </w:p>
        </w:tc>
        <w:tc>
          <w:tcPr>
            <w:tcW w:w="540" w:type="dxa"/>
            <w:vAlign w:val="bottom"/>
            <w:shd w:val="clear" w:color="auto" w:fill="B2B2B2"/>
          </w:tcPr>
          <w:p>
            <w:pPr>
              <w:spacing w:after="0"/>
              <w:rPr>
                <w:sz w:val="18"/>
                <w:szCs w:val="18"/>
                <w:color w:val="auto"/>
              </w:rPr>
            </w:pPr>
          </w:p>
        </w:tc>
        <w:tc>
          <w:tcPr>
            <w:tcW w:w="9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(62,865)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80" w:type="dxa"/>
            <w:vAlign w:val="bottom"/>
            <w:gridSpan w:val="2"/>
          </w:tcPr>
          <w:p>
            <w:pPr>
              <w:spacing w:after="0"/>
              <w:rPr>
                <w:sz w:val="20"/>
                <w:szCs w:val="20"/>
                <w:color w:val="auto"/>
              </w:rPr>
            </w:pPr>
            <w:r>
              <w:rPr>
                <w:rFonts w:ascii="Arial" w:cs="Arial" w:eastAsia="Arial" w:hAnsi="Arial"/>
                <w:sz w:val="18"/>
                <w:szCs w:val="18"/>
                <w:color w:val="auto"/>
              </w:rPr>
              <w:t>Net increase in interest-bearing demand and savings deposits</w:t>
            </w:r>
          </w:p>
        </w:tc>
        <w:tc>
          <w:tcPr>
            <w:tcW w:w="46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21,373</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31,761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8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Net (decrease) increase in time deposits</w:t>
            </w:r>
          </w:p>
        </w:tc>
        <w:tc>
          <w:tcPr>
            <w:tcW w:w="460" w:type="dxa"/>
            <w:vAlign w:val="bottom"/>
            <w:shd w:val="clear" w:color="auto" w:fill="B2B2B2"/>
          </w:tcPr>
          <w:p>
            <w:pPr>
              <w:spacing w:after="0"/>
              <w:rPr>
                <w:sz w:val="18"/>
                <w:szCs w:val="18"/>
                <w:color w:val="auto"/>
              </w:rPr>
            </w:pPr>
          </w:p>
        </w:tc>
        <w:tc>
          <w:tcPr>
            <w:tcW w:w="1320" w:type="dxa"/>
            <w:vAlign w:val="bottom"/>
            <w:gridSpan w:val="2"/>
            <w:shd w:val="clear" w:color="auto" w:fill="B2B2B2"/>
          </w:tcPr>
          <w:p>
            <w:pPr>
              <w:jc w:val="right"/>
              <w:ind w:right="220"/>
              <w:spacing w:after="0"/>
              <w:rPr>
                <w:sz w:val="20"/>
                <w:szCs w:val="20"/>
                <w:color w:val="auto"/>
              </w:rPr>
            </w:pPr>
            <w:r>
              <w:rPr>
                <w:rFonts w:ascii="Arial" w:cs="Arial" w:eastAsia="Arial" w:hAnsi="Arial"/>
                <w:sz w:val="18"/>
                <w:szCs w:val="18"/>
                <w:color w:val="auto"/>
              </w:rPr>
              <w:t>(449)</w:t>
            </w:r>
          </w:p>
        </w:tc>
        <w:tc>
          <w:tcPr>
            <w:tcW w:w="220" w:type="dxa"/>
            <w:vAlign w:val="bottom"/>
            <w:shd w:val="clear" w:color="auto" w:fill="B2B2B2"/>
          </w:tcPr>
          <w:p>
            <w:pPr>
              <w:spacing w:after="0"/>
              <w:rPr>
                <w:sz w:val="18"/>
                <w:szCs w:val="18"/>
                <w:color w:val="auto"/>
              </w:rPr>
            </w:pPr>
          </w:p>
        </w:tc>
        <w:tc>
          <w:tcPr>
            <w:tcW w:w="540" w:type="dxa"/>
            <w:vAlign w:val="bottom"/>
            <w:shd w:val="clear" w:color="auto" w:fill="B2B2B2"/>
          </w:tcPr>
          <w:p>
            <w:pPr>
              <w:spacing w:after="0"/>
              <w:rPr>
                <w:sz w:val="18"/>
                <w:szCs w:val="18"/>
                <w:color w:val="auto"/>
              </w:rPr>
            </w:pPr>
          </w:p>
        </w:tc>
        <w:tc>
          <w:tcPr>
            <w:tcW w:w="9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575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80" w:type="dxa"/>
            <w:vAlign w:val="bottom"/>
            <w:gridSpan w:val="2"/>
          </w:tcPr>
          <w:p>
            <w:pPr>
              <w:spacing w:after="0"/>
              <w:rPr>
                <w:sz w:val="20"/>
                <w:szCs w:val="20"/>
                <w:color w:val="auto"/>
              </w:rPr>
            </w:pPr>
            <w:r>
              <w:rPr>
                <w:rFonts w:ascii="Arial" w:cs="Arial" w:eastAsia="Arial" w:hAnsi="Arial"/>
                <w:sz w:val="18"/>
                <w:szCs w:val="18"/>
                <w:color w:val="auto"/>
              </w:rPr>
              <w:t>Net increase in accounts and drafts payable</w:t>
            </w:r>
          </w:p>
        </w:tc>
        <w:tc>
          <w:tcPr>
            <w:tcW w:w="46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60,905</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51,639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8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Net decrease in short-term borrowings</w:t>
            </w:r>
          </w:p>
        </w:tc>
        <w:tc>
          <w:tcPr>
            <w:tcW w:w="460" w:type="dxa"/>
            <w:vAlign w:val="bottom"/>
            <w:shd w:val="clear" w:color="auto" w:fill="B2B2B2"/>
          </w:tcPr>
          <w:p>
            <w:pPr>
              <w:spacing w:after="0"/>
              <w:rPr>
                <w:sz w:val="18"/>
                <w:szCs w:val="18"/>
                <w:color w:val="auto"/>
              </w:rPr>
            </w:pPr>
          </w:p>
        </w:tc>
        <w:tc>
          <w:tcPr>
            <w:tcW w:w="1320" w:type="dxa"/>
            <w:vAlign w:val="bottom"/>
            <w:gridSpan w:val="2"/>
            <w:shd w:val="clear" w:color="auto" w:fill="B2B2B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B2B2B2"/>
          </w:tcPr>
          <w:p>
            <w:pPr>
              <w:spacing w:after="0"/>
              <w:rPr>
                <w:sz w:val="18"/>
                <w:szCs w:val="18"/>
                <w:color w:val="auto"/>
              </w:rPr>
            </w:pPr>
          </w:p>
        </w:tc>
        <w:tc>
          <w:tcPr>
            <w:tcW w:w="540" w:type="dxa"/>
            <w:vAlign w:val="bottom"/>
            <w:shd w:val="clear" w:color="auto" w:fill="B2B2B2"/>
          </w:tcPr>
          <w:p>
            <w:pPr>
              <w:spacing w:after="0"/>
              <w:rPr>
                <w:sz w:val="18"/>
                <w:szCs w:val="18"/>
                <w:color w:val="auto"/>
              </w:rPr>
            </w:pPr>
          </w:p>
        </w:tc>
        <w:tc>
          <w:tcPr>
            <w:tcW w:w="9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(18,000)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80" w:type="dxa"/>
            <w:vAlign w:val="bottom"/>
            <w:gridSpan w:val="2"/>
          </w:tcPr>
          <w:p>
            <w:pPr>
              <w:spacing w:after="0"/>
              <w:rPr>
                <w:sz w:val="20"/>
                <w:szCs w:val="20"/>
                <w:color w:val="auto"/>
              </w:rPr>
            </w:pPr>
            <w:r>
              <w:rPr>
                <w:rFonts w:ascii="Arial" w:cs="Arial" w:eastAsia="Arial" w:hAnsi="Arial"/>
                <w:sz w:val="18"/>
                <w:szCs w:val="18"/>
                <w:color w:val="auto"/>
              </w:rPr>
              <w:t>Cash dividends paid</w:t>
            </w:r>
          </w:p>
        </w:tc>
        <w:tc>
          <w:tcPr>
            <w:tcW w:w="46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(3,886)</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8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Purchase of common shares for treasury</w:t>
            </w:r>
          </w:p>
        </w:tc>
        <w:tc>
          <w:tcPr>
            <w:tcW w:w="460" w:type="dxa"/>
            <w:vAlign w:val="bottom"/>
            <w:shd w:val="clear" w:color="auto" w:fill="B2B2B2"/>
          </w:tcPr>
          <w:p>
            <w:pPr>
              <w:spacing w:after="0"/>
              <w:rPr>
                <w:sz w:val="18"/>
                <w:szCs w:val="18"/>
                <w:color w:val="auto"/>
              </w:rPr>
            </w:pPr>
          </w:p>
        </w:tc>
        <w:tc>
          <w:tcPr>
            <w:tcW w:w="1320" w:type="dxa"/>
            <w:vAlign w:val="bottom"/>
            <w:gridSpan w:val="2"/>
            <w:shd w:val="clear" w:color="auto" w:fill="B2B2B2"/>
          </w:tcPr>
          <w:p>
            <w:pPr>
              <w:jc w:val="right"/>
              <w:ind w:right="220"/>
              <w:spacing w:after="0"/>
              <w:rPr>
                <w:sz w:val="20"/>
                <w:szCs w:val="20"/>
                <w:color w:val="auto"/>
              </w:rPr>
            </w:pPr>
            <w:r>
              <w:rPr>
                <w:rFonts w:ascii="Arial" w:cs="Arial" w:eastAsia="Arial" w:hAnsi="Arial"/>
                <w:sz w:val="18"/>
                <w:szCs w:val="18"/>
                <w:color w:val="auto"/>
              </w:rPr>
              <w:t>(1,228)</w:t>
            </w:r>
          </w:p>
        </w:tc>
        <w:tc>
          <w:tcPr>
            <w:tcW w:w="220" w:type="dxa"/>
            <w:vAlign w:val="bottom"/>
            <w:shd w:val="clear" w:color="auto" w:fill="B2B2B2"/>
          </w:tcPr>
          <w:p>
            <w:pPr>
              <w:spacing w:after="0"/>
              <w:rPr>
                <w:sz w:val="18"/>
                <w:szCs w:val="18"/>
                <w:color w:val="auto"/>
              </w:rPr>
            </w:pPr>
          </w:p>
        </w:tc>
        <w:tc>
          <w:tcPr>
            <w:tcW w:w="540" w:type="dxa"/>
            <w:vAlign w:val="bottom"/>
            <w:shd w:val="clear" w:color="auto" w:fill="B2B2B2"/>
          </w:tcPr>
          <w:p>
            <w:pPr>
              <w:spacing w:after="0"/>
              <w:rPr>
                <w:sz w:val="18"/>
                <w:szCs w:val="18"/>
                <w:color w:val="auto"/>
              </w:rPr>
            </w:pPr>
          </w:p>
        </w:tc>
        <w:tc>
          <w:tcPr>
            <w:tcW w:w="9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(5,508)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80" w:type="dxa"/>
            <w:vAlign w:val="bottom"/>
            <w:gridSpan w:val="2"/>
          </w:tcPr>
          <w:p>
            <w:pPr>
              <w:spacing w:after="0"/>
              <w:rPr>
                <w:sz w:val="20"/>
                <w:szCs w:val="20"/>
                <w:color w:val="auto"/>
              </w:rPr>
            </w:pPr>
            <w:r>
              <w:rPr>
                <w:rFonts w:ascii="Arial" w:cs="Arial" w:eastAsia="Arial" w:hAnsi="Arial"/>
                <w:sz w:val="18"/>
                <w:szCs w:val="18"/>
                <w:color w:val="auto"/>
              </w:rPr>
              <w:t>Other financing activities, net</w:t>
            </w:r>
          </w:p>
        </w:tc>
        <w:tc>
          <w:tcPr>
            <w:tcW w:w="46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(946)</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80" w:type="dxa"/>
            <w:vAlign w:val="bottom"/>
            <w:tcBorders>
              <w:bottom w:val="single" w:sz="8" w:color="B2B2B2"/>
            </w:tcBorders>
            <w:gridSpan w:val="2"/>
            <w:shd w:val="clear" w:color="auto" w:fill="B2B2B2"/>
          </w:tcPr>
          <w:p>
            <w:pPr>
              <w:ind w:left="540"/>
              <w:spacing w:after="0"/>
              <w:rPr>
                <w:sz w:val="20"/>
                <w:szCs w:val="20"/>
                <w:color w:val="auto"/>
              </w:rPr>
            </w:pPr>
            <w:r>
              <w:rPr>
                <w:rFonts w:ascii="Arial" w:cs="Arial" w:eastAsia="Arial" w:hAnsi="Arial"/>
                <w:sz w:val="18"/>
                <w:szCs w:val="18"/>
                <w:color w:val="auto"/>
              </w:rPr>
              <w:t>Net cash provided by (used) in financing activities</w:t>
            </w:r>
          </w:p>
        </w:tc>
        <w:tc>
          <w:tcPr>
            <w:tcW w:w="460" w:type="dxa"/>
            <w:vAlign w:val="bottom"/>
            <w:tcBorders>
              <w:top w:val="single" w:sz="8" w:color="auto"/>
              <w:bottom w:val="single" w:sz="8" w:color="auto"/>
            </w:tcBorders>
            <w:shd w:val="clear" w:color="auto" w:fill="B2B2B2"/>
          </w:tcPr>
          <w:p>
            <w:pPr>
              <w:spacing w:after="0"/>
              <w:rPr>
                <w:sz w:val="18"/>
                <w:szCs w:val="18"/>
                <w:color w:val="auto"/>
              </w:rPr>
            </w:pPr>
          </w:p>
        </w:tc>
        <w:tc>
          <w:tcPr>
            <w:tcW w:w="1100" w:type="dxa"/>
            <w:vAlign w:val="bottom"/>
            <w:tcBorders>
              <w:top w:val="single" w:sz="8" w:color="auto"/>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7,124</w:t>
            </w:r>
          </w:p>
        </w:tc>
        <w:tc>
          <w:tcPr>
            <w:tcW w:w="220" w:type="dxa"/>
            <w:vAlign w:val="bottom"/>
            <w:tcBorders>
              <w:bottom w:val="single" w:sz="8" w:color="B2B2B2"/>
            </w:tcBorders>
            <w:shd w:val="clear" w:color="auto" w:fill="B2B2B2"/>
          </w:tcPr>
          <w:p>
            <w:pPr>
              <w:spacing w:after="0"/>
              <w:rPr>
                <w:sz w:val="18"/>
                <w:szCs w:val="18"/>
                <w:color w:val="auto"/>
              </w:rPr>
            </w:pPr>
          </w:p>
        </w:tc>
        <w:tc>
          <w:tcPr>
            <w:tcW w:w="220" w:type="dxa"/>
            <w:vAlign w:val="bottom"/>
            <w:tcBorders>
              <w:bottom w:val="single" w:sz="8" w:color="B2B2B2"/>
            </w:tcBorders>
            <w:shd w:val="clear" w:color="auto" w:fill="B2B2B2"/>
          </w:tcPr>
          <w:p>
            <w:pPr>
              <w:spacing w:after="0"/>
              <w:rPr>
                <w:sz w:val="18"/>
                <w:szCs w:val="18"/>
                <w:color w:val="auto"/>
              </w:rPr>
            </w:pPr>
          </w:p>
        </w:tc>
        <w:tc>
          <w:tcPr>
            <w:tcW w:w="540" w:type="dxa"/>
            <w:vAlign w:val="bottom"/>
            <w:tcBorders>
              <w:top w:val="single" w:sz="8" w:color="auto"/>
              <w:bottom w:val="single" w:sz="8" w:color="auto"/>
            </w:tcBorders>
            <w:shd w:val="clear" w:color="auto" w:fill="B2B2B2"/>
          </w:tcPr>
          <w:p>
            <w:pPr>
              <w:spacing w:after="0"/>
              <w:rPr>
                <w:sz w:val="18"/>
                <w:szCs w:val="18"/>
                <w:color w:val="auto"/>
              </w:rPr>
            </w:pPr>
          </w:p>
        </w:tc>
        <w:tc>
          <w:tcPr>
            <w:tcW w:w="920" w:type="dxa"/>
            <w:vAlign w:val="bottom"/>
            <w:tcBorders>
              <w:top w:val="single" w:sz="8" w:color="auto"/>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(7,545)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80" w:type="dxa"/>
            <w:vAlign w:val="bottom"/>
            <w:gridSpan w:val="2"/>
          </w:tcPr>
          <w:p>
            <w:pPr>
              <w:spacing w:after="0"/>
              <w:rPr>
                <w:sz w:val="20"/>
                <w:szCs w:val="20"/>
                <w:color w:val="auto"/>
              </w:rPr>
            </w:pPr>
            <w:r>
              <w:rPr>
                <w:rFonts w:ascii="Arial" w:cs="Arial" w:eastAsia="Arial" w:hAnsi="Arial"/>
                <w:sz w:val="18"/>
                <w:szCs w:val="18"/>
                <w:color w:val="auto"/>
              </w:rPr>
              <w:t>Net decrease in cash and cash equivalents</w:t>
            </w:r>
          </w:p>
        </w:tc>
        <w:tc>
          <w:tcPr>
            <w:tcW w:w="46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(70,869)</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(40,760)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80" w:type="dxa"/>
            <w:vAlign w:val="bottom"/>
            <w:tcBorders>
              <w:bottom w:val="single" w:sz="8" w:color="B2B2B2"/>
            </w:tcBorders>
            <w:gridSpan w:val="2"/>
            <w:shd w:val="clear" w:color="auto" w:fill="B2B2B2"/>
          </w:tcPr>
          <w:p>
            <w:pPr>
              <w:spacing w:after="0"/>
              <w:rPr>
                <w:sz w:val="20"/>
                <w:szCs w:val="20"/>
                <w:color w:val="auto"/>
              </w:rPr>
            </w:pPr>
            <w:r>
              <w:rPr>
                <w:rFonts w:ascii="Arial" w:cs="Arial" w:eastAsia="Arial" w:hAnsi="Arial"/>
                <w:sz w:val="18"/>
                <w:szCs w:val="18"/>
                <w:color w:val="auto"/>
              </w:rPr>
              <w:t>Cash and cash equivalents at beginning of period</w:t>
            </w:r>
          </w:p>
        </w:tc>
        <w:tc>
          <w:tcPr>
            <w:tcW w:w="460" w:type="dxa"/>
            <w:vAlign w:val="bottom"/>
            <w:tcBorders>
              <w:bottom w:val="single" w:sz="8" w:color="auto"/>
            </w:tcBorders>
            <w:shd w:val="clear" w:color="auto" w:fill="B2B2B2"/>
          </w:tcPr>
          <w:p>
            <w:pPr>
              <w:spacing w:after="0"/>
              <w:rPr>
                <w:sz w:val="18"/>
                <w:szCs w:val="18"/>
                <w:color w:val="auto"/>
              </w:rPr>
            </w:pPr>
          </w:p>
        </w:tc>
        <w:tc>
          <w:tcPr>
            <w:tcW w:w="110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670,528</w:t>
            </w:r>
          </w:p>
        </w:tc>
        <w:tc>
          <w:tcPr>
            <w:tcW w:w="220" w:type="dxa"/>
            <w:vAlign w:val="bottom"/>
            <w:tcBorders>
              <w:bottom w:val="single" w:sz="8" w:color="B2B2B2"/>
            </w:tcBorders>
            <w:shd w:val="clear" w:color="auto" w:fill="B2B2B2"/>
          </w:tcPr>
          <w:p>
            <w:pPr>
              <w:spacing w:after="0"/>
              <w:rPr>
                <w:sz w:val="18"/>
                <w:szCs w:val="18"/>
                <w:color w:val="auto"/>
              </w:rPr>
            </w:pPr>
          </w:p>
        </w:tc>
        <w:tc>
          <w:tcPr>
            <w:tcW w:w="220" w:type="dxa"/>
            <w:vAlign w:val="bottom"/>
            <w:tcBorders>
              <w:bottom w:val="single" w:sz="8" w:color="B2B2B2"/>
            </w:tcBorders>
            <w:shd w:val="clear" w:color="auto" w:fill="B2B2B2"/>
          </w:tcPr>
          <w:p>
            <w:pPr>
              <w:spacing w:after="0"/>
              <w:rPr>
                <w:sz w:val="18"/>
                <w:szCs w:val="18"/>
                <w:color w:val="auto"/>
              </w:rPr>
            </w:pPr>
          </w:p>
        </w:tc>
        <w:tc>
          <w:tcPr>
            <w:tcW w:w="540" w:type="dxa"/>
            <w:vAlign w:val="bottom"/>
            <w:tcBorders>
              <w:bottom w:val="single" w:sz="8" w:color="auto"/>
            </w:tcBorders>
            <w:shd w:val="clear" w:color="auto" w:fill="B2B2B2"/>
          </w:tcPr>
          <w:p>
            <w:pPr>
              <w:spacing w:after="0"/>
              <w:rPr>
                <w:sz w:val="18"/>
                <w:szCs w:val="18"/>
                <w:color w:val="auto"/>
              </w:rPr>
            </w:pPr>
          </w:p>
        </w:tc>
        <w:tc>
          <w:tcPr>
            <w:tcW w:w="9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203,954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8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460" w:type="dxa"/>
            <w:vAlign w:val="bottom"/>
          </w:tcPr>
          <w:p>
            <w:pPr>
              <w:jc w:val="right"/>
              <w:ind w:right="307"/>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599,659</w:t>
            </w:r>
          </w:p>
        </w:tc>
        <w:tc>
          <w:tcPr>
            <w:tcW w:w="220" w:type="dxa"/>
            <w:vAlign w:val="bottom"/>
          </w:tcPr>
          <w:p>
            <w:pPr>
              <w:spacing w:after="0"/>
              <w:rPr>
                <w:sz w:val="18"/>
                <w:szCs w:val="18"/>
                <w:color w:val="auto"/>
              </w:rPr>
            </w:pPr>
          </w:p>
        </w:tc>
        <w:tc>
          <w:tcPr>
            <w:tcW w:w="7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163,194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6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78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Supplemental information:</w:t>
            </w:r>
          </w:p>
        </w:tc>
        <w:tc>
          <w:tcPr>
            <w:tcW w:w="460" w:type="dxa"/>
            <w:vAlign w:val="bottom"/>
            <w:shd w:val="clear" w:color="auto" w:fill="B2B2B2"/>
          </w:tcPr>
          <w:p>
            <w:pPr>
              <w:spacing w:after="0"/>
              <w:rPr>
                <w:sz w:val="18"/>
                <w:szCs w:val="18"/>
                <w:color w:val="auto"/>
              </w:rPr>
            </w:pPr>
          </w:p>
        </w:tc>
        <w:tc>
          <w:tcPr>
            <w:tcW w:w="110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540" w:type="dxa"/>
            <w:vAlign w:val="bottom"/>
            <w:shd w:val="clear" w:color="auto" w:fill="B2B2B2"/>
          </w:tcPr>
          <w:p>
            <w:pPr>
              <w:spacing w:after="0"/>
              <w:rPr>
                <w:sz w:val="18"/>
                <w:szCs w:val="18"/>
                <w:color w:val="auto"/>
              </w:rPr>
            </w:pPr>
          </w:p>
        </w:tc>
        <w:tc>
          <w:tcPr>
            <w:tcW w:w="920" w:type="dxa"/>
            <w:vAlign w:val="bottom"/>
            <w:shd w:val="clear" w:color="auto" w:fill="B2B2B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80" w:type="dxa"/>
            <w:vAlign w:val="bottom"/>
            <w:gridSpan w:val="2"/>
          </w:tcPr>
          <w:p>
            <w:pPr>
              <w:ind w:left="540"/>
              <w:spacing w:after="0"/>
              <w:rPr>
                <w:sz w:val="20"/>
                <w:szCs w:val="20"/>
                <w:color w:val="auto"/>
              </w:rPr>
            </w:pPr>
            <w:r>
              <w:rPr>
                <w:rFonts w:ascii="Arial" w:cs="Arial" w:eastAsia="Arial" w:hAnsi="Arial"/>
                <w:sz w:val="18"/>
                <w:szCs w:val="18"/>
                <w:color w:val="auto"/>
              </w:rPr>
              <w:t>Cash paid for interest</w:t>
            </w:r>
          </w:p>
        </w:tc>
        <w:tc>
          <w:tcPr>
            <w:tcW w:w="460" w:type="dxa"/>
            <w:vAlign w:val="bottom"/>
          </w:tcPr>
          <w:p>
            <w:pPr>
              <w:jc w:val="right"/>
              <w:ind w:right="307"/>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311</w:t>
            </w:r>
          </w:p>
        </w:tc>
        <w:tc>
          <w:tcPr>
            <w:tcW w:w="7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80" w:type="dxa"/>
            <w:vAlign w:val="bottom"/>
            <w:gridSpan w:val="2"/>
            <w:shd w:val="clear" w:color="auto" w:fill="B2B2B2"/>
          </w:tcPr>
          <w:p>
            <w:pPr>
              <w:ind w:left="540"/>
              <w:spacing w:after="0"/>
              <w:rPr>
                <w:sz w:val="20"/>
                <w:szCs w:val="20"/>
                <w:color w:val="auto"/>
              </w:rPr>
            </w:pPr>
            <w:r>
              <w:rPr>
                <w:rFonts w:ascii="Arial" w:cs="Arial" w:eastAsia="Arial" w:hAnsi="Arial"/>
                <w:sz w:val="18"/>
                <w:szCs w:val="18"/>
                <w:color w:val="auto"/>
              </w:rPr>
              <w:t>Cash paid for income taxes</w:t>
            </w:r>
          </w:p>
        </w:tc>
        <w:tc>
          <w:tcPr>
            <w:tcW w:w="460" w:type="dxa"/>
            <w:vAlign w:val="bottom"/>
            <w:shd w:val="clear" w:color="auto" w:fill="B2B2B2"/>
          </w:tcPr>
          <w:p>
            <w:pPr>
              <w:spacing w:after="0"/>
              <w:rPr>
                <w:sz w:val="18"/>
                <w:szCs w:val="18"/>
                <w:color w:val="auto"/>
              </w:rPr>
            </w:pPr>
          </w:p>
        </w:tc>
        <w:tc>
          <w:tcPr>
            <w:tcW w:w="1320" w:type="dxa"/>
            <w:vAlign w:val="bottom"/>
            <w:gridSpan w:val="2"/>
            <w:shd w:val="clear" w:color="auto" w:fill="B2B2B2"/>
          </w:tcPr>
          <w:p>
            <w:pPr>
              <w:jc w:val="right"/>
              <w:ind w:right="220"/>
              <w:spacing w:after="0"/>
              <w:rPr>
                <w:sz w:val="20"/>
                <w:szCs w:val="20"/>
                <w:color w:val="auto"/>
              </w:rPr>
            </w:pPr>
            <w:r>
              <w:rPr>
                <w:rFonts w:ascii="Arial" w:cs="Arial" w:eastAsia="Arial" w:hAnsi="Arial"/>
                <w:sz w:val="18"/>
                <w:szCs w:val="18"/>
                <w:color w:val="auto"/>
              </w:rPr>
              <w:t>134</w:t>
            </w:r>
          </w:p>
        </w:tc>
        <w:tc>
          <w:tcPr>
            <w:tcW w:w="220" w:type="dxa"/>
            <w:vAlign w:val="bottom"/>
            <w:shd w:val="clear" w:color="auto" w:fill="B2B2B2"/>
          </w:tcPr>
          <w:p>
            <w:pPr>
              <w:spacing w:after="0"/>
              <w:rPr>
                <w:sz w:val="18"/>
                <w:szCs w:val="18"/>
                <w:color w:val="auto"/>
              </w:rPr>
            </w:pPr>
          </w:p>
        </w:tc>
        <w:tc>
          <w:tcPr>
            <w:tcW w:w="540" w:type="dxa"/>
            <w:vAlign w:val="bottom"/>
            <w:shd w:val="clear" w:color="auto" w:fill="B2B2B2"/>
          </w:tcPr>
          <w:p>
            <w:pPr>
              <w:spacing w:after="0"/>
              <w:rPr>
                <w:sz w:val="18"/>
                <w:szCs w:val="18"/>
                <w:color w:val="auto"/>
              </w:rPr>
            </w:pPr>
          </w:p>
        </w:tc>
        <w:tc>
          <w:tcPr>
            <w:tcW w:w="9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121285</wp:posOffset>
            </wp:positionV>
            <wp:extent cx="7158355" cy="508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355" cy="5080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CASS INFORMATION SYSTEMS,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CONSOLIDATED STATEMENTS OF SHAREHOLDERS’ EQUITY</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THREE MONTHS ENDED MARCH 31, 2020 AND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w:t>
      </w:r>
    </w:p>
    <w:p>
      <w:pPr>
        <w:sectPr>
          <w:pgSz w:w="11900" w:h="16838" w:orient="portrait"/>
          <w:cols w:equalWidth="0" w:num="1">
            <w:col w:w="11240"/>
          </w:cols>
          <w:pgMar w:left="320" w:top="29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460"/>
        <w:spacing w:after="0" w:line="306" w:lineRule="auto"/>
        <w:rPr>
          <w:sz w:val="20"/>
          <w:szCs w:val="20"/>
          <w:color w:val="auto"/>
        </w:rPr>
      </w:pPr>
      <w:r>
        <w:rPr>
          <w:rFonts w:ascii="Arial" w:cs="Arial" w:eastAsia="Arial" w:hAnsi="Arial"/>
          <w:sz w:val="17"/>
          <w:szCs w:val="17"/>
          <w:b w:val="1"/>
          <w:bCs w:val="1"/>
          <w:i w:val="1"/>
          <w:iCs w:val="1"/>
          <w:color w:val="auto"/>
        </w:rPr>
        <w:t xml:space="preserve">(In thousands except per share data) </w:t>
      </w:r>
      <w:r>
        <w:rPr>
          <w:rFonts w:ascii="Arial" w:cs="Arial" w:eastAsia="Arial" w:hAnsi="Arial"/>
          <w:sz w:val="17"/>
          <w:szCs w:val="17"/>
          <w:color w:val="auto"/>
        </w:rPr>
        <w:t>Balance, December 31, 2019</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Cash dividends ($.27 per share)</w:t>
      </w:r>
    </w:p>
    <w:p>
      <w:pPr>
        <w:spacing w:after="0" w:line="9" w:lineRule="exact"/>
        <w:rPr>
          <w:sz w:val="20"/>
          <w:szCs w:val="20"/>
          <w:color w:val="auto"/>
        </w:rPr>
      </w:pPr>
    </w:p>
    <w:p>
      <w:pPr>
        <w:ind w:left="180" w:hanging="178"/>
        <w:spacing w:after="0" w:line="299" w:lineRule="auto"/>
        <w:rPr>
          <w:sz w:val="20"/>
          <w:szCs w:val="20"/>
          <w:color w:val="auto"/>
        </w:rPr>
      </w:pPr>
      <w:r>
        <w:rPr>
          <w:rFonts w:ascii="Arial" w:cs="Arial" w:eastAsia="Arial" w:hAnsi="Arial"/>
          <w:sz w:val="15"/>
          <w:szCs w:val="15"/>
          <w:color w:val="auto"/>
        </w:rPr>
        <w:t>Issuance of 57,333 common shares pursuant to stock-based compensation plan, net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Exercise of SARs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Purchase of 128,779 common shares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comprehensive loss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Balance, March 31, 2020</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Accumulated</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Additional</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5"/>
              </w:rPr>
              <w:t>Other</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Common</w:t>
            </w:r>
          </w:p>
        </w:tc>
        <w:tc>
          <w:tcPr>
            <w:tcW w:w="100" w:type="dxa"/>
            <w:vAlign w:val="bottom"/>
          </w:tcPr>
          <w:p>
            <w:pPr>
              <w:spacing w:after="0"/>
              <w:rPr>
                <w:sz w:val="18"/>
                <w:szCs w:val="18"/>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3"/>
              </w:rPr>
              <w:t>Paid-in</w:t>
            </w:r>
          </w:p>
        </w:tc>
        <w:tc>
          <w:tcPr>
            <w:tcW w:w="12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b w:val="1"/>
                <w:bCs w:val="1"/>
                <w:color w:val="auto"/>
              </w:rPr>
              <w:t>Retained</w:t>
            </w:r>
          </w:p>
        </w:tc>
        <w:tc>
          <w:tcPr>
            <w:tcW w:w="10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Treasury</w:t>
            </w:r>
          </w:p>
        </w:tc>
        <w:tc>
          <w:tcPr>
            <w:tcW w:w="156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8"/>
              </w:rPr>
              <w:t>Comprehensive</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5"/>
              </w:rPr>
              <w:t>Stock</w:t>
            </w:r>
          </w:p>
        </w:tc>
        <w:tc>
          <w:tcPr>
            <w:tcW w:w="100" w:type="dxa"/>
            <w:vAlign w:val="bottom"/>
          </w:tcPr>
          <w:p>
            <w:pPr>
              <w:spacing w:after="0"/>
              <w:rPr>
                <w:sz w:val="20"/>
                <w:szCs w:val="20"/>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3"/>
              </w:rPr>
              <w:t>Capital</w:t>
            </w:r>
          </w:p>
        </w:tc>
        <w:tc>
          <w:tcPr>
            <w:tcW w:w="120" w:type="dxa"/>
            <w:vAlign w:val="bottom"/>
          </w:tcPr>
          <w:p>
            <w:pPr>
              <w:spacing w:after="0"/>
              <w:rPr>
                <w:sz w:val="20"/>
                <w:szCs w:val="20"/>
                <w:color w:val="auto"/>
              </w:rPr>
            </w:pPr>
          </w:p>
        </w:tc>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Earnings</w:t>
            </w:r>
          </w:p>
        </w:tc>
        <w:tc>
          <w:tcPr>
            <w:tcW w:w="100" w:type="dxa"/>
            <w:vAlign w:val="bottom"/>
          </w:tcPr>
          <w:p>
            <w:pPr>
              <w:spacing w:after="0"/>
              <w:rPr>
                <w:sz w:val="20"/>
                <w:szCs w:val="20"/>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5"/>
              </w:rPr>
              <w:t>Stock</w:t>
            </w:r>
          </w:p>
        </w:tc>
        <w:tc>
          <w:tcPr>
            <w:tcW w:w="100" w:type="dxa"/>
            <w:vAlign w:val="bottom"/>
          </w:tcPr>
          <w:p>
            <w:pPr>
              <w:spacing w:after="0"/>
              <w:rPr>
                <w:sz w:val="20"/>
                <w:szCs w:val="20"/>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0"/>
              </w:rPr>
              <w:t>Loss</w:t>
            </w:r>
          </w:p>
        </w:tc>
        <w:tc>
          <w:tcPr>
            <w:tcW w:w="180" w:type="dxa"/>
            <w:vAlign w:val="bottom"/>
          </w:tcPr>
          <w:p>
            <w:pPr>
              <w:spacing w:after="0"/>
              <w:rPr>
                <w:sz w:val="20"/>
                <w:szCs w:val="20"/>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7,753</w:t>
            </w:r>
          </w:p>
        </w:tc>
        <w:tc>
          <w:tcPr>
            <w:tcW w:w="3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205,397</w:t>
            </w:r>
          </w:p>
        </w:tc>
        <w:tc>
          <w:tcPr>
            <w:tcW w:w="3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90,341</w:t>
            </w:r>
          </w:p>
        </w:tc>
        <w:tc>
          <w:tcPr>
            <w:tcW w:w="3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(45,381)</w:t>
            </w:r>
          </w:p>
        </w:tc>
        <w:tc>
          <w:tcPr>
            <w:tcW w:w="3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(13,920)</w:t>
            </w:r>
          </w:p>
        </w:tc>
        <w:tc>
          <w:tcPr>
            <w:tcW w:w="340" w:type="dxa"/>
            <w:vAlign w:val="bottom"/>
          </w:tcPr>
          <w:p>
            <w:pPr>
              <w:spacing w:after="0"/>
              <w:rPr>
                <w:sz w:val="18"/>
                <w:szCs w:val="18"/>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244,190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40" w:type="dxa"/>
            <w:vAlign w:val="bottom"/>
            <w:shd w:val="clear" w:color="auto" w:fill="B2B2B2"/>
          </w:tcPr>
          <w:p>
            <w:pPr>
              <w:spacing w:after="0"/>
              <w:rPr>
                <w:sz w:val="15"/>
                <w:szCs w:val="15"/>
                <w:color w:val="auto"/>
              </w:rPr>
            </w:pPr>
          </w:p>
        </w:tc>
        <w:tc>
          <w:tcPr>
            <w:tcW w:w="80" w:type="dxa"/>
            <w:vAlign w:val="bottom"/>
            <w:shd w:val="clear" w:color="auto" w:fill="B2B2B2"/>
          </w:tcPr>
          <w:p>
            <w:pPr>
              <w:spacing w:after="0"/>
              <w:rPr>
                <w:sz w:val="15"/>
                <w:szCs w:val="15"/>
                <w:color w:val="auto"/>
              </w:rPr>
            </w:pPr>
          </w:p>
        </w:tc>
        <w:tc>
          <w:tcPr>
            <w:tcW w:w="800" w:type="dxa"/>
            <w:vAlign w:val="bottom"/>
            <w:shd w:val="clear" w:color="auto" w:fill="B2B2B2"/>
          </w:tcPr>
          <w:p>
            <w:pPr>
              <w:spacing w:after="0"/>
              <w:rPr>
                <w:sz w:val="15"/>
                <w:szCs w:val="15"/>
                <w:color w:val="auto"/>
              </w:rPr>
            </w:pPr>
          </w:p>
        </w:tc>
        <w:tc>
          <w:tcPr>
            <w:tcW w:w="340" w:type="dxa"/>
            <w:vAlign w:val="bottom"/>
            <w:shd w:val="clear" w:color="auto" w:fill="B2B2B2"/>
          </w:tcPr>
          <w:p>
            <w:pPr>
              <w:spacing w:after="0"/>
              <w:rPr>
                <w:sz w:val="15"/>
                <w:szCs w:val="15"/>
                <w:color w:val="auto"/>
              </w:rPr>
            </w:pPr>
          </w:p>
        </w:tc>
        <w:tc>
          <w:tcPr>
            <w:tcW w:w="100" w:type="dxa"/>
            <w:vAlign w:val="bottom"/>
            <w:shd w:val="clear" w:color="auto" w:fill="B2B2B2"/>
          </w:tcPr>
          <w:p>
            <w:pPr>
              <w:spacing w:after="0"/>
              <w:rPr>
                <w:sz w:val="15"/>
                <w:szCs w:val="15"/>
                <w:color w:val="auto"/>
              </w:rPr>
            </w:pPr>
          </w:p>
        </w:tc>
        <w:tc>
          <w:tcPr>
            <w:tcW w:w="940" w:type="dxa"/>
            <w:vAlign w:val="bottom"/>
            <w:shd w:val="clear" w:color="auto" w:fill="B2B2B2"/>
          </w:tcPr>
          <w:p>
            <w:pPr>
              <w:spacing w:after="0"/>
              <w:rPr>
                <w:sz w:val="15"/>
                <w:szCs w:val="15"/>
                <w:color w:val="auto"/>
              </w:rPr>
            </w:pPr>
          </w:p>
        </w:tc>
        <w:tc>
          <w:tcPr>
            <w:tcW w:w="320" w:type="dxa"/>
            <w:vAlign w:val="bottom"/>
            <w:shd w:val="clear" w:color="auto" w:fill="B2B2B2"/>
          </w:tcPr>
          <w:p>
            <w:pPr>
              <w:spacing w:after="0"/>
              <w:rPr>
                <w:sz w:val="15"/>
                <w:szCs w:val="15"/>
                <w:color w:val="auto"/>
              </w:rPr>
            </w:pPr>
          </w:p>
        </w:tc>
        <w:tc>
          <w:tcPr>
            <w:tcW w:w="120" w:type="dxa"/>
            <w:vAlign w:val="bottom"/>
            <w:shd w:val="clear" w:color="auto" w:fill="B2B2B2"/>
          </w:tcPr>
          <w:p>
            <w:pPr>
              <w:spacing w:after="0"/>
              <w:rPr>
                <w:sz w:val="15"/>
                <w:szCs w:val="15"/>
                <w:color w:val="auto"/>
              </w:rPr>
            </w:pPr>
          </w:p>
        </w:tc>
        <w:tc>
          <w:tcPr>
            <w:tcW w:w="1160" w:type="dxa"/>
            <w:vAlign w:val="bottom"/>
            <w:gridSpan w:val="2"/>
            <w:shd w:val="clear" w:color="auto" w:fill="B2B2B2"/>
          </w:tcPr>
          <w:p>
            <w:pPr>
              <w:spacing w:after="0"/>
              <w:rPr>
                <w:sz w:val="15"/>
                <w:szCs w:val="15"/>
                <w:color w:val="auto"/>
              </w:rPr>
            </w:pPr>
          </w:p>
        </w:tc>
        <w:tc>
          <w:tcPr>
            <w:tcW w:w="100" w:type="dxa"/>
            <w:vAlign w:val="bottom"/>
            <w:shd w:val="clear" w:color="auto" w:fill="B2B2B2"/>
          </w:tcPr>
          <w:p>
            <w:pPr>
              <w:spacing w:after="0"/>
              <w:rPr>
                <w:sz w:val="15"/>
                <w:szCs w:val="15"/>
                <w:color w:val="auto"/>
              </w:rPr>
            </w:pPr>
          </w:p>
        </w:tc>
        <w:tc>
          <w:tcPr>
            <w:tcW w:w="860" w:type="dxa"/>
            <w:vAlign w:val="bottom"/>
            <w:shd w:val="clear" w:color="auto" w:fill="B2B2B2"/>
          </w:tcPr>
          <w:p>
            <w:pPr>
              <w:spacing w:after="0"/>
              <w:rPr>
                <w:sz w:val="15"/>
                <w:szCs w:val="15"/>
                <w:color w:val="auto"/>
              </w:rPr>
            </w:pPr>
          </w:p>
        </w:tc>
        <w:tc>
          <w:tcPr>
            <w:tcW w:w="320" w:type="dxa"/>
            <w:vAlign w:val="bottom"/>
            <w:shd w:val="clear" w:color="auto" w:fill="B2B2B2"/>
          </w:tcPr>
          <w:p>
            <w:pPr>
              <w:spacing w:after="0"/>
              <w:rPr>
                <w:sz w:val="15"/>
                <w:szCs w:val="15"/>
                <w:color w:val="auto"/>
              </w:rPr>
            </w:pPr>
          </w:p>
        </w:tc>
        <w:tc>
          <w:tcPr>
            <w:tcW w:w="100" w:type="dxa"/>
            <w:vAlign w:val="bottom"/>
            <w:shd w:val="clear" w:color="auto" w:fill="B2B2B2"/>
          </w:tcPr>
          <w:p>
            <w:pPr>
              <w:spacing w:after="0"/>
              <w:rPr>
                <w:sz w:val="15"/>
                <w:szCs w:val="15"/>
                <w:color w:val="auto"/>
              </w:rPr>
            </w:pPr>
          </w:p>
        </w:tc>
        <w:tc>
          <w:tcPr>
            <w:tcW w:w="1120" w:type="dxa"/>
            <w:vAlign w:val="bottom"/>
            <w:shd w:val="clear" w:color="auto" w:fill="B2B2B2"/>
          </w:tcPr>
          <w:p>
            <w:pPr>
              <w:spacing w:after="0"/>
              <w:rPr>
                <w:sz w:val="15"/>
                <w:szCs w:val="15"/>
                <w:color w:val="auto"/>
              </w:rPr>
            </w:pPr>
          </w:p>
        </w:tc>
        <w:tc>
          <w:tcPr>
            <w:tcW w:w="340" w:type="dxa"/>
            <w:vAlign w:val="bottom"/>
            <w:shd w:val="clear" w:color="auto" w:fill="B2B2B2"/>
          </w:tcPr>
          <w:p>
            <w:pPr>
              <w:spacing w:after="0"/>
              <w:rPr>
                <w:sz w:val="15"/>
                <w:szCs w:val="15"/>
                <w:color w:val="auto"/>
              </w:rPr>
            </w:pPr>
          </w:p>
        </w:tc>
        <w:tc>
          <w:tcPr>
            <w:tcW w:w="180" w:type="dxa"/>
            <w:vAlign w:val="bottom"/>
            <w:shd w:val="clear" w:color="auto" w:fill="B2B2B2"/>
          </w:tcPr>
          <w:p>
            <w:pPr>
              <w:spacing w:after="0"/>
              <w:rPr>
                <w:sz w:val="15"/>
                <w:szCs w:val="15"/>
                <w:color w:val="auto"/>
              </w:rPr>
            </w:pPr>
          </w:p>
        </w:tc>
        <w:tc>
          <w:tcPr>
            <w:tcW w:w="760" w:type="dxa"/>
            <w:vAlign w:val="bottom"/>
            <w:shd w:val="clear" w:color="auto" w:fill="B2B2B2"/>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340"/>
              <w:spacing w:after="0" w:line="201" w:lineRule="exact"/>
              <w:rPr>
                <w:sz w:val="20"/>
                <w:szCs w:val="20"/>
                <w:color w:val="auto"/>
              </w:rPr>
            </w:pPr>
            <w:r>
              <w:rPr>
                <w:rFonts w:ascii="Arial" w:cs="Arial" w:eastAsia="Arial" w:hAnsi="Arial"/>
                <w:sz w:val="18"/>
                <w:szCs w:val="18"/>
                <w:color w:val="auto"/>
              </w:rPr>
              <w:t>7,545</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line="201" w:lineRule="exact"/>
              <w:rPr>
                <w:sz w:val="20"/>
                <w:szCs w:val="20"/>
                <w:color w:val="auto"/>
              </w:rPr>
            </w:pPr>
            <w:r>
              <w:rPr>
                <w:rFonts w:ascii="Arial" w:cs="Arial" w:eastAsia="Arial" w:hAnsi="Arial"/>
                <w:sz w:val="18"/>
                <w:szCs w:val="18"/>
                <w:color w:val="auto"/>
              </w:rPr>
              <w:t>7,545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(3,918)</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(3,918)</w:t>
            </w:r>
          </w:p>
        </w:tc>
        <w:tc>
          <w:tcPr>
            <w:tcW w:w="0" w:type="dxa"/>
            <w:vAlign w:val="bottom"/>
          </w:tcPr>
          <w:p>
            <w:pPr>
              <w:spacing w:after="0"/>
              <w:rPr>
                <w:sz w:val="1"/>
                <w:szCs w:val="1"/>
                <w:color w:val="auto"/>
              </w:rPr>
            </w:pPr>
          </w:p>
        </w:tc>
      </w:tr>
      <w:tr>
        <w:trPr>
          <w:trHeight w:val="417"/>
        </w:trPr>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(2,075)</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948</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(1,127)</w:t>
            </w:r>
          </w:p>
        </w:tc>
        <w:tc>
          <w:tcPr>
            <w:tcW w:w="0" w:type="dxa"/>
            <w:vAlign w:val="bottom"/>
          </w:tcPr>
          <w:p>
            <w:pPr>
              <w:spacing w:after="0"/>
              <w:rPr>
                <w:sz w:val="1"/>
                <w:szCs w:val="1"/>
                <w:color w:val="auto"/>
              </w:rPr>
            </w:pPr>
          </w:p>
        </w:tc>
      </w:tr>
      <w:tr>
        <w:trPr>
          <w:trHeight w:val="215"/>
        </w:trPr>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5"/>
        </w:trPr>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722</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15"/>
        </w:trPr>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(5,508)</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(5,508)</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(519)</w:t>
            </w:r>
          </w:p>
        </w:tc>
        <w:tc>
          <w:tcPr>
            <w:tcW w:w="18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7,753</w:t>
            </w:r>
          </w:p>
        </w:tc>
        <w:tc>
          <w:tcPr>
            <w:tcW w:w="3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203,801</w:t>
            </w:r>
          </w:p>
        </w:tc>
        <w:tc>
          <w:tcPr>
            <w:tcW w:w="3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93,968</w:t>
            </w:r>
          </w:p>
        </w:tc>
        <w:tc>
          <w:tcPr>
            <w:tcW w:w="3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(49,800)</w:t>
            </w:r>
          </w:p>
        </w:tc>
        <w:tc>
          <w:tcPr>
            <w:tcW w:w="3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(14,439)</w:t>
            </w:r>
          </w:p>
        </w:tc>
        <w:tc>
          <w:tcPr>
            <w:tcW w:w="3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241,283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40" w:type="dxa"/>
            <w:vAlign w:val="bottom"/>
            <w:shd w:val="clear" w:color="auto" w:fill="B2B2B2"/>
          </w:tcPr>
          <w:p>
            <w:pPr>
              <w:spacing w:after="0"/>
              <w:rPr>
                <w:sz w:val="14"/>
                <w:szCs w:val="14"/>
                <w:color w:val="auto"/>
              </w:rPr>
            </w:pPr>
          </w:p>
        </w:tc>
        <w:tc>
          <w:tcPr>
            <w:tcW w:w="80" w:type="dxa"/>
            <w:vAlign w:val="bottom"/>
            <w:shd w:val="clear" w:color="auto" w:fill="B2B2B2"/>
          </w:tcPr>
          <w:p>
            <w:pPr>
              <w:spacing w:after="0"/>
              <w:rPr>
                <w:sz w:val="14"/>
                <w:szCs w:val="14"/>
                <w:color w:val="auto"/>
              </w:rPr>
            </w:pPr>
          </w:p>
        </w:tc>
        <w:tc>
          <w:tcPr>
            <w:tcW w:w="800" w:type="dxa"/>
            <w:vAlign w:val="bottom"/>
            <w:shd w:val="clear" w:color="auto" w:fill="B2B2B2"/>
          </w:tcPr>
          <w:p>
            <w:pPr>
              <w:spacing w:after="0"/>
              <w:rPr>
                <w:sz w:val="14"/>
                <w:szCs w:val="14"/>
                <w:color w:val="auto"/>
              </w:rPr>
            </w:pPr>
          </w:p>
        </w:tc>
        <w:tc>
          <w:tcPr>
            <w:tcW w:w="340" w:type="dxa"/>
            <w:vAlign w:val="bottom"/>
            <w:shd w:val="clear" w:color="auto" w:fill="B2B2B2"/>
          </w:tcPr>
          <w:p>
            <w:pPr>
              <w:spacing w:after="0"/>
              <w:rPr>
                <w:sz w:val="14"/>
                <w:szCs w:val="14"/>
                <w:color w:val="auto"/>
              </w:rPr>
            </w:pPr>
          </w:p>
        </w:tc>
        <w:tc>
          <w:tcPr>
            <w:tcW w:w="100" w:type="dxa"/>
            <w:vAlign w:val="bottom"/>
            <w:shd w:val="clear" w:color="auto" w:fill="B2B2B2"/>
          </w:tcPr>
          <w:p>
            <w:pPr>
              <w:spacing w:after="0"/>
              <w:rPr>
                <w:sz w:val="14"/>
                <w:szCs w:val="14"/>
                <w:color w:val="auto"/>
              </w:rPr>
            </w:pPr>
          </w:p>
        </w:tc>
        <w:tc>
          <w:tcPr>
            <w:tcW w:w="940" w:type="dxa"/>
            <w:vAlign w:val="bottom"/>
            <w:shd w:val="clear" w:color="auto" w:fill="B2B2B2"/>
          </w:tcPr>
          <w:p>
            <w:pPr>
              <w:spacing w:after="0"/>
              <w:rPr>
                <w:sz w:val="14"/>
                <w:szCs w:val="14"/>
                <w:color w:val="auto"/>
              </w:rPr>
            </w:pPr>
          </w:p>
        </w:tc>
        <w:tc>
          <w:tcPr>
            <w:tcW w:w="320" w:type="dxa"/>
            <w:vAlign w:val="bottom"/>
            <w:shd w:val="clear" w:color="auto" w:fill="B2B2B2"/>
          </w:tcPr>
          <w:p>
            <w:pPr>
              <w:spacing w:after="0"/>
              <w:rPr>
                <w:sz w:val="14"/>
                <w:szCs w:val="14"/>
                <w:color w:val="auto"/>
              </w:rPr>
            </w:pPr>
          </w:p>
        </w:tc>
        <w:tc>
          <w:tcPr>
            <w:tcW w:w="120" w:type="dxa"/>
            <w:vAlign w:val="bottom"/>
            <w:shd w:val="clear" w:color="auto" w:fill="B2B2B2"/>
          </w:tcPr>
          <w:p>
            <w:pPr>
              <w:spacing w:after="0"/>
              <w:rPr>
                <w:sz w:val="14"/>
                <w:szCs w:val="14"/>
                <w:color w:val="auto"/>
              </w:rPr>
            </w:pPr>
          </w:p>
        </w:tc>
        <w:tc>
          <w:tcPr>
            <w:tcW w:w="820" w:type="dxa"/>
            <w:vAlign w:val="bottom"/>
            <w:shd w:val="clear" w:color="auto" w:fill="B2B2B2"/>
          </w:tcPr>
          <w:p>
            <w:pPr>
              <w:spacing w:after="0"/>
              <w:rPr>
                <w:sz w:val="14"/>
                <w:szCs w:val="14"/>
                <w:color w:val="auto"/>
              </w:rPr>
            </w:pPr>
          </w:p>
        </w:tc>
        <w:tc>
          <w:tcPr>
            <w:tcW w:w="340" w:type="dxa"/>
            <w:vAlign w:val="bottom"/>
            <w:shd w:val="clear" w:color="auto" w:fill="B2B2B2"/>
          </w:tcPr>
          <w:p>
            <w:pPr>
              <w:spacing w:after="0"/>
              <w:rPr>
                <w:sz w:val="14"/>
                <w:szCs w:val="14"/>
                <w:color w:val="auto"/>
              </w:rPr>
            </w:pPr>
          </w:p>
        </w:tc>
        <w:tc>
          <w:tcPr>
            <w:tcW w:w="100" w:type="dxa"/>
            <w:vAlign w:val="bottom"/>
            <w:shd w:val="clear" w:color="auto" w:fill="B2B2B2"/>
          </w:tcPr>
          <w:p>
            <w:pPr>
              <w:spacing w:after="0"/>
              <w:rPr>
                <w:sz w:val="14"/>
                <w:szCs w:val="14"/>
                <w:color w:val="auto"/>
              </w:rPr>
            </w:pPr>
          </w:p>
        </w:tc>
        <w:tc>
          <w:tcPr>
            <w:tcW w:w="860" w:type="dxa"/>
            <w:vAlign w:val="bottom"/>
            <w:shd w:val="clear" w:color="auto" w:fill="B2B2B2"/>
          </w:tcPr>
          <w:p>
            <w:pPr>
              <w:spacing w:after="0"/>
              <w:rPr>
                <w:sz w:val="14"/>
                <w:szCs w:val="14"/>
                <w:color w:val="auto"/>
              </w:rPr>
            </w:pPr>
          </w:p>
        </w:tc>
        <w:tc>
          <w:tcPr>
            <w:tcW w:w="320" w:type="dxa"/>
            <w:vAlign w:val="bottom"/>
            <w:shd w:val="clear" w:color="auto" w:fill="B2B2B2"/>
          </w:tcPr>
          <w:p>
            <w:pPr>
              <w:spacing w:after="0"/>
              <w:rPr>
                <w:sz w:val="14"/>
                <w:szCs w:val="14"/>
                <w:color w:val="auto"/>
              </w:rPr>
            </w:pPr>
          </w:p>
        </w:tc>
        <w:tc>
          <w:tcPr>
            <w:tcW w:w="100" w:type="dxa"/>
            <w:vAlign w:val="bottom"/>
            <w:shd w:val="clear" w:color="auto" w:fill="B2B2B2"/>
          </w:tcPr>
          <w:p>
            <w:pPr>
              <w:spacing w:after="0"/>
              <w:rPr>
                <w:sz w:val="14"/>
                <w:szCs w:val="14"/>
                <w:color w:val="auto"/>
              </w:rPr>
            </w:pPr>
          </w:p>
        </w:tc>
        <w:tc>
          <w:tcPr>
            <w:tcW w:w="1120" w:type="dxa"/>
            <w:vAlign w:val="bottom"/>
            <w:shd w:val="clear" w:color="auto" w:fill="B2B2B2"/>
          </w:tcPr>
          <w:p>
            <w:pPr>
              <w:spacing w:after="0"/>
              <w:rPr>
                <w:sz w:val="14"/>
                <w:szCs w:val="14"/>
                <w:color w:val="auto"/>
              </w:rPr>
            </w:pPr>
          </w:p>
        </w:tc>
        <w:tc>
          <w:tcPr>
            <w:tcW w:w="340" w:type="dxa"/>
            <w:vAlign w:val="bottom"/>
            <w:shd w:val="clear" w:color="auto" w:fill="B2B2B2"/>
          </w:tcPr>
          <w:p>
            <w:pPr>
              <w:spacing w:after="0"/>
              <w:rPr>
                <w:sz w:val="14"/>
                <w:szCs w:val="14"/>
                <w:color w:val="auto"/>
              </w:rPr>
            </w:pPr>
          </w:p>
        </w:tc>
        <w:tc>
          <w:tcPr>
            <w:tcW w:w="180" w:type="dxa"/>
            <w:vAlign w:val="bottom"/>
            <w:shd w:val="clear" w:color="auto" w:fill="B2B2B2"/>
          </w:tcPr>
          <w:p>
            <w:pPr>
              <w:spacing w:after="0"/>
              <w:rPr>
                <w:sz w:val="14"/>
                <w:szCs w:val="14"/>
                <w:color w:val="auto"/>
              </w:rPr>
            </w:pPr>
          </w:p>
        </w:tc>
        <w:tc>
          <w:tcPr>
            <w:tcW w:w="760" w:type="dxa"/>
            <w:vAlign w:val="bottom"/>
            <w:shd w:val="clear" w:color="auto" w:fill="B2B2B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-2064385</wp:posOffset>
            </wp:positionH>
            <wp:positionV relativeFrom="paragraph">
              <wp:posOffset>-1632585</wp:posOffset>
            </wp:positionV>
            <wp:extent cx="7132955" cy="2482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955" cy="248285"/>
                    </a:xfrm>
                    <a:prstGeom prst="rect">
                      <a:avLst/>
                    </a:prstGeom>
                    <a:noFill/>
                  </pic:spPr>
                </pic:pic>
              </a:graphicData>
            </a:graphic>
          </wp:anchor>
        </w:drawing>
        <w:drawing>
          <wp:anchor simplePos="0" relativeHeight="251657728" behindDoc="1" locked="0" layoutInCell="0" allowOverlap="1">
            <wp:simplePos x="0" y="0"/>
            <wp:positionH relativeFrom="column">
              <wp:posOffset>-2064385</wp:posOffset>
            </wp:positionH>
            <wp:positionV relativeFrom="paragraph">
              <wp:posOffset>-1247775</wp:posOffset>
            </wp:positionV>
            <wp:extent cx="7132955" cy="136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955" cy="136525"/>
                    </a:xfrm>
                    <a:prstGeom prst="rect">
                      <a:avLst/>
                    </a:prstGeom>
                    <a:noFill/>
                  </pic:spPr>
                </pic:pic>
              </a:graphicData>
            </a:graphic>
          </wp:anchor>
        </w:drawing>
        <w:drawing>
          <wp:anchor simplePos="0" relativeHeight="251657728" behindDoc="1" locked="0" layoutInCell="0" allowOverlap="1">
            <wp:simplePos x="0" y="0"/>
            <wp:positionH relativeFrom="column">
              <wp:posOffset>-2064385</wp:posOffset>
            </wp:positionH>
            <wp:positionV relativeFrom="paragraph">
              <wp:posOffset>-837565</wp:posOffset>
            </wp:positionV>
            <wp:extent cx="7132955" cy="136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955" cy="136525"/>
                    </a:xfrm>
                    <a:prstGeom prst="rect">
                      <a:avLst/>
                    </a:prstGeom>
                    <a:noFill/>
                  </pic:spPr>
                </pic:pic>
              </a:graphicData>
            </a:graphic>
          </wp:anchor>
        </w:drawing>
        <w:drawing>
          <wp:anchor simplePos="0" relativeHeight="251657728" behindDoc="1" locked="0" layoutInCell="0" allowOverlap="1">
            <wp:simplePos x="0" y="0"/>
            <wp:positionH relativeFrom="column">
              <wp:posOffset>-2064385</wp:posOffset>
            </wp:positionH>
            <wp:positionV relativeFrom="paragraph">
              <wp:posOffset>-563880</wp:posOffset>
            </wp:positionV>
            <wp:extent cx="7132955" cy="136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955" cy="136525"/>
                    </a:xfrm>
                    <a:prstGeom prst="rect">
                      <a:avLst/>
                    </a:prstGeom>
                    <a:noFill/>
                  </pic:spPr>
                </pic:pic>
              </a:graphicData>
            </a:graphic>
          </wp:anchor>
        </w:drawing>
        <w:drawing>
          <wp:anchor simplePos="0" relativeHeight="251657728" behindDoc="1" locked="0" layoutInCell="0" allowOverlap="1">
            <wp:simplePos x="0" y="0"/>
            <wp:positionH relativeFrom="column">
              <wp:posOffset>-2064385</wp:posOffset>
            </wp:positionH>
            <wp:positionV relativeFrom="paragraph">
              <wp:posOffset>-281305</wp:posOffset>
            </wp:positionV>
            <wp:extent cx="7132955" cy="281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955" cy="2819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80" w:space="80"/>
            <w:col w:w="7980"/>
          </w:cols>
          <w:pgMar w:left="320" w:top="296" w:right="339" w:bottom="1440" w:gutter="0" w:footer="0" w:header="0"/>
          <w:type w:val="continuous"/>
        </w:sectPr>
      </w:pP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60" w:type="dxa"/>
            <w:vAlign w:val="bottom"/>
            <w:shd w:val="clear" w:color="auto" w:fill="B2B2B2"/>
          </w:tcPr>
          <w:p>
            <w:pPr>
              <w:spacing w:after="0"/>
              <w:rPr>
                <w:sz w:val="20"/>
                <w:szCs w:val="20"/>
                <w:color w:val="auto"/>
              </w:rPr>
            </w:pPr>
            <w:r>
              <w:rPr>
                <w:rFonts w:ascii="Arial" w:cs="Arial" w:eastAsia="Arial" w:hAnsi="Arial"/>
                <w:sz w:val="18"/>
                <w:szCs w:val="18"/>
                <w:color w:val="auto"/>
              </w:rPr>
              <w:t>Balance, December 31, 2020</w:t>
            </w:r>
          </w:p>
        </w:tc>
        <w:tc>
          <w:tcPr>
            <w:tcW w:w="620" w:type="dxa"/>
            <w:vAlign w:val="bottom"/>
            <w:gridSpan w:val="2"/>
            <w:shd w:val="clear" w:color="auto" w:fill="B2B2B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B2B2B2"/>
          </w:tcPr>
          <w:p>
            <w:pPr>
              <w:jc w:val="right"/>
              <w:ind w:right="340"/>
              <w:spacing w:after="0"/>
              <w:rPr>
                <w:sz w:val="20"/>
                <w:szCs w:val="20"/>
                <w:color w:val="auto"/>
              </w:rPr>
            </w:pPr>
            <w:r>
              <w:rPr>
                <w:rFonts w:ascii="Arial" w:cs="Arial" w:eastAsia="Arial" w:hAnsi="Arial"/>
                <w:sz w:val="18"/>
                <w:szCs w:val="18"/>
                <w:color w:val="auto"/>
              </w:rPr>
              <w:t>7,753</w:t>
            </w:r>
          </w:p>
        </w:tc>
        <w:tc>
          <w:tcPr>
            <w:tcW w:w="260" w:type="dxa"/>
            <w:vAlign w:val="bottom"/>
            <w:shd w:val="clear" w:color="auto" w:fill="B2B2B2"/>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B2B2B2"/>
          </w:tcPr>
          <w:p>
            <w:pPr>
              <w:jc w:val="right"/>
              <w:ind w:right="160"/>
              <w:spacing w:after="0"/>
              <w:rPr>
                <w:sz w:val="20"/>
                <w:szCs w:val="20"/>
                <w:color w:val="auto"/>
              </w:rPr>
            </w:pPr>
            <w:r>
              <w:rPr>
                <w:rFonts w:ascii="Arial" w:cs="Arial" w:eastAsia="Arial" w:hAnsi="Arial"/>
                <w:sz w:val="18"/>
                <w:szCs w:val="18"/>
                <w:color w:val="auto"/>
              </w:rPr>
              <w:t>204,875</w:t>
            </w:r>
          </w:p>
        </w:tc>
        <w:tc>
          <w:tcPr>
            <w:tcW w:w="380" w:type="dxa"/>
            <w:vAlign w:val="bottom"/>
            <w:gridSpan w:val="2"/>
            <w:shd w:val="clear" w:color="auto" w:fill="B2B2B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B2B2B2"/>
          </w:tcPr>
          <w:p>
            <w:pPr>
              <w:jc w:val="right"/>
              <w:ind w:right="160"/>
              <w:spacing w:after="0"/>
              <w:rPr>
                <w:sz w:val="20"/>
                <w:szCs w:val="20"/>
                <w:color w:val="auto"/>
              </w:rPr>
            </w:pPr>
            <w:r>
              <w:rPr>
                <w:rFonts w:ascii="Arial" w:cs="Arial" w:eastAsia="Arial" w:hAnsi="Arial"/>
                <w:sz w:val="18"/>
                <w:szCs w:val="18"/>
                <w:color w:val="auto"/>
              </w:rPr>
              <w:t>99,062</w:t>
            </w:r>
          </w:p>
        </w:tc>
        <w:tc>
          <w:tcPr>
            <w:tcW w:w="400" w:type="dxa"/>
            <w:vAlign w:val="bottom"/>
            <w:gridSpan w:val="2"/>
            <w:shd w:val="clear" w:color="auto" w:fill="B2B2B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B2B2B2"/>
          </w:tcPr>
          <w:p>
            <w:pPr>
              <w:jc w:val="right"/>
              <w:ind w:right="160"/>
              <w:spacing w:after="0"/>
              <w:rPr>
                <w:sz w:val="20"/>
                <w:szCs w:val="20"/>
                <w:color w:val="auto"/>
              </w:rPr>
            </w:pPr>
            <w:r>
              <w:rPr>
                <w:rFonts w:ascii="Arial" w:cs="Arial" w:eastAsia="Arial" w:hAnsi="Arial"/>
                <w:sz w:val="18"/>
                <w:szCs w:val="18"/>
                <w:color w:val="auto"/>
              </w:rPr>
              <w:t>(50,515)</w:t>
            </w:r>
          </w:p>
        </w:tc>
        <w:tc>
          <w:tcPr>
            <w:tcW w:w="560" w:type="dxa"/>
            <w:vAlign w:val="bottom"/>
            <w:gridSpan w:val="2"/>
            <w:shd w:val="clear" w:color="auto" w:fill="B2B2B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B2B2B2"/>
          </w:tcPr>
          <w:p>
            <w:pPr>
              <w:jc w:val="right"/>
              <w:ind w:right="160"/>
              <w:spacing w:after="0"/>
              <w:rPr>
                <w:sz w:val="20"/>
                <w:szCs w:val="20"/>
                <w:color w:val="auto"/>
              </w:rPr>
            </w:pPr>
            <w:r>
              <w:rPr>
                <w:rFonts w:ascii="Arial" w:cs="Arial" w:eastAsia="Arial" w:hAnsi="Arial"/>
                <w:sz w:val="18"/>
                <w:szCs w:val="18"/>
                <w:color w:val="auto"/>
              </w:rPr>
              <w:t>(15)</w:t>
            </w:r>
          </w:p>
        </w:tc>
        <w:tc>
          <w:tcPr>
            <w:tcW w:w="400" w:type="dxa"/>
            <w:vAlign w:val="bottom"/>
            <w:gridSpan w:val="2"/>
            <w:shd w:val="clear" w:color="auto" w:fill="B2B2B2"/>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261,160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260" w:type="dxa"/>
            <w:vAlign w:val="bottom"/>
            <w:shd w:val="clear" w:color="auto" w:fill="B2B2B2"/>
          </w:tcPr>
          <w:p>
            <w:pPr>
              <w:spacing w:after="0"/>
              <w:rPr>
                <w:sz w:val="15"/>
                <w:szCs w:val="15"/>
                <w:color w:val="auto"/>
              </w:rPr>
            </w:pPr>
          </w:p>
        </w:tc>
        <w:tc>
          <w:tcPr>
            <w:tcW w:w="340" w:type="dxa"/>
            <w:vAlign w:val="bottom"/>
            <w:shd w:val="clear" w:color="auto" w:fill="B2B2B2"/>
          </w:tcPr>
          <w:p>
            <w:pPr>
              <w:spacing w:after="0"/>
              <w:rPr>
                <w:sz w:val="15"/>
                <w:szCs w:val="15"/>
                <w:color w:val="auto"/>
              </w:rPr>
            </w:pPr>
          </w:p>
        </w:tc>
        <w:tc>
          <w:tcPr>
            <w:tcW w:w="280" w:type="dxa"/>
            <w:vAlign w:val="bottom"/>
            <w:shd w:val="clear" w:color="auto" w:fill="B2B2B2"/>
          </w:tcPr>
          <w:p>
            <w:pPr>
              <w:spacing w:after="0"/>
              <w:rPr>
                <w:sz w:val="15"/>
                <w:szCs w:val="15"/>
                <w:color w:val="auto"/>
              </w:rPr>
            </w:pPr>
          </w:p>
        </w:tc>
        <w:tc>
          <w:tcPr>
            <w:tcW w:w="600" w:type="dxa"/>
            <w:vAlign w:val="bottom"/>
            <w:shd w:val="clear" w:color="auto" w:fill="B2B2B2"/>
          </w:tcPr>
          <w:p>
            <w:pPr>
              <w:spacing w:after="0"/>
              <w:rPr>
                <w:sz w:val="15"/>
                <w:szCs w:val="15"/>
                <w:color w:val="auto"/>
              </w:rPr>
            </w:pPr>
          </w:p>
        </w:tc>
        <w:tc>
          <w:tcPr>
            <w:tcW w:w="340" w:type="dxa"/>
            <w:vAlign w:val="bottom"/>
            <w:shd w:val="clear" w:color="auto" w:fill="B2B2B2"/>
          </w:tcPr>
          <w:p>
            <w:pPr>
              <w:spacing w:after="0"/>
              <w:rPr>
                <w:sz w:val="15"/>
                <w:szCs w:val="15"/>
                <w:color w:val="auto"/>
              </w:rPr>
            </w:pPr>
          </w:p>
        </w:tc>
        <w:tc>
          <w:tcPr>
            <w:tcW w:w="260" w:type="dxa"/>
            <w:vAlign w:val="bottom"/>
            <w:shd w:val="clear" w:color="auto" w:fill="B2B2B2"/>
          </w:tcPr>
          <w:p>
            <w:pPr>
              <w:spacing w:after="0"/>
              <w:rPr>
                <w:sz w:val="15"/>
                <w:szCs w:val="15"/>
                <w:color w:val="auto"/>
              </w:rPr>
            </w:pPr>
          </w:p>
        </w:tc>
        <w:tc>
          <w:tcPr>
            <w:tcW w:w="780" w:type="dxa"/>
            <w:vAlign w:val="bottom"/>
            <w:shd w:val="clear" w:color="auto" w:fill="B2B2B2"/>
          </w:tcPr>
          <w:p>
            <w:pPr>
              <w:spacing w:after="0"/>
              <w:rPr>
                <w:sz w:val="15"/>
                <w:szCs w:val="15"/>
                <w:color w:val="auto"/>
              </w:rPr>
            </w:pPr>
          </w:p>
        </w:tc>
        <w:tc>
          <w:tcPr>
            <w:tcW w:w="160" w:type="dxa"/>
            <w:vAlign w:val="bottom"/>
            <w:shd w:val="clear" w:color="auto" w:fill="B2B2B2"/>
          </w:tcPr>
          <w:p>
            <w:pPr>
              <w:spacing w:after="0"/>
              <w:rPr>
                <w:sz w:val="15"/>
                <w:szCs w:val="15"/>
                <w:color w:val="auto"/>
              </w:rPr>
            </w:pPr>
          </w:p>
        </w:tc>
        <w:tc>
          <w:tcPr>
            <w:tcW w:w="160" w:type="dxa"/>
            <w:vAlign w:val="bottom"/>
            <w:shd w:val="clear" w:color="auto" w:fill="B2B2B2"/>
          </w:tcPr>
          <w:p>
            <w:pPr>
              <w:spacing w:after="0"/>
              <w:rPr>
                <w:sz w:val="15"/>
                <w:szCs w:val="15"/>
                <w:color w:val="auto"/>
              </w:rPr>
            </w:pPr>
          </w:p>
        </w:tc>
        <w:tc>
          <w:tcPr>
            <w:tcW w:w="220" w:type="dxa"/>
            <w:vAlign w:val="bottom"/>
            <w:shd w:val="clear" w:color="auto" w:fill="B2B2B2"/>
          </w:tcPr>
          <w:p>
            <w:pPr>
              <w:spacing w:after="0"/>
              <w:rPr>
                <w:sz w:val="15"/>
                <w:szCs w:val="15"/>
                <w:color w:val="auto"/>
              </w:rPr>
            </w:pPr>
          </w:p>
        </w:tc>
        <w:tc>
          <w:tcPr>
            <w:tcW w:w="720" w:type="dxa"/>
            <w:vAlign w:val="bottom"/>
            <w:shd w:val="clear" w:color="auto" w:fill="B2B2B2"/>
          </w:tcPr>
          <w:p>
            <w:pPr>
              <w:spacing w:after="0"/>
              <w:rPr>
                <w:sz w:val="15"/>
                <w:szCs w:val="15"/>
                <w:color w:val="auto"/>
              </w:rPr>
            </w:pPr>
          </w:p>
        </w:tc>
        <w:tc>
          <w:tcPr>
            <w:tcW w:w="160" w:type="dxa"/>
            <w:vAlign w:val="bottom"/>
            <w:shd w:val="clear" w:color="auto" w:fill="B2B2B2"/>
          </w:tcPr>
          <w:p>
            <w:pPr>
              <w:spacing w:after="0"/>
              <w:rPr>
                <w:sz w:val="15"/>
                <w:szCs w:val="15"/>
                <w:color w:val="auto"/>
              </w:rPr>
            </w:pPr>
          </w:p>
        </w:tc>
        <w:tc>
          <w:tcPr>
            <w:tcW w:w="180" w:type="dxa"/>
            <w:vAlign w:val="bottom"/>
            <w:shd w:val="clear" w:color="auto" w:fill="B2B2B2"/>
          </w:tcPr>
          <w:p>
            <w:pPr>
              <w:spacing w:after="0"/>
              <w:rPr>
                <w:sz w:val="15"/>
                <w:szCs w:val="15"/>
                <w:color w:val="auto"/>
              </w:rPr>
            </w:pPr>
          </w:p>
        </w:tc>
        <w:tc>
          <w:tcPr>
            <w:tcW w:w="220" w:type="dxa"/>
            <w:vAlign w:val="bottom"/>
            <w:shd w:val="clear" w:color="auto" w:fill="B2B2B2"/>
          </w:tcPr>
          <w:p>
            <w:pPr>
              <w:spacing w:after="0"/>
              <w:rPr>
                <w:sz w:val="15"/>
                <w:szCs w:val="15"/>
                <w:color w:val="auto"/>
              </w:rPr>
            </w:pPr>
          </w:p>
        </w:tc>
        <w:tc>
          <w:tcPr>
            <w:tcW w:w="740" w:type="dxa"/>
            <w:vAlign w:val="bottom"/>
            <w:shd w:val="clear" w:color="auto" w:fill="B2B2B2"/>
          </w:tcPr>
          <w:p>
            <w:pPr>
              <w:spacing w:after="0"/>
              <w:rPr>
                <w:sz w:val="15"/>
                <w:szCs w:val="15"/>
                <w:color w:val="auto"/>
              </w:rPr>
            </w:pPr>
          </w:p>
        </w:tc>
        <w:tc>
          <w:tcPr>
            <w:tcW w:w="160" w:type="dxa"/>
            <w:vAlign w:val="bottom"/>
            <w:shd w:val="clear" w:color="auto" w:fill="B2B2B2"/>
          </w:tcPr>
          <w:p>
            <w:pPr>
              <w:spacing w:after="0"/>
              <w:rPr>
                <w:sz w:val="15"/>
                <w:szCs w:val="15"/>
                <w:color w:val="auto"/>
              </w:rPr>
            </w:pPr>
          </w:p>
        </w:tc>
        <w:tc>
          <w:tcPr>
            <w:tcW w:w="160" w:type="dxa"/>
            <w:vAlign w:val="bottom"/>
            <w:shd w:val="clear" w:color="auto" w:fill="B2B2B2"/>
          </w:tcPr>
          <w:p>
            <w:pPr>
              <w:spacing w:after="0"/>
              <w:rPr>
                <w:sz w:val="15"/>
                <w:szCs w:val="15"/>
                <w:color w:val="auto"/>
              </w:rPr>
            </w:pPr>
          </w:p>
        </w:tc>
        <w:tc>
          <w:tcPr>
            <w:tcW w:w="400" w:type="dxa"/>
            <w:vAlign w:val="bottom"/>
            <w:shd w:val="clear" w:color="auto" w:fill="B2B2B2"/>
          </w:tcPr>
          <w:p>
            <w:pPr>
              <w:spacing w:after="0"/>
              <w:rPr>
                <w:sz w:val="15"/>
                <w:szCs w:val="15"/>
                <w:color w:val="auto"/>
              </w:rPr>
            </w:pPr>
          </w:p>
        </w:tc>
        <w:tc>
          <w:tcPr>
            <w:tcW w:w="820" w:type="dxa"/>
            <w:vAlign w:val="bottom"/>
            <w:shd w:val="clear" w:color="auto" w:fill="B2B2B2"/>
          </w:tcPr>
          <w:p>
            <w:pPr>
              <w:spacing w:after="0"/>
              <w:rPr>
                <w:sz w:val="15"/>
                <w:szCs w:val="15"/>
                <w:color w:val="auto"/>
              </w:rPr>
            </w:pPr>
          </w:p>
        </w:tc>
        <w:tc>
          <w:tcPr>
            <w:tcW w:w="160" w:type="dxa"/>
            <w:vAlign w:val="bottom"/>
            <w:shd w:val="clear" w:color="auto" w:fill="B2B2B2"/>
          </w:tcPr>
          <w:p>
            <w:pPr>
              <w:spacing w:after="0"/>
              <w:rPr>
                <w:sz w:val="15"/>
                <w:szCs w:val="15"/>
                <w:color w:val="auto"/>
              </w:rPr>
            </w:pPr>
          </w:p>
        </w:tc>
        <w:tc>
          <w:tcPr>
            <w:tcW w:w="180" w:type="dxa"/>
            <w:vAlign w:val="bottom"/>
            <w:shd w:val="clear" w:color="auto" w:fill="B2B2B2"/>
          </w:tcPr>
          <w:p>
            <w:pPr>
              <w:spacing w:after="0"/>
              <w:rPr>
                <w:sz w:val="15"/>
                <w:szCs w:val="15"/>
                <w:color w:val="auto"/>
              </w:rPr>
            </w:pPr>
          </w:p>
        </w:tc>
        <w:tc>
          <w:tcPr>
            <w:tcW w:w="220" w:type="dxa"/>
            <w:vAlign w:val="bottom"/>
            <w:shd w:val="clear" w:color="auto" w:fill="B2B2B2"/>
          </w:tcPr>
          <w:p>
            <w:pPr>
              <w:spacing w:after="0"/>
              <w:rPr>
                <w:sz w:val="15"/>
                <w:szCs w:val="15"/>
                <w:color w:val="auto"/>
              </w:rPr>
            </w:pPr>
          </w:p>
        </w:tc>
        <w:tc>
          <w:tcPr>
            <w:tcW w:w="720" w:type="dxa"/>
            <w:vAlign w:val="bottom"/>
            <w:shd w:val="clear" w:color="auto" w:fill="B2B2B2"/>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3260" w:type="dxa"/>
            <w:vAlign w:val="bottom"/>
          </w:tcPr>
          <w:p>
            <w:pPr>
              <w:spacing w:after="0"/>
              <w:rPr>
                <w:sz w:val="20"/>
                <w:szCs w:val="20"/>
                <w:color w:val="auto"/>
              </w:rPr>
            </w:pPr>
            <w:r>
              <w:rPr>
                <w:rFonts w:ascii="Arial" w:cs="Arial" w:eastAsia="Arial" w:hAnsi="Arial"/>
                <w:sz w:val="18"/>
                <w:szCs w:val="18"/>
                <w:color w:val="auto"/>
              </w:rPr>
              <w:t>Net income</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7,071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7,071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260" w:type="dxa"/>
            <w:vAlign w:val="bottom"/>
            <w:shd w:val="clear" w:color="auto" w:fill="B2B2B2"/>
          </w:tcPr>
          <w:p>
            <w:pPr>
              <w:spacing w:after="0"/>
              <w:rPr>
                <w:sz w:val="20"/>
                <w:szCs w:val="20"/>
                <w:color w:val="auto"/>
              </w:rPr>
            </w:pPr>
            <w:r>
              <w:rPr>
                <w:rFonts w:ascii="Arial" w:cs="Arial" w:eastAsia="Arial" w:hAnsi="Arial"/>
                <w:sz w:val="18"/>
                <w:szCs w:val="18"/>
                <w:color w:val="auto"/>
              </w:rPr>
              <w:t>Cash dividends ($.27 per share)</w:t>
            </w:r>
          </w:p>
        </w:tc>
        <w:tc>
          <w:tcPr>
            <w:tcW w:w="34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600" w:type="dxa"/>
            <w:vAlign w:val="bottom"/>
            <w:shd w:val="clear" w:color="auto" w:fill="B2B2B2"/>
          </w:tcPr>
          <w:p>
            <w:pPr>
              <w:spacing w:after="0"/>
              <w:rPr>
                <w:sz w:val="18"/>
                <w:szCs w:val="18"/>
                <w:color w:val="auto"/>
              </w:rPr>
            </w:pPr>
          </w:p>
        </w:tc>
        <w:tc>
          <w:tcPr>
            <w:tcW w:w="34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78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880" w:type="dxa"/>
            <w:vAlign w:val="bottom"/>
            <w:gridSpan w:val="2"/>
            <w:shd w:val="clear" w:color="auto" w:fill="B2B2B2"/>
          </w:tcPr>
          <w:p>
            <w:pPr>
              <w:jc w:val="right"/>
              <w:ind w:right="160"/>
              <w:spacing w:after="0"/>
              <w:rPr>
                <w:sz w:val="20"/>
                <w:szCs w:val="20"/>
                <w:color w:val="auto"/>
              </w:rPr>
            </w:pPr>
            <w:r>
              <w:rPr>
                <w:rFonts w:ascii="Arial" w:cs="Arial" w:eastAsia="Arial" w:hAnsi="Arial"/>
                <w:sz w:val="18"/>
                <w:szCs w:val="18"/>
                <w:color w:val="auto"/>
              </w:rPr>
              <w:t>(3,886)</w:t>
            </w:r>
          </w:p>
        </w:tc>
        <w:tc>
          <w:tcPr>
            <w:tcW w:w="18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74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400" w:type="dxa"/>
            <w:vAlign w:val="bottom"/>
            <w:shd w:val="clear" w:color="auto" w:fill="B2B2B2"/>
          </w:tcPr>
          <w:p>
            <w:pPr>
              <w:spacing w:after="0"/>
              <w:rPr>
                <w:sz w:val="18"/>
                <w:szCs w:val="18"/>
                <w:color w:val="auto"/>
              </w:rPr>
            </w:pPr>
          </w:p>
        </w:tc>
        <w:tc>
          <w:tcPr>
            <w:tcW w:w="82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7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(3,886)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260" w:type="dxa"/>
            <w:vAlign w:val="bottom"/>
          </w:tcPr>
          <w:p>
            <w:pPr>
              <w:spacing w:after="0" w:line="201" w:lineRule="exact"/>
              <w:rPr>
                <w:sz w:val="20"/>
                <w:szCs w:val="20"/>
                <w:color w:val="auto"/>
              </w:rPr>
            </w:pPr>
            <w:r>
              <w:rPr>
                <w:rFonts w:ascii="Arial" w:cs="Arial" w:eastAsia="Arial" w:hAnsi="Arial"/>
                <w:sz w:val="18"/>
                <w:szCs w:val="18"/>
                <w:color w:val="auto"/>
                <w:w w:val="89"/>
              </w:rPr>
              <w:t>Issuance of 69,374 common shares pursuant</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60" w:type="dxa"/>
            <w:vAlign w:val="bottom"/>
          </w:tcPr>
          <w:p>
            <w:pPr>
              <w:ind w:left="180"/>
              <w:spacing w:after="0"/>
              <w:rPr>
                <w:sz w:val="20"/>
                <w:szCs w:val="20"/>
                <w:color w:val="auto"/>
              </w:rPr>
            </w:pPr>
            <w:r>
              <w:rPr>
                <w:rFonts w:ascii="Arial" w:cs="Arial" w:eastAsia="Arial" w:hAnsi="Arial"/>
                <w:sz w:val="18"/>
                <w:szCs w:val="18"/>
                <w:color w:val="auto"/>
                <w:w w:val="99"/>
              </w:rPr>
              <w:t>to stock-based compensation plan, net</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(2,426)</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1,596</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15"/>
        </w:trPr>
        <w:tc>
          <w:tcPr>
            <w:tcW w:w="3260" w:type="dxa"/>
            <w:vAlign w:val="bottom"/>
            <w:shd w:val="clear" w:color="auto" w:fill="B2B2B2"/>
          </w:tcPr>
          <w:p>
            <w:pPr>
              <w:spacing w:after="0"/>
              <w:rPr>
                <w:sz w:val="20"/>
                <w:szCs w:val="20"/>
                <w:color w:val="auto"/>
              </w:rPr>
            </w:pPr>
            <w:r>
              <w:rPr>
                <w:rFonts w:ascii="Arial" w:cs="Arial" w:eastAsia="Arial" w:hAnsi="Arial"/>
                <w:sz w:val="18"/>
                <w:szCs w:val="18"/>
                <w:color w:val="auto"/>
              </w:rPr>
              <w:t>Exercise of SARs</w:t>
            </w:r>
          </w:p>
        </w:tc>
        <w:tc>
          <w:tcPr>
            <w:tcW w:w="34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600" w:type="dxa"/>
            <w:vAlign w:val="bottom"/>
            <w:shd w:val="clear" w:color="auto" w:fill="B2B2B2"/>
          </w:tcPr>
          <w:p>
            <w:pPr>
              <w:spacing w:after="0"/>
              <w:rPr>
                <w:sz w:val="18"/>
                <w:szCs w:val="18"/>
                <w:color w:val="auto"/>
              </w:rPr>
            </w:pPr>
          </w:p>
        </w:tc>
        <w:tc>
          <w:tcPr>
            <w:tcW w:w="34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940" w:type="dxa"/>
            <w:vAlign w:val="bottom"/>
            <w:gridSpan w:val="2"/>
            <w:shd w:val="clear" w:color="auto" w:fill="B2B2B2"/>
          </w:tcPr>
          <w:p>
            <w:pPr>
              <w:jc w:val="right"/>
              <w:ind w:right="160"/>
              <w:spacing w:after="0"/>
              <w:rPr>
                <w:sz w:val="20"/>
                <w:szCs w:val="20"/>
                <w:color w:val="auto"/>
              </w:rPr>
            </w:pPr>
            <w:r>
              <w:rPr>
                <w:rFonts w:ascii="Arial" w:cs="Arial" w:eastAsia="Arial" w:hAnsi="Arial"/>
                <w:sz w:val="18"/>
                <w:szCs w:val="18"/>
                <w:color w:val="auto"/>
              </w:rPr>
              <w:t>(314)</w:t>
            </w:r>
          </w:p>
        </w:tc>
        <w:tc>
          <w:tcPr>
            <w:tcW w:w="16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72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900" w:type="dxa"/>
            <w:vAlign w:val="bottom"/>
            <w:gridSpan w:val="2"/>
            <w:shd w:val="clear" w:color="auto" w:fill="B2B2B2"/>
          </w:tcPr>
          <w:p>
            <w:pPr>
              <w:jc w:val="right"/>
              <w:ind w:right="160"/>
              <w:spacing w:after="0"/>
              <w:rPr>
                <w:sz w:val="20"/>
                <w:szCs w:val="20"/>
                <w:color w:val="auto"/>
              </w:rPr>
            </w:pPr>
            <w:r>
              <w:rPr>
                <w:rFonts w:ascii="Arial" w:cs="Arial" w:eastAsia="Arial" w:hAnsi="Arial"/>
                <w:sz w:val="18"/>
                <w:szCs w:val="18"/>
                <w:color w:val="auto"/>
              </w:rPr>
              <w:t>198</w:t>
            </w:r>
          </w:p>
        </w:tc>
        <w:tc>
          <w:tcPr>
            <w:tcW w:w="160" w:type="dxa"/>
            <w:vAlign w:val="bottom"/>
            <w:shd w:val="clear" w:color="auto" w:fill="B2B2B2"/>
          </w:tcPr>
          <w:p>
            <w:pPr>
              <w:spacing w:after="0"/>
              <w:rPr>
                <w:sz w:val="18"/>
                <w:szCs w:val="18"/>
                <w:color w:val="auto"/>
              </w:rPr>
            </w:pPr>
          </w:p>
        </w:tc>
        <w:tc>
          <w:tcPr>
            <w:tcW w:w="400" w:type="dxa"/>
            <w:vAlign w:val="bottom"/>
            <w:shd w:val="clear" w:color="auto" w:fill="B2B2B2"/>
          </w:tcPr>
          <w:p>
            <w:pPr>
              <w:spacing w:after="0"/>
              <w:rPr>
                <w:sz w:val="18"/>
                <w:szCs w:val="18"/>
                <w:color w:val="auto"/>
              </w:rPr>
            </w:pPr>
          </w:p>
        </w:tc>
        <w:tc>
          <w:tcPr>
            <w:tcW w:w="82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7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26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693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260" w:type="dxa"/>
            <w:vAlign w:val="bottom"/>
            <w:shd w:val="clear" w:color="auto" w:fill="B2B2B2"/>
          </w:tcPr>
          <w:p>
            <w:pPr>
              <w:spacing w:after="0"/>
              <w:rPr>
                <w:sz w:val="20"/>
                <w:szCs w:val="20"/>
                <w:color w:val="auto"/>
              </w:rPr>
            </w:pPr>
            <w:r>
              <w:rPr>
                <w:rFonts w:ascii="Arial" w:cs="Arial" w:eastAsia="Arial" w:hAnsi="Arial"/>
                <w:sz w:val="18"/>
                <w:szCs w:val="18"/>
                <w:color w:val="auto"/>
              </w:rPr>
              <w:t>Purchase of 31,256 common shares</w:t>
            </w:r>
          </w:p>
        </w:tc>
        <w:tc>
          <w:tcPr>
            <w:tcW w:w="34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600" w:type="dxa"/>
            <w:vAlign w:val="bottom"/>
            <w:shd w:val="clear" w:color="auto" w:fill="B2B2B2"/>
          </w:tcPr>
          <w:p>
            <w:pPr>
              <w:spacing w:after="0"/>
              <w:rPr>
                <w:sz w:val="18"/>
                <w:szCs w:val="18"/>
                <w:color w:val="auto"/>
              </w:rPr>
            </w:pPr>
          </w:p>
        </w:tc>
        <w:tc>
          <w:tcPr>
            <w:tcW w:w="34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78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72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900" w:type="dxa"/>
            <w:vAlign w:val="bottom"/>
            <w:gridSpan w:val="2"/>
            <w:shd w:val="clear" w:color="auto" w:fill="B2B2B2"/>
          </w:tcPr>
          <w:p>
            <w:pPr>
              <w:jc w:val="right"/>
              <w:ind w:right="160"/>
              <w:spacing w:after="0"/>
              <w:rPr>
                <w:sz w:val="20"/>
                <w:szCs w:val="20"/>
                <w:color w:val="auto"/>
              </w:rPr>
            </w:pPr>
            <w:r>
              <w:rPr>
                <w:rFonts w:ascii="Arial" w:cs="Arial" w:eastAsia="Arial" w:hAnsi="Arial"/>
                <w:sz w:val="18"/>
                <w:szCs w:val="18"/>
                <w:color w:val="auto"/>
              </w:rPr>
              <w:t>(1,228)</w:t>
            </w:r>
          </w:p>
        </w:tc>
        <w:tc>
          <w:tcPr>
            <w:tcW w:w="160" w:type="dxa"/>
            <w:vAlign w:val="bottom"/>
            <w:shd w:val="clear" w:color="auto" w:fill="B2B2B2"/>
          </w:tcPr>
          <w:p>
            <w:pPr>
              <w:spacing w:after="0"/>
              <w:rPr>
                <w:sz w:val="18"/>
                <w:szCs w:val="18"/>
                <w:color w:val="auto"/>
              </w:rPr>
            </w:pPr>
          </w:p>
        </w:tc>
        <w:tc>
          <w:tcPr>
            <w:tcW w:w="400" w:type="dxa"/>
            <w:vAlign w:val="bottom"/>
            <w:shd w:val="clear" w:color="auto" w:fill="B2B2B2"/>
          </w:tcPr>
          <w:p>
            <w:pPr>
              <w:spacing w:after="0"/>
              <w:rPr>
                <w:sz w:val="18"/>
                <w:szCs w:val="18"/>
                <w:color w:val="auto"/>
              </w:rPr>
            </w:pPr>
          </w:p>
        </w:tc>
        <w:tc>
          <w:tcPr>
            <w:tcW w:w="82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7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(1,228)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26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(3,377)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260" w:type="dxa"/>
            <w:vAlign w:val="bottom"/>
            <w:shd w:val="clear" w:color="auto" w:fill="B2B2B2"/>
          </w:tcPr>
          <w:p>
            <w:pPr>
              <w:spacing w:after="0"/>
              <w:rPr>
                <w:sz w:val="20"/>
                <w:szCs w:val="20"/>
                <w:color w:val="auto"/>
              </w:rPr>
            </w:pPr>
            <w:r>
              <w:rPr>
                <w:rFonts w:ascii="Arial" w:cs="Arial" w:eastAsia="Arial" w:hAnsi="Arial"/>
                <w:sz w:val="18"/>
                <w:szCs w:val="18"/>
                <w:color w:val="auto"/>
              </w:rPr>
              <w:t>Balance, March 31, 2021</w:t>
            </w:r>
          </w:p>
        </w:tc>
        <w:tc>
          <w:tcPr>
            <w:tcW w:w="620" w:type="dxa"/>
            <w:vAlign w:val="bottom"/>
            <w:gridSpan w:val="2"/>
            <w:shd w:val="clear" w:color="auto" w:fill="B2B2B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B2B2B2"/>
          </w:tcPr>
          <w:p>
            <w:pPr>
              <w:jc w:val="right"/>
              <w:ind w:right="340"/>
              <w:spacing w:after="0"/>
              <w:rPr>
                <w:sz w:val="20"/>
                <w:szCs w:val="20"/>
                <w:color w:val="auto"/>
              </w:rPr>
            </w:pPr>
            <w:r>
              <w:rPr>
                <w:rFonts w:ascii="Arial" w:cs="Arial" w:eastAsia="Arial" w:hAnsi="Arial"/>
                <w:sz w:val="18"/>
                <w:szCs w:val="18"/>
                <w:color w:val="auto"/>
              </w:rPr>
              <w:t>7,753</w:t>
            </w:r>
          </w:p>
        </w:tc>
        <w:tc>
          <w:tcPr>
            <w:tcW w:w="260" w:type="dxa"/>
            <w:vAlign w:val="bottom"/>
            <w:shd w:val="clear" w:color="auto" w:fill="B2B2B2"/>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B2B2B2"/>
          </w:tcPr>
          <w:p>
            <w:pPr>
              <w:jc w:val="right"/>
              <w:ind w:right="160"/>
              <w:spacing w:after="0"/>
              <w:rPr>
                <w:sz w:val="20"/>
                <w:szCs w:val="20"/>
                <w:color w:val="auto"/>
              </w:rPr>
            </w:pPr>
            <w:r>
              <w:rPr>
                <w:rFonts w:ascii="Arial" w:cs="Arial" w:eastAsia="Arial" w:hAnsi="Arial"/>
                <w:sz w:val="18"/>
                <w:szCs w:val="18"/>
                <w:color w:val="auto"/>
              </w:rPr>
              <w:t>202,828</w:t>
            </w:r>
          </w:p>
        </w:tc>
        <w:tc>
          <w:tcPr>
            <w:tcW w:w="380" w:type="dxa"/>
            <w:vAlign w:val="bottom"/>
            <w:gridSpan w:val="2"/>
            <w:shd w:val="clear" w:color="auto" w:fill="B2B2B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B2B2B2"/>
          </w:tcPr>
          <w:p>
            <w:pPr>
              <w:jc w:val="right"/>
              <w:ind w:right="160"/>
              <w:spacing w:after="0"/>
              <w:rPr>
                <w:sz w:val="20"/>
                <w:szCs w:val="20"/>
                <w:color w:val="auto"/>
              </w:rPr>
            </w:pPr>
            <w:r>
              <w:rPr>
                <w:rFonts w:ascii="Arial" w:cs="Arial" w:eastAsia="Arial" w:hAnsi="Arial"/>
                <w:sz w:val="18"/>
                <w:szCs w:val="18"/>
                <w:color w:val="auto"/>
              </w:rPr>
              <w:t>102,247</w:t>
            </w:r>
          </w:p>
        </w:tc>
        <w:tc>
          <w:tcPr>
            <w:tcW w:w="400" w:type="dxa"/>
            <w:vAlign w:val="bottom"/>
            <w:gridSpan w:val="2"/>
            <w:shd w:val="clear" w:color="auto" w:fill="B2B2B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B2B2B2"/>
          </w:tcPr>
          <w:p>
            <w:pPr>
              <w:jc w:val="right"/>
              <w:ind w:right="160"/>
              <w:spacing w:after="0"/>
              <w:rPr>
                <w:sz w:val="20"/>
                <w:szCs w:val="20"/>
                <w:color w:val="auto"/>
              </w:rPr>
            </w:pPr>
            <w:r>
              <w:rPr>
                <w:rFonts w:ascii="Arial" w:cs="Arial" w:eastAsia="Arial" w:hAnsi="Arial"/>
                <w:sz w:val="18"/>
                <w:szCs w:val="18"/>
                <w:color w:val="auto"/>
              </w:rPr>
              <w:t>(49,949)</w:t>
            </w:r>
          </w:p>
        </w:tc>
        <w:tc>
          <w:tcPr>
            <w:tcW w:w="560" w:type="dxa"/>
            <w:vAlign w:val="bottom"/>
            <w:gridSpan w:val="2"/>
            <w:shd w:val="clear" w:color="auto" w:fill="B2B2B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B2B2B2"/>
          </w:tcPr>
          <w:p>
            <w:pPr>
              <w:jc w:val="right"/>
              <w:ind w:right="160"/>
              <w:spacing w:after="0"/>
              <w:rPr>
                <w:sz w:val="20"/>
                <w:szCs w:val="20"/>
                <w:color w:val="auto"/>
              </w:rPr>
            </w:pPr>
            <w:r>
              <w:rPr>
                <w:rFonts w:ascii="Arial" w:cs="Arial" w:eastAsia="Arial" w:hAnsi="Arial"/>
                <w:sz w:val="18"/>
                <w:szCs w:val="18"/>
                <w:color w:val="auto"/>
              </w:rPr>
              <w:t>(3,392)</w:t>
            </w:r>
          </w:p>
        </w:tc>
        <w:tc>
          <w:tcPr>
            <w:tcW w:w="400" w:type="dxa"/>
            <w:vAlign w:val="bottom"/>
            <w:gridSpan w:val="2"/>
            <w:shd w:val="clear" w:color="auto" w:fill="B2B2B2"/>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259,487</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60" w:type="dxa"/>
            <w:vAlign w:val="bottom"/>
            <w:tcBorders>
              <w:top w:val="single" w:sz="8" w:color="B2B2B2"/>
            </w:tcBorders>
            <w:shd w:val="clear" w:color="auto" w:fill="B2B2B2"/>
          </w:tcPr>
          <w:p>
            <w:pPr>
              <w:spacing w:after="0" w:line="20" w:lineRule="exact"/>
              <w:rPr>
                <w:sz w:val="1"/>
                <w:szCs w:val="1"/>
                <w:color w:val="auto"/>
              </w:rPr>
            </w:pPr>
          </w:p>
        </w:tc>
        <w:tc>
          <w:tcPr>
            <w:tcW w:w="340" w:type="dxa"/>
            <w:vAlign w:val="bottom"/>
            <w:tcBorders>
              <w:top w:val="single" w:sz="8" w:color="B2B2B2"/>
            </w:tcBorders>
            <w:shd w:val="clear" w:color="auto" w:fill="B2B2B2"/>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B2B2B2"/>
            </w:tcBorders>
            <w:shd w:val="clear" w:color="auto" w:fill="B2B2B2"/>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B2B2B2"/>
            </w:tcBorders>
            <w:shd w:val="clear" w:color="auto" w:fill="B2B2B2"/>
          </w:tcPr>
          <w:p>
            <w:pPr>
              <w:spacing w:after="0" w:line="20" w:lineRule="exact"/>
              <w:rPr>
                <w:sz w:val="1"/>
                <w:szCs w:val="1"/>
                <w:color w:val="auto"/>
              </w:rPr>
            </w:pPr>
          </w:p>
        </w:tc>
        <w:tc>
          <w:tcPr>
            <w:tcW w:w="160" w:type="dxa"/>
            <w:vAlign w:val="bottom"/>
            <w:tcBorders>
              <w:top w:val="single" w:sz="8" w:color="B2B2B2"/>
            </w:tcBorders>
            <w:shd w:val="clear" w:color="auto" w:fill="B2B2B2"/>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B2B2B2"/>
            </w:tcBorders>
            <w:shd w:val="clear" w:color="auto" w:fill="B2B2B2"/>
          </w:tcPr>
          <w:p>
            <w:pPr>
              <w:spacing w:after="0" w:line="20" w:lineRule="exact"/>
              <w:rPr>
                <w:sz w:val="1"/>
                <w:szCs w:val="1"/>
                <w:color w:val="auto"/>
              </w:rPr>
            </w:pPr>
          </w:p>
        </w:tc>
        <w:tc>
          <w:tcPr>
            <w:tcW w:w="180" w:type="dxa"/>
            <w:vAlign w:val="bottom"/>
            <w:tcBorders>
              <w:top w:val="single" w:sz="8" w:color="B2B2B2"/>
            </w:tcBorders>
            <w:shd w:val="clear" w:color="auto" w:fill="B2B2B2"/>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B2B2B2"/>
            </w:tcBorders>
            <w:shd w:val="clear" w:color="auto" w:fill="B2B2B2"/>
          </w:tcPr>
          <w:p>
            <w:pPr>
              <w:spacing w:after="0" w:line="20" w:lineRule="exact"/>
              <w:rPr>
                <w:sz w:val="1"/>
                <w:szCs w:val="1"/>
                <w:color w:val="auto"/>
              </w:rPr>
            </w:pPr>
          </w:p>
        </w:tc>
        <w:tc>
          <w:tcPr>
            <w:tcW w:w="160" w:type="dxa"/>
            <w:vAlign w:val="bottom"/>
            <w:tcBorders>
              <w:top w:val="single" w:sz="8" w:color="B2B2B2"/>
            </w:tcBorders>
            <w:shd w:val="clear" w:color="auto" w:fill="B2B2B2"/>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B2B2B2"/>
            </w:tcBorders>
            <w:shd w:val="clear" w:color="auto" w:fill="B2B2B2"/>
          </w:tcPr>
          <w:p>
            <w:pPr>
              <w:spacing w:after="0" w:line="20" w:lineRule="exact"/>
              <w:rPr>
                <w:sz w:val="1"/>
                <w:szCs w:val="1"/>
                <w:color w:val="auto"/>
              </w:rPr>
            </w:pPr>
          </w:p>
        </w:tc>
        <w:tc>
          <w:tcPr>
            <w:tcW w:w="180" w:type="dxa"/>
            <w:vAlign w:val="bottom"/>
            <w:tcBorders>
              <w:top w:val="single" w:sz="8" w:color="B2B2B2"/>
            </w:tcBorders>
            <w:shd w:val="clear" w:color="auto" w:fill="B2B2B2"/>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121285</wp:posOffset>
            </wp:positionV>
            <wp:extent cx="7158355" cy="508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355" cy="5080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CASS INFORMATION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Note 1 – Basis of Presentation</w:t>
      </w:r>
    </w:p>
    <w:p>
      <w:pPr>
        <w:spacing w:after="0" w:line="19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accompanying unaudited consolidated financial statements have been prepared in accordance with U.S. generally accepted accounting principles for interim financial information and with the instructions to Form 10-Q and Rule 10-01 of Regulation S-X. Accordingly, they do not include all of the information and footnotes required by U.S. generally accepted accounting principles for complete financial statements. In the opinion of management, all adjustments, consisting of normal recurring accruals, considered necessary for a fair presentation have been included. Certain amounts in prior-period financial statements have been reclassified to conform to the current period’s presentation. Such reclassifications have no effect on previously reported net income or shareholders’ equity. Results for quarterly reporting periods beginning after December 31, 2020 in the Company’s Form 10-Q will be presented under ASU 2016-13 while prior quarterly period amounts continue to be reported in accordance with previously applicable GAAP. For further information, refer to the audited consolidated financial statements and related footnotes included in Cass Information System, Inc.’s (the “Company” or “Cass”) Annual Report on Form 10-K for the year ended December 31,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and Uncertainties</w:t>
      </w:r>
    </w:p>
    <w:p>
      <w:pPr>
        <w:spacing w:after="0" w:line="21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March 11, 2020, the World Health Organization (“WHO”) declared the outbreak of COVID-19 as a global pandemic, which continues to spread throughout the United States and around the world. The declaration of a global pandemic indicates that almost all public commerce and related business activities must be, to varying degrees, curtailed with the goal of decreasing the rate of new infections. This response to the COVID-19 pandemic has resulted in an unprecedented slow-down in economic activity and a related increase in unemployment.</w:t>
      </w:r>
    </w:p>
    <w:p>
      <w:pPr>
        <w:spacing w:after="0" w:line="16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late fiscal 2020, vaccines for combatting COVID-19 were approved by health agencies and began to be administered. However, initial quantities of vaccines are limited and vaccine distributions, controlled by local authorities, are being allocated, generally first to front-line health care workers and other essential workers and next to those members of individual populations believed most susceptible to severe effects from COVID-19. The timeline of full administration of the COVID-19 vaccines is uncertain and fluctuating. The impact of COVID-19, including the impact of restrictions imposed to combat its spread, could result in additional and prolonged business closures, work restrictions and activity restrictions.</w:t>
      </w:r>
    </w:p>
    <w:p>
      <w:pPr>
        <w:spacing w:after="0" w:line="16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is closely monitoring developments related to COVID-19 checking regularly for updated information and recommendations from the WHO and the CDC, from national, state, and local governments, and evaluating courses of action being taken by peers. The duration and severity of the effect of COVID-19 on economic, market and business conditions and the timeline and shape of recovery from the pandemic remain uncertain. At this time, the Company remains subject to heightened business, operational, market, credit and other risks related to the COVID-19 pandemic, including, but not limited to, those discussed below, which may have an adverse effect on business, financial condition and results of operations.</w:t>
      </w:r>
    </w:p>
    <w:p>
      <w:pPr>
        <w:spacing w:after="0" w:line="16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Financial position and results of operations - </w:t>
      </w:r>
      <w:r>
        <w:rPr>
          <w:rFonts w:ascii="Arial" w:cs="Arial" w:eastAsia="Arial" w:hAnsi="Arial"/>
          <w:sz w:val="17"/>
          <w:szCs w:val="17"/>
          <w:color w:val="auto"/>
        </w:rPr>
        <w:t>The global health crisis caused by COVID-19 has and will continue to negatively impact business activity</w:t>
      </w:r>
      <w:r>
        <w:rPr>
          <w:rFonts w:ascii="Arial" w:cs="Arial" w:eastAsia="Arial" w:hAnsi="Arial"/>
          <w:sz w:val="17"/>
          <w:szCs w:val="17"/>
          <w:i w:val="1"/>
          <w:iCs w:val="1"/>
          <w:color w:val="auto"/>
        </w:rPr>
        <w:t xml:space="preserve"> </w:t>
      </w:r>
      <w:r>
        <w:rPr>
          <w:rFonts w:ascii="Arial" w:cs="Arial" w:eastAsia="Arial" w:hAnsi="Arial"/>
          <w:sz w:val="17"/>
          <w:szCs w:val="17"/>
          <w:color w:val="auto"/>
        </w:rPr>
        <w:t>throughout the world. The COVID-19 outbreak and associated counter-acting measures implemented by governments around the world, as well as increased business uncertainty, have had, and continue to have, an adverse impact on the Company’s financial results and are discussed in more detail below. Although in various locations certain activity restrictions have been relaxed with some success, many states and localities are still experiencing high levels of COVID-19 cases, prompting continued restrictions in some locations and the need for additional aid and other forms of relief for affected individuals, businesses and other entities. When and if COVID-19 is demonstrably contained, the Company anticipates a rebound in economic activity; however, any such rebound is contingent upon the rate and effectiveness of the containment efforts deployed by federal, state, and local governments. In light of the evolving health, social, economic and business environment, governmental regulations or mandates, and business disruptions that have occurred and could continue to occur, the aggregate impact that COVID-19 could have on the Company’s financial condition and operating results remains highly uncertain.</w:t>
      </w:r>
    </w:p>
    <w:p>
      <w:pPr>
        <w:spacing w:after="0" w:line="15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response to COVID-19, the Federal Reserve has taken action to lower the Federal Funds rate, which has adversely affected interest income and therefore, the Company’s results of operations and financial condition. The Federal Reserve has continued its commitment to this approach, indicating that the target Federal Funds rate would remain at current levels until the economy is in a more stable employment and price-stability position.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121285</wp:posOffset>
            </wp:positionV>
            <wp:extent cx="7158355" cy="508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355" cy="5080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 the extent the business disruption continues for an extended period, additional cost control actions will be considered. Future asset impairment charges, increases in allowance for credit losses, or restructuring charges could be more likely and will be dependent on the severity and duration of this crisis and its effect on the Company’s borrowers.</w:t>
      </w:r>
    </w:p>
    <w:p>
      <w:pPr>
        <w:spacing w:after="0" w:line="16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For payment processing services, business closures cause a decrease in the number of transactions and dollars processed due to the decline in customers’ business activity. In addition, the dampened demand for oil and volatility in oil prices has had, and can continue to have, a negative effect on both the number of freight transactions processed and the dollar amount of invoices processed. Other financial impact could occur though such potential impact is unknown at this time.</w:t>
      </w:r>
    </w:p>
    <w:p>
      <w:pPr>
        <w:spacing w:after="0" w:line="16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i w:val="1"/>
          <w:iCs w:val="1"/>
          <w:color w:val="auto"/>
        </w:rPr>
        <w:t xml:space="preserve">Capital and liquidity - </w:t>
      </w:r>
      <w:r>
        <w:rPr>
          <w:rFonts w:ascii="Arial" w:cs="Arial" w:eastAsia="Arial" w:hAnsi="Arial"/>
          <w:sz w:val="18"/>
          <w:szCs w:val="18"/>
          <w:color w:val="auto"/>
        </w:rPr>
        <w:t>While the Company believes that it has sufficient capital to withstand an extended economic recession brought about by COVID-19,</w:t>
      </w:r>
      <w:r>
        <w:rPr>
          <w:rFonts w:ascii="Arial" w:cs="Arial" w:eastAsia="Arial" w:hAnsi="Arial"/>
          <w:sz w:val="18"/>
          <w:szCs w:val="18"/>
          <w:i w:val="1"/>
          <w:iCs w:val="1"/>
          <w:color w:val="auto"/>
        </w:rPr>
        <w:t xml:space="preserve"> </w:t>
      </w:r>
      <w:r>
        <w:rPr>
          <w:rFonts w:ascii="Arial" w:cs="Arial" w:eastAsia="Arial" w:hAnsi="Arial"/>
          <w:sz w:val="18"/>
          <w:szCs w:val="18"/>
          <w:color w:val="auto"/>
        </w:rPr>
        <w:t>its reported and regulatory capital ratios could be adversely impacted by future financial losses.</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maintains access to multiple sources of liquidity. If funding costs are elevated for an extended period of time, it could have an adverse effect on the Company’s net interest margin. If an extended recession caused large numbers of the Bank’s customers to draw down deposits, the Company might become more reliant on more expensive sources of funding.</w:t>
      </w:r>
    </w:p>
    <w:p>
      <w:pPr>
        <w:spacing w:after="0" w:line="16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 xml:space="preserve">Asset valuation - </w:t>
      </w:r>
      <w:r>
        <w:rPr>
          <w:rFonts w:ascii="Arial" w:cs="Arial" w:eastAsia="Arial" w:hAnsi="Arial"/>
          <w:sz w:val="18"/>
          <w:szCs w:val="18"/>
          <w:color w:val="auto"/>
        </w:rPr>
        <w:t>Currently, the Company does not expect COVID-19 to affect its ability to fairly value the assets on its balance sheet; however, this could</w:t>
      </w:r>
      <w:r>
        <w:rPr>
          <w:rFonts w:ascii="Arial" w:cs="Arial" w:eastAsia="Arial" w:hAnsi="Arial"/>
          <w:sz w:val="18"/>
          <w:szCs w:val="18"/>
          <w:i w:val="1"/>
          <w:iCs w:val="1"/>
          <w:color w:val="auto"/>
        </w:rPr>
        <w:t xml:space="preserve"> </w:t>
      </w:r>
      <w:r>
        <w:rPr>
          <w:rFonts w:ascii="Arial" w:cs="Arial" w:eastAsia="Arial" w:hAnsi="Arial"/>
          <w:sz w:val="18"/>
          <w:szCs w:val="18"/>
          <w:color w:val="auto"/>
        </w:rPr>
        <w:t>change in future periods. While certain valuation assumptions and judgments will change to account for pandemic-related circumstances such as widening credit spreads, the Company does not anticipate significant changes in methodology used to determine the fair value of assets measured in accordance with GAAP.</w:t>
      </w:r>
    </w:p>
    <w:p>
      <w:pPr>
        <w:spacing w:after="0" w:line="16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economic slowdown as a result of COVID-19 could cause a decline in the Company’s stock price or the occurrence of what management would deem to be a triggering event that could, under certain circumstances, necessitate a goodwill or intangible asset impairment test and result in an impairment charge being recorded for that period. In the event that the Company concludes that all or a portion of its goodwill is impaired, a non-cash charge for the amount of such impairment would be recorded to earnings. Such a charge would have no impact on tangible capital or regulatory capital.</w:t>
      </w:r>
    </w:p>
    <w:p>
      <w:pPr>
        <w:spacing w:after="0" w:line="14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Processes, controls and business continuity - </w:t>
      </w:r>
      <w:r>
        <w:rPr>
          <w:rFonts w:ascii="Arial" w:cs="Arial" w:eastAsia="Arial" w:hAnsi="Arial"/>
          <w:sz w:val="18"/>
          <w:szCs w:val="18"/>
          <w:color w:val="auto"/>
        </w:rPr>
        <w:t>In accord with its federally mandated Pandemic Plan and Business Continuity Plan, many Cass 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around the globe continue to work and conduct business remotely. Employees necessary to oversee certain business coordination activities or to conduct essential physical activities such as mail handling and scanning operations, remain in offices. In addition, employees are now being permitted to return to the offices on a voluntary basis. Employees are required to report any exposure or diagnosis and must adhere to the defined safety protocol to enter the offices.</w:t>
      </w:r>
    </w:p>
    <w:p>
      <w:pPr>
        <w:spacing w:after="0" w:line="17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the past several years, Cass has invested in sophisticated technology initiatives that enable employees to operate remotely with full system(s) access along with unified and transparent voice and electronic communications capabilities, ensuring seamless service delivery. The Company cannot predict when or how it will fully lift the actions put in place as part of the Business Continuity Plan, including work from home requirements and travel restrictions. Cass does not believe the work from home protocol has materially adversely impacted internal controls, financial reporting systems, or operations.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Note 2 – Intangible Assets</w:t>
      </w:r>
    </w:p>
    <w:p>
      <w:pPr>
        <w:spacing w:after="0" w:line="211"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 xml:space="preserve">The Company accounts for intangible assets in accordance with Financial Accounting Standards Board (“FASB”) Accounting Standards Codification (“ASC”) 350, </w:t>
      </w:r>
      <w:r>
        <w:rPr>
          <w:rFonts w:ascii="Arial" w:cs="Arial" w:eastAsia="Arial" w:hAnsi="Arial"/>
          <w:sz w:val="17"/>
          <w:szCs w:val="17"/>
          <w:i w:val="1"/>
          <w:iCs w:val="1"/>
          <w:color w:val="auto"/>
        </w:rPr>
        <w:t>Goodwill and Other Intangible Assets</w:t>
      </w:r>
      <w:r>
        <w:rPr>
          <w:rFonts w:ascii="Arial" w:cs="Arial" w:eastAsia="Arial" w:hAnsi="Arial"/>
          <w:sz w:val="17"/>
          <w:szCs w:val="17"/>
          <w:color w:val="auto"/>
        </w:rPr>
        <w:t xml:space="preserve"> (“FASB ASC 350”), which requires that intangibles with indefinite useful lives be tested annually for impairment, or when management deems there is a triggering event, and those with finite useful lives be amortized over their useful lives.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8355" cy="596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355" cy="5969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2">
              <w:r>
                <w:rPr>
                  <w:rFonts w:ascii="Arial" w:cs="Arial" w:eastAsia="Arial" w:hAnsi="Arial"/>
                  <w:sz w:val="18"/>
                  <w:szCs w:val="18"/>
                  <w:b w:val="1"/>
                  <w:bCs w:val="1"/>
                  <w:color w:val="0000EE"/>
                  <w:w w:val="88"/>
                </w:rPr>
                <w:t>Table of Contents</w:t>
              </w:r>
            </w:hyperlink>
          </w:p>
        </w:tc>
        <w:tc>
          <w:tcPr>
            <w:tcW w:w="4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38"/>
        </w:trPr>
        <w:tc>
          <w:tcPr>
            <w:tcW w:w="6320" w:type="dxa"/>
            <w:vAlign w:val="bottom"/>
            <w:gridSpan w:val="2"/>
          </w:tcPr>
          <w:p>
            <w:pPr>
              <w:spacing w:after="0"/>
              <w:rPr>
                <w:sz w:val="20"/>
                <w:szCs w:val="20"/>
                <w:color w:val="auto"/>
              </w:rPr>
            </w:pPr>
            <w:r>
              <w:rPr>
                <w:rFonts w:ascii="Arial" w:cs="Arial" w:eastAsia="Arial" w:hAnsi="Arial"/>
                <w:sz w:val="18"/>
                <w:szCs w:val="18"/>
                <w:color w:val="auto"/>
              </w:rPr>
              <w:t>Details of the Company’s intangible assets are as follows:</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7"/>
        </w:trPr>
        <w:tc>
          <w:tcPr>
            <w:tcW w:w="136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b w:val="1"/>
                <w:bCs w:val="1"/>
                <w:color w:val="auto"/>
              </w:rPr>
              <w:t>March 31, 2021</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gridSpan w:val="4"/>
          </w:tcPr>
          <w:p>
            <w:pPr>
              <w:ind w:left="300"/>
              <w:spacing w:after="0"/>
              <w:rPr>
                <w:sz w:val="20"/>
                <w:szCs w:val="20"/>
                <w:color w:val="auto"/>
              </w:rPr>
            </w:pPr>
            <w:r>
              <w:rPr>
                <w:rFonts w:ascii="Arial" w:cs="Arial" w:eastAsia="Arial" w:hAnsi="Arial"/>
                <w:sz w:val="18"/>
                <w:szCs w:val="18"/>
                <w:b w:val="1"/>
                <w:bCs w:val="1"/>
                <w:color w:val="auto"/>
              </w:rPr>
              <w:t>December 31, 2020</w:t>
            </w:r>
          </w:p>
        </w:tc>
      </w:tr>
      <w:tr>
        <w:trPr>
          <w:trHeight w:val="197"/>
        </w:trPr>
        <w:tc>
          <w:tcPr>
            <w:tcW w:w="136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ind w:right="110"/>
              <w:spacing w:after="0" w:line="197" w:lineRule="exact"/>
              <w:rPr>
                <w:sz w:val="20"/>
                <w:szCs w:val="20"/>
                <w:color w:val="auto"/>
              </w:rPr>
            </w:pPr>
            <w:r>
              <w:rPr>
                <w:rFonts w:ascii="Arial" w:cs="Arial" w:eastAsia="Arial" w:hAnsi="Arial"/>
                <w:sz w:val="18"/>
                <w:szCs w:val="18"/>
                <w:b w:val="1"/>
                <w:bCs w:val="1"/>
                <w:color w:val="auto"/>
                <w:w w:val="84"/>
              </w:rPr>
              <w:t>Gross</w:t>
            </w:r>
          </w:p>
        </w:tc>
        <w:tc>
          <w:tcPr>
            <w:tcW w:w="6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90"/>
              <w:spacing w:after="0" w:line="197" w:lineRule="exact"/>
              <w:rPr>
                <w:sz w:val="20"/>
                <w:szCs w:val="20"/>
                <w:color w:val="auto"/>
              </w:rPr>
            </w:pPr>
            <w:r>
              <w:rPr>
                <w:rFonts w:ascii="Arial" w:cs="Arial" w:eastAsia="Arial" w:hAnsi="Arial"/>
                <w:sz w:val="18"/>
                <w:szCs w:val="18"/>
                <w:b w:val="1"/>
                <w:bCs w:val="1"/>
                <w:color w:val="auto"/>
                <w:w w:val="84"/>
              </w:rPr>
              <w:t>Gross</w:t>
            </w:r>
          </w:p>
        </w:tc>
        <w:tc>
          <w:tcPr>
            <w:tcW w:w="4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15"/>
        </w:trPr>
        <w:tc>
          <w:tcPr>
            <w:tcW w:w="136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center"/>
              <w:ind w:right="110"/>
              <w:spacing w:after="0"/>
              <w:rPr>
                <w:sz w:val="20"/>
                <w:szCs w:val="20"/>
                <w:color w:val="auto"/>
              </w:rPr>
            </w:pPr>
            <w:r>
              <w:rPr>
                <w:rFonts w:ascii="Arial" w:cs="Arial" w:eastAsia="Arial" w:hAnsi="Arial"/>
                <w:sz w:val="18"/>
                <w:szCs w:val="18"/>
                <w:b w:val="1"/>
                <w:bCs w:val="1"/>
                <w:color w:val="auto"/>
                <w:w w:val="97"/>
              </w:rPr>
              <w:t>Carrying</w:t>
            </w:r>
          </w:p>
        </w:tc>
        <w:tc>
          <w:tcPr>
            <w:tcW w:w="12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7"/>
              </w:rPr>
              <w:t>Accumulated</w:t>
            </w:r>
          </w:p>
        </w:tc>
        <w:tc>
          <w:tcPr>
            <w:tcW w:w="200" w:type="dxa"/>
            <w:vAlign w:val="bottom"/>
          </w:tcPr>
          <w:p>
            <w:pPr>
              <w:spacing w:after="0"/>
              <w:rPr>
                <w:sz w:val="18"/>
                <w:szCs w:val="18"/>
                <w:color w:val="auto"/>
              </w:rPr>
            </w:pPr>
          </w:p>
        </w:tc>
        <w:tc>
          <w:tcPr>
            <w:tcW w:w="1020" w:type="dxa"/>
            <w:vAlign w:val="bottom"/>
          </w:tcPr>
          <w:p>
            <w:pPr>
              <w:jc w:val="center"/>
              <w:ind w:right="110"/>
              <w:spacing w:after="0"/>
              <w:rPr>
                <w:sz w:val="20"/>
                <w:szCs w:val="20"/>
                <w:color w:val="auto"/>
              </w:rPr>
            </w:pPr>
            <w:r>
              <w:rPr>
                <w:rFonts w:ascii="Arial" w:cs="Arial" w:eastAsia="Arial" w:hAnsi="Arial"/>
                <w:sz w:val="18"/>
                <w:szCs w:val="18"/>
                <w:b w:val="1"/>
                <w:bCs w:val="1"/>
                <w:color w:val="auto"/>
                <w:w w:val="94"/>
              </w:rPr>
              <w:t>Carrying</w:t>
            </w:r>
          </w:p>
        </w:tc>
        <w:tc>
          <w:tcPr>
            <w:tcW w:w="1200" w:type="dxa"/>
            <w:vAlign w:val="bottom"/>
            <w:gridSpan w:val="3"/>
          </w:tcPr>
          <w:p>
            <w:pPr>
              <w:ind w:left="120"/>
              <w:spacing w:after="0"/>
              <w:rPr>
                <w:sz w:val="20"/>
                <w:szCs w:val="20"/>
                <w:color w:val="auto"/>
              </w:rPr>
            </w:pPr>
            <w:r>
              <w:rPr>
                <w:rFonts w:ascii="Arial" w:cs="Arial" w:eastAsia="Arial" w:hAnsi="Arial"/>
                <w:sz w:val="18"/>
                <w:szCs w:val="18"/>
                <w:b w:val="1"/>
                <w:bCs w:val="1"/>
                <w:color w:val="auto"/>
                <w:w w:val="93"/>
              </w:rPr>
              <w:t>Accumulated</w:t>
            </w:r>
          </w:p>
        </w:tc>
      </w:tr>
      <w:tr>
        <w:trPr>
          <w:trHeight w:val="241"/>
        </w:trPr>
        <w:tc>
          <w:tcPr>
            <w:tcW w:w="63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260" w:type="dxa"/>
            <w:vAlign w:val="bottom"/>
          </w:tcPr>
          <w:p>
            <w:pPr>
              <w:spacing w:after="0"/>
              <w:rPr>
                <w:sz w:val="20"/>
                <w:szCs w:val="20"/>
                <w:color w:val="auto"/>
              </w:rPr>
            </w:pPr>
          </w:p>
        </w:tc>
        <w:tc>
          <w:tcPr>
            <w:tcW w:w="1040" w:type="dxa"/>
            <w:vAlign w:val="bottom"/>
          </w:tcPr>
          <w:p>
            <w:pPr>
              <w:jc w:val="center"/>
              <w:ind w:right="110"/>
              <w:spacing w:after="0"/>
              <w:rPr>
                <w:sz w:val="20"/>
                <w:szCs w:val="20"/>
                <w:color w:val="auto"/>
              </w:rPr>
            </w:pPr>
            <w:r>
              <w:rPr>
                <w:rFonts w:ascii="Arial" w:cs="Arial" w:eastAsia="Arial" w:hAnsi="Arial"/>
                <w:sz w:val="18"/>
                <w:szCs w:val="18"/>
                <w:b w:val="1"/>
                <w:bCs w:val="1"/>
                <w:color w:val="auto"/>
                <w:w w:val="94"/>
              </w:rPr>
              <w:t>Amount</w:t>
            </w:r>
          </w:p>
        </w:tc>
        <w:tc>
          <w:tcPr>
            <w:tcW w:w="12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9"/>
              </w:rPr>
              <w:t>Amortization</w:t>
            </w:r>
          </w:p>
        </w:tc>
        <w:tc>
          <w:tcPr>
            <w:tcW w:w="200" w:type="dxa"/>
            <w:vAlign w:val="bottom"/>
          </w:tcPr>
          <w:p>
            <w:pPr>
              <w:spacing w:after="0"/>
              <w:rPr>
                <w:sz w:val="20"/>
                <w:szCs w:val="20"/>
                <w:color w:val="auto"/>
              </w:rPr>
            </w:pPr>
          </w:p>
        </w:tc>
        <w:tc>
          <w:tcPr>
            <w:tcW w:w="102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Amount</w:t>
            </w:r>
          </w:p>
        </w:tc>
        <w:tc>
          <w:tcPr>
            <w:tcW w:w="1200" w:type="dxa"/>
            <w:vAlign w:val="bottom"/>
            <w:gridSpan w:val="3"/>
          </w:tcPr>
          <w:p>
            <w:pPr>
              <w:ind w:left="100"/>
              <w:spacing w:after="0"/>
              <w:rPr>
                <w:sz w:val="20"/>
                <w:szCs w:val="20"/>
                <w:color w:val="auto"/>
              </w:rPr>
            </w:pPr>
            <w:r>
              <w:rPr>
                <w:rFonts w:ascii="Arial" w:cs="Arial" w:eastAsia="Arial" w:hAnsi="Arial"/>
                <w:sz w:val="18"/>
                <w:szCs w:val="18"/>
                <w:b w:val="1"/>
                <w:bCs w:val="1"/>
                <w:color w:val="auto"/>
                <w:w w:val="98"/>
              </w:rPr>
              <w:t>Amortization</w:t>
            </w:r>
          </w:p>
        </w:tc>
      </w:tr>
      <w:tr>
        <w:trPr>
          <w:trHeight w:val="215"/>
        </w:trPr>
        <w:tc>
          <w:tcPr>
            <w:tcW w:w="6320" w:type="dxa"/>
            <w:vAlign w:val="bottom"/>
            <w:tcBorders>
              <w:top w:val="single" w:sz="8" w:color="auto"/>
            </w:tcBorders>
            <w:gridSpan w:val="2"/>
            <w:shd w:val="clear" w:color="auto" w:fill="B2B2B2"/>
          </w:tcPr>
          <w:p>
            <w:pPr>
              <w:spacing w:after="0"/>
              <w:rPr>
                <w:sz w:val="20"/>
                <w:szCs w:val="20"/>
                <w:color w:val="auto"/>
              </w:rPr>
            </w:pPr>
            <w:r>
              <w:rPr>
                <w:rFonts w:ascii="Arial" w:cs="Arial" w:eastAsia="Arial" w:hAnsi="Arial"/>
                <w:sz w:val="18"/>
                <w:szCs w:val="18"/>
                <w:color w:val="auto"/>
              </w:rPr>
              <w:t>Assets eligible for amortization:</w:t>
            </w:r>
          </w:p>
        </w:tc>
        <w:tc>
          <w:tcPr>
            <w:tcW w:w="260" w:type="dxa"/>
            <w:vAlign w:val="bottom"/>
            <w:tcBorders>
              <w:top w:val="single" w:sz="8" w:color="auto"/>
            </w:tcBorders>
            <w:shd w:val="clear" w:color="auto" w:fill="B2B2B2"/>
          </w:tcPr>
          <w:p>
            <w:pPr>
              <w:spacing w:after="0"/>
              <w:rPr>
                <w:sz w:val="18"/>
                <w:szCs w:val="18"/>
                <w:color w:val="auto"/>
              </w:rPr>
            </w:pPr>
          </w:p>
        </w:tc>
        <w:tc>
          <w:tcPr>
            <w:tcW w:w="1040" w:type="dxa"/>
            <w:vAlign w:val="bottom"/>
            <w:tcBorders>
              <w:top w:val="single" w:sz="8" w:color="auto"/>
            </w:tcBorders>
            <w:shd w:val="clear" w:color="auto" w:fill="B2B2B2"/>
          </w:tcPr>
          <w:p>
            <w:pPr>
              <w:spacing w:after="0"/>
              <w:rPr>
                <w:sz w:val="18"/>
                <w:szCs w:val="18"/>
                <w:color w:val="auto"/>
              </w:rPr>
            </w:pPr>
          </w:p>
        </w:tc>
        <w:tc>
          <w:tcPr>
            <w:tcW w:w="620" w:type="dxa"/>
            <w:vAlign w:val="bottom"/>
            <w:tcBorders>
              <w:top w:val="single" w:sz="8" w:color="auto"/>
            </w:tcBorders>
            <w:shd w:val="clear" w:color="auto" w:fill="B2B2B2"/>
          </w:tcPr>
          <w:p>
            <w:pPr>
              <w:spacing w:after="0"/>
              <w:rPr>
                <w:sz w:val="18"/>
                <w:szCs w:val="18"/>
                <w:color w:val="auto"/>
              </w:rPr>
            </w:pPr>
          </w:p>
        </w:tc>
        <w:tc>
          <w:tcPr>
            <w:tcW w:w="600" w:type="dxa"/>
            <w:vAlign w:val="bottom"/>
            <w:tcBorders>
              <w:top w:val="single" w:sz="8" w:color="auto"/>
            </w:tcBorders>
            <w:shd w:val="clear" w:color="auto" w:fill="B2B2B2"/>
          </w:tcPr>
          <w:p>
            <w:pPr>
              <w:spacing w:after="0"/>
              <w:rPr>
                <w:sz w:val="18"/>
                <w:szCs w:val="18"/>
                <w:color w:val="auto"/>
              </w:rPr>
            </w:pPr>
          </w:p>
        </w:tc>
        <w:tc>
          <w:tcPr>
            <w:tcW w:w="200" w:type="dxa"/>
            <w:vAlign w:val="bottom"/>
            <w:tcBorders>
              <w:top w:val="single" w:sz="8" w:color="auto"/>
            </w:tcBorders>
            <w:shd w:val="clear" w:color="auto" w:fill="B2B2B2"/>
          </w:tcPr>
          <w:p>
            <w:pPr>
              <w:spacing w:after="0"/>
              <w:rPr>
                <w:sz w:val="18"/>
                <w:szCs w:val="18"/>
                <w:color w:val="auto"/>
              </w:rPr>
            </w:pPr>
          </w:p>
        </w:tc>
        <w:tc>
          <w:tcPr>
            <w:tcW w:w="1020" w:type="dxa"/>
            <w:vAlign w:val="bottom"/>
            <w:tcBorders>
              <w:top w:val="single" w:sz="8" w:color="auto"/>
            </w:tcBorders>
            <w:shd w:val="clear" w:color="auto" w:fill="B2B2B2"/>
          </w:tcPr>
          <w:p>
            <w:pPr>
              <w:spacing w:after="0"/>
              <w:rPr>
                <w:sz w:val="18"/>
                <w:szCs w:val="18"/>
                <w:color w:val="auto"/>
              </w:rPr>
            </w:pPr>
          </w:p>
        </w:tc>
        <w:tc>
          <w:tcPr>
            <w:tcW w:w="400" w:type="dxa"/>
            <w:vAlign w:val="bottom"/>
            <w:tcBorders>
              <w:top w:val="single" w:sz="8" w:color="auto"/>
            </w:tcBorders>
            <w:shd w:val="clear" w:color="auto" w:fill="B2B2B2"/>
          </w:tcPr>
          <w:p>
            <w:pPr>
              <w:spacing w:after="0"/>
              <w:rPr>
                <w:sz w:val="18"/>
                <w:szCs w:val="18"/>
                <w:color w:val="auto"/>
              </w:rPr>
            </w:pPr>
          </w:p>
        </w:tc>
        <w:tc>
          <w:tcPr>
            <w:tcW w:w="780" w:type="dxa"/>
            <w:vAlign w:val="bottom"/>
            <w:tcBorders>
              <w:top w:val="single" w:sz="8" w:color="auto"/>
            </w:tcBorders>
            <w:shd w:val="clear" w:color="auto" w:fill="B2B2B2"/>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6320" w:type="dxa"/>
            <w:vAlign w:val="bottom"/>
            <w:gridSpan w:val="2"/>
          </w:tcPr>
          <w:p>
            <w:pPr>
              <w:ind w:left="180"/>
              <w:spacing w:after="0"/>
              <w:rPr>
                <w:sz w:val="20"/>
                <w:szCs w:val="20"/>
                <w:color w:val="auto"/>
              </w:rPr>
            </w:pPr>
            <w:r>
              <w:rPr>
                <w:rFonts w:ascii="Arial" w:cs="Arial" w:eastAsia="Arial" w:hAnsi="Arial"/>
                <w:sz w:val="18"/>
                <w:szCs w:val="18"/>
                <w:color w:val="auto"/>
              </w:rPr>
              <w:t>Customer lists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4,778</w:t>
            </w:r>
          </w:p>
        </w:tc>
        <w:tc>
          <w:tcPr>
            <w:tcW w:w="6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1"/>
              </w:rPr>
              <w:t>(4,012)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4,778</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(3,902)</w:t>
            </w:r>
          </w:p>
        </w:tc>
        <w:tc>
          <w:tcPr>
            <w:tcW w:w="20" w:type="dxa"/>
            <w:vAlign w:val="bottom"/>
          </w:tcPr>
          <w:p>
            <w:pPr>
              <w:spacing w:after="0"/>
              <w:rPr>
                <w:sz w:val="18"/>
                <w:szCs w:val="18"/>
                <w:color w:val="auto"/>
              </w:rPr>
            </w:pPr>
          </w:p>
        </w:tc>
      </w:tr>
      <w:tr>
        <w:trPr>
          <w:trHeight w:val="215"/>
        </w:trPr>
        <w:tc>
          <w:tcPr>
            <w:tcW w:w="6320" w:type="dxa"/>
            <w:vAlign w:val="bottom"/>
            <w:gridSpan w:val="2"/>
            <w:shd w:val="clear" w:color="auto" w:fill="B2B2B2"/>
          </w:tcPr>
          <w:p>
            <w:pPr>
              <w:ind w:left="180"/>
              <w:spacing w:after="0"/>
              <w:rPr>
                <w:sz w:val="20"/>
                <w:szCs w:val="20"/>
                <w:color w:val="auto"/>
              </w:rPr>
            </w:pPr>
            <w:r>
              <w:rPr>
                <w:rFonts w:ascii="Arial" w:cs="Arial" w:eastAsia="Arial" w:hAnsi="Arial"/>
                <w:sz w:val="18"/>
                <w:szCs w:val="18"/>
                <w:color w:val="auto"/>
              </w:rPr>
              <w:t>Patents</w:t>
            </w:r>
          </w:p>
        </w:tc>
        <w:tc>
          <w:tcPr>
            <w:tcW w:w="260" w:type="dxa"/>
            <w:vAlign w:val="bottom"/>
            <w:shd w:val="clear" w:color="auto" w:fill="B2B2B2"/>
          </w:tcPr>
          <w:p>
            <w:pPr>
              <w:spacing w:after="0"/>
              <w:rPr>
                <w:sz w:val="18"/>
                <w:szCs w:val="18"/>
                <w:color w:val="auto"/>
              </w:rPr>
            </w:pPr>
          </w:p>
        </w:tc>
        <w:tc>
          <w:tcPr>
            <w:tcW w:w="10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72</w:t>
            </w:r>
          </w:p>
        </w:tc>
        <w:tc>
          <w:tcPr>
            <w:tcW w:w="620" w:type="dxa"/>
            <w:vAlign w:val="bottom"/>
            <w:shd w:val="clear" w:color="auto" w:fill="B2B2B2"/>
          </w:tcPr>
          <w:p>
            <w:pPr>
              <w:spacing w:after="0"/>
              <w:rPr>
                <w:sz w:val="18"/>
                <w:szCs w:val="18"/>
                <w:color w:val="auto"/>
              </w:rPr>
            </w:pPr>
          </w:p>
        </w:tc>
        <w:tc>
          <w:tcPr>
            <w:tcW w:w="6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B2B2B2"/>
          </w:tcPr>
          <w:p>
            <w:pPr>
              <w:spacing w:after="0"/>
              <w:rPr>
                <w:sz w:val="18"/>
                <w:szCs w:val="18"/>
                <w:color w:val="auto"/>
              </w:rPr>
            </w:pPr>
          </w:p>
        </w:tc>
        <w:tc>
          <w:tcPr>
            <w:tcW w:w="10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72</w:t>
            </w:r>
          </w:p>
        </w:tc>
        <w:tc>
          <w:tcPr>
            <w:tcW w:w="400" w:type="dxa"/>
            <w:vAlign w:val="bottom"/>
            <w:shd w:val="clear" w:color="auto" w:fill="B2B2B2"/>
          </w:tcPr>
          <w:p>
            <w:pPr>
              <w:spacing w:after="0"/>
              <w:rPr>
                <w:sz w:val="18"/>
                <w:szCs w:val="18"/>
                <w:color w:val="auto"/>
              </w:rPr>
            </w:pPr>
          </w:p>
        </w:tc>
        <w:tc>
          <w:tcPr>
            <w:tcW w:w="7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r>
      <w:tr>
        <w:trPr>
          <w:trHeight w:val="215"/>
        </w:trPr>
        <w:tc>
          <w:tcPr>
            <w:tcW w:w="6320" w:type="dxa"/>
            <w:vAlign w:val="bottom"/>
            <w:gridSpan w:val="2"/>
          </w:tcPr>
          <w:p>
            <w:pPr>
              <w:ind w:left="180"/>
              <w:spacing w:after="0"/>
              <w:rPr>
                <w:sz w:val="20"/>
                <w:szCs w:val="20"/>
                <w:color w:val="auto"/>
              </w:rPr>
            </w:pPr>
            <w:r>
              <w:rPr>
                <w:rFonts w:ascii="Arial" w:cs="Arial" w:eastAsia="Arial" w:hAnsi="Arial"/>
                <w:sz w:val="18"/>
                <w:szCs w:val="18"/>
                <w:color w:val="auto"/>
              </w:rPr>
              <w:t>Non-compete agreements</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332</w:t>
            </w:r>
          </w:p>
        </w:tc>
        <w:tc>
          <w:tcPr>
            <w:tcW w:w="6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(332)</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332</w:t>
            </w: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(332)</w:t>
            </w:r>
          </w:p>
        </w:tc>
        <w:tc>
          <w:tcPr>
            <w:tcW w:w="20" w:type="dxa"/>
            <w:vAlign w:val="bottom"/>
          </w:tcPr>
          <w:p>
            <w:pPr>
              <w:spacing w:after="0"/>
              <w:rPr>
                <w:sz w:val="18"/>
                <w:szCs w:val="18"/>
                <w:color w:val="auto"/>
              </w:rPr>
            </w:pPr>
          </w:p>
        </w:tc>
      </w:tr>
      <w:tr>
        <w:trPr>
          <w:trHeight w:val="215"/>
        </w:trPr>
        <w:tc>
          <w:tcPr>
            <w:tcW w:w="6320" w:type="dxa"/>
            <w:vAlign w:val="bottom"/>
            <w:gridSpan w:val="2"/>
            <w:shd w:val="clear" w:color="auto" w:fill="B2B2B2"/>
          </w:tcPr>
          <w:p>
            <w:pPr>
              <w:ind w:left="180"/>
              <w:spacing w:after="0"/>
              <w:rPr>
                <w:sz w:val="20"/>
                <w:szCs w:val="20"/>
                <w:color w:val="auto"/>
              </w:rPr>
            </w:pPr>
            <w:r>
              <w:rPr>
                <w:rFonts w:ascii="Arial" w:cs="Arial" w:eastAsia="Arial" w:hAnsi="Arial"/>
                <w:sz w:val="18"/>
                <w:szCs w:val="18"/>
                <w:color w:val="auto"/>
              </w:rPr>
              <w:t>Software</w:t>
            </w:r>
          </w:p>
        </w:tc>
        <w:tc>
          <w:tcPr>
            <w:tcW w:w="260" w:type="dxa"/>
            <w:vAlign w:val="bottom"/>
            <w:shd w:val="clear" w:color="auto" w:fill="B2B2B2"/>
          </w:tcPr>
          <w:p>
            <w:pPr>
              <w:spacing w:after="0"/>
              <w:rPr>
                <w:sz w:val="18"/>
                <w:szCs w:val="18"/>
                <w:color w:val="auto"/>
              </w:rPr>
            </w:pPr>
          </w:p>
        </w:tc>
        <w:tc>
          <w:tcPr>
            <w:tcW w:w="10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2,844</w:t>
            </w:r>
          </w:p>
        </w:tc>
        <w:tc>
          <w:tcPr>
            <w:tcW w:w="620" w:type="dxa"/>
            <w:vAlign w:val="bottom"/>
            <w:shd w:val="clear" w:color="auto" w:fill="B2B2B2"/>
          </w:tcPr>
          <w:p>
            <w:pPr>
              <w:spacing w:after="0"/>
              <w:rPr>
                <w:sz w:val="18"/>
                <w:szCs w:val="18"/>
                <w:color w:val="auto"/>
              </w:rPr>
            </w:pPr>
          </w:p>
        </w:tc>
        <w:tc>
          <w:tcPr>
            <w:tcW w:w="6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(824)</w:t>
            </w:r>
          </w:p>
        </w:tc>
        <w:tc>
          <w:tcPr>
            <w:tcW w:w="200" w:type="dxa"/>
            <w:vAlign w:val="bottom"/>
            <w:shd w:val="clear" w:color="auto" w:fill="B2B2B2"/>
          </w:tcPr>
          <w:p>
            <w:pPr>
              <w:spacing w:after="0"/>
              <w:rPr>
                <w:sz w:val="18"/>
                <w:szCs w:val="18"/>
                <w:color w:val="auto"/>
              </w:rPr>
            </w:pPr>
          </w:p>
        </w:tc>
        <w:tc>
          <w:tcPr>
            <w:tcW w:w="10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2,844</w:t>
            </w:r>
          </w:p>
        </w:tc>
        <w:tc>
          <w:tcPr>
            <w:tcW w:w="400" w:type="dxa"/>
            <w:vAlign w:val="bottom"/>
            <w:shd w:val="clear" w:color="auto" w:fill="B2B2B2"/>
          </w:tcPr>
          <w:p>
            <w:pPr>
              <w:spacing w:after="0"/>
              <w:rPr>
                <w:sz w:val="18"/>
                <w:szCs w:val="18"/>
                <w:color w:val="auto"/>
              </w:rPr>
            </w:pPr>
          </w:p>
        </w:tc>
        <w:tc>
          <w:tcPr>
            <w:tcW w:w="7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(731)</w:t>
            </w:r>
          </w:p>
        </w:tc>
        <w:tc>
          <w:tcPr>
            <w:tcW w:w="20" w:type="dxa"/>
            <w:vAlign w:val="bottom"/>
          </w:tcPr>
          <w:p>
            <w:pPr>
              <w:spacing w:after="0"/>
              <w:rPr>
                <w:sz w:val="18"/>
                <w:szCs w:val="18"/>
                <w:color w:val="auto"/>
              </w:rPr>
            </w:pPr>
          </w:p>
        </w:tc>
      </w:tr>
      <w:tr>
        <w:trPr>
          <w:trHeight w:val="215"/>
        </w:trPr>
        <w:tc>
          <w:tcPr>
            <w:tcW w:w="6320" w:type="dxa"/>
            <w:vAlign w:val="bottom"/>
            <w:gridSpan w:val="2"/>
          </w:tcPr>
          <w:p>
            <w:pPr>
              <w:spacing w:after="0"/>
              <w:rPr>
                <w:sz w:val="20"/>
                <w:szCs w:val="20"/>
                <w:color w:val="auto"/>
              </w:rPr>
            </w:pPr>
            <w:r>
              <w:rPr>
                <w:rFonts w:ascii="Arial" w:cs="Arial" w:eastAsia="Arial" w:hAnsi="Arial"/>
                <w:sz w:val="18"/>
                <w:szCs w:val="18"/>
                <w:color w:val="auto"/>
              </w:rPr>
              <w:t>Trade Name</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190</w:t>
            </w:r>
          </w:p>
        </w:tc>
        <w:tc>
          <w:tcPr>
            <w:tcW w:w="6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190</w:t>
            </w: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r>
      <w:tr>
        <w:trPr>
          <w:trHeight w:val="215"/>
        </w:trPr>
        <w:tc>
          <w:tcPr>
            <w:tcW w:w="6320" w:type="dxa"/>
            <w:vAlign w:val="bottom"/>
            <w:gridSpan w:val="2"/>
            <w:shd w:val="clear" w:color="auto" w:fill="B2B2B2"/>
          </w:tcPr>
          <w:p>
            <w:pPr>
              <w:ind w:left="18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B2B2B2"/>
          </w:tcPr>
          <w:p>
            <w:pPr>
              <w:spacing w:after="0"/>
              <w:rPr>
                <w:sz w:val="18"/>
                <w:szCs w:val="18"/>
                <w:color w:val="auto"/>
              </w:rPr>
            </w:pPr>
          </w:p>
        </w:tc>
        <w:tc>
          <w:tcPr>
            <w:tcW w:w="10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500</w:t>
            </w:r>
          </w:p>
        </w:tc>
        <w:tc>
          <w:tcPr>
            <w:tcW w:w="620" w:type="dxa"/>
            <w:vAlign w:val="bottom"/>
            <w:shd w:val="clear" w:color="auto" w:fill="B2B2B2"/>
          </w:tcPr>
          <w:p>
            <w:pPr>
              <w:spacing w:after="0"/>
              <w:rPr>
                <w:sz w:val="18"/>
                <w:szCs w:val="18"/>
                <w:color w:val="auto"/>
              </w:rPr>
            </w:pPr>
          </w:p>
        </w:tc>
        <w:tc>
          <w:tcPr>
            <w:tcW w:w="6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(300)</w:t>
            </w:r>
          </w:p>
        </w:tc>
        <w:tc>
          <w:tcPr>
            <w:tcW w:w="200" w:type="dxa"/>
            <w:vAlign w:val="bottom"/>
            <w:shd w:val="clear" w:color="auto" w:fill="B2B2B2"/>
          </w:tcPr>
          <w:p>
            <w:pPr>
              <w:spacing w:after="0"/>
              <w:rPr>
                <w:sz w:val="18"/>
                <w:szCs w:val="18"/>
                <w:color w:val="auto"/>
              </w:rPr>
            </w:pPr>
          </w:p>
        </w:tc>
        <w:tc>
          <w:tcPr>
            <w:tcW w:w="10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500</w:t>
            </w:r>
          </w:p>
        </w:tc>
        <w:tc>
          <w:tcPr>
            <w:tcW w:w="400" w:type="dxa"/>
            <w:vAlign w:val="bottom"/>
            <w:shd w:val="clear" w:color="auto" w:fill="B2B2B2"/>
          </w:tcPr>
          <w:p>
            <w:pPr>
              <w:spacing w:after="0"/>
              <w:rPr>
                <w:sz w:val="18"/>
                <w:szCs w:val="18"/>
                <w:color w:val="auto"/>
              </w:rPr>
            </w:pPr>
          </w:p>
        </w:tc>
        <w:tc>
          <w:tcPr>
            <w:tcW w:w="7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(291)</w:t>
            </w:r>
          </w:p>
        </w:tc>
        <w:tc>
          <w:tcPr>
            <w:tcW w:w="20" w:type="dxa"/>
            <w:vAlign w:val="bottom"/>
          </w:tcPr>
          <w:p>
            <w:pPr>
              <w:spacing w:after="0"/>
              <w:rPr>
                <w:sz w:val="18"/>
                <w:szCs w:val="18"/>
                <w:color w:val="auto"/>
              </w:rPr>
            </w:pPr>
          </w:p>
        </w:tc>
      </w:tr>
      <w:tr>
        <w:trPr>
          <w:trHeight w:val="215"/>
        </w:trPr>
        <w:tc>
          <w:tcPr>
            <w:tcW w:w="6320" w:type="dxa"/>
            <w:vAlign w:val="bottom"/>
            <w:gridSpan w:val="2"/>
          </w:tcPr>
          <w:p>
            <w:pPr>
              <w:spacing w:after="0"/>
              <w:rPr>
                <w:sz w:val="20"/>
                <w:szCs w:val="20"/>
                <w:color w:val="auto"/>
              </w:rPr>
            </w:pPr>
            <w:r>
              <w:rPr>
                <w:rFonts w:ascii="Arial" w:cs="Arial" w:eastAsia="Arial" w:hAnsi="Arial"/>
                <w:sz w:val="18"/>
                <w:szCs w:val="18"/>
                <w:color w:val="auto"/>
              </w:rPr>
              <w:t>Unamortized intangible assets:</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56"/>
        </w:trPr>
        <w:tc>
          <w:tcPr>
            <w:tcW w:w="6320" w:type="dxa"/>
            <w:vAlign w:val="bottom"/>
            <w:tcBorders>
              <w:bottom w:val="single" w:sz="8" w:color="auto"/>
            </w:tcBorders>
            <w:gridSpan w:val="2"/>
            <w:shd w:val="clear" w:color="auto" w:fill="B2B2B2"/>
          </w:tcPr>
          <w:p>
            <w:pPr>
              <w:ind w:left="180"/>
              <w:spacing w:after="0" w:line="256" w:lineRule="exact"/>
              <w:rPr>
                <w:sz w:val="20"/>
                <w:szCs w:val="20"/>
                <w:color w:val="auto"/>
              </w:rPr>
            </w:pPr>
            <w:r>
              <w:rPr>
                <w:rFonts w:ascii="Arial" w:cs="Arial" w:eastAsia="Arial" w:hAnsi="Arial"/>
                <w:sz w:val="18"/>
                <w:szCs w:val="18"/>
                <w:color w:val="auto"/>
              </w:rPr>
              <w:t>Goodwill</w:t>
            </w:r>
            <w:r>
              <w:rPr>
                <w:rFonts w:ascii="Arial" w:cs="Arial" w:eastAsia="Arial" w:hAnsi="Arial"/>
                <w:sz w:val="29"/>
                <w:szCs w:val="29"/>
                <w:color w:val="auto"/>
                <w:vertAlign w:val="superscript"/>
              </w:rPr>
              <w:t>1</w:t>
            </w:r>
          </w:p>
        </w:tc>
        <w:tc>
          <w:tcPr>
            <w:tcW w:w="260" w:type="dxa"/>
            <w:vAlign w:val="bottom"/>
            <w:tcBorders>
              <w:bottom w:val="single" w:sz="8" w:color="auto"/>
            </w:tcBorders>
            <w:shd w:val="clear" w:color="auto" w:fill="B2B2B2"/>
          </w:tcPr>
          <w:p>
            <w:pPr>
              <w:spacing w:after="0"/>
              <w:rPr>
                <w:sz w:val="22"/>
                <w:szCs w:val="22"/>
                <w:color w:val="auto"/>
              </w:rPr>
            </w:pPr>
          </w:p>
        </w:tc>
        <w:tc>
          <w:tcPr>
            <w:tcW w:w="104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14,489</w:t>
            </w:r>
          </w:p>
        </w:tc>
        <w:tc>
          <w:tcPr>
            <w:tcW w:w="620" w:type="dxa"/>
            <w:vAlign w:val="bottom"/>
            <w:tcBorders>
              <w:bottom w:val="single" w:sz="8" w:color="auto"/>
            </w:tcBorders>
            <w:shd w:val="clear" w:color="auto" w:fill="B2B2B2"/>
          </w:tcPr>
          <w:p>
            <w:pPr>
              <w:spacing w:after="0"/>
              <w:rPr>
                <w:sz w:val="22"/>
                <w:szCs w:val="22"/>
                <w:color w:val="auto"/>
              </w:rPr>
            </w:pPr>
          </w:p>
        </w:tc>
        <w:tc>
          <w:tcPr>
            <w:tcW w:w="60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(227)</w:t>
            </w:r>
          </w:p>
        </w:tc>
        <w:tc>
          <w:tcPr>
            <w:tcW w:w="200" w:type="dxa"/>
            <w:vAlign w:val="bottom"/>
            <w:tcBorders>
              <w:bottom w:val="single" w:sz="8" w:color="auto"/>
            </w:tcBorders>
            <w:shd w:val="clear" w:color="auto" w:fill="B2B2B2"/>
          </w:tcPr>
          <w:p>
            <w:pPr>
              <w:spacing w:after="0"/>
              <w:rPr>
                <w:sz w:val="22"/>
                <w:szCs w:val="22"/>
                <w:color w:val="auto"/>
              </w:rPr>
            </w:pPr>
          </w:p>
        </w:tc>
        <w:tc>
          <w:tcPr>
            <w:tcW w:w="10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14,489</w:t>
            </w:r>
          </w:p>
        </w:tc>
        <w:tc>
          <w:tcPr>
            <w:tcW w:w="400" w:type="dxa"/>
            <w:vAlign w:val="bottom"/>
            <w:tcBorders>
              <w:bottom w:val="single" w:sz="8" w:color="auto"/>
            </w:tcBorders>
            <w:shd w:val="clear" w:color="auto" w:fill="B2B2B2"/>
          </w:tcPr>
          <w:p>
            <w:pPr>
              <w:spacing w:after="0"/>
              <w:rPr>
                <w:sz w:val="22"/>
                <w:szCs w:val="22"/>
                <w:color w:val="auto"/>
              </w:rPr>
            </w:pPr>
          </w:p>
        </w:tc>
        <w:tc>
          <w:tcPr>
            <w:tcW w:w="7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(227)</w:t>
            </w:r>
          </w:p>
        </w:tc>
        <w:tc>
          <w:tcPr>
            <w:tcW w:w="20" w:type="dxa"/>
            <w:vAlign w:val="bottom"/>
          </w:tcPr>
          <w:p>
            <w:pPr>
              <w:spacing w:after="0"/>
              <w:rPr>
                <w:sz w:val="22"/>
                <w:szCs w:val="22"/>
                <w:color w:val="auto"/>
              </w:rPr>
            </w:pPr>
          </w:p>
        </w:tc>
      </w:tr>
      <w:tr>
        <w:trPr>
          <w:trHeight w:val="223"/>
        </w:trPr>
        <w:tc>
          <w:tcPr>
            <w:tcW w:w="6320" w:type="dxa"/>
            <w:vAlign w:val="bottom"/>
            <w:gridSpan w:val="2"/>
          </w:tcPr>
          <w:p>
            <w:pPr>
              <w:spacing w:after="0"/>
              <w:rPr>
                <w:sz w:val="20"/>
                <w:szCs w:val="20"/>
                <w:color w:val="auto"/>
              </w:rPr>
            </w:pPr>
            <w:r>
              <w:rPr>
                <w:rFonts w:ascii="Arial" w:cs="Arial" w:eastAsia="Arial" w:hAnsi="Arial"/>
                <w:sz w:val="18"/>
                <w:szCs w:val="18"/>
                <w:color w:val="auto"/>
              </w:rPr>
              <w:t>Total intangible assets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23,205</w:t>
            </w:r>
          </w:p>
        </w:tc>
        <w:tc>
          <w:tcPr>
            <w:tcW w:w="6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1"/>
              </w:rPr>
              <w:t>(5,735)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23,205</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(5,520)</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955" cy="25400"/>
                    </a:xfrm>
                    <a:prstGeom prst="rect">
                      <a:avLst/>
                    </a:prstGeom>
                    <a:noFill/>
                  </pic:spPr>
                </pic:pic>
              </a:graphicData>
            </a:graphic>
          </wp:anchor>
        </w:drawing>
      </w:r>
    </w:p>
    <w:p>
      <w:pPr>
        <w:ind w:left="120" w:hanging="112"/>
        <w:spacing w:after="0"/>
        <w:tabs>
          <w:tab w:leader="none" w:pos="120" w:val="left"/>
        </w:tabs>
        <w:numPr>
          <w:ilvl w:val="0"/>
          <w:numId w:val="3"/>
        </w:numPr>
        <w:rPr>
          <w:rFonts w:ascii="Arial" w:cs="Arial" w:eastAsia="Arial" w:hAnsi="Arial"/>
          <w:sz w:val="12"/>
          <w:szCs w:val="12"/>
          <w:color w:val="auto"/>
        </w:rPr>
      </w:pPr>
      <w:r>
        <w:rPr>
          <w:rFonts w:ascii="Arial" w:cs="Arial" w:eastAsia="Arial" w:hAnsi="Arial"/>
          <w:sz w:val="14"/>
          <w:szCs w:val="14"/>
          <w:color w:val="auto"/>
        </w:rPr>
        <w:t>Amortization through December 31, 2001 prior to adoption of FASB ASC 350.</w:t>
      </w:r>
    </w:p>
    <w:p>
      <w:pPr>
        <w:spacing w:after="0" w:line="37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customer lists are amortized over 7 and 10 years; the patents over 18 years; the non-compete agreements over 2 and 5 years; software over 3 years and 7 years, the trade name over 20 years and other intangible assets over 15 years. Amortization of intangible assets amounted to $215,000 for both the three-month periods ended March 31, 2021 and 2020. Estimated future amortization of intangibles is $859,000 in 2021, $540,000 in both 2022 and 2023, $498,000 in 2024, and $490,000 in 2025.</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Note 3 – Earnings Per Share</w:t>
      </w:r>
    </w:p>
    <w:p>
      <w:pPr>
        <w:spacing w:after="0" w:line="2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Basic earnings per share is computed by dividing net income by the weighted-average number of common shares outstanding. Diluted earnings per share is computed by dividing net income by the sum of the weighted-average number of common shares outstanding and the weighted-average number of potential common shares outstanding. Under the treasury stock method, stock appreciation rights (“SARs”) are dilutive when the average market price of the Company’s common stock, combined with the effect of any unamortized compensation expense, exceeds the SAR price during a period. Anti-dilutive shares are those SARs with prices in excess of the current market value. The calculations of basic and diluted earnings per share are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6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0"/>
              </w:rPr>
              <w:t>Three Months Ended</w:t>
            </w:r>
          </w:p>
        </w:tc>
      </w:tr>
      <w:tr>
        <w:trPr>
          <w:trHeight w:val="241"/>
        </w:trPr>
        <w:tc>
          <w:tcPr>
            <w:tcW w:w="8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6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3"/>
              </w:rPr>
              <w:t>March 31,</w:t>
            </w:r>
          </w:p>
        </w:tc>
      </w:tr>
      <w:tr>
        <w:trPr>
          <w:trHeight w:val="215"/>
        </w:trPr>
        <w:tc>
          <w:tcPr>
            <w:tcW w:w="8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 except share and per share data)</w:t>
            </w:r>
          </w:p>
        </w:tc>
        <w:tc>
          <w:tcPr>
            <w:tcW w:w="3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8"/>
                <w:szCs w:val="18"/>
                <w:color w:val="auto"/>
              </w:rPr>
            </w:pPr>
          </w:p>
        </w:tc>
      </w:tr>
      <w:tr>
        <w:trPr>
          <w:trHeight w:val="209"/>
        </w:trPr>
        <w:tc>
          <w:tcPr>
            <w:tcW w:w="8780" w:type="dxa"/>
            <w:vAlign w:val="bottom"/>
            <w:shd w:val="clear" w:color="auto" w:fill="B2B2B2"/>
          </w:tcPr>
          <w:p>
            <w:pPr>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B2B2B2"/>
          </w:tcPr>
          <w:p>
            <w:pPr>
              <w:spacing w:after="0"/>
              <w:rPr>
                <w:sz w:val="18"/>
                <w:szCs w:val="18"/>
                <w:color w:val="auto"/>
              </w:rPr>
            </w:pPr>
          </w:p>
        </w:tc>
        <w:tc>
          <w:tcPr>
            <w:tcW w:w="98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878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7,071</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7,545</w:t>
            </w:r>
          </w:p>
        </w:tc>
        <w:tc>
          <w:tcPr>
            <w:tcW w:w="20" w:type="dxa"/>
            <w:vAlign w:val="bottom"/>
          </w:tcPr>
          <w:p>
            <w:pPr>
              <w:spacing w:after="0"/>
              <w:rPr>
                <w:sz w:val="18"/>
                <w:szCs w:val="18"/>
                <w:color w:val="auto"/>
              </w:rPr>
            </w:pPr>
          </w:p>
        </w:tc>
      </w:tr>
      <w:tr>
        <w:trPr>
          <w:trHeight w:val="215"/>
        </w:trPr>
        <w:tc>
          <w:tcPr>
            <w:tcW w:w="8780" w:type="dxa"/>
            <w:vAlign w:val="bottom"/>
            <w:shd w:val="clear" w:color="auto" w:fill="B2B2B2"/>
          </w:tcPr>
          <w:p>
            <w:pPr>
              <w:ind w:left="180"/>
              <w:spacing w:after="0"/>
              <w:rPr>
                <w:sz w:val="20"/>
                <w:szCs w:val="20"/>
                <w:color w:val="auto"/>
              </w:rPr>
            </w:pPr>
            <w:r>
              <w:rPr>
                <w:rFonts w:ascii="Arial" w:cs="Arial" w:eastAsia="Arial" w:hAnsi="Arial"/>
                <w:sz w:val="18"/>
                <w:szCs w:val="18"/>
                <w:color w:val="auto"/>
              </w:rPr>
              <w:t>Weighted-average common shares outstanding</w:t>
            </w:r>
          </w:p>
        </w:tc>
        <w:tc>
          <w:tcPr>
            <w:tcW w:w="32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Arial" w:cs="Arial" w:eastAsia="Arial" w:hAnsi="Arial"/>
                <w:sz w:val="18"/>
                <w:szCs w:val="18"/>
                <w:color w:val="auto"/>
                <w:w w:val="99"/>
              </w:rPr>
              <w:t>14,312,260</w:t>
            </w:r>
          </w:p>
        </w:tc>
        <w:tc>
          <w:tcPr>
            <w:tcW w:w="260" w:type="dxa"/>
            <w:vAlign w:val="bottom"/>
            <w:shd w:val="clear" w:color="auto" w:fill="B2B2B2"/>
          </w:tcPr>
          <w:p>
            <w:pPr>
              <w:spacing w:after="0"/>
              <w:rPr>
                <w:sz w:val="18"/>
                <w:szCs w:val="18"/>
                <w:color w:val="auto"/>
              </w:rPr>
            </w:pPr>
          </w:p>
        </w:tc>
        <w:tc>
          <w:tcPr>
            <w:tcW w:w="900" w:type="dxa"/>
            <w:vAlign w:val="bottom"/>
            <w:shd w:val="clear" w:color="auto" w:fill="B2B2B2"/>
          </w:tcPr>
          <w:p>
            <w:pPr>
              <w:jc w:val="right"/>
              <w:spacing w:after="0"/>
              <w:rPr>
                <w:sz w:val="20"/>
                <w:szCs w:val="20"/>
                <w:color w:val="auto"/>
              </w:rPr>
            </w:pPr>
            <w:r>
              <w:rPr>
                <w:rFonts w:ascii="Arial" w:cs="Arial" w:eastAsia="Arial" w:hAnsi="Arial"/>
                <w:sz w:val="18"/>
                <w:szCs w:val="18"/>
                <w:color w:val="auto"/>
                <w:w w:val="97"/>
              </w:rPr>
              <w:t>14,422,813</w:t>
            </w:r>
          </w:p>
        </w:tc>
        <w:tc>
          <w:tcPr>
            <w:tcW w:w="20" w:type="dxa"/>
            <w:vAlign w:val="bottom"/>
          </w:tcPr>
          <w:p>
            <w:pPr>
              <w:spacing w:after="0"/>
              <w:rPr>
                <w:sz w:val="18"/>
                <w:szCs w:val="18"/>
                <w:color w:val="auto"/>
              </w:rPr>
            </w:pPr>
          </w:p>
        </w:tc>
      </w:tr>
      <w:tr>
        <w:trPr>
          <w:trHeight w:val="215"/>
        </w:trPr>
        <w:tc>
          <w:tcPr>
            <w:tcW w:w="878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Basic earnings per share</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r>
      <w:tr>
        <w:trPr>
          <w:trHeight w:val="209"/>
        </w:trPr>
        <w:tc>
          <w:tcPr>
            <w:tcW w:w="8780" w:type="dxa"/>
            <w:vAlign w:val="bottom"/>
            <w:tcBorders>
              <w:bottom w:val="single" w:sz="8" w:color="auto"/>
            </w:tcBorders>
            <w:shd w:val="clear" w:color="auto" w:fill="B2B2B2"/>
          </w:tcPr>
          <w:p>
            <w:pPr>
              <w:spacing w:after="0"/>
              <w:rPr>
                <w:sz w:val="18"/>
                <w:szCs w:val="18"/>
                <w:color w:val="auto"/>
              </w:rPr>
            </w:pPr>
          </w:p>
        </w:tc>
        <w:tc>
          <w:tcPr>
            <w:tcW w:w="320" w:type="dxa"/>
            <w:vAlign w:val="bottom"/>
            <w:tcBorders>
              <w:bottom w:val="single" w:sz="8" w:color="auto"/>
            </w:tcBorders>
            <w:shd w:val="clear" w:color="auto" w:fill="B2B2B2"/>
          </w:tcPr>
          <w:p>
            <w:pPr>
              <w:spacing w:after="0"/>
              <w:rPr>
                <w:sz w:val="18"/>
                <w:szCs w:val="18"/>
                <w:color w:val="auto"/>
              </w:rPr>
            </w:pPr>
          </w:p>
        </w:tc>
        <w:tc>
          <w:tcPr>
            <w:tcW w:w="980" w:type="dxa"/>
            <w:vAlign w:val="bottom"/>
            <w:tcBorders>
              <w:bottom w:val="single" w:sz="8" w:color="auto"/>
            </w:tcBorders>
            <w:shd w:val="clear" w:color="auto" w:fill="B2B2B2"/>
          </w:tcPr>
          <w:p>
            <w:pPr>
              <w:spacing w:after="0"/>
              <w:rPr>
                <w:sz w:val="18"/>
                <w:szCs w:val="18"/>
                <w:color w:val="auto"/>
              </w:rPr>
            </w:pPr>
          </w:p>
        </w:tc>
        <w:tc>
          <w:tcPr>
            <w:tcW w:w="260" w:type="dxa"/>
            <w:vAlign w:val="bottom"/>
            <w:tcBorders>
              <w:bottom w:val="single" w:sz="8" w:color="auto"/>
            </w:tcBorders>
            <w:shd w:val="clear" w:color="auto" w:fill="B2B2B2"/>
          </w:tcPr>
          <w:p>
            <w:pPr>
              <w:spacing w:after="0"/>
              <w:rPr>
                <w:sz w:val="18"/>
                <w:szCs w:val="18"/>
                <w:color w:val="auto"/>
              </w:rPr>
            </w:pPr>
          </w:p>
        </w:tc>
        <w:tc>
          <w:tcPr>
            <w:tcW w:w="900" w:type="dxa"/>
            <w:vAlign w:val="bottom"/>
            <w:tcBorders>
              <w:bottom w:val="single" w:sz="8" w:color="auto"/>
            </w:tcBorders>
            <w:shd w:val="clear" w:color="auto" w:fill="B2B2B2"/>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8780" w:type="dxa"/>
            <w:vAlign w:val="bottom"/>
          </w:tcPr>
          <w:p>
            <w:pPr>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8780" w:type="dxa"/>
            <w:vAlign w:val="bottom"/>
            <w:shd w:val="clear" w:color="auto" w:fill="B2B2B2"/>
          </w:tcPr>
          <w:p>
            <w:pPr>
              <w:ind w:left="180"/>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7,071</w:t>
            </w:r>
          </w:p>
        </w:tc>
        <w:tc>
          <w:tcPr>
            <w:tcW w:w="26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7,545</w:t>
            </w:r>
          </w:p>
        </w:tc>
        <w:tc>
          <w:tcPr>
            <w:tcW w:w="20" w:type="dxa"/>
            <w:vAlign w:val="bottom"/>
          </w:tcPr>
          <w:p>
            <w:pPr>
              <w:spacing w:after="0"/>
              <w:rPr>
                <w:sz w:val="18"/>
                <w:szCs w:val="18"/>
                <w:color w:val="auto"/>
              </w:rPr>
            </w:pPr>
          </w:p>
        </w:tc>
      </w:tr>
      <w:tr>
        <w:trPr>
          <w:trHeight w:val="215"/>
        </w:trPr>
        <w:tc>
          <w:tcPr>
            <w:tcW w:w="8780" w:type="dxa"/>
            <w:vAlign w:val="bottom"/>
          </w:tcPr>
          <w:p>
            <w:pPr>
              <w:ind w:left="180"/>
              <w:spacing w:after="0"/>
              <w:rPr>
                <w:sz w:val="20"/>
                <w:szCs w:val="20"/>
                <w:color w:val="auto"/>
              </w:rPr>
            </w:pPr>
            <w:r>
              <w:rPr>
                <w:rFonts w:ascii="Arial" w:cs="Arial" w:eastAsia="Arial" w:hAnsi="Arial"/>
                <w:sz w:val="18"/>
                <w:szCs w:val="18"/>
                <w:color w:val="auto"/>
              </w:rPr>
              <w:t>Weighted-average common shares outstanding</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14,312,260</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14,422,813</w:t>
            </w:r>
          </w:p>
        </w:tc>
        <w:tc>
          <w:tcPr>
            <w:tcW w:w="20" w:type="dxa"/>
            <w:vAlign w:val="bottom"/>
          </w:tcPr>
          <w:p>
            <w:pPr>
              <w:spacing w:after="0"/>
              <w:rPr>
                <w:sz w:val="18"/>
                <w:szCs w:val="18"/>
                <w:color w:val="auto"/>
              </w:rPr>
            </w:pPr>
          </w:p>
        </w:tc>
      </w:tr>
      <w:tr>
        <w:trPr>
          <w:trHeight w:val="215"/>
        </w:trPr>
        <w:tc>
          <w:tcPr>
            <w:tcW w:w="8780" w:type="dxa"/>
            <w:vAlign w:val="bottom"/>
            <w:tcBorders>
              <w:bottom w:val="single" w:sz="8" w:color="auto"/>
            </w:tcBorders>
            <w:shd w:val="clear" w:color="auto" w:fill="B2B2B2"/>
          </w:tcPr>
          <w:p>
            <w:pPr>
              <w:ind w:left="180"/>
              <w:spacing w:after="0"/>
              <w:rPr>
                <w:sz w:val="20"/>
                <w:szCs w:val="20"/>
                <w:color w:val="auto"/>
              </w:rPr>
            </w:pPr>
            <w:r>
              <w:rPr>
                <w:rFonts w:ascii="Arial" w:cs="Arial" w:eastAsia="Arial" w:hAnsi="Arial"/>
                <w:sz w:val="18"/>
                <w:szCs w:val="18"/>
                <w:color w:val="auto"/>
              </w:rPr>
              <w:t>Effect of dilutive restricted stock and stock appreciation rights</w:t>
            </w:r>
          </w:p>
        </w:tc>
        <w:tc>
          <w:tcPr>
            <w:tcW w:w="320" w:type="dxa"/>
            <w:vAlign w:val="bottom"/>
            <w:tcBorders>
              <w:bottom w:val="single" w:sz="8" w:color="auto"/>
            </w:tcBorders>
            <w:shd w:val="clear" w:color="auto" w:fill="B2B2B2"/>
          </w:tcPr>
          <w:p>
            <w:pPr>
              <w:spacing w:after="0"/>
              <w:rPr>
                <w:sz w:val="18"/>
                <w:szCs w:val="18"/>
                <w:color w:val="auto"/>
              </w:rPr>
            </w:pPr>
          </w:p>
        </w:tc>
        <w:tc>
          <w:tcPr>
            <w:tcW w:w="9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220,809</w:t>
            </w:r>
          </w:p>
        </w:tc>
        <w:tc>
          <w:tcPr>
            <w:tcW w:w="260" w:type="dxa"/>
            <w:vAlign w:val="bottom"/>
            <w:tcBorders>
              <w:bottom w:val="single" w:sz="8" w:color="auto"/>
            </w:tcBorders>
            <w:shd w:val="clear" w:color="auto" w:fill="B2B2B2"/>
          </w:tcPr>
          <w:p>
            <w:pPr>
              <w:spacing w:after="0"/>
              <w:rPr>
                <w:sz w:val="18"/>
                <w:szCs w:val="18"/>
                <w:color w:val="auto"/>
              </w:rPr>
            </w:pPr>
          </w:p>
        </w:tc>
        <w:tc>
          <w:tcPr>
            <w:tcW w:w="90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207,700</w:t>
            </w:r>
          </w:p>
        </w:tc>
        <w:tc>
          <w:tcPr>
            <w:tcW w:w="20" w:type="dxa"/>
            <w:vAlign w:val="bottom"/>
          </w:tcPr>
          <w:p>
            <w:pPr>
              <w:spacing w:after="0"/>
              <w:rPr>
                <w:sz w:val="18"/>
                <w:szCs w:val="18"/>
                <w:color w:val="auto"/>
              </w:rPr>
            </w:pPr>
          </w:p>
        </w:tc>
      </w:tr>
      <w:tr>
        <w:trPr>
          <w:trHeight w:val="209"/>
        </w:trPr>
        <w:tc>
          <w:tcPr>
            <w:tcW w:w="8780" w:type="dxa"/>
            <w:vAlign w:val="bottom"/>
          </w:tcPr>
          <w:p>
            <w:pPr>
              <w:ind w:left="180"/>
              <w:spacing w:after="0"/>
              <w:rPr>
                <w:sz w:val="20"/>
                <w:szCs w:val="20"/>
                <w:color w:val="auto"/>
              </w:rPr>
            </w:pPr>
            <w:r>
              <w:rPr>
                <w:rFonts w:ascii="Arial" w:cs="Arial" w:eastAsia="Arial" w:hAnsi="Arial"/>
                <w:sz w:val="18"/>
                <w:szCs w:val="18"/>
                <w:color w:val="auto"/>
              </w:rPr>
              <w:t>Weighted-average common shares outstanding assuming dilution</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14,533,069</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14,630,513</w:t>
            </w:r>
          </w:p>
        </w:tc>
        <w:tc>
          <w:tcPr>
            <w:tcW w:w="20" w:type="dxa"/>
            <w:vAlign w:val="bottom"/>
          </w:tcPr>
          <w:p>
            <w:pPr>
              <w:spacing w:after="0"/>
              <w:rPr>
                <w:sz w:val="18"/>
                <w:szCs w:val="18"/>
                <w:color w:val="auto"/>
              </w:rPr>
            </w:pPr>
          </w:p>
        </w:tc>
      </w:tr>
      <w:tr>
        <w:trPr>
          <w:trHeight w:val="215"/>
        </w:trPr>
        <w:tc>
          <w:tcPr>
            <w:tcW w:w="8780" w:type="dxa"/>
            <w:vAlign w:val="bottom"/>
            <w:tcBorders>
              <w:bottom w:val="single" w:sz="8" w:color="auto"/>
            </w:tcBorders>
            <w:shd w:val="clear" w:color="auto" w:fill="B2B2B2"/>
          </w:tcPr>
          <w:p>
            <w:pPr>
              <w:ind w:left="540"/>
              <w:spacing w:after="0"/>
              <w:rPr>
                <w:sz w:val="20"/>
                <w:szCs w:val="20"/>
                <w:color w:val="auto"/>
              </w:rPr>
            </w:pPr>
            <w:r>
              <w:rPr>
                <w:rFonts w:ascii="Arial" w:cs="Arial" w:eastAsia="Arial" w:hAnsi="Arial"/>
                <w:sz w:val="18"/>
                <w:szCs w:val="18"/>
                <w:color w:val="auto"/>
              </w:rPr>
              <w:t>Diluted earnings per share</w:t>
            </w:r>
          </w:p>
        </w:tc>
        <w:tc>
          <w:tcPr>
            <w:tcW w:w="320" w:type="dxa"/>
            <w:vAlign w:val="bottom"/>
            <w:tcBorders>
              <w:bottom w:val="single" w:sz="8" w:color="auto"/>
            </w:tcBorders>
            <w:shd w:val="clear" w:color="auto" w:fill="B2B2B2"/>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.49</w:t>
            </w:r>
          </w:p>
        </w:tc>
        <w:tc>
          <w:tcPr>
            <w:tcW w:w="260" w:type="dxa"/>
            <w:vAlign w:val="bottom"/>
            <w:tcBorders>
              <w:bottom w:val="single" w:sz="8" w:color="auto"/>
            </w:tcBorders>
            <w:shd w:val="clear" w:color="auto" w:fill="B2B2B2"/>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.52</w:t>
            </w:r>
          </w:p>
        </w:tc>
        <w:tc>
          <w:tcPr>
            <w:tcW w:w="20" w:type="dxa"/>
            <w:vAlign w:val="bottom"/>
            <w:tcBorders>
              <w:bottom w:val="single" w:sz="8" w:color="auto"/>
            </w:tcBorders>
          </w:tcPr>
          <w:p>
            <w:pPr>
              <w:spacing w:after="0"/>
              <w:rPr>
                <w:sz w:val="18"/>
                <w:szCs w:val="18"/>
                <w:color w:val="auto"/>
              </w:rPr>
            </w:pPr>
          </w:p>
        </w:tc>
      </w:tr>
    </w:tbl>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Note 4 – Stock Repurchases</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maintains a treasury stock buyback program pursuant to which the Board of Directors has authorized the repurchase of up to 500,000 shares of the Company’s common stock. As restored by the Board of Directors in October 2020, the program provides that the Company may repurchase up to an aggregate of 500,000 shares of common stock and has no expiration date. As of March 31, 2021, 434,622 shares remained available for repurchase under the program. The Company repurchased 31,256 shares during the three-month period ended March 31, 2021 and 128,779 shares during the three-month period ended March 31, 2020. Repurchases may be made in the open market or through negotiated transactions from time to time depending on market conditions.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8355" cy="596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355" cy="5969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Note 5 – Industry Segment Information</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services provided by the Company are classified into two reportable segments: Information Services and Banking Services. Each of these segments provides distinct services that are marketed through different channels. They are managed separately due to their unique service and processing requirements.</w:t>
      </w:r>
    </w:p>
    <w:p>
      <w:pPr>
        <w:spacing w:after="0" w:line="15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Services segment provides transportation, energy, telecommunication, and environmental invoice processing and payment services to large corporations. The Banking Services segment provides banking services primarily to privately held businesses and faith-based ministries, including on-line generosity services, as well as supporting the banking needs of the Information Services segment.</w:t>
      </w:r>
    </w:p>
    <w:p>
      <w:pPr>
        <w:spacing w:after="0" w:line="16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Company’s accounting policies for segments are the same as those described in the summary of significant accounting policies in the Company’s Annual Report on Form 10-K for the year ended December 31, 2020. Management evaluates segment performance based on tax-equivalized (as defined in the footnote to the chart on the following table) pre-tax income after allocations for corporate expenses. Transactions between segments are accounted for at what management believes to be fair value.</w:t>
      </w:r>
    </w:p>
    <w:p>
      <w:pPr>
        <w:spacing w:after="0" w:line="174"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Substantially all revenue originates from, and all long-lived assets are located within the United States, and no revenue from any customer of any segment exceeds 10% of the Company’s consolidated revenue.</w:t>
      </w:r>
    </w:p>
    <w:p>
      <w:pPr>
        <w:spacing w:after="0" w:line="143"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auto"/>
        </w:rPr>
        <w:t>Funding sources represent average balances and deposits generated by Information Services and Banking Services and there is no allocation methodology used. Segment interest income is a function of the relative share of average funding sources generated by each segment multiplied by the following rates:</w:t>
      </w:r>
    </w:p>
    <w:p>
      <w:pPr>
        <w:ind w:left="640" w:hanging="309"/>
        <w:spacing w:after="0" w:line="224" w:lineRule="auto"/>
        <w:tabs>
          <w:tab w:leader="none" w:pos="640" w:val="left"/>
        </w:tabs>
        <w:numPr>
          <w:ilvl w:val="0"/>
          <w:numId w:val="4"/>
        </w:numPr>
        <w:rPr>
          <w:rFonts w:ascii="Arial" w:cs="Arial" w:eastAsia="Arial" w:hAnsi="Arial"/>
          <w:sz w:val="32"/>
          <w:szCs w:val="32"/>
          <w:color w:val="auto"/>
        </w:rPr>
      </w:pPr>
      <w:r>
        <w:rPr>
          <w:rFonts w:ascii="Arial" w:cs="Arial" w:eastAsia="Arial" w:hAnsi="Arial"/>
          <w:sz w:val="18"/>
          <w:szCs w:val="18"/>
          <w:color w:val="auto"/>
        </w:rPr>
        <w:t>Information Services – one or more fixed rates depending upon the specific characteristics of the funding source, and</w:t>
      </w:r>
    </w:p>
    <w:p>
      <w:pPr>
        <w:spacing w:after="0" w:line="55" w:lineRule="exact"/>
        <w:rPr>
          <w:rFonts w:ascii="Arial" w:cs="Arial" w:eastAsia="Arial" w:hAnsi="Arial"/>
          <w:sz w:val="32"/>
          <w:szCs w:val="32"/>
          <w:color w:val="auto"/>
        </w:rPr>
      </w:pPr>
    </w:p>
    <w:p>
      <w:pPr>
        <w:ind w:left="640" w:hanging="309"/>
        <w:spacing w:after="0" w:line="186" w:lineRule="auto"/>
        <w:tabs>
          <w:tab w:leader="none" w:pos="640" w:val="left"/>
        </w:tabs>
        <w:numPr>
          <w:ilvl w:val="0"/>
          <w:numId w:val="4"/>
        </w:numPr>
        <w:rPr>
          <w:rFonts w:ascii="Arial" w:cs="Arial" w:eastAsia="Arial" w:hAnsi="Arial"/>
          <w:sz w:val="24"/>
          <w:szCs w:val="24"/>
          <w:color w:val="auto"/>
        </w:rPr>
      </w:pPr>
      <w:r>
        <w:rPr>
          <w:rFonts w:ascii="Arial" w:cs="Arial" w:eastAsia="Arial" w:hAnsi="Arial"/>
          <w:sz w:val="15"/>
          <w:szCs w:val="15"/>
          <w:color w:val="auto"/>
        </w:rPr>
        <w:t>Banking Services – a variable rate that is based upon the overall performance of the Company’s earning assets.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Any difference between total segment interest income and overall total Company interest income is included in Corporate, Eliminations, and Other.</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8355" cy="596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355" cy="5969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2">
              <w:r>
                <w:rPr>
                  <w:rFonts w:ascii="Arial" w:cs="Arial" w:eastAsia="Arial" w:hAnsi="Arial"/>
                  <w:sz w:val="18"/>
                  <w:szCs w:val="18"/>
                  <w:b w:val="1"/>
                  <w:bCs w:val="1"/>
                  <w:color w:val="0000EE"/>
                  <w:w w:val="88"/>
                </w:rPr>
                <w:t>Table of Contents</w:t>
              </w:r>
            </w:hyperlink>
          </w:p>
        </w:tc>
        <w:tc>
          <w:tcPr>
            <w:tcW w:w="34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438"/>
        </w:trPr>
        <w:tc>
          <w:tcPr>
            <w:tcW w:w="7040" w:type="dxa"/>
            <w:vAlign w:val="bottom"/>
            <w:gridSpan w:val="3"/>
          </w:tcPr>
          <w:p>
            <w:pPr>
              <w:spacing w:after="0"/>
              <w:rPr>
                <w:sz w:val="20"/>
                <w:szCs w:val="20"/>
                <w:color w:val="auto"/>
              </w:rPr>
            </w:pPr>
            <w:r>
              <w:rPr>
                <w:rFonts w:ascii="Arial" w:cs="Arial" w:eastAsia="Arial" w:hAnsi="Arial"/>
                <w:sz w:val="18"/>
                <w:szCs w:val="18"/>
                <w:color w:val="auto"/>
                <w:w w:val="91"/>
              </w:rPr>
              <w:t>Summarized information about the Company’s operations in each industry segment is as follows:</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72"/>
        </w:trPr>
        <w:tc>
          <w:tcPr>
            <w:tcW w:w="13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Corporate,</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5"/>
        </w:trPr>
        <w:tc>
          <w:tcPr>
            <w:tcW w:w="136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180" w:type="dxa"/>
            <w:vAlign w:val="bottom"/>
            <w:gridSpan w:val="2"/>
          </w:tcPr>
          <w:p>
            <w:pPr>
              <w:ind w:left="2140"/>
              <w:spacing w:after="0"/>
              <w:rPr>
                <w:sz w:val="20"/>
                <w:szCs w:val="20"/>
                <w:color w:val="auto"/>
              </w:rPr>
            </w:pPr>
            <w:r>
              <w:rPr>
                <w:rFonts w:ascii="Arial" w:cs="Arial" w:eastAsia="Arial" w:hAnsi="Arial"/>
                <w:sz w:val="18"/>
                <w:szCs w:val="18"/>
                <w:b w:val="1"/>
                <w:bCs w:val="1"/>
                <w:color w:val="auto"/>
              </w:rPr>
              <w:t>Information</w:t>
            </w:r>
          </w:p>
        </w:tc>
        <w:tc>
          <w:tcPr>
            <w:tcW w:w="220" w:type="dxa"/>
            <w:vAlign w:val="bottom"/>
          </w:tcPr>
          <w:p>
            <w:pPr>
              <w:spacing w:after="0"/>
              <w:rPr>
                <w:sz w:val="18"/>
                <w:szCs w:val="18"/>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Banking</w:t>
            </w:r>
          </w:p>
        </w:tc>
        <w:tc>
          <w:tcPr>
            <w:tcW w:w="1100" w:type="dxa"/>
            <w:vAlign w:val="bottom"/>
            <w:gridSpan w:val="2"/>
          </w:tcPr>
          <w:p>
            <w:pPr>
              <w:ind w:left="60"/>
              <w:spacing w:after="0"/>
              <w:rPr>
                <w:sz w:val="20"/>
                <w:szCs w:val="20"/>
                <w:color w:val="auto"/>
              </w:rPr>
            </w:pPr>
            <w:r>
              <w:rPr>
                <w:rFonts w:ascii="Arial" w:cs="Arial" w:eastAsia="Arial" w:hAnsi="Arial"/>
                <w:sz w:val="18"/>
                <w:szCs w:val="18"/>
                <w:b w:val="1"/>
                <w:bCs w:val="1"/>
                <w:color w:val="auto"/>
                <w:w w:val="95"/>
              </w:rPr>
              <w:t>Eliminations</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41"/>
        </w:trPr>
        <w:tc>
          <w:tcPr>
            <w:tcW w:w="4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2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86"/>
              </w:rPr>
              <w:t>Services</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86"/>
              </w:rPr>
              <w:t>Services</w:t>
            </w:r>
          </w:p>
        </w:tc>
        <w:tc>
          <w:tcPr>
            <w:tcW w:w="110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rPr>
              <w:t>and Other</w:t>
            </w: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Total</w:t>
            </w:r>
          </w:p>
        </w:tc>
      </w:tr>
      <w:tr>
        <w:trPr>
          <w:trHeight w:val="215"/>
        </w:trPr>
        <w:tc>
          <w:tcPr>
            <w:tcW w:w="4780" w:type="dxa"/>
            <w:vAlign w:val="bottom"/>
            <w:gridSpan w:val="2"/>
            <w:shd w:val="clear" w:color="auto" w:fill="B2B2B2"/>
          </w:tcPr>
          <w:p>
            <w:pPr>
              <w:spacing w:after="0"/>
              <w:rPr>
                <w:sz w:val="20"/>
                <w:szCs w:val="20"/>
                <w:color w:val="auto"/>
              </w:rPr>
            </w:pPr>
            <w:r>
              <w:rPr>
                <w:rFonts w:ascii="Arial" w:cs="Arial" w:eastAsia="Arial" w:hAnsi="Arial"/>
                <w:sz w:val="18"/>
                <w:szCs w:val="18"/>
                <w:i w:val="1"/>
                <w:iCs w:val="1"/>
                <w:color w:val="auto"/>
              </w:rPr>
              <w:t>Three Months Ended March 31, 2021</w:t>
            </w:r>
          </w:p>
        </w:tc>
        <w:tc>
          <w:tcPr>
            <w:tcW w:w="2260" w:type="dxa"/>
            <w:vAlign w:val="bottom"/>
            <w:shd w:val="clear" w:color="auto" w:fill="B2B2B2"/>
          </w:tcPr>
          <w:p>
            <w:pPr>
              <w:spacing w:after="0"/>
              <w:rPr>
                <w:sz w:val="18"/>
                <w:szCs w:val="18"/>
                <w:color w:val="auto"/>
              </w:rPr>
            </w:pPr>
          </w:p>
        </w:tc>
        <w:tc>
          <w:tcPr>
            <w:tcW w:w="92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80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800" w:type="dxa"/>
            <w:vAlign w:val="bottom"/>
            <w:shd w:val="clear" w:color="auto" w:fill="B2B2B2"/>
          </w:tcPr>
          <w:p>
            <w:pPr>
              <w:spacing w:after="0"/>
              <w:rPr>
                <w:sz w:val="18"/>
                <w:szCs w:val="18"/>
                <w:color w:val="auto"/>
              </w:rPr>
            </w:pPr>
          </w:p>
        </w:tc>
      </w:tr>
      <w:tr>
        <w:trPr>
          <w:trHeight w:val="215"/>
        </w:trPr>
        <w:tc>
          <w:tcPr>
            <w:tcW w:w="4780" w:type="dxa"/>
            <w:vAlign w:val="bottom"/>
            <w:gridSpan w:val="2"/>
          </w:tcPr>
          <w:p>
            <w:pPr>
              <w:ind w:left="180"/>
              <w:spacing w:after="0"/>
              <w:rPr>
                <w:sz w:val="20"/>
                <w:szCs w:val="20"/>
                <w:color w:val="auto"/>
              </w:rPr>
            </w:pPr>
            <w:r>
              <w:rPr>
                <w:rFonts w:ascii="Arial" w:cs="Arial" w:eastAsia="Arial" w:hAnsi="Arial"/>
                <w:sz w:val="18"/>
                <w:szCs w:val="18"/>
                <w:color w:val="auto"/>
              </w:rPr>
              <w:t>Fee income</w:t>
            </w:r>
          </w:p>
        </w:tc>
        <w:tc>
          <w:tcPr>
            <w:tcW w:w="22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24,977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638</w:t>
            </w:r>
          </w:p>
        </w:tc>
        <w:tc>
          <w:tcPr>
            <w:tcW w:w="300" w:type="dxa"/>
            <w:vAlign w:val="bottom"/>
          </w:tcPr>
          <w:p>
            <w:pPr>
              <w:ind w:lef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560</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26,175</w:t>
            </w:r>
          </w:p>
        </w:tc>
      </w:tr>
      <w:tr>
        <w:trPr>
          <w:trHeight w:val="215"/>
        </w:trPr>
        <w:tc>
          <w:tcPr>
            <w:tcW w:w="4780" w:type="dxa"/>
            <w:vAlign w:val="bottom"/>
            <w:gridSpan w:val="2"/>
            <w:shd w:val="clear" w:color="auto" w:fill="B2B2B2"/>
          </w:tcPr>
          <w:p>
            <w:pPr>
              <w:ind w:left="180"/>
              <w:spacing w:after="0"/>
              <w:rPr>
                <w:sz w:val="20"/>
                <w:szCs w:val="20"/>
                <w:color w:val="auto"/>
              </w:rPr>
            </w:pPr>
            <w:r>
              <w:rPr>
                <w:rFonts w:ascii="Arial" w:cs="Arial" w:eastAsia="Arial" w:hAnsi="Arial"/>
                <w:sz w:val="18"/>
                <w:szCs w:val="18"/>
                <w:color w:val="auto"/>
              </w:rPr>
              <w:t>Interest income*</w:t>
            </w:r>
          </w:p>
        </w:tc>
        <w:tc>
          <w:tcPr>
            <w:tcW w:w="2260" w:type="dxa"/>
            <w:vAlign w:val="bottom"/>
            <w:shd w:val="clear" w:color="auto" w:fill="B2B2B2"/>
          </w:tcPr>
          <w:p>
            <w:pPr>
              <w:spacing w:after="0"/>
              <w:rPr>
                <w:sz w:val="18"/>
                <w:szCs w:val="18"/>
                <w:color w:val="auto"/>
              </w:rPr>
            </w:pPr>
          </w:p>
        </w:tc>
        <w:tc>
          <w:tcPr>
            <w:tcW w:w="9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5,509</w:t>
            </w:r>
          </w:p>
        </w:tc>
        <w:tc>
          <w:tcPr>
            <w:tcW w:w="220" w:type="dxa"/>
            <w:vAlign w:val="bottom"/>
            <w:shd w:val="clear" w:color="auto" w:fill="B2B2B2"/>
          </w:tcPr>
          <w:p>
            <w:pPr>
              <w:spacing w:after="0"/>
              <w:rPr>
                <w:sz w:val="18"/>
                <w:szCs w:val="18"/>
                <w:color w:val="auto"/>
              </w:rPr>
            </w:pPr>
          </w:p>
        </w:tc>
        <w:tc>
          <w:tcPr>
            <w:tcW w:w="9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5,751</w:t>
            </w:r>
          </w:p>
        </w:tc>
        <w:tc>
          <w:tcPr>
            <w:tcW w:w="300" w:type="dxa"/>
            <w:vAlign w:val="bottom"/>
            <w:shd w:val="clear" w:color="auto" w:fill="B2B2B2"/>
          </w:tcPr>
          <w:p>
            <w:pPr>
              <w:spacing w:after="0"/>
              <w:rPr>
                <w:sz w:val="18"/>
                <w:szCs w:val="18"/>
                <w:color w:val="auto"/>
              </w:rPr>
            </w:pPr>
          </w:p>
        </w:tc>
        <w:tc>
          <w:tcPr>
            <w:tcW w:w="8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(122)</w:t>
            </w:r>
          </w:p>
        </w:tc>
        <w:tc>
          <w:tcPr>
            <w:tcW w:w="260" w:type="dxa"/>
            <w:vAlign w:val="bottom"/>
            <w:shd w:val="clear" w:color="auto" w:fill="B2B2B2"/>
          </w:tcPr>
          <w:p>
            <w:pPr>
              <w:spacing w:after="0"/>
              <w:rPr>
                <w:sz w:val="18"/>
                <w:szCs w:val="18"/>
                <w:color w:val="auto"/>
              </w:rPr>
            </w:pPr>
          </w:p>
        </w:tc>
        <w:tc>
          <w:tcPr>
            <w:tcW w:w="8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11,138</w:t>
            </w:r>
          </w:p>
        </w:tc>
      </w:tr>
      <w:tr>
        <w:trPr>
          <w:trHeight w:val="215"/>
        </w:trPr>
        <w:tc>
          <w:tcPr>
            <w:tcW w:w="4780" w:type="dxa"/>
            <w:vAlign w:val="bottom"/>
            <w:gridSpan w:val="2"/>
          </w:tcPr>
          <w:p>
            <w:pPr>
              <w:ind w:left="180"/>
              <w:spacing w:after="0"/>
              <w:rPr>
                <w:sz w:val="20"/>
                <w:szCs w:val="20"/>
                <w:color w:val="auto"/>
              </w:rPr>
            </w:pPr>
            <w:r>
              <w:rPr>
                <w:rFonts w:ascii="Arial" w:cs="Arial" w:eastAsia="Arial" w:hAnsi="Arial"/>
                <w:sz w:val="18"/>
                <w:szCs w:val="18"/>
                <w:color w:val="auto"/>
              </w:rPr>
              <w:t>Interest expense</w:t>
            </w:r>
          </w:p>
        </w:tc>
        <w:tc>
          <w:tcPr>
            <w:tcW w:w="2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331</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331</w:t>
            </w:r>
          </w:p>
        </w:tc>
      </w:tr>
      <w:tr>
        <w:trPr>
          <w:trHeight w:val="215"/>
        </w:trPr>
        <w:tc>
          <w:tcPr>
            <w:tcW w:w="4780" w:type="dxa"/>
            <w:vAlign w:val="bottom"/>
            <w:gridSpan w:val="2"/>
            <w:shd w:val="clear" w:color="auto" w:fill="B2B2B2"/>
          </w:tcPr>
          <w:p>
            <w:pPr>
              <w:ind w:left="180"/>
              <w:spacing w:after="0"/>
              <w:rPr>
                <w:sz w:val="20"/>
                <w:szCs w:val="20"/>
                <w:color w:val="auto"/>
              </w:rPr>
            </w:pPr>
            <w:r>
              <w:rPr>
                <w:rFonts w:ascii="Arial" w:cs="Arial" w:eastAsia="Arial" w:hAnsi="Arial"/>
                <w:sz w:val="18"/>
                <w:szCs w:val="18"/>
                <w:color w:val="auto"/>
              </w:rPr>
              <w:t>Intersegment income (expense)</w:t>
            </w:r>
          </w:p>
        </w:tc>
        <w:tc>
          <w:tcPr>
            <w:tcW w:w="2260" w:type="dxa"/>
            <w:vAlign w:val="bottom"/>
            <w:shd w:val="clear" w:color="auto" w:fill="B2B2B2"/>
          </w:tcPr>
          <w:p>
            <w:pPr>
              <w:spacing w:after="0"/>
              <w:rPr>
                <w:sz w:val="18"/>
                <w:szCs w:val="18"/>
                <w:color w:val="auto"/>
              </w:rPr>
            </w:pPr>
          </w:p>
        </w:tc>
        <w:tc>
          <w:tcPr>
            <w:tcW w:w="9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B2B2B2"/>
          </w:tcPr>
          <w:p>
            <w:pPr>
              <w:spacing w:after="0"/>
              <w:rPr>
                <w:sz w:val="18"/>
                <w:szCs w:val="18"/>
                <w:color w:val="auto"/>
              </w:rPr>
            </w:pPr>
          </w:p>
        </w:tc>
        <w:tc>
          <w:tcPr>
            <w:tcW w:w="9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623</w:t>
            </w:r>
          </w:p>
        </w:tc>
        <w:tc>
          <w:tcPr>
            <w:tcW w:w="300" w:type="dxa"/>
            <w:vAlign w:val="bottom"/>
            <w:shd w:val="clear" w:color="auto" w:fill="B2B2B2"/>
          </w:tcPr>
          <w:p>
            <w:pPr>
              <w:spacing w:after="0"/>
              <w:rPr>
                <w:sz w:val="18"/>
                <w:szCs w:val="18"/>
                <w:color w:val="auto"/>
              </w:rPr>
            </w:pPr>
          </w:p>
        </w:tc>
        <w:tc>
          <w:tcPr>
            <w:tcW w:w="8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(623)</w:t>
            </w:r>
          </w:p>
        </w:tc>
        <w:tc>
          <w:tcPr>
            <w:tcW w:w="260" w:type="dxa"/>
            <w:vAlign w:val="bottom"/>
            <w:shd w:val="clear" w:color="auto" w:fill="B2B2B2"/>
          </w:tcPr>
          <w:p>
            <w:pPr>
              <w:spacing w:after="0"/>
              <w:rPr>
                <w:sz w:val="18"/>
                <w:szCs w:val="18"/>
                <w:color w:val="auto"/>
              </w:rPr>
            </w:pPr>
          </w:p>
        </w:tc>
        <w:tc>
          <w:tcPr>
            <w:tcW w:w="8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r>
      <w:tr>
        <w:trPr>
          <w:trHeight w:val="215"/>
        </w:trPr>
        <w:tc>
          <w:tcPr>
            <w:tcW w:w="4780" w:type="dxa"/>
            <w:vAlign w:val="bottom"/>
            <w:gridSpan w:val="2"/>
          </w:tcPr>
          <w:p>
            <w:pPr>
              <w:ind w:left="180"/>
              <w:spacing w:after="0"/>
              <w:rPr>
                <w:sz w:val="20"/>
                <w:szCs w:val="20"/>
                <w:color w:val="auto"/>
              </w:rPr>
            </w:pPr>
            <w:r>
              <w:rPr>
                <w:rFonts w:ascii="Arial" w:cs="Arial" w:eastAsia="Arial" w:hAnsi="Arial"/>
                <w:sz w:val="18"/>
                <w:szCs w:val="18"/>
                <w:color w:val="auto"/>
              </w:rPr>
              <w:t>Tax-equivalized pre-tax income*</w:t>
            </w:r>
          </w:p>
        </w:tc>
        <w:tc>
          <w:tcPr>
            <w:tcW w:w="2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6,013</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2,762</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282</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9,057</w:t>
            </w:r>
          </w:p>
        </w:tc>
      </w:tr>
      <w:tr>
        <w:trPr>
          <w:trHeight w:val="215"/>
        </w:trPr>
        <w:tc>
          <w:tcPr>
            <w:tcW w:w="4780" w:type="dxa"/>
            <w:vAlign w:val="bottom"/>
            <w:gridSpan w:val="2"/>
            <w:shd w:val="clear" w:color="auto" w:fill="B2B2B2"/>
          </w:tcPr>
          <w:p>
            <w:pPr>
              <w:ind w:left="180"/>
              <w:spacing w:after="0"/>
              <w:rPr>
                <w:sz w:val="20"/>
                <w:szCs w:val="20"/>
                <w:color w:val="auto"/>
              </w:rPr>
            </w:pPr>
            <w:r>
              <w:rPr>
                <w:rFonts w:ascii="Arial" w:cs="Arial" w:eastAsia="Arial" w:hAnsi="Arial"/>
                <w:sz w:val="18"/>
                <w:szCs w:val="18"/>
                <w:color w:val="auto"/>
              </w:rPr>
              <w:t>Goodwill</w:t>
            </w:r>
          </w:p>
        </w:tc>
        <w:tc>
          <w:tcPr>
            <w:tcW w:w="2260" w:type="dxa"/>
            <w:vAlign w:val="bottom"/>
            <w:shd w:val="clear" w:color="auto" w:fill="B2B2B2"/>
          </w:tcPr>
          <w:p>
            <w:pPr>
              <w:spacing w:after="0"/>
              <w:rPr>
                <w:sz w:val="18"/>
                <w:szCs w:val="18"/>
                <w:color w:val="auto"/>
              </w:rPr>
            </w:pPr>
          </w:p>
        </w:tc>
        <w:tc>
          <w:tcPr>
            <w:tcW w:w="9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12,433</w:t>
            </w:r>
          </w:p>
        </w:tc>
        <w:tc>
          <w:tcPr>
            <w:tcW w:w="220" w:type="dxa"/>
            <w:vAlign w:val="bottom"/>
            <w:shd w:val="clear" w:color="auto" w:fill="B2B2B2"/>
          </w:tcPr>
          <w:p>
            <w:pPr>
              <w:spacing w:after="0"/>
              <w:rPr>
                <w:sz w:val="18"/>
                <w:szCs w:val="18"/>
                <w:color w:val="auto"/>
              </w:rPr>
            </w:pPr>
          </w:p>
        </w:tc>
        <w:tc>
          <w:tcPr>
            <w:tcW w:w="9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1,829</w:t>
            </w:r>
          </w:p>
        </w:tc>
        <w:tc>
          <w:tcPr>
            <w:tcW w:w="300" w:type="dxa"/>
            <w:vAlign w:val="bottom"/>
            <w:shd w:val="clear" w:color="auto" w:fill="B2B2B2"/>
          </w:tcPr>
          <w:p>
            <w:pPr>
              <w:spacing w:after="0"/>
              <w:rPr>
                <w:sz w:val="18"/>
                <w:szCs w:val="18"/>
                <w:color w:val="auto"/>
              </w:rPr>
            </w:pPr>
          </w:p>
        </w:tc>
        <w:tc>
          <w:tcPr>
            <w:tcW w:w="8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B2B2B2"/>
          </w:tcPr>
          <w:p>
            <w:pPr>
              <w:spacing w:after="0"/>
              <w:rPr>
                <w:sz w:val="18"/>
                <w:szCs w:val="18"/>
                <w:color w:val="auto"/>
              </w:rPr>
            </w:pPr>
          </w:p>
        </w:tc>
        <w:tc>
          <w:tcPr>
            <w:tcW w:w="8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14,262</w:t>
            </w:r>
          </w:p>
        </w:tc>
      </w:tr>
      <w:tr>
        <w:trPr>
          <w:trHeight w:val="215"/>
        </w:trPr>
        <w:tc>
          <w:tcPr>
            <w:tcW w:w="4780" w:type="dxa"/>
            <w:vAlign w:val="bottom"/>
            <w:gridSpan w:val="2"/>
          </w:tcPr>
          <w:p>
            <w:pPr>
              <w:ind w:left="180"/>
              <w:spacing w:after="0"/>
              <w:rPr>
                <w:sz w:val="20"/>
                <w:szCs w:val="20"/>
                <w:color w:val="auto"/>
              </w:rPr>
            </w:pPr>
            <w:r>
              <w:rPr>
                <w:rFonts w:ascii="Arial" w:cs="Arial" w:eastAsia="Arial" w:hAnsi="Arial"/>
                <w:sz w:val="18"/>
                <w:szCs w:val="18"/>
                <w:color w:val="auto"/>
              </w:rPr>
              <w:t>Other intangible assets, net</w:t>
            </w:r>
          </w:p>
        </w:tc>
        <w:tc>
          <w:tcPr>
            <w:tcW w:w="2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634</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2,574</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3,208</w:t>
            </w:r>
          </w:p>
        </w:tc>
      </w:tr>
      <w:tr>
        <w:trPr>
          <w:trHeight w:val="215"/>
        </w:trPr>
        <w:tc>
          <w:tcPr>
            <w:tcW w:w="4780" w:type="dxa"/>
            <w:vAlign w:val="bottom"/>
            <w:gridSpan w:val="2"/>
            <w:shd w:val="clear" w:color="auto" w:fill="B2B2B2"/>
          </w:tcPr>
          <w:p>
            <w:pPr>
              <w:ind w:left="180"/>
              <w:spacing w:after="0"/>
              <w:rPr>
                <w:sz w:val="20"/>
                <w:szCs w:val="20"/>
                <w:color w:val="auto"/>
              </w:rPr>
            </w:pPr>
            <w:r>
              <w:rPr>
                <w:rFonts w:ascii="Arial" w:cs="Arial" w:eastAsia="Arial" w:hAnsi="Arial"/>
                <w:sz w:val="18"/>
                <w:szCs w:val="18"/>
                <w:color w:val="auto"/>
              </w:rPr>
              <w:t>Total Assets</w:t>
            </w:r>
          </w:p>
        </w:tc>
        <w:tc>
          <w:tcPr>
            <w:tcW w:w="2260" w:type="dxa"/>
            <w:vAlign w:val="bottom"/>
            <w:shd w:val="clear" w:color="auto" w:fill="B2B2B2"/>
          </w:tcPr>
          <w:p>
            <w:pPr>
              <w:spacing w:after="0"/>
              <w:rPr>
                <w:sz w:val="18"/>
                <w:szCs w:val="18"/>
                <w:color w:val="auto"/>
              </w:rPr>
            </w:pPr>
          </w:p>
        </w:tc>
        <w:tc>
          <w:tcPr>
            <w:tcW w:w="9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1,023,196</w:t>
            </w:r>
          </w:p>
        </w:tc>
        <w:tc>
          <w:tcPr>
            <w:tcW w:w="220" w:type="dxa"/>
            <w:vAlign w:val="bottom"/>
            <w:shd w:val="clear" w:color="auto" w:fill="B2B2B2"/>
          </w:tcPr>
          <w:p>
            <w:pPr>
              <w:spacing w:after="0"/>
              <w:rPr>
                <w:sz w:val="18"/>
                <w:szCs w:val="18"/>
                <w:color w:val="auto"/>
              </w:rPr>
            </w:pPr>
          </w:p>
        </w:tc>
        <w:tc>
          <w:tcPr>
            <w:tcW w:w="9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1,263,669</w:t>
            </w:r>
          </w:p>
        </w:tc>
        <w:tc>
          <w:tcPr>
            <w:tcW w:w="300" w:type="dxa"/>
            <w:vAlign w:val="bottom"/>
            <w:shd w:val="clear" w:color="auto" w:fill="B2B2B2"/>
          </w:tcPr>
          <w:p>
            <w:pPr>
              <w:spacing w:after="0"/>
              <w:rPr>
                <w:sz w:val="18"/>
                <w:szCs w:val="18"/>
                <w:color w:val="auto"/>
              </w:rPr>
            </w:pPr>
          </w:p>
        </w:tc>
        <w:tc>
          <w:tcPr>
            <w:tcW w:w="8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(70,292)</w:t>
            </w:r>
          </w:p>
        </w:tc>
        <w:tc>
          <w:tcPr>
            <w:tcW w:w="260" w:type="dxa"/>
            <w:vAlign w:val="bottom"/>
            <w:shd w:val="clear" w:color="auto" w:fill="B2B2B2"/>
          </w:tcPr>
          <w:p>
            <w:pPr>
              <w:spacing w:after="0"/>
              <w:rPr>
                <w:sz w:val="18"/>
                <w:szCs w:val="18"/>
                <w:color w:val="auto"/>
              </w:rPr>
            </w:pPr>
          </w:p>
        </w:tc>
        <w:tc>
          <w:tcPr>
            <w:tcW w:w="800" w:type="dxa"/>
            <w:vAlign w:val="bottom"/>
            <w:shd w:val="clear" w:color="auto" w:fill="B2B2B2"/>
          </w:tcPr>
          <w:p>
            <w:pPr>
              <w:jc w:val="right"/>
              <w:spacing w:after="0"/>
              <w:rPr>
                <w:sz w:val="20"/>
                <w:szCs w:val="20"/>
                <w:color w:val="auto"/>
              </w:rPr>
            </w:pPr>
            <w:r>
              <w:rPr>
                <w:rFonts w:ascii="Arial" w:cs="Arial" w:eastAsia="Arial" w:hAnsi="Arial"/>
                <w:sz w:val="18"/>
                <w:szCs w:val="18"/>
                <w:color w:val="auto"/>
                <w:w w:val="97"/>
              </w:rPr>
              <w:t>2,216,573</w:t>
            </w:r>
          </w:p>
        </w:tc>
      </w:tr>
      <w:tr>
        <w:trPr>
          <w:trHeight w:val="215"/>
        </w:trPr>
        <w:tc>
          <w:tcPr>
            <w:tcW w:w="4780" w:type="dxa"/>
            <w:vAlign w:val="bottom"/>
            <w:gridSpan w:val="2"/>
          </w:tcPr>
          <w:p>
            <w:pPr>
              <w:ind w:left="180"/>
              <w:spacing w:after="0"/>
              <w:rPr>
                <w:sz w:val="20"/>
                <w:szCs w:val="20"/>
                <w:color w:val="auto"/>
              </w:rPr>
            </w:pPr>
            <w:r>
              <w:rPr>
                <w:rFonts w:ascii="Arial" w:cs="Arial" w:eastAsia="Arial" w:hAnsi="Arial"/>
                <w:sz w:val="18"/>
                <w:szCs w:val="18"/>
                <w:color w:val="auto"/>
              </w:rPr>
              <w:t>Funding Sources</w:t>
            </w:r>
          </w:p>
        </w:tc>
        <w:tc>
          <w:tcPr>
            <w:tcW w:w="2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837,852</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849,177</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1,687,029</w:t>
            </w:r>
          </w:p>
        </w:tc>
      </w:tr>
      <w:tr>
        <w:trPr>
          <w:trHeight w:val="215"/>
        </w:trPr>
        <w:tc>
          <w:tcPr>
            <w:tcW w:w="4780" w:type="dxa"/>
            <w:vAlign w:val="bottom"/>
            <w:gridSpan w:val="2"/>
            <w:shd w:val="clear" w:color="auto" w:fill="B2B2B2"/>
          </w:tcPr>
          <w:p>
            <w:pPr>
              <w:spacing w:after="0"/>
              <w:rPr>
                <w:sz w:val="20"/>
                <w:szCs w:val="20"/>
                <w:color w:val="auto"/>
              </w:rPr>
            </w:pPr>
            <w:r>
              <w:rPr>
                <w:rFonts w:ascii="Arial" w:cs="Arial" w:eastAsia="Arial" w:hAnsi="Arial"/>
                <w:sz w:val="18"/>
                <w:szCs w:val="18"/>
                <w:i w:val="1"/>
                <w:iCs w:val="1"/>
                <w:color w:val="auto"/>
              </w:rPr>
              <w:t>Three Months Ended March 31, 2020</w:t>
            </w:r>
          </w:p>
        </w:tc>
        <w:tc>
          <w:tcPr>
            <w:tcW w:w="2260" w:type="dxa"/>
            <w:vAlign w:val="bottom"/>
            <w:shd w:val="clear" w:color="auto" w:fill="B2B2B2"/>
          </w:tcPr>
          <w:p>
            <w:pPr>
              <w:spacing w:after="0"/>
              <w:rPr>
                <w:sz w:val="18"/>
                <w:szCs w:val="18"/>
                <w:color w:val="auto"/>
              </w:rPr>
            </w:pPr>
          </w:p>
        </w:tc>
        <w:tc>
          <w:tcPr>
            <w:tcW w:w="92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80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800" w:type="dxa"/>
            <w:vAlign w:val="bottom"/>
            <w:shd w:val="clear" w:color="auto" w:fill="B2B2B2"/>
          </w:tcPr>
          <w:p>
            <w:pPr>
              <w:spacing w:after="0"/>
              <w:rPr>
                <w:sz w:val="18"/>
                <w:szCs w:val="18"/>
                <w:color w:val="auto"/>
              </w:rPr>
            </w:pPr>
          </w:p>
        </w:tc>
      </w:tr>
      <w:tr>
        <w:trPr>
          <w:trHeight w:val="215"/>
        </w:trPr>
        <w:tc>
          <w:tcPr>
            <w:tcW w:w="4780" w:type="dxa"/>
            <w:vAlign w:val="bottom"/>
            <w:gridSpan w:val="2"/>
          </w:tcPr>
          <w:p>
            <w:pPr>
              <w:ind w:left="180"/>
              <w:spacing w:after="0"/>
              <w:rPr>
                <w:sz w:val="20"/>
                <w:szCs w:val="20"/>
                <w:color w:val="auto"/>
              </w:rPr>
            </w:pPr>
            <w:r>
              <w:rPr>
                <w:rFonts w:ascii="Arial" w:cs="Arial" w:eastAsia="Arial" w:hAnsi="Arial"/>
                <w:sz w:val="18"/>
                <w:szCs w:val="18"/>
                <w:color w:val="auto"/>
              </w:rPr>
              <w:t>Fee income</w:t>
            </w:r>
          </w:p>
        </w:tc>
        <w:tc>
          <w:tcPr>
            <w:tcW w:w="2260" w:type="dxa"/>
            <w:vAlign w:val="bottom"/>
          </w:tcPr>
          <w:p>
            <w:pPr>
              <w:ind w:left="2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25,440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615</w:t>
            </w:r>
          </w:p>
        </w:tc>
        <w:tc>
          <w:tcPr>
            <w:tcW w:w="300" w:type="dxa"/>
            <w:vAlign w:val="bottom"/>
          </w:tcPr>
          <w:p>
            <w:pPr>
              <w:ind w:left="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1,040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27,095</w:t>
            </w:r>
          </w:p>
        </w:tc>
      </w:tr>
      <w:tr>
        <w:trPr>
          <w:trHeight w:val="215"/>
        </w:trPr>
        <w:tc>
          <w:tcPr>
            <w:tcW w:w="4780" w:type="dxa"/>
            <w:vAlign w:val="bottom"/>
            <w:gridSpan w:val="2"/>
            <w:shd w:val="clear" w:color="auto" w:fill="B2B2B2"/>
          </w:tcPr>
          <w:p>
            <w:pPr>
              <w:ind w:left="180"/>
              <w:spacing w:after="0"/>
              <w:rPr>
                <w:sz w:val="20"/>
                <w:szCs w:val="20"/>
                <w:color w:val="auto"/>
              </w:rPr>
            </w:pPr>
            <w:r>
              <w:rPr>
                <w:rFonts w:ascii="Arial" w:cs="Arial" w:eastAsia="Arial" w:hAnsi="Arial"/>
                <w:sz w:val="18"/>
                <w:szCs w:val="18"/>
                <w:color w:val="auto"/>
              </w:rPr>
              <w:t>Interest income*</w:t>
            </w:r>
          </w:p>
        </w:tc>
        <w:tc>
          <w:tcPr>
            <w:tcW w:w="2260" w:type="dxa"/>
            <w:vAlign w:val="bottom"/>
            <w:shd w:val="clear" w:color="auto" w:fill="B2B2B2"/>
          </w:tcPr>
          <w:p>
            <w:pPr>
              <w:spacing w:after="0"/>
              <w:rPr>
                <w:sz w:val="18"/>
                <w:szCs w:val="18"/>
                <w:color w:val="auto"/>
              </w:rPr>
            </w:pPr>
          </w:p>
        </w:tc>
        <w:tc>
          <w:tcPr>
            <w:tcW w:w="9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4,707</w:t>
            </w:r>
          </w:p>
        </w:tc>
        <w:tc>
          <w:tcPr>
            <w:tcW w:w="220" w:type="dxa"/>
            <w:vAlign w:val="bottom"/>
            <w:shd w:val="clear" w:color="auto" w:fill="B2B2B2"/>
          </w:tcPr>
          <w:p>
            <w:pPr>
              <w:spacing w:after="0"/>
              <w:rPr>
                <w:sz w:val="18"/>
                <w:szCs w:val="18"/>
                <w:color w:val="auto"/>
              </w:rPr>
            </w:pPr>
          </w:p>
        </w:tc>
        <w:tc>
          <w:tcPr>
            <w:tcW w:w="9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7,284</w:t>
            </w:r>
          </w:p>
        </w:tc>
        <w:tc>
          <w:tcPr>
            <w:tcW w:w="300" w:type="dxa"/>
            <w:vAlign w:val="bottom"/>
            <w:shd w:val="clear" w:color="auto" w:fill="B2B2B2"/>
          </w:tcPr>
          <w:p>
            <w:pPr>
              <w:spacing w:after="0"/>
              <w:rPr>
                <w:sz w:val="18"/>
                <w:szCs w:val="18"/>
                <w:color w:val="auto"/>
              </w:rPr>
            </w:pPr>
          </w:p>
        </w:tc>
        <w:tc>
          <w:tcPr>
            <w:tcW w:w="8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831</w:t>
            </w:r>
          </w:p>
        </w:tc>
        <w:tc>
          <w:tcPr>
            <w:tcW w:w="260" w:type="dxa"/>
            <w:vAlign w:val="bottom"/>
            <w:shd w:val="clear" w:color="auto" w:fill="B2B2B2"/>
          </w:tcPr>
          <w:p>
            <w:pPr>
              <w:spacing w:after="0"/>
              <w:rPr>
                <w:sz w:val="18"/>
                <w:szCs w:val="18"/>
                <w:color w:val="auto"/>
              </w:rPr>
            </w:pPr>
          </w:p>
        </w:tc>
        <w:tc>
          <w:tcPr>
            <w:tcW w:w="8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12,822</w:t>
            </w:r>
          </w:p>
        </w:tc>
      </w:tr>
      <w:tr>
        <w:trPr>
          <w:trHeight w:val="215"/>
        </w:trPr>
        <w:tc>
          <w:tcPr>
            <w:tcW w:w="4780" w:type="dxa"/>
            <w:vAlign w:val="bottom"/>
            <w:gridSpan w:val="2"/>
          </w:tcPr>
          <w:p>
            <w:pPr>
              <w:ind w:left="180"/>
              <w:spacing w:after="0"/>
              <w:rPr>
                <w:sz w:val="20"/>
                <w:szCs w:val="20"/>
                <w:color w:val="auto"/>
              </w:rPr>
            </w:pPr>
            <w:r>
              <w:rPr>
                <w:rFonts w:ascii="Arial" w:cs="Arial" w:eastAsia="Arial" w:hAnsi="Arial"/>
                <w:sz w:val="18"/>
                <w:szCs w:val="18"/>
                <w:color w:val="auto"/>
              </w:rPr>
              <w:t>Interest expense</w:t>
            </w:r>
          </w:p>
        </w:tc>
        <w:tc>
          <w:tcPr>
            <w:tcW w:w="2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965</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965</w:t>
            </w:r>
          </w:p>
        </w:tc>
      </w:tr>
      <w:tr>
        <w:trPr>
          <w:trHeight w:val="215"/>
        </w:trPr>
        <w:tc>
          <w:tcPr>
            <w:tcW w:w="4780" w:type="dxa"/>
            <w:vAlign w:val="bottom"/>
            <w:gridSpan w:val="2"/>
            <w:shd w:val="clear" w:color="auto" w:fill="B2B2B2"/>
          </w:tcPr>
          <w:p>
            <w:pPr>
              <w:ind w:left="180"/>
              <w:spacing w:after="0"/>
              <w:rPr>
                <w:sz w:val="20"/>
                <w:szCs w:val="20"/>
                <w:color w:val="auto"/>
              </w:rPr>
            </w:pPr>
            <w:r>
              <w:rPr>
                <w:rFonts w:ascii="Arial" w:cs="Arial" w:eastAsia="Arial" w:hAnsi="Arial"/>
                <w:sz w:val="18"/>
                <w:szCs w:val="18"/>
                <w:color w:val="auto"/>
              </w:rPr>
              <w:t>Intersegment income (expense)</w:t>
            </w:r>
          </w:p>
        </w:tc>
        <w:tc>
          <w:tcPr>
            <w:tcW w:w="2260" w:type="dxa"/>
            <w:vAlign w:val="bottom"/>
            <w:shd w:val="clear" w:color="auto" w:fill="B2B2B2"/>
          </w:tcPr>
          <w:p>
            <w:pPr>
              <w:spacing w:after="0"/>
              <w:rPr>
                <w:sz w:val="18"/>
                <w:szCs w:val="18"/>
                <w:color w:val="auto"/>
              </w:rPr>
            </w:pPr>
          </w:p>
        </w:tc>
        <w:tc>
          <w:tcPr>
            <w:tcW w:w="9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B2B2B2"/>
          </w:tcPr>
          <w:p>
            <w:pPr>
              <w:spacing w:after="0"/>
              <w:rPr>
                <w:sz w:val="18"/>
                <w:szCs w:val="18"/>
                <w:color w:val="auto"/>
              </w:rPr>
            </w:pPr>
          </w:p>
        </w:tc>
        <w:tc>
          <w:tcPr>
            <w:tcW w:w="9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525</w:t>
            </w:r>
          </w:p>
        </w:tc>
        <w:tc>
          <w:tcPr>
            <w:tcW w:w="300" w:type="dxa"/>
            <w:vAlign w:val="bottom"/>
            <w:shd w:val="clear" w:color="auto" w:fill="B2B2B2"/>
          </w:tcPr>
          <w:p>
            <w:pPr>
              <w:spacing w:after="0"/>
              <w:rPr>
                <w:sz w:val="18"/>
                <w:szCs w:val="18"/>
                <w:color w:val="auto"/>
              </w:rPr>
            </w:pPr>
          </w:p>
        </w:tc>
        <w:tc>
          <w:tcPr>
            <w:tcW w:w="8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(525)</w:t>
            </w:r>
          </w:p>
        </w:tc>
        <w:tc>
          <w:tcPr>
            <w:tcW w:w="260" w:type="dxa"/>
            <w:vAlign w:val="bottom"/>
            <w:shd w:val="clear" w:color="auto" w:fill="B2B2B2"/>
          </w:tcPr>
          <w:p>
            <w:pPr>
              <w:spacing w:after="0"/>
              <w:rPr>
                <w:sz w:val="18"/>
                <w:szCs w:val="18"/>
                <w:color w:val="auto"/>
              </w:rPr>
            </w:pPr>
          </w:p>
        </w:tc>
        <w:tc>
          <w:tcPr>
            <w:tcW w:w="8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r>
      <w:tr>
        <w:trPr>
          <w:trHeight w:val="215"/>
        </w:trPr>
        <w:tc>
          <w:tcPr>
            <w:tcW w:w="4780" w:type="dxa"/>
            <w:vAlign w:val="bottom"/>
            <w:gridSpan w:val="2"/>
          </w:tcPr>
          <w:p>
            <w:pPr>
              <w:ind w:left="180"/>
              <w:spacing w:after="0"/>
              <w:rPr>
                <w:sz w:val="20"/>
                <w:szCs w:val="20"/>
                <w:color w:val="auto"/>
              </w:rPr>
            </w:pPr>
            <w:r>
              <w:rPr>
                <w:rFonts w:ascii="Arial" w:cs="Arial" w:eastAsia="Arial" w:hAnsi="Arial"/>
                <w:sz w:val="18"/>
                <w:szCs w:val="18"/>
                <w:color w:val="auto"/>
              </w:rPr>
              <w:t>Tax-equivalized pre-tax income*</w:t>
            </w:r>
          </w:p>
        </w:tc>
        <w:tc>
          <w:tcPr>
            <w:tcW w:w="2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5,123</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2,703</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1,872</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9,698</w:t>
            </w:r>
          </w:p>
        </w:tc>
      </w:tr>
      <w:tr>
        <w:trPr>
          <w:trHeight w:val="215"/>
        </w:trPr>
        <w:tc>
          <w:tcPr>
            <w:tcW w:w="4780" w:type="dxa"/>
            <w:vAlign w:val="bottom"/>
            <w:gridSpan w:val="2"/>
            <w:shd w:val="clear" w:color="auto" w:fill="B2B2B2"/>
          </w:tcPr>
          <w:p>
            <w:pPr>
              <w:ind w:left="180"/>
              <w:spacing w:after="0"/>
              <w:rPr>
                <w:sz w:val="20"/>
                <w:szCs w:val="20"/>
                <w:color w:val="auto"/>
              </w:rPr>
            </w:pPr>
            <w:r>
              <w:rPr>
                <w:rFonts w:ascii="Arial" w:cs="Arial" w:eastAsia="Arial" w:hAnsi="Arial"/>
                <w:sz w:val="18"/>
                <w:szCs w:val="18"/>
                <w:color w:val="auto"/>
              </w:rPr>
              <w:t>Goodwill</w:t>
            </w:r>
          </w:p>
        </w:tc>
        <w:tc>
          <w:tcPr>
            <w:tcW w:w="2260" w:type="dxa"/>
            <w:vAlign w:val="bottom"/>
            <w:shd w:val="clear" w:color="auto" w:fill="B2B2B2"/>
          </w:tcPr>
          <w:p>
            <w:pPr>
              <w:spacing w:after="0"/>
              <w:rPr>
                <w:sz w:val="18"/>
                <w:szCs w:val="18"/>
                <w:color w:val="auto"/>
              </w:rPr>
            </w:pPr>
          </w:p>
        </w:tc>
        <w:tc>
          <w:tcPr>
            <w:tcW w:w="9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12,433</w:t>
            </w:r>
          </w:p>
        </w:tc>
        <w:tc>
          <w:tcPr>
            <w:tcW w:w="220" w:type="dxa"/>
            <w:vAlign w:val="bottom"/>
            <w:shd w:val="clear" w:color="auto" w:fill="B2B2B2"/>
          </w:tcPr>
          <w:p>
            <w:pPr>
              <w:spacing w:after="0"/>
              <w:rPr>
                <w:sz w:val="18"/>
                <w:szCs w:val="18"/>
                <w:color w:val="auto"/>
              </w:rPr>
            </w:pPr>
          </w:p>
        </w:tc>
        <w:tc>
          <w:tcPr>
            <w:tcW w:w="9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1,829</w:t>
            </w:r>
          </w:p>
        </w:tc>
        <w:tc>
          <w:tcPr>
            <w:tcW w:w="300" w:type="dxa"/>
            <w:vAlign w:val="bottom"/>
            <w:shd w:val="clear" w:color="auto" w:fill="B2B2B2"/>
          </w:tcPr>
          <w:p>
            <w:pPr>
              <w:spacing w:after="0"/>
              <w:rPr>
                <w:sz w:val="18"/>
                <w:szCs w:val="18"/>
                <w:color w:val="auto"/>
              </w:rPr>
            </w:pPr>
          </w:p>
        </w:tc>
        <w:tc>
          <w:tcPr>
            <w:tcW w:w="8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B2B2B2"/>
          </w:tcPr>
          <w:p>
            <w:pPr>
              <w:spacing w:after="0"/>
              <w:rPr>
                <w:sz w:val="18"/>
                <w:szCs w:val="18"/>
                <w:color w:val="auto"/>
              </w:rPr>
            </w:pPr>
          </w:p>
        </w:tc>
        <w:tc>
          <w:tcPr>
            <w:tcW w:w="8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14,262</w:t>
            </w:r>
          </w:p>
        </w:tc>
      </w:tr>
      <w:tr>
        <w:trPr>
          <w:trHeight w:val="215"/>
        </w:trPr>
        <w:tc>
          <w:tcPr>
            <w:tcW w:w="4780" w:type="dxa"/>
            <w:vAlign w:val="bottom"/>
            <w:gridSpan w:val="2"/>
          </w:tcPr>
          <w:p>
            <w:pPr>
              <w:ind w:left="180"/>
              <w:spacing w:after="0"/>
              <w:rPr>
                <w:sz w:val="20"/>
                <w:szCs w:val="20"/>
                <w:color w:val="auto"/>
              </w:rPr>
            </w:pPr>
            <w:r>
              <w:rPr>
                <w:rFonts w:ascii="Arial" w:cs="Arial" w:eastAsia="Arial" w:hAnsi="Arial"/>
                <w:sz w:val="18"/>
                <w:szCs w:val="18"/>
                <w:color w:val="auto"/>
              </w:rPr>
              <w:t>Other intangible assets, net</w:t>
            </w:r>
          </w:p>
        </w:tc>
        <w:tc>
          <w:tcPr>
            <w:tcW w:w="2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1,040</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3,026</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4,066</w:t>
            </w:r>
          </w:p>
        </w:tc>
      </w:tr>
      <w:tr>
        <w:trPr>
          <w:trHeight w:val="215"/>
        </w:trPr>
        <w:tc>
          <w:tcPr>
            <w:tcW w:w="4780" w:type="dxa"/>
            <w:vAlign w:val="bottom"/>
            <w:gridSpan w:val="2"/>
            <w:shd w:val="clear" w:color="auto" w:fill="B2B2B2"/>
          </w:tcPr>
          <w:p>
            <w:pPr>
              <w:ind w:left="180"/>
              <w:spacing w:after="0"/>
              <w:rPr>
                <w:sz w:val="20"/>
                <w:szCs w:val="20"/>
                <w:color w:val="auto"/>
              </w:rPr>
            </w:pPr>
            <w:r>
              <w:rPr>
                <w:rFonts w:ascii="Arial" w:cs="Arial" w:eastAsia="Arial" w:hAnsi="Arial"/>
                <w:sz w:val="18"/>
                <w:szCs w:val="18"/>
                <w:color w:val="auto"/>
              </w:rPr>
              <w:t>Total Assets</w:t>
            </w:r>
          </w:p>
        </w:tc>
        <w:tc>
          <w:tcPr>
            <w:tcW w:w="2260" w:type="dxa"/>
            <w:vAlign w:val="bottom"/>
            <w:shd w:val="clear" w:color="auto" w:fill="B2B2B2"/>
          </w:tcPr>
          <w:p>
            <w:pPr>
              <w:spacing w:after="0"/>
              <w:rPr>
                <w:sz w:val="18"/>
                <w:szCs w:val="18"/>
                <w:color w:val="auto"/>
              </w:rPr>
            </w:pPr>
          </w:p>
        </w:tc>
        <w:tc>
          <w:tcPr>
            <w:tcW w:w="9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833,774</w:t>
            </w:r>
          </w:p>
        </w:tc>
        <w:tc>
          <w:tcPr>
            <w:tcW w:w="220" w:type="dxa"/>
            <w:vAlign w:val="bottom"/>
            <w:shd w:val="clear" w:color="auto" w:fill="B2B2B2"/>
          </w:tcPr>
          <w:p>
            <w:pPr>
              <w:spacing w:after="0"/>
              <w:rPr>
                <w:sz w:val="18"/>
                <w:szCs w:val="18"/>
                <w:color w:val="auto"/>
              </w:rPr>
            </w:pPr>
          </w:p>
        </w:tc>
        <w:tc>
          <w:tcPr>
            <w:tcW w:w="9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926,445</w:t>
            </w:r>
          </w:p>
        </w:tc>
        <w:tc>
          <w:tcPr>
            <w:tcW w:w="300" w:type="dxa"/>
            <w:vAlign w:val="bottom"/>
            <w:shd w:val="clear" w:color="auto" w:fill="B2B2B2"/>
          </w:tcPr>
          <w:p>
            <w:pPr>
              <w:spacing w:after="0"/>
              <w:rPr>
                <w:sz w:val="18"/>
                <w:szCs w:val="18"/>
                <w:color w:val="auto"/>
              </w:rPr>
            </w:pPr>
          </w:p>
        </w:tc>
        <w:tc>
          <w:tcPr>
            <w:tcW w:w="8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(28,237)</w:t>
            </w:r>
          </w:p>
        </w:tc>
        <w:tc>
          <w:tcPr>
            <w:tcW w:w="260" w:type="dxa"/>
            <w:vAlign w:val="bottom"/>
            <w:shd w:val="clear" w:color="auto" w:fill="B2B2B2"/>
          </w:tcPr>
          <w:p>
            <w:pPr>
              <w:spacing w:after="0"/>
              <w:rPr>
                <w:sz w:val="18"/>
                <w:szCs w:val="18"/>
                <w:color w:val="auto"/>
              </w:rPr>
            </w:pPr>
          </w:p>
        </w:tc>
        <w:tc>
          <w:tcPr>
            <w:tcW w:w="800" w:type="dxa"/>
            <w:vAlign w:val="bottom"/>
            <w:shd w:val="clear" w:color="auto" w:fill="B2B2B2"/>
          </w:tcPr>
          <w:p>
            <w:pPr>
              <w:jc w:val="right"/>
              <w:spacing w:after="0"/>
              <w:rPr>
                <w:sz w:val="20"/>
                <w:szCs w:val="20"/>
                <w:color w:val="auto"/>
              </w:rPr>
            </w:pPr>
            <w:r>
              <w:rPr>
                <w:rFonts w:ascii="Arial" w:cs="Arial" w:eastAsia="Arial" w:hAnsi="Arial"/>
                <w:sz w:val="18"/>
                <w:szCs w:val="18"/>
                <w:color w:val="auto"/>
                <w:w w:val="97"/>
              </w:rPr>
              <w:t>1,731,982</w:t>
            </w:r>
          </w:p>
        </w:tc>
      </w:tr>
      <w:tr>
        <w:trPr>
          <w:trHeight w:val="230"/>
        </w:trPr>
        <w:tc>
          <w:tcPr>
            <w:tcW w:w="4780" w:type="dxa"/>
            <w:vAlign w:val="bottom"/>
            <w:gridSpan w:val="2"/>
          </w:tcPr>
          <w:p>
            <w:pPr>
              <w:ind w:left="180"/>
              <w:spacing w:after="0"/>
              <w:rPr>
                <w:sz w:val="20"/>
                <w:szCs w:val="20"/>
                <w:color w:val="auto"/>
              </w:rPr>
            </w:pPr>
            <w:r>
              <w:rPr>
                <w:rFonts w:ascii="Arial" w:cs="Arial" w:eastAsia="Arial" w:hAnsi="Arial"/>
                <w:sz w:val="18"/>
                <w:szCs w:val="18"/>
                <w:color w:val="auto"/>
              </w:rPr>
              <w:t>Funding Sources</w:t>
            </w:r>
          </w:p>
        </w:tc>
        <w:tc>
          <w:tcPr>
            <w:tcW w:w="2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677,829</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611,135</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1,288,964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955" cy="25400"/>
                    </a:xfrm>
                    <a:prstGeom prst="rect">
                      <a:avLst/>
                    </a:prstGeom>
                    <a:noFill/>
                  </pic:spPr>
                </pic:pic>
              </a:graphicData>
            </a:graphic>
          </wp:anchor>
        </w:drawing>
      </w:r>
    </w:p>
    <w:p>
      <w:pPr>
        <w:ind w:left="120" w:hanging="94"/>
        <w:spacing w:after="0" w:line="242" w:lineRule="auto"/>
        <w:tabs>
          <w:tab w:leader="none" w:pos="120" w:val="left"/>
        </w:tabs>
        <w:numPr>
          <w:ilvl w:val="0"/>
          <w:numId w:val="5"/>
        </w:numPr>
        <w:rPr>
          <w:rFonts w:ascii="Arial" w:cs="Arial" w:eastAsia="Arial" w:hAnsi="Arial"/>
          <w:sz w:val="14"/>
          <w:szCs w:val="14"/>
          <w:color w:val="auto"/>
        </w:rPr>
      </w:pPr>
      <w:r>
        <w:rPr>
          <w:rFonts w:ascii="Arial" w:cs="Arial" w:eastAsia="Arial" w:hAnsi="Arial"/>
          <w:sz w:val="14"/>
          <w:szCs w:val="14"/>
          <w:color w:val="auto"/>
        </w:rPr>
        <w:t>Presented on a tax-equivalent basis assuming a tax rate of 21%. The tax-equivalent adjustment was approximately $462,000 and $484,000 for the three months ended March 31, 2021 and 2020, respectively.</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Note 6 – Loans by Type</w:t>
            </w:r>
          </w:p>
        </w:tc>
        <w:tc>
          <w:tcPr>
            <w:tcW w:w="27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04"/>
        </w:trPr>
        <w:tc>
          <w:tcPr>
            <w:tcW w:w="5700" w:type="dxa"/>
            <w:vAlign w:val="bottom"/>
          </w:tcPr>
          <w:p>
            <w:pPr>
              <w:spacing w:after="0"/>
              <w:rPr>
                <w:sz w:val="20"/>
                <w:szCs w:val="20"/>
                <w:color w:val="auto"/>
              </w:rPr>
            </w:pPr>
            <w:r>
              <w:rPr>
                <w:rFonts w:ascii="Arial" w:cs="Arial" w:eastAsia="Arial" w:hAnsi="Arial"/>
                <w:sz w:val="18"/>
                <w:szCs w:val="18"/>
                <w:color w:val="auto"/>
              </w:rPr>
              <w:t>A summary of loan categories is as follows:</w:t>
            </w:r>
          </w:p>
        </w:tc>
        <w:tc>
          <w:tcPr>
            <w:tcW w:w="27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86"/>
        </w:trPr>
        <w:tc>
          <w:tcPr>
            <w:tcW w:w="57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280" w:type="dxa"/>
            <w:vAlign w:val="bottom"/>
          </w:tcPr>
          <w:p>
            <w:pPr>
              <w:jc w:val="right"/>
              <w:ind w:right="310"/>
              <w:spacing w:after="0"/>
              <w:rPr>
                <w:sz w:val="20"/>
                <w:szCs w:val="20"/>
                <w:color w:val="auto"/>
              </w:rPr>
            </w:pPr>
            <w:r>
              <w:rPr>
                <w:rFonts w:ascii="Arial" w:cs="Arial" w:eastAsia="Arial" w:hAnsi="Arial"/>
                <w:sz w:val="18"/>
                <w:szCs w:val="18"/>
                <w:b w:val="1"/>
                <w:bCs w:val="1"/>
                <w:color w:val="auto"/>
              </w:rPr>
              <w:t>March 31,</w:t>
            </w:r>
          </w:p>
        </w:tc>
        <w:tc>
          <w:tcPr>
            <w:tcW w:w="240" w:type="dxa"/>
            <w:vAlign w:val="bottom"/>
          </w:tcPr>
          <w:p>
            <w:pPr>
              <w:spacing w:after="0"/>
              <w:rPr>
                <w:sz w:val="24"/>
                <w:szCs w:val="24"/>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27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r>
      <w:tr>
        <w:trPr>
          <w:trHeight w:val="215"/>
        </w:trPr>
        <w:tc>
          <w:tcPr>
            <w:tcW w:w="5700" w:type="dxa"/>
            <w:vAlign w:val="bottom"/>
            <w:shd w:val="clear" w:color="auto" w:fill="B2B2B2"/>
          </w:tcPr>
          <w:p>
            <w:pPr>
              <w:spacing w:after="0"/>
              <w:rPr>
                <w:sz w:val="20"/>
                <w:szCs w:val="20"/>
                <w:color w:val="auto"/>
              </w:rPr>
            </w:pPr>
            <w:r>
              <w:rPr>
                <w:rFonts w:ascii="Arial" w:cs="Arial" w:eastAsia="Arial" w:hAnsi="Arial"/>
                <w:sz w:val="18"/>
                <w:szCs w:val="18"/>
                <w:color w:val="auto"/>
              </w:rPr>
              <w:t>Commercial and industrial</w:t>
            </w:r>
          </w:p>
        </w:tc>
        <w:tc>
          <w:tcPr>
            <w:tcW w:w="272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302,747</w:t>
            </w:r>
          </w:p>
        </w:tc>
        <w:tc>
          <w:tcPr>
            <w:tcW w:w="2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298,984</w:t>
            </w:r>
          </w:p>
        </w:tc>
        <w:tc>
          <w:tcPr>
            <w:tcW w:w="20" w:type="dxa"/>
            <w:vAlign w:val="bottom"/>
          </w:tcPr>
          <w:p>
            <w:pPr>
              <w:spacing w:after="0"/>
              <w:rPr>
                <w:sz w:val="18"/>
                <w:szCs w:val="18"/>
                <w:color w:val="auto"/>
              </w:rPr>
            </w:pPr>
          </w:p>
        </w:tc>
      </w:tr>
      <w:tr>
        <w:trPr>
          <w:trHeight w:val="215"/>
        </w:trPr>
        <w:tc>
          <w:tcPr>
            <w:tcW w:w="5700" w:type="dxa"/>
            <w:vAlign w:val="bottom"/>
          </w:tcPr>
          <w:p>
            <w:pPr>
              <w:spacing w:after="0"/>
              <w:rPr>
                <w:sz w:val="20"/>
                <w:szCs w:val="20"/>
                <w:color w:val="auto"/>
              </w:rPr>
            </w:pPr>
            <w:r>
              <w:rPr>
                <w:rFonts w:ascii="Arial" w:cs="Arial" w:eastAsia="Arial" w:hAnsi="Arial"/>
                <w:sz w:val="18"/>
                <w:szCs w:val="18"/>
                <w:color w:val="auto"/>
              </w:rPr>
              <w:t>Real estate:</w:t>
            </w:r>
          </w:p>
        </w:tc>
        <w:tc>
          <w:tcPr>
            <w:tcW w:w="27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5700" w:type="dxa"/>
            <w:vAlign w:val="bottom"/>
            <w:shd w:val="clear" w:color="auto" w:fill="B2B2B2"/>
          </w:tcPr>
          <w:p>
            <w:pPr>
              <w:ind w:left="180"/>
              <w:spacing w:after="0"/>
              <w:rPr>
                <w:sz w:val="20"/>
                <w:szCs w:val="20"/>
                <w:color w:val="auto"/>
              </w:rPr>
            </w:pPr>
            <w:r>
              <w:rPr>
                <w:rFonts w:ascii="Arial" w:cs="Arial" w:eastAsia="Arial" w:hAnsi="Arial"/>
                <w:sz w:val="18"/>
                <w:szCs w:val="18"/>
                <w:color w:val="auto"/>
              </w:rPr>
              <w:t>Commercial:</w:t>
            </w:r>
          </w:p>
        </w:tc>
        <w:tc>
          <w:tcPr>
            <w:tcW w:w="2720" w:type="dxa"/>
            <w:vAlign w:val="bottom"/>
            <w:shd w:val="clear" w:color="auto" w:fill="B2B2B2"/>
          </w:tcPr>
          <w:p>
            <w:pPr>
              <w:spacing w:after="0"/>
              <w:rPr>
                <w:sz w:val="18"/>
                <w:szCs w:val="18"/>
                <w:color w:val="auto"/>
              </w:rPr>
            </w:pPr>
          </w:p>
        </w:tc>
        <w:tc>
          <w:tcPr>
            <w:tcW w:w="128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1300" w:type="dxa"/>
            <w:vAlign w:val="bottom"/>
            <w:shd w:val="clear" w:color="auto" w:fill="B2B2B2"/>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5700" w:type="dxa"/>
            <w:vAlign w:val="bottom"/>
          </w:tcPr>
          <w:p>
            <w:pPr>
              <w:ind w:left="540"/>
              <w:spacing w:after="0"/>
              <w:rPr>
                <w:sz w:val="20"/>
                <w:szCs w:val="20"/>
                <w:color w:val="auto"/>
              </w:rPr>
            </w:pPr>
            <w:r>
              <w:rPr>
                <w:rFonts w:ascii="Arial" w:cs="Arial" w:eastAsia="Arial" w:hAnsi="Arial"/>
                <w:sz w:val="18"/>
                <w:szCs w:val="18"/>
                <w:color w:val="auto"/>
              </w:rPr>
              <w:t>Mortgage</w:t>
            </w:r>
          </w:p>
        </w:tc>
        <w:tc>
          <w:tcPr>
            <w:tcW w:w="272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96,630</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100,419</w:t>
            </w:r>
          </w:p>
        </w:tc>
        <w:tc>
          <w:tcPr>
            <w:tcW w:w="20" w:type="dxa"/>
            <w:vAlign w:val="bottom"/>
          </w:tcPr>
          <w:p>
            <w:pPr>
              <w:spacing w:after="0"/>
              <w:rPr>
                <w:sz w:val="18"/>
                <w:szCs w:val="18"/>
                <w:color w:val="auto"/>
              </w:rPr>
            </w:pPr>
          </w:p>
        </w:tc>
      </w:tr>
      <w:tr>
        <w:trPr>
          <w:trHeight w:val="215"/>
        </w:trPr>
        <w:tc>
          <w:tcPr>
            <w:tcW w:w="5700" w:type="dxa"/>
            <w:vAlign w:val="bottom"/>
            <w:shd w:val="clear" w:color="auto" w:fill="B2B2B2"/>
          </w:tcPr>
          <w:p>
            <w:pPr>
              <w:ind w:left="540"/>
              <w:spacing w:after="0"/>
              <w:rPr>
                <w:sz w:val="20"/>
                <w:szCs w:val="20"/>
                <w:color w:val="auto"/>
              </w:rPr>
            </w:pPr>
            <w:r>
              <w:rPr>
                <w:rFonts w:ascii="Arial" w:cs="Arial" w:eastAsia="Arial" w:hAnsi="Arial"/>
                <w:sz w:val="18"/>
                <w:szCs w:val="18"/>
                <w:color w:val="auto"/>
              </w:rPr>
              <w:t>Construction</w:t>
            </w:r>
          </w:p>
        </w:tc>
        <w:tc>
          <w:tcPr>
            <w:tcW w:w="2720" w:type="dxa"/>
            <w:vAlign w:val="bottom"/>
            <w:shd w:val="clear" w:color="auto" w:fill="B2B2B2"/>
          </w:tcPr>
          <w:p>
            <w:pPr>
              <w:spacing w:after="0"/>
              <w:rPr>
                <w:sz w:val="18"/>
                <w:szCs w:val="18"/>
                <w:color w:val="auto"/>
              </w:rPr>
            </w:pPr>
          </w:p>
        </w:tc>
        <w:tc>
          <w:tcPr>
            <w:tcW w:w="128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23,766</w:t>
            </w:r>
          </w:p>
        </w:tc>
        <w:tc>
          <w:tcPr>
            <w:tcW w:w="240" w:type="dxa"/>
            <w:vAlign w:val="bottom"/>
            <w:shd w:val="clear" w:color="auto" w:fill="B2B2B2"/>
          </w:tcPr>
          <w:p>
            <w:pPr>
              <w:spacing w:after="0"/>
              <w:rPr>
                <w:sz w:val="18"/>
                <w:szCs w:val="18"/>
                <w:color w:val="auto"/>
              </w:rPr>
            </w:pPr>
          </w:p>
        </w:tc>
        <w:tc>
          <w:tcPr>
            <w:tcW w:w="13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25,090</w:t>
            </w:r>
          </w:p>
        </w:tc>
        <w:tc>
          <w:tcPr>
            <w:tcW w:w="20" w:type="dxa"/>
            <w:vAlign w:val="bottom"/>
          </w:tcPr>
          <w:p>
            <w:pPr>
              <w:spacing w:after="0"/>
              <w:rPr>
                <w:sz w:val="18"/>
                <w:szCs w:val="18"/>
                <w:color w:val="auto"/>
              </w:rPr>
            </w:pPr>
          </w:p>
        </w:tc>
      </w:tr>
      <w:tr>
        <w:trPr>
          <w:trHeight w:val="215"/>
        </w:trPr>
        <w:tc>
          <w:tcPr>
            <w:tcW w:w="5700" w:type="dxa"/>
            <w:vAlign w:val="bottom"/>
          </w:tcPr>
          <w:p>
            <w:pPr>
              <w:ind w:left="180"/>
              <w:spacing w:after="0"/>
              <w:rPr>
                <w:sz w:val="20"/>
                <w:szCs w:val="20"/>
                <w:color w:val="auto"/>
              </w:rPr>
            </w:pPr>
            <w:r>
              <w:rPr>
                <w:rFonts w:ascii="Arial" w:cs="Arial" w:eastAsia="Arial" w:hAnsi="Arial"/>
                <w:sz w:val="18"/>
                <w:szCs w:val="18"/>
                <w:color w:val="auto"/>
              </w:rPr>
              <w:t>Faith-based:</w:t>
            </w:r>
          </w:p>
        </w:tc>
        <w:tc>
          <w:tcPr>
            <w:tcW w:w="27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5700" w:type="dxa"/>
            <w:vAlign w:val="bottom"/>
            <w:shd w:val="clear" w:color="auto" w:fill="B2B2B2"/>
          </w:tcPr>
          <w:p>
            <w:pPr>
              <w:ind w:left="540"/>
              <w:spacing w:after="0"/>
              <w:rPr>
                <w:sz w:val="20"/>
                <w:szCs w:val="20"/>
                <w:color w:val="auto"/>
              </w:rPr>
            </w:pPr>
            <w:r>
              <w:rPr>
                <w:rFonts w:ascii="Arial" w:cs="Arial" w:eastAsia="Arial" w:hAnsi="Arial"/>
                <w:sz w:val="18"/>
                <w:szCs w:val="18"/>
                <w:color w:val="auto"/>
              </w:rPr>
              <w:t>Mortgage</w:t>
            </w:r>
          </w:p>
        </w:tc>
        <w:tc>
          <w:tcPr>
            <w:tcW w:w="2720" w:type="dxa"/>
            <w:vAlign w:val="bottom"/>
            <w:shd w:val="clear" w:color="auto" w:fill="B2B2B2"/>
          </w:tcPr>
          <w:p>
            <w:pPr>
              <w:spacing w:after="0"/>
              <w:rPr>
                <w:sz w:val="18"/>
                <w:szCs w:val="18"/>
                <w:color w:val="auto"/>
              </w:rPr>
            </w:pPr>
          </w:p>
        </w:tc>
        <w:tc>
          <w:tcPr>
            <w:tcW w:w="128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331,153</w:t>
            </w:r>
          </w:p>
        </w:tc>
        <w:tc>
          <w:tcPr>
            <w:tcW w:w="240" w:type="dxa"/>
            <w:vAlign w:val="bottom"/>
            <w:shd w:val="clear" w:color="auto" w:fill="B2B2B2"/>
          </w:tcPr>
          <w:p>
            <w:pPr>
              <w:spacing w:after="0"/>
              <w:rPr>
                <w:sz w:val="18"/>
                <w:szCs w:val="18"/>
                <w:color w:val="auto"/>
              </w:rPr>
            </w:pPr>
          </w:p>
        </w:tc>
        <w:tc>
          <w:tcPr>
            <w:tcW w:w="13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333,661</w:t>
            </w:r>
          </w:p>
        </w:tc>
        <w:tc>
          <w:tcPr>
            <w:tcW w:w="20" w:type="dxa"/>
            <w:vAlign w:val="bottom"/>
          </w:tcPr>
          <w:p>
            <w:pPr>
              <w:spacing w:after="0"/>
              <w:rPr>
                <w:sz w:val="18"/>
                <w:szCs w:val="18"/>
                <w:color w:val="auto"/>
              </w:rPr>
            </w:pPr>
          </w:p>
        </w:tc>
      </w:tr>
      <w:tr>
        <w:trPr>
          <w:trHeight w:val="215"/>
        </w:trPr>
        <w:tc>
          <w:tcPr>
            <w:tcW w:w="5700" w:type="dxa"/>
            <w:vAlign w:val="bottom"/>
          </w:tcPr>
          <w:p>
            <w:pPr>
              <w:ind w:left="540"/>
              <w:spacing w:after="0"/>
              <w:rPr>
                <w:sz w:val="20"/>
                <w:szCs w:val="20"/>
                <w:color w:val="auto"/>
              </w:rPr>
            </w:pPr>
            <w:r>
              <w:rPr>
                <w:rFonts w:ascii="Arial" w:cs="Arial" w:eastAsia="Arial" w:hAnsi="Arial"/>
                <w:sz w:val="18"/>
                <w:szCs w:val="18"/>
                <w:color w:val="auto"/>
              </w:rPr>
              <w:t>Construction</w:t>
            </w:r>
          </w:p>
        </w:tc>
        <w:tc>
          <w:tcPr>
            <w:tcW w:w="272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20,800</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23,818</w:t>
            </w:r>
          </w:p>
        </w:tc>
        <w:tc>
          <w:tcPr>
            <w:tcW w:w="20" w:type="dxa"/>
            <w:vAlign w:val="bottom"/>
          </w:tcPr>
          <w:p>
            <w:pPr>
              <w:spacing w:after="0"/>
              <w:rPr>
                <w:sz w:val="18"/>
                <w:szCs w:val="18"/>
                <w:color w:val="auto"/>
              </w:rPr>
            </w:pPr>
          </w:p>
        </w:tc>
      </w:tr>
      <w:tr>
        <w:trPr>
          <w:trHeight w:val="215"/>
        </w:trPr>
        <w:tc>
          <w:tcPr>
            <w:tcW w:w="5700" w:type="dxa"/>
            <w:vAlign w:val="bottom"/>
            <w:shd w:val="clear" w:color="auto" w:fill="B2B2B2"/>
          </w:tcPr>
          <w:p>
            <w:pPr>
              <w:spacing w:after="0"/>
              <w:rPr>
                <w:sz w:val="20"/>
                <w:szCs w:val="20"/>
                <w:color w:val="auto"/>
              </w:rPr>
            </w:pPr>
            <w:r>
              <w:rPr>
                <w:rFonts w:ascii="Arial" w:cs="Arial" w:eastAsia="Arial" w:hAnsi="Arial"/>
                <w:sz w:val="18"/>
                <w:szCs w:val="18"/>
                <w:color w:val="auto"/>
              </w:rPr>
              <w:t>Paycheck Protection Program (“PPP”)</w:t>
            </w:r>
          </w:p>
        </w:tc>
        <w:tc>
          <w:tcPr>
            <w:tcW w:w="2720" w:type="dxa"/>
            <w:vAlign w:val="bottom"/>
            <w:shd w:val="clear" w:color="auto" w:fill="B2B2B2"/>
          </w:tcPr>
          <w:p>
            <w:pPr>
              <w:spacing w:after="0"/>
              <w:rPr>
                <w:sz w:val="18"/>
                <w:szCs w:val="18"/>
                <w:color w:val="auto"/>
              </w:rPr>
            </w:pPr>
          </w:p>
        </w:tc>
        <w:tc>
          <w:tcPr>
            <w:tcW w:w="128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113,474</w:t>
            </w:r>
          </w:p>
        </w:tc>
        <w:tc>
          <w:tcPr>
            <w:tcW w:w="240" w:type="dxa"/>
            <w:vAlign w:val="bottom"/>
            <w:shd w:val="clear" w:color="auto" w:fill="B2B2B2"/>
          </w:tcPr>
          <w:p>
            <w:pPr>
              <w:spacing w:after="0"/>
              <w:rPr>
                <w:sz w:val="18"/>
                <w:szCs w:val="18"/>
                <w:color w:val="auto"/>
              </w:rPr>
            </w:pPr>
          </w:p>
        </w:tc>
        <w:tc>
          <w:tcPr>
            <w:tcW w:w="13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109,704</w:t>
            </w:r>
          </w:p>
        </w:tc>
        <w:tc>
          <w:tcPr>
            <w:tcW w:w="20" w:type="dxa"/>
            <w:vAlign w:val="bottom"/>
          </w:tcPr>
          <w:p>
            <w:pPr>
              <w:spacing w:after="0"/>
              <w:rPr>
                <w:sz w:val="18"/>
                <w:szCs w:val="18"/>
                <w:color w:val="auto"/>
              </w:rPr>
            </w:pPr>
          </w:p>
        </w:tc>
      </w:tr>
      <w:tr>
        <w:trPr>
          <w:trHeight w:val="215"/>
        </w:trPr>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27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5700" w:type="dxa"/>
            <w:vAlign w:val="bottom"/>
            <w:tcBorders>
              <w:bottom w:val="single" w:sz="8" w:color="auto"/>
            </w:tcBorders>
            <w:shd w:val="clear" w:color="auto" w:fill="B2B2B2"/>
          </w:tcPr>
          <w:p>
            <w:pPr>
              <w:ind w:left="360"/>
              <w:spacing w:after="0" w:line="195" w:lineRule="exact"/>
              <w:rPr>
                <w:sz w:val="20"/>
                <w:szCs w:val="20"/>
                <w:color w:val="auto"/>
              </w:rPr>
            </w:pPr>
            <w:r>
              <w:rPr>
                <w:rFonts w:ascii="Arial" w:cs="Arial" w:eastAsia="Arial" w:hAnsi="Arial"/>
                <w:sz w:val="18"/>
                <w:szCs w:val="18"/>
                <w:color w:val="auto"/>
              </w:rPr>
              <w:t>Total loans</w:t>
            </w:r>
          </w:p>
        </w:tc>
        <w:tc>
          <w:tcPr>
            <w:tcW w:w="2720" w:type="dxa"/>
            <w:vAlign w:val="bottom"/>
            <w:tcBorders>
              <w:bottom w:val="single" w:sz="8" w:color="auto"/>
            </w:tcBorders>
            <w:shd w:val="clear" w:color="auto" w:fill="B2B2B2"/>
          </w:tcPr>
          <w:p>
            <w:pPr>
              <w:jc w:val="right"/>
              <w:ind w:right="10"/>
              <w:spacing w:after="0" w:line="195" w:lineRule="exact"/>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B2B2B2"/>
          </w:tcPr>
          <w:p>
            <w:pPr>
              <w:jc w:val="right"/>
              <w:ind w:right="30"/>
              <w:spacing w:after="0" w:line="195" w:lineRule="exact"/>
              <w:rPr>
                <w:sz w:val="20"/>
                <w:szCs w:val="20"/>
                <w:color w:val="auto"/>
              </w:rPr>
            </w:pPr>
            <w:r>
              <w:rPr>
                <w:rFonts w:ascii="Arial" w:cs="Arial" w:eastAsia="Arial" w:hAnsi="Arial"/>
                <w:sz w:val="18"/>
                <w:szCs w:val="18"/>
                <w:color w:val="auto"/>
              </w:rPr>
              <w:t>888,575</w:t>
            </w:r>
          </w:p>
        </w:tc>
        <w:tc>
          <w:tcPr>
            <w:tcW w:w="240" w:type="dxa"/>
            <w:vAlign w:val="bottom"/>
            <w:tcBorders>
              <w:bottom w:val="single" w:sz="8" w:color="auto"/>
            </w:tcBorders>
            <w:shd w:val="clear" w:color="auto" w:fill="B2B2B2"/>
          </w:tcPr>
          <w:p>
            <w:pPr>
              <w:jc w:val="right"/>
              <w:spacing w:after="0" w:line="195"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B2B2B2"/>
          </w:tcPr>
          <w:p>
            <w:pPr>
              <w:jc w:val="right"/>
              <w:spacing w:after="0" w:line="195" w:lineRule="exact"/>
              <w:rPr>
                <w:sz w:val="20"/>
                <w:szCs w:val="20"/>
                <w:color w:val="auto"/>
              </w:rPr>
            </w:pPr>
            <w:r>
              <w:rPr>
                <w:rFonts w:ascii="Arial" w:cs="Arial" w:eastAsia="Arial" w:hAnsi="Arial"/>
                <w:sz w:val="18"/>
                <w:szCs w:val="18"/>
                <w:color w:val="auto"/>
              </w:rPr>
              <w:t>891,676</w:t>
            </w:r>
          </w:p>
        </w:tc>
        <w:tc>
          <w:tcPr>
            <w:tcW w:w="20" w:type="dxa"/>
            <w:vAlign w:val="bottom"/>
            <w:tcBorders>
              <w:bottom w:val="single" w:sz="8" w:color="auto"/>
            </w:tcBorders>
          </w:tcPr>
          <w:p>
            <w:pPr>
              <w:spacing w:after="0"/>
              <w:rPr>
                <w:sz w:val="18"/>
                <w:szCs w:val="18"/>
                <w:color w:val="auto"/>
              </w:rPr>
            </w:pPr>
          </w:p>
        </w:tc>
      </w:tr>
    </w:tbl>
    <w:p>
      <w:pPr>
        <w:spacing w:after="0" w:line="36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support of the Coronavirus, Aid, Relief, and Economic Security Act (the “CARES Act”), the Bank had processed nearly 450 applications for PPP loans of approximately $210,000,000 to provide much-needed cash to small business and self-employed taxpayers during the COVID-19 crisis. The loans were primarily made to existing bank customers and are 100% guaranteed by the Small Business Administration and no allowance for credit loss was recorded for these loans.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8355" cy="596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355" cy="5969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2">
              <w:r>
                <w:rPr>
                  <w:rFonts w:ascii="Arial" w:cs="Arial" w:eastAsia="Arial" w:hAnsi="Arial"/>
                  <w:sz w:val="18"/>
                  <w:szCs w:val="18"/>
                  <w:b w:val="1"/>
                  <w:bCs w:val="1"/>
                  <w:color w:val="0000EE"/>
                  <w:w w:val="88"/>
                </w:rPr>
                <w:t>Table of Contents</w:t>
              </w:r>
            </w:hyperlink>
          </w:p>
        </w:tc>
        <w:tc>
          <w:tcPr>
            <w:tcW w:w="3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38"/>
        </w:trPr>
        <w:tc>
          <w:tcPr>
            <w:tcW w:w="8040" w:type="dxa"/>
            <w:vAlign w:val="bottom"/>
            <w:gridSpan w:val="8"/>
          </w:tcPr>
          <w:p>
            <w:pPr>
              <w:spacing w:after="0"/>
              <w:rPr>
                <w:sz w:val="20"/>
                <w:szCs w:val="20"/>
                <w:color w:val="auto"/>
              </w:rPr>
            </w:pPr>
            <w:r>
              <w:rPr>
                <w:rFonts w:ascii="Arial" w:cs="Arial" w:eastAsia="Arial" w:hAnsi="Arial"/>
                <w:sz w:val="18"/>
                <w:szCs w:val="18"/>
                <w:color w:val="auto"/>
                <w:w w:val="91"/>
              </w:rPr>
              <w:t>The following table presents the aging of loans by loan categories at March 31, 2021 and December 31, 2020: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7"/>
        </w:trPr>
        <w:tc>
          <w:tcPr>
            <w:tcW w:w="13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Performing</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b w:val="1"/>
                <w:bCs w:val="1"/>
                <w:color w:val="auto"/>
              </w:rPr>
              <w:t>Nonperforming</w:t>
            </w:r>
          </w:p>
        </w:tc>
        <w:tc>
          <w:tcPr>
            <w:tcW w:w="20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7"/>
        </w:trPr>
        <w:tc>
          <w:tcPr>
            <w:tcW w:w="136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center"/>
              <w:ind w:right="150"/>
              <w:spacing w:after="0" w:line="197" w:lineRule="exact"/>
              <w:rPr>
                <w:sz w:val="20"/>
                <w:szCs w:val="20"/>
                <w:color w:val="auto"/>
              </w:rPr>
            </w:pPr>
            <w:r>
              <w:rPr>
                <w:rFonts w:ascii="Arial" w:cs="Arial" w:eastAsia="Arial" w:hAnsi="Arial"/>
                <w:sz w:val="18"/>
                <w:szCs w:val="18"/>
                <w:b w:val="1"/>
                <w:bCs w:val="1"/>
                <w:color w:val="auto"/>
                <w:w w:val="89"/>
              </w:rPr>
              <w:t>90</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5"/>
        </w:trPr>
        <w:tc>
          <w:tcPr>
            <w:tcW w:w="136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Days</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136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ind w:left="200"/>
              <w:spacing w:after="0"/>
              <w:rPr>
                <w:sz w:val="20"/>
                <w:szCs w:val="20"/>
                <w:color w:val="auto"/>
              </w:rPr>
            </w:pPr>
            <w:r>
              <w:rPr>
                <w:rFonts w:ascii="Arial" w:cs="Arial" w:eastAsia="Arial" w:hAnsi="Arial"/>
                <w:sz w:val="18"/>
                <w:szCs w:val="18"/>
                <w:b w:val="1"/>
                <w:bCs w:val="1"/>
                <w:color w:val="auto"/>
              </w:rPr>
              <w:t>30-59</w:t>
            </w:r>
          </w:p>
        </w:tc>
        <w:tc>
          <w:tcPr>
            <w:tcW w:w="240" w:type="dxa"/>
            <w:vAlign w:val="bottom"/>
          </w:tcPr>
          <w:p>
            <w:pPr>
              <w:spacing w:after="0"/>
              <w:rPr>
                <w:sz w:val="18"/>
                <w:szCs w:val="18"/>
                <w:color w:val="auto"/>
              </w:rPr>
            </w:pPr>
          </w:p>
        </w:tc>
        <w:tc>
          <w:tcPr>
            <w:tcW w:w="820" w:type="dxa"/>
            <w:vAlign w:val="bottom"/>
          </w:tcPr>
          <w:p>
            <w:pPr>
              <w:ind w:left="100"/>
              <w:spacing w:after="0"/>
              <w:rPr>
                <w:sz w:val="20"/>
                <w:szCs w:val="20"/>
                <w:color w:val="auto"/>
              </w:rPr>
            </w:pPr>
            <w:r>
              <w:rPr>
                <w:rFonts w:ascii="Arial" w:cs="Arial" w:eastAsia="Arial" w:hAnsi="Arial"/>
                <w:sz w:val="18"/>
                <w:szCs w:val="18"/>
                <w:b w:val="1"/>
                <w:bCs w:val="1"/>
                <w:color w:val="auto"/>
              </w:rPr>
              <w:t>60-89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center"/>
              <w:ind w:right="170"/>
              <w:spacing w:after="0"/>
              <w:rPr>
                <w:sz w:val="20"/>
                <w:szCs w:val="20"/>
                <w:color w:val="auto"/>
              </w:rPr>
            </w:pPr>
            <w:r>
              <w:rPr>
                <w:rFonts w:ascii="Arial" w:cs="Arial" w:eastAsia="Arial" w:hAnsi="Arial"/>
                <w:sz w:val="18"/>
                <w:szCs w:val="18"/>
                <w:b w:val="1"/>
                <w:bCs w:val="1"/>
                <w:color w:val="auto"/>
                <w:w w:val="87"/>
              </w:rPr>
              <w:t>and</w:t>
            </w:r>
          </w:p>
        </w:tc>
        <w:tc>
          <w:tcPr>
            <w:tcW w:w="840" w:type="dxa"/>
            <w:vAlign w:val="bottom"/>
          </w:tcPr>
          <w:p>
            <w:pPr>
              <w:jc w:val="right"/>
              <w:ind w:right="10"/>
              <w:spacing w:after="0"/>
              <w:rPr>
                <w:sz w:val="20"/>
                <w:szCs w:val="20"/>
                <w:color w:val="auto"/>
              </w:rPr>
            </w:pPr>
            <w:r>
              <w:rPr>
                <w:rFonts w:ascii="Arial" w:cs="Arial" w:eastAsia="Arial" w:hAnsi="Arial"/>
                <w:sz w:val="18"/>
                <w:szCs w:val="18"/>
                <w:b w:val="1"/>
                <w:bCs w:val="1"/>
                <w:color w:val="auto"/>
              </w:rPr>
              <w:t>Non-</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Total</w:t>
            </w:r>
          </w:p>
        </w:tc>
      </w:tr>
      <w:tr>
        <w:trPr>
          <w:trHeight w:val="241"/>
        </w:trPr>
        <w:tc>
          <w:tcPr>
            <w:tcW w:w="48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20" w:type="dxa"/>
            <w:vAlign w:val="bottom"/>
          </w:tcPr>
          <w:p>
            <w:pPr>
              <w:spacing w:after="0"/>
              <w:rPr>
                <w:sz w:val="20"/>
                <w:szCs w:val="20"/>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b w:val="1"/>
                <w:bCs w:val="1"/>
                <w:color w:val="auto"/>
                <w:w w:val="95"/>
              </w:rPr>
              <w:t>Current</w:t>
            </w:r>
          </w:p>
        </w:tc>
        <w:tc>
          <w:tcPr>
            <w:tcW w:w="160" w:type="dxa"/>
            <w:vAlign w:val="bottom"/>
          </w:tcPr>
          <w:p>
            <w:pPr>
              <w:spacing w:after="0"/>
              <w:rPr>
                <w:sz w:val="20"/>
                <w:szCs w:val="20"/>
                <w:color w:val="auto"/>
              </w:rPr>
            </w:pPr>
          </w:p>
        </w:tc>
        <w:tc>
          <w:tcPr>
            <w:tcW w:w="980" w:type="dxa"/>
            <w:vAlign w:val="bottom"/>
          </w:tcPr>
          <w:p>
            <w:pPr>
              <w:ind w:left="220"/>
              <w:spacing w:after="0"/>
              <w:rPr>
                <w:sz w:val="20"/>
                <w:szCs w:val="20"/>
                <w:color w:val="auto"/>
              </w:rPr>
            </w:pPr>
            <w:r>
              <w:rPr>
                <w:rFonts w:ascii="Arial" w:cs="Arial" w:eastAsia="Arial" w:hAnsi="Arial"/>
                <w:sz w:val="18"/>
                <w:szCs w:val="18"/>
                <w:b w:val="1"/>
                <w:bCs w:val="1"/>
                <w:color w:val="auto"/>
              </w:rPr>
              <w:t>Days</w:t>
            </w:r>
          </w:p>
        </w:tc>
        <w:tc>
          <w:tcPr>
            <w:tcW w:w="240" w:type="dxa"/>
            <w:vAlign w:val="bottom"/>
          </w:tcPr>
          <w:p>
            <w:pPr>
              <w:spacing w:after="0"/>
              <w:rPr>
                <w:sz w:val="20"/>
                <w:szCs w:val="20"/>
                <w:color w:val="auto"/>
              </w:rPr>
            </w:pPr>
          </w:p>
        </w:tc>
        <w:tc>
          <w:tcPr>
            <w:tcW w:w="820" w:type="dxa"/>
            <w:vAlign w:val="bottom"/>
          </w:tcPr>
          <w:p>
            <w:pPr>
              <w:ind w:left="120"/>
              <w:spacing w:after="0"/>
              <w:rPr>
                <w:sz w:val="20"/>
                <w:szCs w:val="20"/>
                <w:color w:val="auto"/>
              </w:rPr>
            </w:pPr>
            <w:r>
              <w:rPr>
                <w:rFonts w:ascii="Arial" w:cs="Arial" w:eastAsia="Arial" w:hAnsi="Arial"/>
                <w:sz w:val="18"/>
                <w:szCs w:val="18"/>
                <w:b w:val="1"/>
                <w:bCs w:val="1"/>
                <w:color w:val="auto"/>
              </w:rPr>
              <w:t>Days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center"/>
              <w:ind w:right="170"/>
              <w:spacing w:after="0"/>
              <w:rPr>
                <w:sz w:val="20"/>
                <w:szCs w:val="20"/>
                <w:color w:val="auto"/>
              </w:rPr>
            </w:pPr>
            <w:r>
              <w:rPr>
                <w:rFonts w:ascii="Arial" w:cs="Arial" w:eastAsia="Arial" w:hAnsi="Arial"/>
                <w:sz w:val="18"/>
                <w:szCs w:val="18"/>
                <w:b w:val="1"/>
                <w:bCs w:val="1"/>
                <w:color w:val="auto"/>
                <w:w w:val="97"/>
              </w:rPr>
              <w:t>Over</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accrual</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Loans</w:t>
            </w:r>
          </w:p>
        </w:tc>
      </w:tr>
      <w:tr>
        <w:trPr>
          <w:trHeight w:val="215"/>
        </w:trPr>
        <w:tc>
          <w:tcPr>
            <w:tcW w:w="4860" w:type="dxa"/>
            <w:vAlign w:val="bottom"/>
            <w:tcBorders>
              <w:top w:val="single" w:sz="8" w:color="auto"/>
            </w:tcBorders>
            <w:gridSpan w:val="2"/>
            <w:shd w:val="clear" w:color="auto" w:fill="B2B2B2"/>
          </w:tcPr>
          <w:p>
            <w:pPr>
              <w:spacing w:after="0"/>
              <w:rPr>
                <w:sz w:val="20"/>
                <w:szCs w:val="20"/>
                <w:color w:val="auto"/>
              </w:rPr>
            </w:pPr>
            <w:r>
              <w:rPr>
                <w:rFonts w:ascii="Arial" w:cs="Arial" w:eastAsia="Arial" w:hAnsi="Arial"/>
                <w:sz w:val="18"/>
                <w:szCs w:val="18"/>
                <w:i w:val="1"/>
                <w:iCs w:val="1"/>
                <w:color w:val="auto"/>
              </w:rPr>
              <w:t>March 31, 2021</w:t>
            </w:r>
          </w:p>
        </w:tc>
        <w:tc>
          <w:tcPr>
            <w:tcW w:w="120" w:type="dxa"/>
            <w:vAlign w:val="bottom"/>
            <w:tcBorders>
              <w:top w:val="single" w:sz="8" w:color="auto"/>
            </w:tcBorders>
            <w:shd w:val="clear" w:color="auto" w:fill="B2B2B2"/>
          </w:tcPr>
          <w:p>
            <w:pPr>
              <w:spacing w:after="0"/>
              <w:rPr>
                <w:sz w:val="18"/>
                <w:szCs w:val="18"/>
                <w:color w:val="auto"/>
              </w:rPr>
            </w:pPr>
          </w:p>
        </w:tc>
        <w:tc>
          <w:tcPr>
            <w:tcW w:w="860" w:type="dxa"/>
            <w:vAlign w:val="bottom"/>
            <w:tcBorders>
              <w:top w:val="single" w:sz="8" w:color="auto"/>
            </w:tcBorders>
            <w:shd w:val="clear" w:color="auto" w:fill="B2B2B2"/>
          </w:tcPr>
          <w:p>
            <w:pPr>
              <w:spacing w:after="0"/>
              <w:rPr>
                <w:sz w:val="18"/>
                <w:szCs w:val="18"/>
                <w:color w:val="auto"/>
              </w:rPr>
            </w:pPr>
          </w:p>
        </w:tc>
        <w:tc>
          <w:tcPr>
            <w:tcW w:w="160" w:type="dxa"/>
            <w:vAlign w:val="bottom"/>
            <w:tcBorders>
              <w:top w:val="single" w:sz="8" w:color="auto"/>
            </w:tcBorders>
            <w:shd w:val="clear" w:color="auto" w:fill="B2B2B2"/>
          </w:tcPr>
          <w:p>
            <w:pPr>
              <w:spacing w:after="0"/>
              <w:rPr>
                <w:sz w:val="18"/>
                <w:szCs w:val="18"/>
                <w:color w:val="auto"/>
              </w:rPr>
            </w:pPr>
          </w:p>
        </w:tc>
        <w:tc>
          <w:tcPr>
            <w:tcW w:w="980" w:type="dxa"/>
            <w:vAlign w:val="bottom"/>
            <w:tcBorders>
              <w:top w:val="single" w:sz="8" w:color="auto"/>
            </w:tcBorders>
            <w:shd w:val="clear" w:color="auto" w:fill="B2B2B2"/>
          </w:tcPr>
          <w:p>
            <w:pPr>
              <w:spacing w:after="0"/>
              <w:rPr>
                <w:sz w:val="18"/>
                <w:szCs w:val="18"/>
                <w:color w:val="auto"/>
              </w:rPr>
            </w:pPr>
          </w:p>
        </w:tc>
        <w:tc>
          <w:tcPr>
            <w:tcW w:w="240" w:type="dxa"/>
            <w:vAlign w:val="bottom"/>
            <w:tcBorders>
              <w:top w:val="single" w:sz="8" w:color="auto"/>
            </w:tcBorders>
            <w:shd w:val="clear" w:color="auto" w:fill="B2B2B2"/>
          </w:tcPr>
          <w:p>
            <w:pPr>
              <w:spacing w:after="0"/>
              <w:rPr>
                <w:sz w:val="18"/>
                <w:szCs w:val="18"/>
                <w:color w:val="auto"/>
              </w:rPr>
            </w:pPr>
          </w:p>
        </w:tc>
        <w:tc>
          <w:tcPr>
            <w:tcW w:w="820" w:type="dxa"/>
            <w:vAlign w:val="bottom"/>
            <w:tcBorders>
              <w:top w:val="single" w:sz="8" w:color="auto"/>
            </w:tcBorders>
            <w:shd w:val="clear" w:color="auto" w:fill="B2B2B2"/>
          </w:tcPr>
          <w:p>
            <w:pPr>
              <w:spacing w:after="0"/>
              <w:rPr>
                <w:sz w:val="18"/>
                <w:szCs w:val="18"/>
                <w:color w:val="auto"/>
              </w:rPr>
            </w:pPr>
          </w:p>
        </w:tc>
        <w:tc>
          <w:tcPr>
            <w:tcW w:w="100" w:type="dxa"/>
            <w:vAlign w:val="bottom"/>
            <w:tcBorders>
              <w:top w:val="single" w:sz="8" w:color="auto"/>
            </w:tcBorders>
            <w:shd w:val="clear" w:color="auto" w:fill="B2B2B2"/>
          </w:tcPr>
          <w:p>
            <w:pPr>
              <w:spacing w:after="0"/>
              <w:rPr>
                <w:sz w:val="18"/>
                <w:szCs w:val="18"/>
                <w:color w:val="auto"/>
              </w:rPr>
            </w:pPr>
          </w:p>
        </w:tc>
        <w:tc>
          <w:tcPr>
            <w:tcW w:w="200" w:type="dxa"/>
            <w:vAlign w:val="bottom"/>
            <w:tcBorders>
              <w:top w:val="single" w:sz="8" w:color="auto"/>
            </w:tcBorders>
            <w:shd w:val="clear" w:color="auto" w:fill="B2B2B2"/>
          </w:tcPr>
          <w:p>
            <w:pPr>
              <w:spacing w:after="0"/>
              <w:rPr>
                <w:sz w:val="18"/>
                <w:szCs w:val="18"/>
                <w:color w:val="auto"/>
              </w:rPr>
            </w:pPr>
          </w:p>
        </w:tc>
        <w:tc>
          <w:tcPr>
            <w:tcW w:w="860" w:type="dxa"/>
            <w:vAlign w:val="bottom"/>
            <w:tcBorders>
              <w:top w:val="single" w:sz="8" w:color="auto"/>
            </w:tcBorders>
            <w:shd w:val="clear" w:color="auto" w:fill="B2B2B2"/>
          </w:tcPr>
          <w:p>
            <w:pPr>
              <w:spacing w:after="0"/>
              <w:rPr>
                <w:sz w:val="18"/>
                <w:szCs w:val="18"/>
                <w:color w:val="auto"/>
              </w:rPr>
            </w:pPr>
          </w:p>
        </w:tc>
        <w:tc>
          <w:tcPr>
            <w:tcW w:w="840" w:type="dxa"/>
            <w:vAlign w:val="bottom"/>
            <w:tcBorders>
              <w:top w:val="single" w:sz="8" w:color="auto"/>
            </w:tcBorders>
            <w:shd w:val="clear" w:color="auto" w:fill="B2B2B2"/>
          </w:tcPr>
          <w:p>
            <w:pPr>
              <w:spacing w:after="0"/>
              <w:rPr>
                <w:sz w:val="18"/>
                <w:szCs w:val="18"/>
                <w:color w:val="auto"/>
              </w:rPr>
            </w:pPr>
          </w:p>
        </w:tc>
        <w:tc>
          <w:tcPr>
            <w:tcW w:w="200" w:type="dxa"/>
            <w:vAlign w:val="bottom"/>
            <w:tcBorders>
              <w:top w:val="single" w:sz="8" w:color="auto"/>
            </w:tcBorders>
            <w:shd w:val="clear" w:color="auto" w:fill="B2B2B2"/>
          </w:tcPr>
          <w:p>
            <w:pPr>
              <w:spacing w:after="0"/>
              <w:rPr>
                <w:sz w:val="18"/>
                <w:szCs w:val="18"/>
                <w:color w:val="auto"/>
              </w:rPr>
            </w:pPr>
          </w:p>
        </w:tc>
        <w:tc>
          <w:tcPr>
            <w:tcW w:w="260" w:type="dxa"/>
            <w:vAlign w:val="bottom"/>
            <w:tcBorders>
              <w:top w:val="single" w:sz="8" w:color="auto"/>
            </w:tcBorders>
            <w:shd w:val="clear" w:color="auto" w:fill="B2B2B2"/>
          </w:tcPr>
          <w:p>
            <w:pPr>
              <w:spacing w:after="0"/>
              <w:rPr>
                <w:sz w:val="18"/>
                <w:szCs w:val="18"/>
                <w:color w:val="auto"/>
              </w:rPr>
            </w:pPr>
          </w:p>
        </w:tc>
        <w:tc>
          <w:tcPr>
            <w:tcW w:w="740" w:type="dxa"/>
            <w:vAlign w:val="bottom"/>
            <w:tcBorders>
              <w:top w:val="single" w:sz="8" w:color="auto"/>
            </w:tcBorders>
            <w:shd w:val="clear" w:color="auto" w:fill="B2B2B2"/>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4860" w:type="dxa"/>
            <w:vAlign w:val="bottom"/>
            <w:gridSpan w:val="2"/>
          </w:tcPr>
          <w:p>
            <w:pPr>
              <w:spacing w:after="0"/>
              <w:rPr>
                <w:sz w:val="20"/>
                <w:szCs w:val="20"/>
                <w:color w:val="auto"/>
              </w:rPr>
            </w:pPr>
            <w:r>
              <w:rPr>
                <w:rFonts w:ascii="Arial" w:cs="Arial" w:eastAsia="Arial" w:hAnsi="Arial"/>
                <w:sz w:val="18"/>
                <w:szCs w:val="18"/>
                <w:color w:val="auto"/>
              </w:rPr>
              <w:t>Commercial and industrial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302,747</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ind w:left="7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ind w:left="640"/>
              <w:spacing w:after="0"/>
              <w:rPr>
                <w:sz w:val="20"/>
                <w:szCs w:val="20"/>
                <w:color w:val="auto"/>
              </w:rPr>
            </w:pPr>
            <w:r>
              <w:rPr>
                <w:rFonts w:ascii="Arial" w:cs="Arial" w:eastAsia="Arial" w:hAnsi="Arial"/>
                <w:sz w:val="18"/>
                <w:szCs w:val="18"/>
                <w:color w:val="auto"/>
                <w:w w:val="88"/>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ind w:left="6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302,747</w:t>
            </w:r>
          </w:p>
        </w:tc>
        <w:tc>
          <w:tcPr>
            <w:tcW w:w="20" w:type="dxa"/>
            <w:vAlign w:val="bottom"/>
          </w:tcPr>
          <w:p>
            <w:pPr>
              <w:spacing w:after="0"/>
              <w:rPr>
                <w:sz w:val="18"/>
                <w:szCs w:val="18"/>
                <w:color w:val="auto"/>
              </w:rPr>
            </w:pPr>
          </w:p>
        </w:tc>
      </w:tr>
      <w:tr>
        <w:trPr>
          <w:trHeight w:val="215"/>
        </w:trPr>
        <w:tc>
          <w:tcPr>
            <w:tcW w:w="486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Real estate</w:t>
            </w:r>
          </w:p>
        </w:tc>
        <w:tc>
          <w:tcPr>
            <w:tcW w:w="120" w:type="dxa"/>
            <w:vAlign w:val="bottom"/>
            <w:shd w:val="clear" w:color="auto" w:fill="B2B2B2"/>
          </w:tcPr>
          <w:p>
            <w:pPr>
              <w:spacing w:after="0"/>
              <w:rPr>
                <w:sz w:val="18"/>
                <w:szCs w:val="18"/>
                <w:color w:val="auto"/>
              </w:rPr>
            </w:pPr>
          </w:p>
        </w:tc>
        <w:tc>
          <w:tcPr>
            <w:tcW w:w="86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98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82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860" w:type="dxa"/>
            <w:vAlign w:val="bottom"/>
            <w:shd w:val="clear" w:color="auto" w:fill="B2B2B2"/>
          </w:tcPr>
          <w:p>
            <w:pPr>
              <w:spacing w:after="0"/>
              <w:rPr>
                <w:sz w:val="18"/>
                <w:szCs w:val="18"/>
                <w:color w:val="auto"/>
              </w:rPr>
            </w:pPr>
          </w:p>
        </w:tc>
        <w:tc>
          <w:tcPr>
            <w:tcW w:w="84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740" w:type="dxa"/>
            <w:vAlign w:val="bottom"/>
            <w:shd w:val="clear" w:color="auto" w:fill="B2B2B2"/>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4860" w:type="dxa"/>
            <w:vAlign w:val="bottom"/>
            <w:gridSpan w:val="2"/>
          </w:tcPr>
          <w:p>
            <w:pPr>
              <w:ind w:left="180"/>
              <w:spacing w:after="0"/>
              <w:rPr>
                <w:sz w:val="20"/>
                <w:szCs w:val="20"/>
                <w:color w:val="auto"/>
              </w:rPr>
            </w:pPr>
            <w:r>
              <w:rPr>
                <w:rFonts w:ascii="Arial" w:cs="Arial" w:eastAsia="Arial" w:hAnsi="Arial"/>
                <w:sz w:val="18"/>
                <w:szCs w:val="18"/>
                <w:color w:val="auto"/>
              </w:rPr>
              <w:t>Commercial:</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4860" w:type="dxa"/>
            <w:vAlign w:val="bottom"/>
            <w:gridSpan w:val="2"/>
            <w:shd w:val="clear" w:color="auto" w:fill="B2B2B2"/>
          </w:tcPr>
          <w:p>
            <w:pPr>
              <w:ind w:left="360"/>
              <w:spacing w:after="0"/>
              <w:rPr>
                <w:sz w:val="20"/>
                <w:szCs w:val="20"/>
                <w:color w:val="auto"/>
              </w:rPr>
            </w:pPr>
            <w:r>
              <w:rPr>
                <w:rFonts w:ascii="Arial" w:cs="Arial" w:eastAsia="Arial" w:hAnsi="Arial"/>
                <w:sz w:val="18"/>
                <w:szCs w:val="18"/>
                <w:color w:val="auto"/>
              </w:rPr>
              <w:t>Mortgage</w:t>
            </w:r>
          </w:p>
        </w:tc>
        <w:tc>
          <w:tcPr>
            <w:tcW w:w="120" w:type="dxa"/>
            <w:vAlign w:val="bottom"/>
            <w:shd w:val="clear" w:color="auto" w:fill="B2B2B2"/>
          </w:tcPr>
          <w:p>
            <w:pPr>
              <w:spacing w:after="0"/>
              <w:rPr>
                <w:sz w:val="18"/>
                <w:szCs w:val="18"/>
                <w:color w:val="auto"/>
              </w:rPr>
            </w:pPr>
          </w:p>
        </w:tc>
        <w:tc>
          <w:tcPr>
            <w:tcW w:w="8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96,630</w:t>
            </w:r>
          </w:p>
        </w:tc>
        <w:tc>
          <w:tcPr>
            <w:tcW w:w="160" w:type="dxa"/>
            <w:vAlign w:val="bottom"/>
            <w:shd w:val="clear" w:color="auto" w:fill="B2B2B2"/>
          </w:tcPr>
          <w:p>
            <w:pPr>
              <w:spacing w:after="0"/>
              <w:rPr>
                <w:sz w:val="18"/>
                <w:szCs w:val="18"/>
                <w:color w:val="auto"/>
              </w:rPr>
            </w:pPr>
          </w:p>
        </w:tc>
        <w:tc>
          <w:tcPr>
            <w:tcW w:w="980" w:type="dxa"/>
            <w:vAlign w:val="bottom"/>
            <w:shd w:val="clear" w:color="auto" w:fill="B2B2B2"/>
          </w:tcPr>
          <w:p>
            <w:pPr>
              <w:ind w:left="740"/>
              <w:spacing w:after="0"/>
              <w:rPr>
                <w:sz w:val="20"/>
                <w:szCs w:val="20"/>
                <w:color w:val="auto"/>
              </w:rPr>
            </w:pPr>
            <w:r>
              <w:rPr>
                <w:rFonts w:ascii="Arial" w:cs="Arial" w:eastAsia="Arial" w:hAnsi="Arial"/>
                <w:sz w:val="18"/>
                <w:szCs w:val="18"/>
                <w:color w:val="auto"/>
              </w:rPr>
              <w:t>—</w:t>
            </w:r>
          </w:p>
        </w:tc>
        <w:tc>
          <w:tcPr>
            <w:tcW w:w="240" w:type="dxa"/>
            <w:vAlign w:val="bottom"/>
            <w:shd w:val="clear" w:color="auto" w:fill="B2B2B2"/>
          </w:tcPr>
          <w:p>
            <w:pPr>
              <w:spacing w:after="0"/>
              <w:rPr>
                <w:sz w:val="18"/>
                <w:szCs w:val="18"/>
                <w:color w:val="auto"/>
              </w:rPr>
            </w:pPr>
          </w:p>
        </w:tc>
        <w:tc>
          <w:tcPr>
            <w:tcW w:w="820" w:type="dxa"/>
            <w:vAlign w:val="bottom"/>
            <w:shd w:val="clear" w:color="auto" w:fill="B2B2B2"/>
          </w:tcPr>
          <w:p>
            <w:pPr>
              <w:ind w:left="64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860" w:type="dxa"/>
            <w:vAlign w:val="bottom"/>
            <w:shd w:val="clear" w:color="auto" w:fill="B2B2B2"/>
          </w:tcPr>
          <w:p>
            <w:pPr>
              <w:ind w:left="620"/>
              <w:spacing w:after="0"/>
              <w:rPr>
                <w:sz w:val="20"/>
                <w:szCs w:val="20"/>
                <w:color w:val="auto"/>
              </w:rPr>
            </w:pPr>
            <w:r>
              <w:rPr>
                <w:rFonts w:ascii="Arial" w:cs="Arial" w:eastAsia="Arial" w:hAnsi="Arial"/>
                <w:sz w:val="18"/>
                <w:szCs w:val="18"/>
                <w:color w:val="auto"/>
              </w:rPr>
              <w:t>—</w:t>
            </w:r>
          </w:p>
        </w:tc>
        <w:tc>
          <w:tcPr>
            <w:tcW w:w="840" w:type="dxa"/>
            <w:vAlign w:val="bottom"/>
            <w:shd w:val="clear" w:color="auto" w:fill="B2B2B2"/>
          </w:tcPr>
          <w:p>
            <w:pPr>
              <w:spacing w:after="0"/>
              <w:rPr>
                <w:sz w:val="18"/>
                <w:szCs w:val="18"/>
                <w:color w:val="auto"/>
              </w:rPr>
            </w:pPr>
          </w:p>
        </w:tc>
        <w:tc>
          <w:tcPr>
            <w:tcW w:w="200" w:type="dxa"/>
            <w:vAlign w:val="bottom"/>
            <w:shd w:val="clear" w:color="auto" w:fill="B2B2B2"/>
          </w:tcPr>
          <w:p>
            <w:pPr>
              <w:ind w:left="2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B2B2B2"/>
          </w:tcPr>
          <w:p>
            <w:pPr>
              <w:spacing w:after="0"/>
              <w:rPr>
                <w:sz w:val="18"/>
                <w:szCs w:val="18"/>
                <w:color w:val="auto"/>
              </w:rPr>
            </w:pPr>
          </w:p>
        </w:tc>
        <w:tc>
          <w:tcPr>
            <w:tcW w:w="7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96,630</w:t>
            </w:r>
          </w:p>
        </w:tc>
        <w:tc>
          <w:tcPr>
            <w:tcW w:w="20" w:type="dxa"/>
            <w:vAlign w:val="bottom"/>
          </w:tcPr>
          <w:p>
            <w:pPr>
              <w:spacing w:after="0"/>
              <w:rPr>
                <w:sz w:val="18"/>
                <w:szCs w:val="18"/>
                <w:color w:val="auto"/>
              </w:rPr>
            </w:pPr>
          </w:p>
        </w:tc>
      </w:tr>
      <w:tr>
        <w:trPr>
          <w:trHeight w:val="215"/>
        </w:trPr>
        <w:tc>
          <w:tcPr>
            <w:tcW w:w="4860" w:type="dxa"/>
            <w:vAlign w:val="bottom"/>
            <w:gridSpan w:val="2"/>
          </w:tcPr>
          <w:p>
            <w:pPr>
              <w:ind w:left="360"/>
              <w:spacing w:after="0"/>
              <w:rPr>
                <w:sz w:val="20"/>
                <w:szCs w:val="20"/>
                <w:color w:val="auto"/>
              </w:rPr>
            </w:pPr>
            <w:r>
              <w:rPr>
                <w:rFonts w:ascii="Arial" w:cs="Arial" w:eastAsia="Arial" w:hAnsi="Arial"/>
                <w:sz w:val="18"/>
                <w:szCs w:val="18"/>
                <w:color w:val="auto"/>
              </w:rPr>
              <w:t>Construction</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23,766</w:t>
            </w:r>
          </w:p>
        </w:tc>
        <w:tc>
          <w:tcPr>
            <w:tcW w:w="160" w:type="dxa"/>
            <w:vAlign w:val="bottom"/>
          </w:tcPr>
          <w:p>
            <w:pPr>
              <w:spacing w:after="0"/>
              <w:rPr>
                <w:sz w:val="18"/>
                <w:szCs w:val="18"/>
                <w:color w:val="auto"/>
              </w:rPr>
            </w:pPr>
          </w:p>
        </w:tc>
        <w:tc>
          <w:tcPr>
            <w:tcW w:w="980" w:type="dxa"/>
            <w:vAlign w:val="bottom"/>
          </w:tcPr>
          <w:p>
            <w:pPr>
              <w:ind w:left="7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20" w:type="dxa"/>
            <w:vAlign w:val="bottom"/>
          </w:tcPr>
          <w:p>
            <w:pPr>
              <w:ind w:left="64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ind w:left="6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23,766</w:t>
            </w:r>
          </w:p>
        </w:tc>
        <w:tc>
          <w:tcPr>
            <w:tcW w:w="20" w:type="dxa"/>
            <w:vAlign w:val="bottom"/>
          </w:tcPr>
          <w:p>
            <w:pPr>
              <w:spacing w:after="0"/>
              <w:rPr>
                <w:sz w:val="18"/>
                <w:szCs w:val="18"/>
                <w:color w:val="auto"/>
              </w:rPr>
            </w:pPr>
          </w:p>
        </w:tc>
      </w:tr>
      <w:tr>
        <w:trPr>
          <w:trHeight w:val="215"/>
        </w:trPr>
        <w:tc>
          <w:tcPr>
            <w:tcW w:w="4860" w:type="dxa"/>
            <w:vAlign w:val="bottom"/>
            <w:gridSpan w:val="2"/>
            <w:shd w:val="clear" w:color="auto" w:fill="B2B2B2"/>
          </w:tcPr>
          <w:p>
            <w:pPr>
              <w:ind w:left="180"/>
              <w:spacing w:after="0"/>
              <w:rPr>
                <w:sz w:val="20"/>
                <w:szCs w:val="20"/>
                <w:color w:val="auto"/>
              </w:rPr>
            </w:pPr>
            <w:r>
              <w:rPr>
                <w:rFonts w:ascii="Arial" w:cs="Arial" w:eastAsia="Arial" w:hAnsi="Arial"/>
                <w:sz w:val="18"/>
                <w:szCs w:val="18"/>
                <w:color w:val="auto"/>
              </w:rPr>
              <w:t>Faith-based:</w:t>
            </w:r>
          </w:p>
        </w:tc>
        <w:tc>
          <w:tcPr>
            <w:tcW w:w="120" w:type="dxa"/>
            <w:vAlign w:val="bottom"/>
            <w:shd w:val="clear" w:color="auto" w:fill="B2B2B2"/>
          </w:tcPr>
          <w:p>
            <w:pPr>
              <w:spacing w:after="0"/>
              <w:rPr>
                <w:sz w:val="18"/>
                <w:szCs w:val="18"/>
                <w:color w:val="auto"/>
              </w:rPr>
            </w:pPr>
          </w:p>
        </w:tc>
        <w:tc>
          <w:tcPr>
            <w:tcW w:w="86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98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82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860" w:type="dxa"/>
            <w:vAlign w:val="bottom"/>
            <w:shd w:val="clear" w:color="auto" w:fill="B2B2B2"/>
          </w:tcPr>
          <w:p>
            <w:pPr>
              <w:spacing w:after="0"/>
              <w:rPr>
                <w:sz w:val="18"/>
                <w:szCs w:val="18"/>
                <w:color w:val="auto"/>
              </w:rPr>
            </w:pPr>
          </w:p>
        </w:tc>
        <w:tc>
          <w:tcPr>
            <w:tcW w:w="84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740" w:type="dxa"/>
            <w:vAlign w:val="bottom"/>
            <w:shd w:val="clear" w:color="auto" w:fill="B2B2B2"/>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4860" w:type="dxa"/>
            <w:vAlign w:val="bottom"/>
            <w:gridSpan w:val="2"/>
          </w:tcPr>
          <w:p>
            <w:pPr>
              <w:ind w:left="360"/>
              <w:spacing w:after="0"/>
              <w:rPr>
                <w:sz w:val="20"/>
                <w:szCs w:val="20"/>
                <w:color w:val="auto"/>
              </w:rPr>
            </w:pPr>
            <w:r>
              <w:rPr>
                <w:rFonts w:ascii="Arial" w:cs="Arial" w:eastAsia="Arial" w:hAnsi="Arial"/>
                <w:sz w:val="18"/>
                <w:szCs w:val="18"/>
                <w:color w:val="auto"/>
              </w:rPr>
              <w:t>Mortgage</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331,153</w:t>
            </w:r>
          </w:p>
        </w:tc>
        <w:tc>
          <w:tcPr>
            <w:tcW w:w="160" w:type="dxa"/>
            <w:vAlign w:val="bottom"/>
          </w:tcPr>
          <w:p>
            <w:pPr>
              <w:spacing w:after="0"/>
              <w:rPr>
                <w:sz w:val="18"/>
                <w:szCs w:val="18"/>
                <w:color w:val="auto"/>
              </w:rPr>
            </w:pPr>
          </w:p>
        </w:tc>
        <w:tc>
          <w:tcPr>
            <w:tcW w:w="980" w:type="dxa"/>
            <w:vAlign w:val="bottom"/>
          </w:tcPr>
          <w:p>
            <w:pPr>
              <w:ind w:left="7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20" w:type="dxa"/>
            <w:vAlign w:val="bottom"/>
          </w:tcPr>
          <w:p>
            <w:pPr>
              <w:ind w:left="64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ind w:left="6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331,153</w:t>
            </w:r>
          </w:p>
        </w:tc>
        <w:tc>
          <w:tcPr>
            <w:tcW w:w="20" w:type="dxa"/>
            <w:vAlign w:val="bottom"/>
          </w:tcPr>
          <w:p>
            <w:pPr>
              <w:spacing w:after="0"/>
              <w:rPr>
                <w:sz w:val="18"/>
                <w:szCs w:val="18"/>
                <w:color w:val="auto"/>
              </w:rPr>
            </w:pPr>
          </w:p>
        </w:tc>
      </w:tr>
      <w:tr>
        <w:trPr>
          <w:trHeight w:val="215"/>
        </w:trPr>
        <w:tc>
          <w:tcPr>
            <w:tcW w:w="4860" w:type="dxa"/>
            <w:vAlign w:val="bottom"/>
            <w:gridSpan w:val="2"/>
            <w:shd w:val="clear" w:color="auto" w:fill="B2B2B2"/>
          </w:tcPr>
          <w:p>
            <w:pPr>
              <w:ind w:left="360"/>
              <w:spacing w:after="0"/>
              <w:rPr>
                <w:sz w:val="20"/>
                <w:szCs w:val="20"/>
                <w:color w:val="auto"/>
              </w:rPr>
            </w:pPr>
            <w:r>
              <w:rPr>
                <w:rFonts w:ascii="Arial" w:cs="Arial" w:eastAsia="Arial" w:hAnsi="Arial"/>
                <w:sz w:val="18"/>
                <w:szCs w:val="18"/>
                <w:color w:val="auto"/>
              </w:rPr>
              <w:t>Construction</w:t>
            </w:r>
          </w:p>
        </w:tc>
        <w:tc>
          <w:tcPr>
            <w:tcW w:w="120" w:type="dxa"/>
            <w:vAlign w:val="bottom"/>
            <w:shd w:val="clear" w:color="auto" w:fill="B2B2B2"/>
          </w:tcPr>
          <w:p>
            <w:pPr>
              <w:spacing w:after="0"/>
              <w:rPr>
                <w:sz w:val="18"/>
                <w:szCs w:val="18"/>
                <w:color w:val="auto"/>
              </w:rPr>
            </w:pPr>
          </w:p>
        </w:tc>
        <w:tc>
          <w:tcPr>
            <w:tcW w:w="8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20,800</w:t>
            </w:r>
          </w:p>
        </w:tc>
        <w:tc>
          <w:tcPr>
            <w:tcW w:w="160" w:type="dxa"/>
            <w:vAlign w:val="bottom"/>
            <w:shd w:val="clear" w:color="auto" w:fill="B2B2B2"/>
          </w:tcPr>
          <w:p>
            <w:pPr>
              <w:spacing w:after="0"/>
              <w:rPr>
                <w:sz w:val="18"/>
                <w:szCs w:val="18"/>
                <w:color w:val="auto"/>
              </w:rPr>
            </w:pPr>
          </w:p>
        </w:tc>
        <w:tc>
          <w:tcPr>
            <w:tcW w:w="980" w:type="dxa"/>
            <w:vAlign w:val="bottom"/>
            <w:shd w:val="clear" w:color="auto" w:fill="B2B2B2"/>
          </w:tcPr>
          <w:p>
            <w:pPr>
              <w:ind w:left="740"/>
              <w:spacing w:after="0"/>
              <w:rPr>
                <w:sz w:val="20"/>
                <w:szCs w:val="20"/>
                <w:color w:val="auto"/>
              </w:rPr>
            </w:pPr>
            <w:r>
              <w:rPr>
                <w:rFonts w:ascii="Arial" w:cs="Arial" w:eastAsia="Arial" w:hAnsi="Arial"/>
                <w:sz w:val="18"/>
                <w:szCs w:val="18"/>
                <w:color w:val="auto"/>
              </w:rPr>
              <w:t>—</w:t>
            </w:r>
          </w:p>
        </w:tc>
        <w:tc>
          <w:tcPr>
            <w:tcW w:w="240" w:type="dxa"/>
            <w:vAlign w:val="bottom"/>
            <w:shd w:val="clear" w:color="auto" w:fill="B2B2B2"/>
          </w:tcPr>
          <w:p>
            <w:pPr>
              <w:spacing w:after="0"/>
              <w:rPr>
                <w:sz w:val="18"/>
                <w:szCs w:val="18"/>
                <w:color w:val="auto"/>
              </w:rPr>
            </w:pPr>
          </w:p>
        </w:tc>
        <w:tc>
          <w:tcPr>
            <w:tcW w:w="820" w:type="dxa"/>
            <w:vAlign w:val="bottom"/>
            <w:shd w:val="clear" w:color="auto" w:fill="B2B2B2"/>
          </w:tcPr>
          <w:p>
            <w:pPr>
              <w:ind w:left="64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860" w:type="dxa"/>
            <w:vAlign w:val="bottom"/>
            <w:shd w:val="clear" w:color="auto" w:fill="B2B2B2"/>
          </w:tcPr>
          <w:p>
            <w:pPr>
              <w:ind w:left="620"/>
              <w:spacing w:after="0"/>
              <w:rPr>
                <w:sz w:val="20"/>
                <w:szCs w:val="20"/>
                <w:color w:val="auto"/>
              </w:rPr>
            </w:pPr>
            <w:r>
              <w:rPr>
                <w:rFonts w:ascii="Arial" w:cs="Arial" w:eastAsia="Arial" w:hAnsi="Arial"/>
                <w:sz w:val="18"/>
                <w:szCs w:val="18"/>
                <w:color w:val="auto"/>
              </w:rPr>
              <w:t>—</w:t>
            </w:r>
          </w:p>
        </w:tc>
        <w:tc>
          <w:tcPr>
            <w:tcW w:w="840" w:type="dxa"/>
            <w:vAlign w:val="bottom"/>
            <w:shd w:val="clear" w:color="auto" w:fill="B2B2B2"/>
          </w:tcPr>
          <w:p>
            <w:pPr>
              <w:spacing w:after="0"/>
              <w:rPr>
                <w:sz w:val="18"/>
                <w:szCs w:val="18"/>
                <w:color w:val="auto"/>
              </w:rPr>
            </w:pPr>
          </w:p>
        </w:tc>
        <w:tc>
          <w:tcPr>
            <w:tcW w:w="200" w:type="dxa"/>
            <w:vAlign w:val="bottom"/>
            <w:shd w:val="clear" w:color="auto" w:fill="B2B2B2"/>
          </w:tcPr>
          <w:p>
            <w:pPr>
              <w:ind w:left="2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B2B2B2"/>
          </w:tcPr>
          <w:p>
            <w:pPr>
              <w:spacing w:after="0"/>
              <w:rPr>
                <w:sz w:val="18"/>
                <w:szCs w:val="18"/>
                <w:color w:val="auto"/>
              </w:rPr>
            </w:pPr>
          </w:p>
        </w:tc>
        <w:tc>
          <w:tcPr>
            <w:tcW w:w="7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20,800</w:t>
            </w:r>
          </w:p>
        </w:tc>
        <w:tc>
          <w:tcPr>
            <w:tcW w:w="20" w:type="dxa"/>
            <w:vAlign w:val="bottom"/>
          </w:tcPr>
          <w:p>
            <w:pPr>
              <w:spacing w:after="0"/>
              <w:rPr>
                <w:sz w:val="18"/>
                <w:szCs w:val="18"/>
                <w:color w:val="auto"/>
              </w:rPr>
            </w:pPr>
          </w:p>
        </w:tc>
      </w:tr>
      <w:tr>
        <w:trPr>
          <w:trHeight w:val="215"/>
        </w:trPr>
        <w:tc>
          <w:tcPr>
            <w:tcW w:w="4860" w:type="dxa"/>
            <w:vAlign w:val="bottom"/>
            <w:gridSpan w:val="2"/>
          </w:tcPr>
          <w:p>
            <w:pPr>
              <w:spacing w:after="0"/>
              <w:rPr>
                <w:sz w:val="20"/>
                <w:szCs w:val="20"/>
                <w:color w:val="auto"/>
              </w:rPr>
            </w:pPr>
            <w:r>
              <w:rPr>
                <w:rFonts w:ascii="Arial" w:cs="Arial" w:eastAsia="Arial" w:hAnsi="Arial"/>
                <w:sz w:val="18"/>
                <w:szCs w:val="18"/>
                <w:color w:val="auto"/>
              </w:rPr>
              <w:t>PPP</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113,474</w:t>
            </w:r>
          </w:p>
        </w:tc>
        <w:tc>
          <w:tcPr>
            <w:tcW w:w="160" w:type="dxa"/>
            <w:vAlign w:val="bottom"/>
          </w:tcPr>
          <w:p>
            <w:pPr>
              <w:spacing w:after="0"/>
              <w:rPr>
                <w:sz w:val="18"/>
                <w:szCs w:val="18"/>
                <w:color w:val="auto"/>
              </w:rPr>
            </w:pPr>
          </w:p>
        </w:tc>
        <w:tc>
          <w:tcPr>
            <w:tcW w:w="980" w:type="dxa"/>
            <w:vAlign w:val="bottom"/>
          </w:tcPr>
          <w:p>
            <w:pPr>
              <w:ind w:left="7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20" w:type="dxa"/>
            <w:vAlign w:val="bottom"/>
          </w:tcPr>
          <w:p>
            <w:pPr>
              <w:ind w:left="64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ind w:left="6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113,474</w:t>
            </w:r>
          </w:p>
        </w:tc>
        <w:tc>
          <w:tcPr>
            <w:tcW w:w="20" w:type="dxa"/>
            <w:vAlign w:val="bottom"/>
          </w:tcPr>
          <w:p>
            <w:pPr>
              <w:spacing w:after="0"/>
              <w:rPr>
                <w:sz w:val="18"/>
                <w:szCs w:val="18"/>
                <w:color w:val="auto"/>
              </w:rPr>
            </w:pPr>
          </w:p>
        </w:tc>
      </w:tr>
      <w:tr>
        <w:trPr>
          <w:trHeight w:val="215"/>
        </w:trPr>
        <w:tc>
          <w:tcPr>
            <w:tcW w:w="4860" w:type="dxa"/>
            <w:vAlign w:val="bottom"/>
            <w:tcBorders>
              <w:bottom w:val="single" w:sz="8" w:color="auto"/>
            </w:tcBorders>
            <w:gridSpan w:val="2"/>
            <w:shd w:val="clear" w:color="auto" w:fill="B2B2B2"/>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B2B2B2"/>
          </w:tcPr>
          <w:p>
            <w:pPr>
              <w:spacing w:after="0"/>
              <w:rPr>
                <w:sz w:val="18"/>
                <w:szCs w:val="18"/>
                <w:color w:val="auto"/>
              </w:rPr>
            </w:pPr>
          </w:p>
        </w:tc>
        <w:tc>
          <w:tcPr>
            <w:tcW w:w="86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auto"/>
            </w:tcBorders>
            <w:shd w:val="clear" w:color="auto" w:fill="B2B2B2"/>
          </w:tcPr>
          <w:p>
            <w:pPr>
              <w:spacing w:after="0"/>
              <w:rPr>
                <w:sz w:val="18"/>
                <w:szCs w:val="18"/>
                <w:color w:val="auto"/>
              </w:rPr>
            </w:pPr>
          </w:p>
        </w:tc>
        <w:tc>
          <w:tcPr>
            <w:tcW w:w="980" w:type="dxa"/>
            <w:vAlign w:val="bottom"/>
            <w:tcBorders>
              <w:bottom w:val="single" w:sz="8" w:color="auto"/>
            </w:tcBorders>
            <w:shd w:val="clear" w:color="auto" w:fill="B2B2B2"/>
          </w:tcPr>
          <w:p>
            <w:pPr>
              <w:ind w:left="7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B2B2B2"/>
          </w:tcPr>
          <w:p>
            <w:pPr>
              <w:spacing w:after="0"/>
              <w:rPr>
                <w:sz w:val="18"/>
                <w:szCs w:val="18"/>
                <w:color w:val="auto"/>
              </w:rPr>
            </w:pPr>
          </w:p>
        </w:tc>
        <w:tc>
          <w:tcPr>
            <w:tcW w:w="820" w:type="dxa"/>
            <w:vAlign w:val="bottom"/>
            <w:tcBorders>
              <w:bottom w:val="single" w:sz="8" w:color="auto"/>
            </w:tcBorders>
            <w:shd w:val="clear" w:color="auto" w:fill="B2B2B2"/>
          </w:tcPr>
          <w:p>
            <w:pPr>
              <w:ind w:left="64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auto"/>
            </w:tcBorders>
            <w:shd w:val="clear" w:color="auto" w:fill="B2B2B2"/>
          </w:tcPr>
          <w:p>
            <w:pPr>
              <w:spacing w:after="0"/>
              <w:rPr>
                <w:sz w:val="18"/>
                <w:szCs w:val="18"/>
                <w:color w:val="auto"/>
              </w:rPr>
            </w:pPr>
          </w:p>
        </w:tc>
        <w:tc>
          <w:tcPr>
            <w:tcW w:w="200" w:type="dxa"/>
            <w:vAlign w:val="bottom"/>
            <w:tcBorders>
              <w:bottom w:val="single" w:sz="8" w:color="auto"/>
            </w:tcBorders>
            <w:shd w:val="clear" w:color="auto" w:fill="B2B2B2"/>
          </w:tcPr>
          <w:p>
            <w:pPr>
              <w:spacing w:after="0"/>
              <w:rPr>
                <w:sz w:val="18"/>
                <w:szCs w:val="18"/>
                <w:color w:val="auto"/>
              </w:rPr>
            </w:pPr>
          </w:p>
        </w:tc>
        <w:tc>
          <w:tcPr>
            <w:tcW w:w="860" w:type="dxa"/>
            <w:vAlign w:val="bottom"/>
            <w:tcBorders>
              <w:bottom w:val="single" w:sz="8" w:color="auto"/>
            </w:tcBorders>
            <w:shd w:val="clear" w:color="auto" w:fill="B2B2B2"/>
          </w:tcPr>
          <w:p>
            <w:pPr>
              <w:ind w:left="6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B2B2B2"/>
          </w:tcPr>
          <w:p>
            <w:pPr>
              <w:spacing w:after="0"/>
              <w:rPr>
                <w:sz w:val="18"/>
                <w:szCs w:val="18"/>
                <w:color w:val="auto"/>
              </w:rPr>
            </w:pPr>
          </w:p>
        </w:tc>
        <w:tc>
          <w:tcPr>
            <w:tcW w:w="200" w:type="dxa"/>
            <w:vAlign w:val="bottom"/>
            <w:tcBorders>
              <w:bottom w:val="single" w:sz="8" w:color="auto"/>
            </w:tcBorders>
            <w:shd w:val="clear" w:color="auto" w:fill="B2B2B2"/>
          </w:tcPr>
          <w:p>
            <w:pPr>
              <w:ind w:left="20"/>
              <w:spacing w:after="0"/>
              <w:rPr>
                <w:sz w:val="20"/>
                <w:szCs w:val="20"/>
                <w:color w:val="auto"/>
              </w:rPr>
            </w:pPr>
            <w:r>
              <w:rPr>
                <w:rFonts w:ascii="Arial" w:cs="Arial" w:eastAsia="Arial" w:hAnsi="Arial"/>
                <w:sz w:val="18"/>
                <w:szCs w:val="18"/>
                <w:color w:val="auto"/>
                <w:w w:val="88"/>
              </w:rPr>
              <w:t>—</w:t>
            </w:r>
          </w:p>
        </w:tc>
        <w:tc>
          <w:tcPr>
            <w:tcW w:w="260" w:type="dxa"/>
            <w:vAlign w:val="bottom"/>
            <w:tcBorders>
              <w:bottom w:val="single" w:sz="8" w:color="auto"/>
            </w:tcBorders>
            <w:shd w:val="clear" w:color="auto" w:fill="B2B2B2"/>
          </w:tcPr>
          <w:p>
            <w:pPr>
              <w:spacing w:after="0"/>
              <w:rPr>
                <w:sz w:val="18"/>
                <w:szCs w:val="18"/>
                <w:color w:val="auto"/>
              </w:rPr>
            </w:pPr>
          </w:p>
        </w:tc>
        <w:tc>
          <w:tcPr>
            <w:tcW w:w="74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r>
      <w:tr>
        <w:trPr>
          <w:trHeight w:val="209"/>
        </w:trPr>
        <w:tc>
          <w:tcPr>
            <w:tcW w:w="4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888,575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w w:val="88"/>
              </w:rPr>
              <w:t>—</w:t>
            </w:r>
          </w:p>
        </w:tc>
        <w:tc>
          <w:tcPr>
            <w:tcW w:w="3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88"/>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888,575</w:t>
            </w:r>
          </w:p>
        </w:tc>
        <w:tc>
          <w:tcPr>
            <w:tcW w:w="20" w:type="dxa"/>
            <w:vAlign w:val="bottom"/>
          </w:tcPr>
          <w:p>
            <w:pPr>
              <w:spacing w:after="0"/>
              <w:rPr>
                <w:sz w:val="18"/>
                <w:szCs w:val="18"/>
                <w:color w:val="auto"/>
              </w:rPr>
            </w:pPr>
          </w:p>
        </w:tc>
      </w:tr>
      <w:tr>
        <w:trPr>
          <w:trHeight w:val="209"/>
        </w:trPr>
        <w:tc>
          <w:tcPr>
            <w:tcW w:w="4860" w:type="dxa"/>
            <w:vAlign w:val="bottom"/>
            <w:gridSpan w:val="2"/>
            <w:shd w:val="clear" w:color="auto" w:fill="B2B2B2"/>
          </w:tcPr>
          <w:p>
            <w:pPr>
              <w:spacing w:after="0"/>
              <w:rPr>
                <w:sz w:val="20"/>
                <w:szCs w:val="20"/>
                <w:color w:val="auto"/>
              </w:rPr>
            </w:pPr>
            <w:r>
              <w:rPr>
                <w:rFonts w:ascii="Arial" w:cs="Arial" w:eastAsia="Arial" w:hAnsi="Arial"/>
                <w:sz w:val="18"/>
                <w:szCs w:val="18"/>
                <w:i w:val="1"/>
                <w:iCs w:val="1"/>
                <w:color w:val="auto"/>
              </w:rPr>
              <w:t>December 31, 2020</w:t>
            </w:r>
          </w:p>
        </w:tc>
        <w:tc>
          <w:tcPr>
            <w:tcW w:w="120" w:type="dxa"/>
            <w:vAlign w:val="bottom"/>
            <w:shd w:val="clear" w:color="auto" w:fill="B2B2B2"/>
          </w:tcPr>
          <w:p>
            <w:pPr>
              <w:spacing w:after="0"/>
              <w:rPr>
                <w:sz w:val="18"/>
                <w:szCs w:val="18"/>
                <w:color w:val="auto"/>
              </w:rPr>
            </w:pPr>
          </w:p>
        </w:tc>
        <w:tc>
          <w:tcPr>
            <w:tcW w:w="86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98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82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860" w:type="dxa"/>
            <w:vAlign w:val="bottom"/>
            <w:shd w:val="clear" w:color="auto" w:fill="B2B2B2"/>
          </w:tcPr>
          <w:p>
            <w:pPr>
              <w:spacing w:after="0"/>
              <w:rPr>
                <w:sz w:val="18"/>
                <w:szCs w:val="18"/>
                <w:color w:val="auto"/>
              </w:rPr>
            </w:pPr>
          </w:p>
        </w:tc>
        <w:tc>
          <w:tcPr>
            <w:tcW w:w="84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740" w:type="dxa"/>
            <w:vAlign w:val="bottom"/>
            <w:shd w:val="clear" w:color="auto" w:fill="B2B2B2"/>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4860" w:type="dxa"/>
            <w:vAlign w:val="bottom"/>
            <w:gridSpan w:val="2"/>
          </w:tcPr>
          <w:p>
            <w:pPr>
              <w:spacing w:after="0"/>
              <w:rPr>
                <w:sz w:val="20"/>
                <w:szCs w:val="20"/>
                <w:color w:val="auto"/>
              </w:rPr>
            </w:pPr>
            <w:r>
              <w:rPr>
                <w:rFonts w:ascii="Arial" w:cs="Arial" w:eastAsia="Arial" w:hAnsi="Arial"/>
                <w:sz w:val="18"/>
                <w:szCs w:val="18"/>
                <w:color w:val="auto"/>
              </w:rPr>
              <w:t>Commercial and industrial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298,984</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ind w:left="7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ind w:left="640"/>
              <w:spacing w:after="0"/>
              <w:rPr>
                <w:sz w:val="20"/>
                <w:szCs w:val="20"/>
                <w:color w:val="auto"/>
              </w:rPr>
            </w:pPr>
            <w:r>
              <w:rPr>
                <w:rFonts w:ascii="Arial" w:cs="Arial" w:eastAsia="Arial" w:hAnsi="Arial"/>
                <w:sz w:val="18"/>
                <w:szCs w:val="18"/>
                <w:color w:val="auto"/>
                <w:w w:val="88"/>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ind w:left="6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298,984</w:t>
            </w:r>
          </w:p>
        </w:tc>
        <w:tc>
          <w:tcPr>
            <w:tcW w:w="20" w:type="dxa"/>
            <w:vAlign w:val="bottom"/>
          </w:tcPr>
          <w:p>
            <w:pPr>
              <w:spacing w:after="0"/>
              <w:rPr>
                <w:sz w:val="18"/>
                <w:szCs w:val="18"/>
                <w:color w:val="auto"/>
              </w:rPr>
            </w:pPr>
          </w:p>
        </w:tc>
      </w:tr>
      <w:tr>
        <w:trPr>
          <w:trHeight w:val="215"/>
        </w:trPr>
        <w:tc>
          <w:tcPr>
            <w:tcW w:w="486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Real estate</w:t>
            </w:r>
          </w:p>
        </w:tc>
        <w:tc>
          <w:tcPr>
            <w:tcW w:w="120" w:type="dxa"/>
            <w:vAlign w:val="bottom"/>
            <w:shd w:val="clear" w:color="auto" w:fill="B2B2B2"/>
          </w:tcPr>
          <w:p>
            <w:pPr>
              <w:spacing w:after="0"/>
              <w:rPr>
                <w:sz w:val="18"/>
                <w:szCs w:val="18"/>
                <w:color w:val="auto"/>
              </w:rPr>
            </w:pPr>
          </w:p>
        </w:tc>
        <w:tc>
          <w:tcPr>
            <w:tcW w:w="86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98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82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860" w:type="dxa"/>
            <w:vAlign w:val="bottom"/>
            <w:shd w:val="clear" w:color="auto" w:fill="B2B2B2"/>
          </w:tcPr>
          <w:p>
            <w:pPr>
              <w:spacing w:after="0"/>
              <w:rPr>
                <w:sz w:val="18"/>
                <w:szCs w:val="18"/>
                <w:color w:val="auto"/>
              </w:rPr>
            </w:pPr>
          </w:p>
        </w:tc>
        <w:tc>
          <w:tcPr>
            <w:tcW w:w="84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740" w:type="dxa"/>
            <w:vAlign w:val="bottom"/>
            <w:shd w:val="clear" w:color="auto" w:fill="B2B2B2"/>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4860" w:type="dxa"/>
            <w:vAlign w:val="bottom"/>
            <w:gridSpan w:val="2"/>
          </w:tcPr>
          <w:p>
            <w:pPr>
              <w:ind w:left="180"/>
              <w:spacing w:after="0"/>
              <w:rPr>
                <w:sz w:val="20"/>
                <w:szCs w:val="20"/>
                <w:color w:val="auto"/>
              </w:rPr>
            </w:pPr>
            <w:r>
              <w:rPr>
                <w:rFonts w:ascii="Arial" w:cs="Arial" w:eastAsia="Arial" w:hAnsi="Arial"/>
                <w:sz w:val="18"/>
                <w:szCs w:val="18"/>
                <w:color w:val="auto"/>
              </w:rPr>
              <w:t>Commercial:</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4860" w:type="dxa"/>
            <w:vAlign w:val="bottom"/>
            <w:gridSpan w:val="2"/>
            <w:shd w:val="clear" w:color="auto" w:fill="B2B2B2"/>
          </w:tcPr>
          <w:p>
            <w:pPr>
              <w:ind w:left="360"/>
              <w:spacing w:after="0"/>
              <w:rPr>
                <w:sz w:val="20"/>
                <w:szCs w:val="20"/>
                <w:color w:val="auto"/>
              </w:rPr>
            </w:pPr>
            <w:r>
              <w:rPr>
                <w:rFonts w:ascii="Arial" w:cs="Arial" w:eastAsia="Arial" w:hAnsi="Arial"/>
                <w:sz w:val="18"/>
                <w:szCs w:val="18"/>
                <w:color w:val="auto"/>
              </w:rPr>
              <w:t>Mortgage</w:t>
            </w:r>
          </w:p>
        </w:tc>
        <w:tc>
          <w:tcPr>
            <w:tcW w:w="120" w:type="dxa"/>
            <w:vAlign w:val="bottom"/>
            <w:shd w:val="clear" w:color="auto" w:fill="B2B2B2"/>
          </w:tcPr>
          <w:p>
            <w:pPr>
              <w:spacing w:after="0"/>
              <w:rPr>
                <w:sz w:val="18"/>
                <w:szCs w:val="18"/>
                <w:color w:val="auto"/>
              </w:rPr>
            </w:pPr>
          </w:p>
        </w:tc>
        <w:tc>
          <w:tcPr>
            <w:tcW w:w="8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100,419</w:t>
            </w:r>
          </w:p>
        </w:tc>
        <w:tc>
          <w:tcPr>
            <w:tcW w:w="160" w:type="dxa"/>
            <w:vAlign w:val="bottom"/>
            <w:shd w:val="clear" w:color="auto" w:fill="B2B2B2"/>
          </w:tcPr>
          <w:p>
            <w:pPr>
              <w:spacing w:after="0"/>
              <w:rPr>
                <w:sz w:val="18"/>
                <w:szCs w:val="18"/>
                <w:color w:val="auto"/>
              </w:rPr>
            </w:pPr>
          </w:p>
        </w:tc>
        <w:tc>
          <w:tcPr>
            <w:tcW w:w="980" w:type="dxa"/>
            <w:vAlign w:val="bottom"/>
            <w:shd w:val="clear" w:color="auto" w:fill="B2B2B2"/>
          </w:tcPr>
          <w:p>
            <w:pPr>
              <w:ind w:left="740"/>
              <w:spacing w:after="0"/>
              <w:rPr>
                <w:sz w:val="20"/>
                <w:szCs w:val="20"/>
                <w:color w:val="auto"/>
              </w:rPr>
            </w:pPr>
            <w:r>
              <w:rPr>
                <w:rFonts w:ascii="Arial" w:cs="Arial" w:eastAsia="Arial" w:hAnsi="Arial"/>
                <w:sz w:val="18"/>
                <w:szCs w:val="18"/>
                <w:color w:val="auto"/>
              </w:rPr>
              <w:t>—</w:t>
            </w:r>
          </w:p>
        </w:tc>
        <w:tc>
          <w:tcPr>
            <w:tcW w:w="240" w:type="dxa"/>
            <w:vAlign w:val="bottom"/>
            <w:shd w:val="clear" w:color="auto" w:fill="B2B2B2"/>
          </w:tcPr>
          <w:p>
            <w:pPr>
              <w:spacing w:after="0"/>
              <w:rPr>
                <w:sz w:val="18"/>
                <w:szCs w:val="18"/>
                <w:color w:val="auto"/>
              </w:rPr>
            </w:pPr>
          </w:p>
        </w:tc>
        <w:tc>
          <w:tcPr>
            <w:tcW w:w="820" w:type="dxa"/>
            <w:vAlign w:val="bottom"/>
            <w:shd w:val="clear" w:color="auto" w:fill="B2B2B2"/>
          </w:tcPr>
          <w:p>
            <w:pPr>
              <w:ind w:left="64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860" w:type="dxa"/>
            <w:vAlign w:val="bottom"/>
            <w:shd w:val="clear" w:color="auto" w:fill="B2B2B2"/>
          </w:tcPr>
          <w:p>
            <w:pPr>
              <w:ind w:left="620"/>
              <w:spacing w:after="0"/>
              <w:rPr>
                <w:sz w:val="20"/>
                <w:szCs w:val="20"/>
                <w:color w:val="auto"/>
              </w:rPr>
            </w:pPr>
            <w:r>
              <w:rPr>
                <w:rFonts w:ascii="Arial" w:cs="Arial" w:eastAsia="Arial" w:hAnsi="Arial"/>
                <w:sz w:val="18"/>
                <w:szCs w:val="18"/>
                <w:color w:val="auto"/>
              </w:rPr>
              <w:t>—</w:t>
            </w:r>
          </w:p>
        </w:tc>
        <w:tc>
          <w:tcPr>
            <w:tcW w:w="840" w:type="dxa"/>
            <w:vAlign w:val="bottom"/>
            <w:shd w:val="clear" w:color="auto" w:fill="B2B2B2"/>
          </w:tcPr>
          <w:p>
            <w:pPr>
              <w:spacing w:after="0"/>
              <w:rPr>
                <w:sz w:val="18"/>
                <w:szCs w:val="18"/>
                <w:color w:val="auto"/>
              </w:rPr>
            </w:pPr>
          </w:p>
        </w:tc>
        <w:tc>
          <w:tcPr>
            <w:tcW w:w="200" w:type="dxa"/>
            <w:vAlign w:val="bottom"/>
            <w:shd w:val="clear" w:color="auto" w:fill="B2B2B2"/>
          </w:tcPr>
          <w:p>
            <w:pPr>
              <w:ind w:left="2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B2B2B2"/>
          </w:tcPr>
          <w:p>
            <w:pPr>
              <w:spacing w:after="0"/>
              <w:rPr>
                <w:sz w:val="18"/>
                <w:szCs w:val="18"/>
                <w:color w:val="auto"/>
              </w:rPr>
            </w:pPr>
          </w:p>
        </w:tc>
        <w:tc>
          <w:tcPr>
            <w:tcW w:w="7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100,419</w:t>
            </w:r>
          </w:p>
        </w:tc>
        <w:tc>
          <w:tcPr>
            <w:tcW w:w="20" w:type="dxa"/>
            <w:vAlign w:val="bottom"/>
          </w:tcPr>
          <w:p>
            <w:pPr>
              <w:spacing w:after="0"/>
              <w:rPr>
                <w:sz w:val="18"/>
                <w:szCs w:val="18"/>
                <w:color w:val="auto"/>
              </w:rPr>
            </w:pPr>
          </w:p>
        </w:tc>
      </w:tr>
      <w:tr>
        <w:trPr>
          <w:trHeight w:val="215"/>
        </w:trPr>
        <w:tc>
          <w:tcPr>
            <w:tcW w:w="4860" w:type="dxa"/>
            <w:vAlign w:val="bottom"/>
            <w:gridSpan w:val="2"/>
          </w:tcPr>
          <w:p>
            <w:pPr>
              <w:ind w:left="360"/>
              <w:spacing w:after="0"/>
              <w:rPr>
                <w:sz w:val="20"/>
                <w:szCs w:val="20"/>
                <w:color w:val="auto"/>
              </w:rPr>
            </w:pPr>
            <w:r>
              <w:rPr>
                <w:rFonts w:ascii="Arial" w:cs="Arial" w:eastAsia="Arial" w:hAnsi="Arial"/>
                <w:sz w:val="18"/>
                <w:szCs w:val="18"/>
                <w:color w:val="auto"/>
              </w:rPr>
              <w:t>Construction</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25,090</w:t>
            </w:r>
          </w:p>
        </w:tc>
        <w:tc>
          <w:tcPr>
            <w:tcW w:w="160" w:type="dxa"/>
            <w:vAlign w:val="bottom"/>
          </w:tcPr>
          <w:p>
            <w:pPr>
              <w:spacing w:after="0"/>
              <w:rPr>
                <w:sz w:val="18"/>
                <w:szCs w:val="18"/>
                <w:color w:val="auto"/>
              </w:rPr>
            </w:pPr>
          </w:p>
        </w:tc>
        <w:tc>
          <w:tcPr>
            <w:tcW w:w="980" w:type="dxa"/>
            <w:vAlign w:val="bottom"/>
          </w:tcPr>
          <w:p>
            <w:pPr>
              <w:ind w:left="7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20" w:type="dxa"/>
            <w:vAlign w:val="bottom"/>
          </w:tcPr>
          <w:p>
            <w:pPr>
              <w:ind w:left="64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ind w:left="6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25,090</w:t>
            </w:r>
          </w:p>
        </w:tc>
        <w:tc>
          <w:tcPr>
            <w:tcW w:w="20" w:type="dxa"/>
            <w:vAlign w:val="bottom"/>
          </w:tcPr>
          <w:p>
            <w:pPr>
              <w:spacing w:after="0"/>
              <w:rPr>
                <w:sz w:val="18"/>
                <w:szCs w:val="18"/>
                <w:color w:val="auto"/>
              </w:rPr>
            </w:pPr>
          </w:p>
        </w:tc>
      </w:tr>
      <w:tr>
        <w:trPr>
          <w:trHeight w:val="215"/>
        </w:trPr>
        <w:tc>
          <w:tcPr>
            <w:tcW w:w="4860" w:type="dxa"/>
            <w:vAlign w:val="bottom"/>
            <w:gridSpan w:val="2"/>
            <w:shd w:val="clear" w:color="auto" w:fill="B2B2B2"/>
          </w:tcPr>
          <w:p>
            <w:pPr>
              <w:ind w:left="180"/>
              <w:spacing w:after="0"/>
              <w:rPr>
                <w:sz w:val="20"/>
                <w:szCs w:val="20"/>
                <w:color w:val="auto"/>
              </w:rPr>
            </w:pPr>
            <w:r>
              <w:rPr>
                <w:rFonts w:ascii="Arial" w:cs="Arial" w:eastAsia="Arial" w:hAnsi="Arial"/>
                <w:sz w:val="18"/>
                <w:szCs w:val="18"/>
                <w:color w:val="auto"/>
              </w:rPr>
              <w:t>Faith-based:</w:t>
            </w:r>
          </w:p>
        </w:tc>
        <w:tc>
          <w:tcPr>
            <w:tcW w:w="120" w:type="dxa"/>
            <w:vAlign w:val="bottom"/>
            <w:shd w:val="clear" w:color="auto" w:fill="B2B2B2"/>
          </w:tcPr>
          <w:p>
            <w:pPr>
              <w:spacing w:after="0"/>
              <w:rPr>
                <w:sz w:val="18"/>
                <w:szCs w:val="18"/>
                <w:color w:val="auto"/>
              </w:rPr>
            </w:pPr>
          </w:p>
        </w:tc>
        <w:tc>
          <w:tcPr>
            <w:tcW w:w="86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98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82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860" w:type="dxa"/>
            <w:vAlign w:val="bottom"/>
            <w:shd w:val="clear" w:color="auto" w:fill="B2B2B2"/>
          </w:tcPr>
          <w:p>
            <w:pPr>
              <w:spacing w:after="0"/>
              <w:rPr>
                <w:sz w:val="18"/>
                <w:szCs w:val="18"/>
                <w:color w:val="auto"/>
              </w:rPr>
            </w:pPr>
          </w:p>
        </w:tc>
        <w:tc>
          <w:tcPr>
            <w:tcW w:w="84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740" w:type="dxa"/>
            <w:vAlign w:val="bottom"/>
            <w:shd w:val="clear" w:color="auto" w:fill="B2B2B2"/>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4860" w:type="dxa"/>
            <w:vAlign w:val="bottom"/>
            <w:gridSpan w:val="2"/>
          </w:tcPr>
          <w:p>
            <w:pPr>
              <w:ind w:left="360"/>
              <w:spacing w:after="0"/>
              <w:rPr>
                <w:sz w:val="20"/>
                <w:szCs w:val="20"/>
                <w:color w:val="auto"/>
              </w:rPr>
            </w:pPr>
            <w:r>
              <w:rPr>
                <w:rFonts w:ascii="Arial" w:cs="Arial" w:eastAsia="Arial" w:hAnsi="Arial"/>
                <w:sz w:val="18"/>
                <w:szCs w:val="18"/>
                <w:color w:val="auto"/>
              </w:rPr>
              <w:t>Mortgage</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333,661</w:t>
            </w:r>
          </w:p>
        </w:tc>
        <w:tc>
          <w:tcPr>
            <w:tcW w:w="160" w:type="dxa"/>
            <w:vAlign w:val="bottom"/>
          </w:tcPr>
          <w:p>
            <w:pPr>
              <w:spacing w:after="0"/>
              <w:rPr>
                <w:sz w:val="18"/>
                <w:szCs w:val="18"/>
                <w:color w:val="auto"/>
              </w:rPr>
            </w:pPr>
          </w:p>
        </w:tc>
        <w:tc>
          <w:tcPr>
            <w:tcW w:w="980" w:type="dxa"/>
            <w:vAlign w:val="bottom"/>
          </w:tcPr>
          <w:p>
            <w:pPr>
              <w:ind w:left="7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20" w:type="dxa"/>
            <w:vAlign w:val="bottom"/>
          </w:tcPr>
          <w:p>
            <w:pPr>
              <w:ind w:left="64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ind w:left="6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333,661</w:t>
            </w:r>
          </w:p>
        </w:tc>
        <w:tc>
          <w:tcPr>
            <w:tcW w:w="20" w:type="dxa"/>
            <w:vAlign w:val="bottom"/>
          </w:tcPr>
          <w:p>
            <w:pPr>
              <w:spacing w:after="0"/>
              <w:rPr>
                <w:sz w:val="18"/>
                <w:szCs w:val="18"/>
                <w:color w:val="auto"/>
              </w:rPr>
            </w:pPr>
          </w:p>
        </w:tc>
      </w:tr>
      <w:tr>
        <w:trPr>
          <w:trHeight w:val="215"/>
        </w:trPr>
        <w:tc>
          <w:tcPr>
            <w:tcW w:w="4860" w:type="dxa"/>
            <w:vAlign w:val="bottom"/>
            <w:gridSpan w:val="2"/>
            <w:shd w:val="clear" w:color="auto" w:fill="B2B2B2"/>
          </w:tcPr>
          <w:p>
            <w:pPr>
              <w:ind w:left="360"/>
              <w:spacing w:after="0"/>
              <w:rPr>
                <w:sz w:val="20"/>
                <w:szCs w:val="20"/>
                <w:color w:val="auto"/>
              </w:rPr>
            </w:pPr>
            <w:r>
              <w:rPr>
                <w:rFonts w:ascii="Arial" w:cs="Arial" w:eastAsia="Arial" w:hAnsi="Arial"/>
                <w:sz w:val="18"/>
                <w:szCs w:val="18"/>
                <w:color w:val="auto"/>
              </w:rPr>
              <w:t>Construction</w:t>
            </w:r>
          </w:p>
        </w:tc>
        <w:tc>
          <w:tcPr>
            <w:tcW w:w="120" w:type="dxa"/>
            <w:vAlign w:val="bottom"/>
            <w:shd w:val="clear" w:color="auto" w:fill="B2B2B2"/>
          </w:tcPr>
          <w:p>
            <w:pPr>
              <w:spacing w:after="0"/>
              <w:rPr>
                <w:sz w:val="18"/>
                <w:szCs w:val="18"/>
                <w:color w:val="auto"/>
              </w:rPr>
            </w:pPr>
          </w:p>
        </w:tc>
        <w:tc>
          <w:tcPr>
            <w:tcW w:w="8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23,818</w:t>
            </w:r>
          </w:p>
        </w:tc>
        <w:tc>
          <w:tcPr>
            <w:tcW w:w="160" w:type="dxa"/>
            <w:vAlign w:val="bottom"/>
            <w:shd w:val="clear" w:color="auto" w:fill="B2B2B2"/>
          </w:tcPr>
          <w:p>
            <w:pPr>
              <w:spacing w:after="0"/>
              <w:rPr>
                <w:sz w:val="18"/>
                <w:szCs w:val="18"/>
                <w:color w:val="auto"/>
              </w:rPr>
            </w:pPr>
          </w:p>
        </w:tc>
        <w:tc>
          <w:tcPr>
            <w:tcW w:w="980" w:type="dxa"/>
            <w:vAlign w:val="bottom"/>
            <w:shd w:val="clear" w:color="auto" w:fill="B2B2B2"/>
          </w:tcPr>
          <w:p>
            <w:pPr>
              <w:ind w:left="740"/>
              <w:spacing w:after="0"/>
              <w:rPr>
                <w:sz w:val="20"/>
                <w:szCs w:val="20"/>
                <w:color w:val="auto"/>
              </w:rPr>
            </w:pPr>
            <w:r>
              <w:rPr>
                <w:rFonts w:ascii="Arial" w:cs="Arial" w:eastAsia="Arial" w:hAnsi="Arial"/>
                <w:sz w:val="18"/>
                <w:szCs w:val="18"/>
                <w:color w:val="auto"/>
              </w:rPr>
              <w:t>—</w:t>
            </w:r>
          </w:p>
        </w:tc>
        <w:tc>
          <w:tcPr>
            <w:tcW w:w="240" w:type="dxa"/>
            <w:vAlign w:val="bottom"/>
            <w:shd w:val="clear" w:color="auto" w:fill="B2B2B2"/>
          </w:tcPr>
          <w:p>
            <w:pPr>
              <w:spacing w:after="0"/>
              <w:rPr>
                <w:sz w:val="18"/>
                <w:szCs w:val="18"/>
                <w:color w:val="auto"/>
              </w:rPr>
            </w:pPr>
          </w:p>
        </w:tc>
        <w:tc>
          <w:tcPr>
            <w:tcW w:w="820" w:type="dxa"/>
            <w:vAlign w:val="bottom"/>
            <w:shd w:val="clear" w:color="auto" w:fill="B2B2B2"/>
          </w:tcPr>
          <w:p>
            <w:pPr>
              <w:ind w:left="64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860" w:type="dxa"/>
            <w:vAlign w:val="bottom"/>
            <w:shd w:val="clear" w:color="auto" w:fill="B2B2B2"/>
          </w:tcPr>
          <w:p>
            <w:pPr>
              <w:ind w:left="620"/>
              <w:spacing w:after="0"/>
              <w:rPr>
                <w:sz w:val="20"/>
                <w:szCs w:val="20"/>
                <w:color w:val="auto"/>
              </w:rPr>
            </w:pPr>
            <w:r>
              <w:rPr>
                <w:rFonts w:ascii="Arial" w:cs="Arial" w:eastAsia="Arial" w:hAnsi="Arial"/>
                <w:sz w:val="18"/>
                <w:szCs w:val="18"/>
                <w:color w:val="auto"/>
              </w:rPr>
              <w:t>—</w:t>
            </w:r>
          </w:p>
        </w:tc>
        <w:tc>
          <w:tcPr>
            <w:tcW w:w="840" w:type="dxa"/>
            <w:vAlign w:val="bottom"/>
            <w:shd w:val="clear" w:color="auto" w:fill="B2B2B2"/>
          </w:tcPr>
          <w:p>
            <w:pPr>
              <w:spacing w:after="0"/>
              <w:rPr>
                <w:sz w:val="18"/>
                <w:szCs w:val="18"/>
                <w:color w:val="auto"/>
              </w:rPr>
            </w:pPr>
          </w:p>
        </w:tc>
        <w:tc>
          <w:tcPr>
            <w:tcW w:w="200" w:type="dxa"/>
            <w:vAlign w:val="bottom"/>
            <w:shd w:val="clear" w:color="auto" w:fill="B2B2B2"/>
          </w:tcPr>
          <w:p>
            <w:pPr>
              <w:ind w:left="2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B2B2B2"/>
          </w:tcPr>
          <w:p>
            <w:pPr>
              <w:spacing w:after="0"/>
              <w:rPr>
                <w:sz w:val="18"/>
                <w:szCs w:val="18"/>
                <w:color w:val="auto"/>
              </w:rPr>
            </w:pPr>
          </w:p>
        </w:tc>
        <w:tc>
          <w:tcPr>
            <w:tcW w:w="7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23,818</w:t>
            </w:r>
          </w:p>
        </w:tc>
        <w:tc>
          <w:tcPr>
            <w:tcW w:w="20" w:type="dxa"/>
            <w:vAlign w:val="bottom"/>
          </w:tcPr>
          <w:p>
            <w:pPr>
              <w:spacing w:after="0"/>
              <w:rPr>
                <w:sz w:val="18"/>
                <w:szCs w:val="18"/>
                <w:color w:val="auto"/>
              </w:rPr>
            </w:pPr>
          </w:p>
        </w:tc>
      </w:tr>
      <w:tr>
        <w:trPr>
          <w:trHeight w:val="215"/>
        </w:trPr>
        <w:tc>
          <w:tcPr>
            <w:tcW w:w="4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PPP</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109,704</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88"/>
              </w:rPr>
              <w:t>—</w:t>
            </w: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109,704</w:t>
            </w:r>
          </w:p>
        </w:tc>
        <w:tc>
          <w:tcPr>
            <w:tcW w:w="20" w:type="dxa"/>
            <w:vAlign w:val="bottom"/>
          </w:tcPr>
          <w:p>
            <w:pPr>
              <w:spacing w:after="0"/>
              <w:rPr>
                <w:sz w:val="18"/>
                <w:szCs w:val="18"/>
                <w:color w:val="auto"/>
              </w:rPr>
            </w:pPr>
          </w:p>
        </w:tc>
      </w:tr>
      <w:tr>
        <w:trPr>
          <w:trHeight w:val="216"/>
        </w:trPr>
        <w:tc>
          <w:tcPr>
            <w:tcW w:w="4860" w:type="dxa"/>
            <w:vAlign w:val="bottom"/>
            <w:tcBorders>
              <w:bottom w:val="single" w:sz="8" w:color="auto"/>
            </w:tcBorders>
            <w:gridSpan w:val="2"/>
            <w:shd w:val="clear" w:color="auto" w:fill="B2B2B2"/>
          </w:tcPr>
          <w:p>
            <w:pPr>
              <w:spacing w:after="0" w:line="195" w:lineRule="exact"/>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B2B2B2"/>
          </w:tcPr>
          <w:p>
            <w:pPr>
              <w:jc w:val="right"/>
              <w:spacing w:after="0" w:line="195" w:lineRule="exact"/>
              <w:rPr>
                <w:sz w:val="20"/>
                <w:szCs w:val="20"/>
                <w:color w:val="auto"/>
              </w:rPr>
            </w:pPr>
            <w:r>
              <w:rPr>
                <w:rFonts w:ascii="Arial" w:cs="Arial" w:eastAsia="Arial" w:hAnsi="Arial"/>
                <w:sz w:val="18"/>
                <w:szCs w:val="18"/>
                <w:color w:val="auto"/>
              </w:rPr>
              <w:t>891,676</w:t>
            </w:r>
          </w:p>
        </w:tc>
        <w:tc>
          <w:tcPr>
            <w:tcW w:w="160" w:type="dxa"/>
            <w:vAlign w:val="bottom"/>
            <w:tcBorders>
              <w:bottom w:val="single" w:sz="8" w:color="auto"/>
            </w:tcBorders>
            <w:shd w:val="clear" w:color="auto" w:fill="B2B2B2"/>
          </w:tcPr>
          <w:p>
            <w:pPr>
              <w:jc w:val="right"/>
              <w:spacing w:after="0" w:line="195"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B2B2B2"/>
          </w:tcPr>
          <w:p>
            <w:pPr>
              <w:ind w:left="740"/>
              <w:spacing w:after="0" w:line="195"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B2B2B2"/>
          </w:tcPr>
          <w:p>
            <w:pPr>
              <w:jc w:val="right"/>
              <w:ind w:right="10"/>
              <w:spacing w:after="0" w:line="195"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B2B2B2"/>
          </w:tcPr>
          <w:p>
            <w:pPr>
              <w:ind w:left="640"/>
              <w:spacing w:after="0" w:line="195" w:lineRule="exact"/>
              <w:rPr>
                <w:sz w:val="20"/>
                <w:szCs w:val="20"/>
                <w:color w:val="auto"/>
              </w:rPr>
            </w:pPr>
            <w:r>
              <w:rPr>
                <w:rFonts w:ascii="Arial" w:cs="Arial" w:eastAsia="Arial" w:hAnsi="Arial"/>
                <w:sz w:val="18"/>
                <w:szCs w:val="18"/>
                <w:color w:val="auto"/>
                <w:w w:val="88"/>
              </w:rPr>
              <w:t>—</w:t>
            </w:r>
          </w:p>
        </w:tc>
        <w:tc>
          <w:tcPr>
            <w:tcW w:w="300" w:type="dxa"/>
            <w:vAlign w:val="bottom"/>
            <w:tcBorders>
              <w:bottom w:val="single" w:sz="8" w:color="auto"/>
            </w:tcBorders>
            <w:gridSpan w:val="2"/>
            <w:shd w:val="clear" w:color="auto" w:fill="B2B2B2"/>
          </w:tcPr>
          <w:p>
            <w:pPr>
              <w:jc w:val="right"/>
              <w:ind w:right="100"/>
              <w:spacing w:after="0" w:line="195"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B2B2B2"/>
          </w:tcPr>
          <w:p>
            <w:pPr>
              <w:ind w:left="620"/>
              <w:spacing w:after="0" w:line="195"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B2B2B2"/>
          </w:tcPr>
          <w:p>
            <w:pPr>
              <w:jc w:val="right"/>
              <w:ind w:right="610"/>
              <w:spacing w:after="0" w:line="195"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B2B2B2"/>
          </w:tcPr>
          <w:p>
            <w:pPr>
              <w:ind w:left="20"/>
              <w:spacing w:after="0" w:line="195" w:lineRule="exact"/>
              <w:rPr>
                <w:sz w:val="20"/>
                <w:szCs w:val="20"/>
                <w:color w:val="auto"/>
              </w:rPr>
            </w:pPr>
            <w:r>
              <w:rPr>
                <w:rFonts w:ascii="Arial" w:cs="Arial" w:eastAsia="Arial" w:hAnsi="Arial"/>
                <w:sz w:val="18"/>
                <w:szCs w:val="18"/>
                <w:color w:val="auto"/>
                <w:w w:val="88"/>
              </w:rPr>
              <w:t>—</w:t>
            </w:r>
          </w:p>
        </w:tc>
        <w:tc>
          <w:tcPr>
            <w:tcW w:w="260" w:type="dxa"/>
            <w:vAlign w:val="bottom"/>
            <w:tcBorders>
              <w:bottom w:val="single" w:sz="8" w:color="auto"/>
            </w:tcBorders>
            <w:shd w:val="clear" w:color="auto" w:fill="B2B2B2"/>
          </w:tcPr>
          <w:p>
            <w:pPr>
              <w:jc w:val="right"/>
              <w:spacing w:after="0" w:line="195"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B2B2B2"/>
          </w:tcPr>
          <w:p>
            <w:pPr>
              <w:jc w:val="right"/>
              <w:spacing w:after="0" w:line="195" w:lineRule="exact"/>
              <w:rPr>
                <w:sz w:val="20"/>
                <w:szCs w:val="20"/>
                <w:color w:val="auto"/>
              </w:rPr>
            </w:pPr>
            <w:r>
              <w:rPr>
                <w:rFonts w:ascii="Arial" w:cs="Arial" w:eastAsia="Arial" w:hAnsi="Arial"/>
                <w:sz w:val="18"/>
                <w:szCs w:val="18"/>
                <w:color w:val="auto"/>
              </w:rPr>
              <w:t>891,676</w:t>
            </w:r>
          </w:p>
        </w:tc>
        <w:tc>
          <w:tcPr>
            <w:tcW w:w="20" w:type="dxa"/>
            <w:vAlign w:val="bottom"/>
            <w:tcBorders>
              <w:bottom w:val="single" w:sz="8" w:color="auto"/>
            </w:tcBorders>
          </w:tcPr>
          <w:p>
            <w:pPr>
              <w:spacing w:after="0"/>
              <w:rPr>
                <w:sz w:val="18"/>
                <w:szCs w:val="18"/>
                <w:color w:val="auto"/>
              </w:rPr>
            </w:pPr>
          </w:p>
        </w:tc>
      </w:tr>
    </w:tbl>
    <w:p>
      <w:pPr>
        <w:spacing w:after="0" w:line="36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credit exposure of the loan portfolio by internally assigned credit grade as of March 31, 2021 and December 31, 2020:</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Performing</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43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9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Loans</w:t>
            </w:r>
          </w:p>
        </w:tc>
        <w:tc>
          <w:tcPr>
            <w:tcW w:w="160" w:type="dxa"/>
            <w:vAlign w:val="bottom"/>
          </w:tcPr>
          <w:p>
            <w:pPr>
              <w:spacing w:after="0"/>
              <w:rPr>
                <w:sz w:val="18"/>
                <w:szCs w:val="18"/>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Loans</w:t>
            </w:r>
          </w:p>
        </w:tc>
        <w:tc>
          <w:tcPr>
            <w:tcW w:w="13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Nonperforming</w:t>
            </w: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43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94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Subject to</w:t>
            </w:r>
          </w:p>
        </w:tc>
        <w:tc>
          <w:tcPr>
            <w:tcW w:w="160" w:type="dxa"/>
            <w:vAlign w:val="bottom"/>
          </w:tcPr>
          <w:p>
            <w:pPr>
              <w:spacing w:after="0"/>
              <w:rPr>
                <w:sz w:val="18"/>
                <w:szCs w:val="18"/>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Subject</w:t>
            </w:r>
          </w:p>
        </w:tc>
        <w:tc>
          <w:tcPr>
            <w:tcW w:w="1300" w:type="dxa"/>
            <w:vAlign w:val="bottom"/>
            <w:gridSpan w:val="2"/>
          </w:tcPr>
          <w:p>
            <w:pPr>
              <w:ind w:left="100"/>
              <w:spacing w:after="0"/>
              <w:rPr>
                <w:sz w:val="20"/>
                <w:szCs w:val="20"/>
                <w:color w:val="auto"/>
              </w:rPr>
            </w:pPr>
            <w:r>
              <w:rPr>
                <w:rFonts w:ascii="Arial" w:cs="Arial" w:eastAsia="Arial" w:hAnsi="Arial"/>
                <w:sz w:val="18"/>
                <w:szCs w:val="18"/>
                <w:b w:val="1"/>
                <w:bCs w:val="1"/>
                <w:color w:val="auto"/>
                <w:w w:val="95"/>
              </w:rPr>
              <w:t>Loans Subject</w:t>
            </w: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9"/>
        </w:trPr>
        <w:tc>
          <w:tcPr>
            <w:tcW w:w="43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940" w:type="dxa"/>
            <w:vAlign w:val="bottom"/>
          </w:tcPr>
          <w:p>
            <w:pPr>
              <w:jc w:val="center"/>
              <w:ind w:right="90"/>
              <w:spacing w:after="0"/>
              <w:rPr>
                <w:sz w:val="20"/>
                <w:szCs w:val="20"/>
                <w:color w:val="auto"/>
              </w:rPr>
            </w:pPr>
            <w:r>
              <w:rPr>
                <w:rFonts w:ascii="Arial" w:cs="Arial" w:eastAsia="Arial" w:hAnsi="Arial"/>
                <w:sz w:val="18"/>
                <w:szCs w:val="18"/>
                <w:b w:val="1"/>
                <w:bCs w:val="1"/>
                <w:color w:val="auto"/>
                <w:w w:val="96"/>
              </w:rPr>
              <w:t>Normal</w:t>
            </w:r>
          </w:p>
        </w:tc>
        <w:tc>
          <w:tcPr>
            <w:tcW w:w="160" w:type="dxa"/>
            <w:vAlign w:val="bottom"/>
          </w:tcPr>
          <w:p>
            <w:pPr>
              <w:spacing w:after="0"/>
              <w:rPr>
                <w:sz w:val="19"/>
                <w:szCs w:val="19"/>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to Special</w:t>
            </w:r>
          </w:p>
        </w:tc>
        <w:tc>
          <w:tcPr>
            <w:tcW w:w="220" w:type="dxa"/>
            <w:vAlign w:val="bottom"/>
          </w:tcPr>
          <w:p>
            <w:pPr>
              <w:spacing w:after="0"/>
              <w:rPr>
                <w:sz w:val="19"/>
                <w:szCs w:val="19"/>
                <w:color w:val="auto"/>
              </w:rPr>
            </w:pPr>
          </w:p>
        </w:tc>
        <w:tc>
          <w:tcPr>
            <w:tcW w:w="1080" w:type="dxa"/>
            <w:vAlign w:val="bottom"/>
          </w:tcPr>
          <w:p>
            <w:pPr>
              <w:jc w:val="center"/>
              <w:ind w:right="130"/>
              <w:spacing w:after="0"/>
              <w:rPr>
                <w:sz w:val="20"/>
                <w:szCs w:val="20"/>
                <w:color w:val="auto"/>
              </w:rPr>
            </w:pPr>
            <w:r>
              <w:rPr>
                <w:rFonts w:ascii="Arial" w:cs="Arial" w:eastAsia="Arial" w:hAnsi="Arial"/>
                <w:sz w:val="18"/>
                <w:szCs w:val="18"/>
                <w:b w:val="1"/>
                <w:bCs w:val="1"/>
                <w:color w:val="auto"/>
                <w:w w:val="86"/>
              </w:rPr>
              <w:t>to Special</w:t>
            </w: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77"/>
        </w:trPr>
        <w:tc>
          <w:tcPr>
            <w:tcW w:w="4340" w:type="dxa"/>
            <w:vAlign w:val="bottom"/>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3460" w:type="dxa"/>
            <w:vAlign w:val="bottom"/>
            <w:gridSpan w:val="2"/>
          </w:tcPr>
          <w:p>
            <w:pPr>
              <w:ind w:left="2420"/>
              <w:spacing w:after="0" w:line="270" w:lineRule="exact"/>
              <w:rPr>
                <w:sz w:val="20"/>
                <w:szCs w:val="20"/>
                <w:color w:val="auto"/>
              </w:rPr>
            </w:pPr>
            <w:r>
              <w:rPr>
                <w:rFonts w:ascii="Arial" w:cs="Arial" w:eastAsia="Arial" w:hAnsi="Arial"/>
                <w:sz w:val="18"/>
                <w:szCs w:val="18"/>
                <w:b w:val="1"/>
                <w:bCs w:val="1"/>
                <w:color w:val="auto"/>
                <w:w w:val="98"/>
              </w:rPr>
              <w:t>Monitoring</w:t>
            </w:r>
            <w:r>
              <w:rPr>
                <w:rFonts w:ascii="Arial" w:cs="Arial" w:eastAsia="Arial" w:hAnsi="Arial"/>
                <w:sz w:val="29"/>
                <w:szCs w:val="29"/>
                <w:b w:val="1"/>
                <w:bCs w:val="1"/>
                <w:color w:val="auto"/>
                <w:w w:val="98"/>
                <w:vertAlign w:val="superscript"/>
              </w:rPr>
              <w:t>1</w:t>
            </w:r>
          </w:p>
        </w:tc>
        <w:tc>
          <w:tcPr>
            <w:tcW w:w="1100" w:type="dxa"/>
            <w:vAlign w:val="bottom"/>
            <w:gridSpan w:val="2"/>
          </w:tcPr>
          <w:p>
            <w:pPr>
              <w:ind w:left="60"/>
              <w:spacing w:after="0" w:line="270" w:lineRule="exact"/>
              <w:rPr>
                <w:sz w:val="20"/>
                <w:szCs w:val="20"/>
                <w:color w:val="auto"/>
              </w:rPr>
            </w:pPr>
            <w:r>
              <w:rPr>
                <w:rFonts w:ascii="Arial" w:cs="Arial" w:eastAsia="Arial" w:hAnsi="Arial"/>
                <w:sz w:val="18"/>
                <w:szCs w:val="18"/>
                <w:b w:val="1"/>
                <w:bCs w:val="1"/>
                <w:color w:val="auto"/>
                <w:w w:val="98"/>
              </w:rPr>
              <w:t>Monitoring</w:t>
            </w:r>
            <w:r>
              <w:rPr>
                <w:rFonts w:ascii="Arial" w:cs="Arial" w:eastAsia="Arial" w:hAnsi="Arial"/>
                <w:sz w:val="29"/>
                <w:szCs w:val="29"/>
                <w:b w:val="1"/>
                <w:bCs w:val="1"/>
                <w:color w:val="auto"/>
                <w:w w:val="98"/>
                <w:vertAlign w:val="superscript"/>
              </w:rPr>
              <w:t>2</w:t>
            </w:r>
          </w:p>
        </w:tc>
        <w:tc>
          <w:tcPr>
            <w:tcW w:w="1300" w:type="dxa"/>
            <w:vAlign w:val="bottom"/>
            <w:gridSpan w:val="2"/>
          </w:tcPr>
          <w:p>
            <w:pPr>
              <w:jc w:val="center"/>
              <w:spacing w:after="0" w:line="270" w:lineRule="exact"/>
              <w:rPr>
                <w:sz w:val="20"/>
                <w:szCs w:val="20"/>
                <w:color w:val="auto"/>
              </w:rPr>
            </w:pPr>
            <w:r>
              <w:rPr>
                <w:rFonts w:ascii="Arial" w:cs="Arial" w:eastAsia="Arial" w:hAnsi="Arial"/>
                <w:sz w:val="18"/>
                <w:szCs w:val="18"/>
                <w:b w:val="1"/>
                <w:bCs w:val="1"/>
                <w:color w:val="auto"/>
                <w:w w:val="92"/>
              </w:rPr>
              <w:t>Monitoring</w:t>
            </w:r>
            <w:r>
              <w:rPr>
                <w:rFonts w:ascii="Arial" w:cs="Arial" w:eastAsia="Arial" w:hAnsi="Arial"/>
                <w:sz w:val="29"/>
                <w:szCs w:val="29"/>
                <w:b w:val="1"/>
                <w:bCs w:val="1"/>
                <w:color w:val="auto"/>
                <w:w w:val="92"/>
                <w:vertAlign w:val="superscript"/>
              </w:rPr>
              <w:t>2</w:t>
            </w:r>
          </w:p>
        </w:tc>
        <w:tc>
          <w:tcPr>
            <w:tcW w:w="1060" w:type="dxa"/>
            <w:vAlign w:val="bottom"/>
            <w:gridSpan w:val="3"/>
          </w:tcPr>
          <w:p>
            <w:pPr>
              <w:ind w:left="80"/>
              <w:spacing w:after="0"/>
              <w:rPr>
                <w:sz w:val="20"/>
                <w:szCs w:val="20"/>
                <w:color w:val="auto"/>
              </w:rPr>
            </w:pPr>
            <w:r>
              <w:rPr>
                <w:rFonts w:ascii="Arial" w:cs="Arial" w:eastAsia="Arial" w:hAnsi="Arial"/>
                <w:sz w:val="18"/>
                <w:szCs w:val="18"/>
                <w:b w:val="1"/>
                <w:bCs w:val="1"/>
                <w:color w:val="auto"/>
                <w:w w:val="94"/>
              </w:rPr>
              <w:t>Total Loans</w:t>
            </w:r>
          </w:p>
        </w:tc>
      </w:tr>
      <w:tr>
        <w:trPr>
          <w:trHeight w:val="215"/>
        </w:trPr>
        <w:tc>
          <w:tcPr>
            <w:tcW w:w="4340" w:type="dxa"/>
            <w:vAlign w:val="bottom"/>
            <w:tcBorders>
              <w:top w:val="single" w:sz="8" w:color="auto"/>
            </w:tcBorders>
            <w:shd w:val="clear" w:color="auto" w:fill="B2B2B2"/>
          </w:tcPr>
          <w:p>
            <w:pPr>
              <w:spacing w:after="0"/>
              <w:rPr>
                <w:sz w:val="20"/>
                <w:szCs w:val="20"/>
                <w:color w:val="auto"/>
              </w:rPr>
            </w:pPr>
            <w:r>
              <w:rPr>
                <w:rFonts w:ascii="Arial" w:cs="Arial" w:eastAsia="Arial" w:hAnsi="Arial"/>
                <w:sz w:val="18"/>
                <w:szCs w:val="18"/>
                <w:i w:val="1"/>
                <w:iCs w:val="1"/>
                <w:color w:val="auto"/>
              </w:rPr>
              <w:t>March 31, 2021</w:t>
            </w:r>
          </w:p>
        </w:tc>
        <w:tc>
          <w:tcPr>
            <w:tcW w:w="2520" w:type="dxa"/>
            <w:vAlign w:val="bottom"/>
            <w:tcBorders>
              <w:top w:val="single" w:sz="8" w:color="auto"/>
            </w:tcBorders>
            <w:shd w:val="clear" w:color="auto" w:fill="B2B2B2"/>
          </w:tcPr>
          <w:p>
            <w:pPr>
              <w:spacing w:after="0"/>
              <w:rPr>
                <w:sz w:val="18"/>
                <w:szCs w:val="18"/>
                <w:color w:val="auto"/>
              </w:rPr>
            </w:pPr>
          </w:p>
        </w:tc>
        <w:tc>
          <w:tcPr>
            <w:tcW w:w="940" w:type="dxa"/>
            <w:vAlign w:val="bottom"/>
            <w:tcBorders>
              <w:top w:val="single" w:sz="8" w:color="auto"/>
            </w:tcBorders>
            <w:shd w:val="clear" w:color="auto" w:fill="B2B2B2"/>
          </w:tcPr>
          <w:p>
            <w:pPr>
              <w:spacing w:after="0"/>
              <w:rPr>
                <w:sz w:val="18"/>
                <w:szCs w:val="18"/>
                <w:color w:val="auto"/>
              </w:rPr>
            </w:pPr>
          </w:p>
        </w:tc>
        <w:tc>
          <w:tcPr>
            <w:tcW w:w="160" w:type="dxa"/>
            <w:vAlign w:val="bottom"/>
            <w:tcBorders>
              <w:top w:val="single" w:sz="8" w:color="auto"/>
            </w:tcBorders>
            <w:shd w:val="clear" w:color="auto" w:fill="B2B2B2"/>
          </w:tcPr>
          <w:p>
            <w:pPr>
              <w:spacing w:after="0"/>
              <w:rPr>
                <w:sz w:val="18"/>
                <w:szCs w:val="18"/>
                <w:color w:val="auto"/>
              </w:rPr>
            </w:pPr>
          </w:p>
        </w:tc>
        <w:tc>
          <w:tcPr>
            <w:tcW w:w="940" w:type="dxa"/>
            <w:vAlign w:val="bottom"/>
            <w:tcBorders>
              <w:top w:val="single" w:sz="8" w:color="auto"/>
            </w:tcBorders>
            <w:shd w:val="clear" w:color="auto" w:fill="B2B2B2"/>
          </w:tcPr>
          <w:p>
            <w:pPr>
              <w:spacing w:after="0"/>
              <w:rPr>
                <w:sz w:val="18"/>
                <w:szCs w:val="18"/>
                <w:color w:val="auto"/>
              </w:rPr>
            </w:pPr>
          </w:p>
        </w:tc>
        <w:tc>
          <w:tcPr>
            <w:tcW w:w="220" w:type="dxa"/>
            <w:vAlign w:val="bottom"/>
            <w:tcBorders>
              <w:top w:val="single" w:sz="8" w:color="auto"/>
            </w:tcBorders>
            <w:shd w:val="clear" w:color="auto" w:fill="B2B2B2"/>
          </w:tcPr>
          <w:p>
            <w:pPr>
              <w:spacing w:after="0"/>
              <w:rPr>
                <w:sz w:val="18"/>
                <w:szCs w:val="18"/>
                <w:color w:val="auto"/>
              </w:rPr>
            </w:pPr>
          </w:p>
        </w:tc>
        <w:tc>
          <w:tcPr>
            <w:tcW w:w="1080" w:type="dxa"/>
            <w:vAlign w:val="bottom"/>
            <w:tcBorders>
              <w:top w:val="single" w:sz="8" w:color="auto"/>
            </w:tcBorders>
            <w:shd w:val="clear" w:color="auto" w:fill="B2B2B2"/>
          </w:tcPr>
          <w:p>
            <w:pPr>
              <w:spacing w:after="0"/>
              <w:rPr>
                <w:sz w:val="18"/>
                <w:szCs w:val="18"/>
                <w:color w:val="auto"/>
              </w:rPr>
            </w:pPr>
          </w:p>
        </w:tc>
        <w:tc>
          <w:tcPr>
            <w:tcW w:w="300" w:type="dxa"/>
            <w:vAlign w:val="bottom"/>
            <w:tcBorders>
              <w:top w:val="single" w:sz="8" w:color="auto"/>
            </w:tcBorders>
            <w:shd w:val="clear" w:color="auto" w:fill="B2B2B2"/>
          </w:tcPr>
          <w:p>
            <w:pPr>
              <w:spacing w:after="0"/>
              <w:rPr>
                <w:sz w:val="18"/>
                <w:szCs w:val="18"/>
                <w:color w:val="auto"/>
              </w:rPr>
            </w:pPr>
          </w:p>
        </w:tc>
        <w:tc>
          <w:tcPr>
            <w:tcW w:w="740" w:type="dxa"/>
            <w:vAlign w:val="bottom"/>
            <w:tcBorders>
              <w:top w:val="single" w:sz="8" w:color="auto"/>
            </w:tcBorders>
            <w:shd w:val="clear" w:color="auto" w:fill="B2B2B2"/>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4340" w:type="dxa"/>
            <w:vAlign w:val="bottom"/>
          </w:tcPr>
          <w:p>
            <w:pPr>
              <w:spacing w:after="0"/>
              <w:rPr>
                <w:sz w:val="20"/>
                <w:szCs w:val="20"/>
                <w:color w:val="auto"/>
              </w:rPr>
            </w:pPr>
            <w:r>
              <w:rPr>
                <w:rFonts w:ascii="Arial" w:cs="Arial" w:eastAsia="Arial" w:hAnsi="Arial"/>
                <w:sz w:val="18"/>
                <w:szCs w:val="18"/>
                <w:color w:val="auto"/>
              </w:rPr>
              <w:t>Commercial and industrial</w:t>
            </w:r>
          </w:p>
        </w:tc>
        <w:tc>
          <w:tcPr>
            <w:tcW w:w="2520" w:type="dxa"/>
            <w:vAlign w:val="bottom"/>
          </w:tcPr>
          <w:p>
            <w:pPr>
              <w:ind w:left="242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289,698</w:t>
            </w:r>
          </w:p>
        </w:tc>
        <w:tc>
          <w:tcPr>
            <w:tcW w:w="160" w:type="dxa"/>
            <w:vAlign w:val="bottom"/>
          </w:tcPr>
          <w:p>
            <w:pPr>
              <w:ind w:left="6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13,049</w:t>
            </w: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1080" w:type="dxa"/>
            <w:vAlign w:val="bottom"/>
          </w:tcPr>
          <w:p>
            <w:pPr>
              <w:ind w:left="84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302,747</w:t>
            </w:r>
          </w:p>
        </w:tc>
        <w:tc>
          <w:tcPr>
            <w:tcW w:w="20" w:type="dxa"/>
            <w:vAlign w:val="bottom"/>
          </w:tcPr>
          <w:p>
            <w:pPr>
              <w:spacing w:after="0"/>
              <w:rPr>
                <w:sz w:val="18"/>
                <w:szCs w:val="18"/>
                <w:color w:val="auto"/>
              </w:rPr>
            </w:pPr>
          </w:p>
        </w:tc>
      </w:tr>
      <w:tr>
        <w:trPr>
          <w:trHeight w:val="215"/>
        </w:trPr>
        <w:tc>
          <w:tcPr>
            <w:tcW w:w="4340" w:type="dxa"/>
            <w:vAlign w:val="bottom"/>
            <w:shd w:val="clear" w:color="auto" w:fill="B2B2B2"/>
          </w:tcPr>
          <w:p>
            <w:pPr>
              <w:spacing w:after="0"/>
              <w:rPr>
                <w:sz w:val="20"/>
                <w:szCs w:val="20"/>
                <w:color w:val="auto"/>
              </w:rPr>
            </w:pPr>
            <w:r>
              <w:rPr>
                <w:rFonts w:ascii="Arial" w:cs="Arial" w:eastAsia="Arial" w:hAnsi="Arial"/>
                <w:sz w:val="18"/>
                <w:szCs w:val="18"/>
                <w:color w:val="auto"/>
              </w:rPr>
              <w:t>Real estate</w:t>
            </w:r>
          </w:p>
        </w:tc>
        <w:tc>
          <w:tcPr>
            <w:tcW w:w="2520" w:type="dxa"/>
            <w:vAlign w:val="bottom"/>
            <w:shd w:val="clear" w:color="auto" w:fill="B2B2B2"/>
          </w:tcPr>
          <w:p>
            <w:pPr>
              <w:spacing w:after="0"/>
              <w:rPr>
                <w:sz w:val="18"/>
                <w:szCs w:val="18"/>
                <w:color w:val="auto"/>
              </w:rPr>
            </w:pPr>
          </w:p>
        </w:tc>
        <w:tc>
          <w:tcPr>
            <w:tcW w:w="94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94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08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740" w:type="dxa"/>
            <w:vAlign w:val="bottom"/>
            <w:shd w:val="clear" w:color="auto" w:fill="B2B2B2"/>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434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2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4340" w:type="dxa"/>
            <w:vAlign w:val="bottom"/>
            <w:shd w:val="clear" w:color="auto" w:fill="B2B2B2"/>
          </w:tcPr>
          <w:p>
            <w:pPr>
              <w:ind w:left="360"/>
              <w:spacing w:after="0"/>
              <w:rPr>
                <w:sz w:val="20"/>
                <w:szCs w:val="20"/>
                <w:color w:val="auto"/>
              </w:rPr>
            </w:pPr>
            <w:r>
              <w:rPr>
                <w:rFonts w:ascii="Arial" w:cs="Arial" w:eastAsia="Arial" w:hAnsi="Arial"/>
                <w:sz w:val="18"/>
                <w:szCs w:val="18"/>
                <w:color w:val="auto"/>
              </w:rPr>
              <w:t>Mortgage</w:t>
            </w:r>
          </w:p>
        </w:tc>
        <w:tc>
          <w:tcPr>
            <w:tcW w:w="2520" w:type="dxa"/>
            <w:vAlign w:val="bottom"/>
            <w:shd w:val="clear" w:color="auto" w:fill="B2B2B2"/>
          </w:tcPr>
          <w:p>
            <w:pPr>
              <w:spacing w:after="0"/>
              <w:rPr>
                <w:sz w:val="18"/>
                <w:szCs w:val="18"/>
                <w:color w:val="auto"/>
              </w:rPr>
            </w:pPr>
          </w:p>
        </w:tc>
        <w:tc>
          <w:tcPr>
            <w:tcW w:w="9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95,305</w:t>
            </w:r>
          </w:p>
        </w:tc>
        <w:tc>
          <w:tcPr>
            <w:tcW w:w="160" w:type="dxa"/>
            <w:vAlign w:val="bottom"/>
            <w:shd w:val="clear" w:color="auto" w:fill="B2B2B2"/>
          </w:tcPr>
          <w:p>
            <w:pPr>
              <w:spacing w:after="0"/>
              <w:rPr>
                <w:sz w:val="18"/>
                <w:szCs w:val="18"/>
                <w:color w:val="auto"/>
              </w:rPr>
            </w:pPr>
          </w:p>
        </w:tc>
        <w:tc>
          <w:tcPr>
            <w:tcW w:w="9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1,325</w:t>
            </w:r>
          </w:p>
        </w:tc>
        <w:tc>
          <w:tcPr>
            <w:tcW w:w="220" w:type="dxa"/>
            <w:vAlign w:val="bottom"/>
            <w:shd w:val="clear" w:color="auto" w:fill="B2B2B2"/>
          </w:tcPr>
          <w:p>
            <w:pPr>
              <w:spacing w:after="0"/>
              <w:rPr>
                <w:sz w:val="18"/>
                <w:szCs w:val="18"/>
                <w:color w:val="auto"/>
              </w:rPr>
            </w:pPr>
          </w:p>
        </w:tc>
        <w:tc>
          <w:tcPr>
            <w:tcW w:w="1080" w:type="dxa"/>
            <w:vAlign w:val="bottom"/>
            <w:shd w:val="clear" w:color="auto" w:fill="B2B2B2"/>
          </w:tcPr>
          <w:p>
            <w:pPr>
              <w:ind w:left="840"/>
              <w:spacing w:after="0"/>
              <w:rPr>
                <w:sz w:val="20"/>
                <w:szCs w:val="20"/>
                <w:color w:val="auto"/>
              </w:rPr>
            </w:pPr>
            <w:r>
              <w:rPr>
                <w:rFonts w:ascii="Arial" w:cs="Arial" w:eastAsia="Arial" w:hAnsi="Arial"/>
                <w:sz w:val="18"/>
                <w:szCs w:val="18"/>
                <w:color w:val="auto"/>
              </w:rPr>
              <w:t>—</w:t>
            </w:r>
          </w:p>
        </w:tc>
        <w:tc>
          <w:tcPr>
            <w:tcW w:w="300" w:type="dxa"/>
            <w:vAlign w:val="bottom"/>
            <w:shd w:val="clear" w:color="auto" w:fill="B2B2B2"/>
          </w:tcPr>
          <w:p>
            <w:pPr>
              <w:spacing w:after="0"/>
              <w:rPr>
                <w:sz w:val="18"/>
                <w:szCs w:val="18"/>
                <w:color w:val="auto"/>
              </w:rPr>
            </w:pPr>
          </w:p>
        </w:tc>
        <w:tc>
          <w:tcPr>
            <w:tcW w:w="7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96,630</w:t>
            </w:r>
          </w:p>
        </w:tc>
        <w:tc>
          <w:tcPr>
            <w:tcW w:w="20" w:type="dxa"/>
            <w:vAlign w:val="bottom"/>
          </w:tcPr>
          <w:p>
            <w:pPr>
              <w:spacing w:after="0"/>
              <w:rPr>
                <w:sz w:val="18"/>
                <w:szCs w:val="18"/>
                <w:color w:val="auto"/>
              </w:rPr>
            </w:pPr>
          </w:p>
        </w:tc>
      </w:tr>
      <w:tr>
        <w:trPr>
          <w:trHeight w:val="215"/>
        </w:trPr>
        <w:tc>
          <w:tcPr>
            <w:tcW w:w="4340" w:type="dxa"/>
            <w:vAlign w:val="bottom"/>
          </w:tcPr>
          <w:p>
            <w:pPr>
              <w:ind w:left="360"/>
              <w:spacing w:after="0"/>
              <w:rPr>
                <w:sz w:val="20"/>
                <w:szCs w:val="20"/>
                <w:color w:val="auto"/>
              </w:rPr>
            </w:pPr>
            <w:r>
              <w:rPr>
                <w:rFonts w:ascii="Arial" w:cs="Arial" w:eastAsia="Arial" w:hAnsi="Arial"/>
                <w:sz w:val="18"/>
                <w:szCs w:val="18"/>
                <w:color w:val="auto"/>
              </w:rPr>
              <w:t>Construction</w:t>
            </w:r>
          </w:p>
        </w:tc>
        <w:tc>
          <w:tcPr>
            <w:tcW w:w="2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23,766</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80" w:type="dxa"/>
            <w:vAlign w:val="bottom"/>
          </w:tcPr>
          <w:p>
            <w:pPr>
              <w:ind w:left="8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23,766</w:t>
            </w:r>
          </w:p>
        </w:tc>
        <w:tc>
          <w:tcPr>
            <w:tcW w:w="20" w:type="dxa"/>
            <w:vAlign w:val="bottom"/>
          </w:tcPr>
          <w:p>
            <w:pPr>
              <w:spacing w:after="0"/>
              <w:rPr>
                <w:sz w:val="18"/>
                <w:szCs w:val="18"/>
                <w:color w:val="auto"/>
              </w:rPr>
            </w:pPr>
          </w:p>
        </w:tc>
      </w:tr>
      <w:tr>
        <w:trPr>
          <w:trHeight w:val="215"/>
        </w:trPr>
        <w:tc>
          <w:tcPr>
            <w:tcW w:w="4340" w:type="dxa"/>
            <w:vAlign w:val="bottom"/>
            <w:shd w:val="clear" w:color="auto" w:fill="B2B2B2"/>
          </w:tcPr>
          <w:p>
            <w:pPr>
              <w:ind w:left="180"/>
              <w:spacing w:after="0"/>
              <w:rPr>
                <w:sz w:val="20"/>
                <w:szCs w:val="20"/>
                <w:color w:val="auto"/>
              </w:rPr>
            </w:pPr>
            <w:r>
              <w:rPr>
                <w:rFonts w:ascii="Arial" w:cs="Arial" w:eastAsia="Arial" w:hAnsi="Arial"/>
                <w:sz w:val="18"/>
                <w:szCs w:val="18"/>
                <w:color w:val="auto"/>
              </w:rPr>
              <w:t>Faith-based:</w:t>
            </w:r>
          </w:p>
        </w:tc>
        <w:tc>
          <w:tcPr>
            <w:tcW w:w="2520" w:type="dxa"/>
            <w:vAlign w:val="bottom"/>
            <w:shd w:val="clear" w:color="auto" w:fill="B2B2B2"/>
          </w:tcPr>
          <w:p>
            <w:pPr>
              <w:spacing w:after="0"/>
              <w:rPr>
                <w:sz w:val="18"/>
                <w:szCs w:val="18"/>
                <w:color w:val="auto"/>
              </w:rPr>
            </w:pPr>
          </w:p>
        </w:tc>
        <w:tc>
          <w:tcPr>
            <w:tcW w:w="94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94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08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740" w:type="dxa"/>
            <w:vAlign w:val="bottom"/>
            <w:shd w:val="clear" w:color="auto" w:fill="B2B2B2"/>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4340" w:type="dxa"/>
            <w:vAlign w:val="bottom"/>
          </w:tcPr>
          <w:p>
            <w:pPr>
              <w:ind w:left="360"/>
              <w:spacing w:after="0"/>
              <w:rPr>
                <w:sz w:val="20"/>
                <w:szCs w:val="20"/>
                <w:color w:val="auto"/>
              </w:rPr>
            </w:pPr>
            <w:r>
              <w:rPr>
                <w:rFonts w:ascii="Arial" w:cs="Arial" w:eastAsia="Arial" w:hAnsi="Arial"/>
                <w:sz w:val="18"/>
                <w:szCs w:val="18"/>
                <w:color w:val="auto"/>
              </w:rPr>
              <w:t>Mortgage</w:t>
            </w:r>
          </w:p>
        </w:tc>
        <w:tc>
          <w:tcPr>
            <w:tcW w:w="2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328,105</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3,048</w:t>
            </w:r>
          </w:p>
        </w:tc>
        <w:tc>
          <w:tcPr>
            <w:tcW w:w="220" w:type="dxa"/>
            <w:vAlign w:val="bottom"/>
          </w:tcPr>
          <w:p>
            <w:pPr>
              <w:spacing w:after="0"/>
              <w:rPr>
                <w:sz w:val="18"/>
                <w:szCs w:val="18"/>
                <w:color w:val="auto"/>
              </w:rPr>
            </w:pPr>
          </w:p>
        </w:tc>
        <w:tc>
          <w:tcPr>
            <w:tcW w:w="1080" w:type="dxa"/>
            <w:vAlign w:val="bottom"/>
          </w:tcPr>
          <w:p>
            <w:pPr>
              <w:ind w:left="8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331,153</w:t>
            </w:r>
          </w:p>
        </w:tc>
        <w:tc>
          <w:tcPr>
            <w:tcW w:w="20" w:type="dxa"/>
            <w:vAlign w:val="bottom"/>
          </w:tcPr>
          <w:p>
            <w:pPr>
              <w:spacing w:after="0"/>
              <w:rPr>
                <w:sz w:val="18"/>
                <w:szCs w:val="18"/>
                <w:color w:val="auto"/>
              </w:rPr>
            </w:pPr>
          </w:p>
        </w:tc>
      </w:tr>
      <w:tr>
        <w:trPr>
          <w:trHeight w:val="215"/>
        </w:trPr>
        <w:tc>
          <w:tcPr>
            <w:tcW w:w="4340" w:type="dxa"/>
            <w:vAlign w:val="bottom"/>
            <w:shd w:val="clear" w:color="auto" w:fill="B2B2B2"/>
          </w:tcPr>
          <w:p>
            <w:pPr>
              <w:ind w:left="360"/>
              <w:spacing w:after="0"/>
              <w:rPr>
                <w:sz w:val="20"/>
                <w:szCs w:val="20"/>
                <w:color w:val="auto"/>
              </w:rPr>
            </w:pPr>
            <w:r>
              <w:rPr>
                <w:rFonts w:ascii="Arial" w:cs="Arial" w:eastAsia="Arial" w:hAnsi="Arial"/>
                <w:sz w:val="18"/>
                <w:szCs w:val="18"/>
                <w:color w:val="auto"/>
              </w:rPr>
              <w:t>Construction</w:t>
            </w:r>
          </w:p>
        </w:tc>
        <w:tc>
          <w:tcPr>
            <w:tcW w:w="2520" w:type="dxa"/>
            <w:vAlign w:val="bottom"/>
            <w:shd w:val="clear" w:color="auto" w:fill="B2B2B2"/>
          </w:tcPr>
          <w:p>
            <w:pPr>
              <w:spacing w:after="0"/>
              <w:rPr>
                <w:sz w:val="18"/>
                <w:szCs w:val="18"/>
                <w:color w:val="auto"/>
              </w:rPr>
            </w:pPr>
          </w:p>
        </w:tc>
        <w:tc>
          <w:tcPr>
            <w:tcW w:w="9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20,800</w:t>
            </w:r>
          </w:p>
        </w:tc>
        <w:tc>
          <w:tcPr>
            <w:tcW w:w="160" w:type="dxa"/>
            <w:vAlign w:val="bottom"/>
            <w:shd w:val="clear" w:color="auto" w:fill="B2B2B2"/>
          </w:tcPr>
          <w:p>
            <w:pPr>
              <w:spacing w:after="0"/>
              <w:rPr>
                <w:sz w:val="18"/>
                <w:szCs w:val="18"/>
                <w:color w:val="auto"/>
              </w:rPr>
            </w:pPr>
          </w:p>
        </w:tc>
        <w:tc>
          <w:tcPr>
            <w:tcW w:w="9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B2B2B2"/>
          </w:tcPr>
          <w:p>
            <w:pPr>
              <w:spacing w:after="0"/>
              <w:rPr>
                <w:sz w:val="18"/>
                <w:szCs w:val="18"/>
                <w:color w:val="auto"/>
              </w:rPr>
            </w:pPr>
          </w:p>
        </w:tc>
        <w:tc>
          <w:tcPr>
            <w:tcW w:w="1080" w:type="dxa"/>
            <w:vAlign w:val="bottom"/>
            <w:shd w:val="clear" w:color="auto" w:fill="B2B2B2"/>
          </w:tcPr>
          <w:p>
            <w:pPr>
              <w:ind w:left="840"/>
              <w:spacing w:after="0"/>
              <w:rPr>
                <w:sz w:val="20"/>
                <w:szCs w:val="20"/>
                <w:color w:val="auto"/>
              </w:rPr>
            </w:pPr>
            <w:r>
              <w:rPr>
                <w:rFonts w:ascii="Arial" w:cs="Arial" w:eastAsia="Arial" w:hAnsi="Arial"/>
                <w:sz w:val="18"/>
                <w:szCs w:val="18"/>
                <w:color w:val="auto"/>
              </w:rPr>
              <w:t>—</w:t>
            </w:r>
          </w:p>
        </w:tc>
        <w:tc>
          <w:tcPr>
            <w:tcW w:w="300" w:type="dxa"/>
            <w:vAlign w:val="bottom"/>
            <w:shd w:val="clear" w:color="auto" w:fill="B2B2B2"/>
          </w:tcPr>
          <w:p>
            <w:pPr>
              <w:spacing w:after="0"/>
              <w:rPr>
                <w:sz w:val="18"/>
                <w:szCs w:val="18"/>
                <w:color w:val="auto"/>
              </w:rPr>
            </w:pPr>
          </w:p>
        </w:tc>
        <w:tc>
          <w:tcPr>
            <w:tcW w:w="7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20,800</w:t>
            </w:r>
          </w:p>
        </w:tc>
        <w:tc>
          <w:tcPr>
            <w:tcW w:w="20" w:type="dxa"/>
            <w:vAlign w:val="bottom"/>
          </w:tcPr>
          <w:p>
            <w:pPr>
              <w:spacing w:after="0"/>
              <w:rPr>
                <w:sz w:val="18"/>
                <w:szCs w:val="18"/>
                <w:color w:val="auto"/>
              </w:rPr>
            </w:pPr>
          </w:p>
        </w:tc>
      </w:tr>
      <w:tr>
        <w:trPr>
          <w:trHeight w:val="215"/>
        </w:trPr>
        <w:tc>
          <w:tcPr>
            <w:tcW w:w="4340" w:type="dxa"/>
            <w:vAlign w:val="bottom"/>
          </w:tcPr>
          <w:p>
            <w:pPr>
              <w:spacing w:after="0"/>
              <w:rPr>
                <w:sz w:val="20"/>
                <w:szCs w:val="20"/>
                <w:color w:val="auto"/>
              </w:rPr>
            </w:pPr>
            <w:r>
              <w:rPr>
                <w:rFonts w:ascii="Arial" w:cs="Arial" w:eastAsia="Arial" w:hAnsi="Arial"/>
                <w:sz w:val="18"/>
                <w:szCs w:val="18"/>
                <w:color w:val="auto"/>
              </w:rPr>
              <w:t>PPP</w:t>
            </w:r>
          </w:p>
        </w:tc>
        <w:tc>
          <w:tcPr>
            <w:tcW w:w="2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113,474</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80" w:type="dxa"/>
            <w:vAlign w:val="bottom"/>
          </w:tcPr>
          <w:p>
            <w:pPr>
              <w:ind w:left="8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113,474</w:t>
            </w:r>
          </w:p>
        </w:tc>
        <w:tc>
          <w:tcPr>
            <w:tcW w:w="20" w:type="dxa"/>
            <w:vAlign w:val="bottom"/>
          </w:tcPr>
          <w:p>
            <w:pPr>
              <w:spacing w:after="0"/>
              <w:rPr>
                <w:sz w:val="18"/>
                <w:szCs w:val="18"/>
                <w:color w:val="auto"/>
              </w:rPr>
            </w:pPr>
          </w:p>
        </w:tc>
      </w:tr>
      <w:tr>
        <w:trPr>
          <w:trHeight w:val="215"/>
        </w:trPr>
        <w:tc>
          <w:tcPr>
            <w:tcW w:w="4340" w:type="dxa"/>
            <w:vAlign w:val="bottom"/>
            <w:tcBorders>
              <w:bottom w:val="single" w:sz="8" w:color="auto"/>
            </w:tcBorders>
            <w:shd w:val="clear" w:color="auto" w:fill="B2B2B2"/>
          </w:tcPr>
          <w:p>
            <w:pPr>
              <w:spacing w:after="0"/>
              <w:rPr>
                <w:sz w:val="20"/>
                <w:szCs w:val="20"/>
                <w:color w:val="auto"/>
              </w:rPr>
            </w:pPr>
            <w:r>
              <w:rPr>
                <w:rFonts w:ascii="Arial" w:cs="Arial" w:eastAsia="Arial" w:hAnsi="Arial"/>
                <w:sz w:val="18"/>
                <w:szCs w:val="18"/>
                <w:color w:val="auto"/>
              </w:rPr>
              <w:t>Other</w:t>
            </w:r>
          </w:p>
        </w:tc>
        <w:tc>
          <w:tcPr>
            <w:tcW w:w="2520" w:type="dxa"/>
            <w:vAlign w:val="bottom"/>
            <w:tcBorders>
              <w:bottom w:val="single" w:sz="8" w:color="auto"/>
            </w:tcBorders>
            <w:shd w:val="clear" w:color="auto" w:fill="B2B2B2"/>
          </w:tcPr>
          <w:p>
            <w:pPr>
              <w:spacing w:after="0"/>
              <w:rPr>
                <w:sz w:val="18"/>
                <w:szCs w:val="18"/>
                <w:color w:val="auto"/>
              </w:rPr>
            </w:pPr>
          </w:p>
        </w:tc>
        <w:tc>
          <w:tcPr>
            <w:tcW w:w="94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auto"/>
            </w:tcBorders>
            <w:shd w:val="clear" w:color="auto" w:fill="B2B2B2"/>
          </w:tcPr>
          <w:p>
            <w:pPr>
              <w:spacing w:after="0"/>
              <w:rPr>
                <w:sz w:val="18"/>
                <w:szCs w:val="18"/>
                <w:color w:val="auto"/>
              </w:rPr>
            </w:pPr>
          </w:p>
        </w:tc>
        <w:tc>
          <w:tcPr>
            <w:tcW w:w="94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B2B2B2"/>
          </w:tcPr>
          <w:p>
            <w:pPr>
              <w:spacing w:after="0"/>
              <w:rPr>
                <w:sz w:val="18"/>
                <w:szCs w:val="18"/>
                <w:color w:val="auto"/>
              </w:rPr>
            </w:pPr>
          </w:p>
        </w:tc>
        <w:tc>
          <w:tcPr>
            <w:tcW w:w="1080" w:type="dxa"/>
            <w:vAlign w:val="bottom"/>
            <w:tcBorders>
              <w:bottom w:val="single" w:sz="8" w:color="auto"/>
            </w:tcBorders>
            <w:shd w:val="clear" w:color="auto" w:fill="B2B2B2"/>
          </w:tcPr>
          <w:p>
            <w:pPr>
              <w:ind w:left="8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B2B2B2"/>
          </w:tcPr>
          <w:p>
            <w:pPr>
              <w:spacing w:after="0"/>
              <w:rPr>
                <w:sz w:val="18"/>
                <w:szCs w:val="18"/>
                <w:color w:val="auto"/>
              </w:rPr>
            </w:pPr>
          </w:p>
        </w:tc>
        <w:tc>
          <w:tcPr>
            <w:tcW w:w="74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r>
      <w:tr>
        <w:trPr>
          <w:trHeight w:val="209"/>
        </w:trPr>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520" w:type="dxa"/>
            <w:vAlign w:val="bottom"/>
            <w:tcBorders>
              <w:bottom w:val="single" w:sz="8" w:color="auto"/>
            </w:tcBorders>
          </w:tcPr>
          <w:p>
            <w:pPr>
              <w:ind w:left="242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871,153</w:t>
            </w:r>
          </w:p>
        </w:tc>
        <w:tc>
          <w:tcPr>
            <w:tcW w:w="1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17,422</w:t>
            </w:r>
          </w:p>
        </w:tc>
        <w:tc>
          <w:tcPr>
            <w:tcW w:w="2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888,575</w:t>
            </w:r>
          </w:p>
        </w:tc>
        <w:tc>
          <w:tcPr>
            <w:tcW w:w="20" w:type="dxa"/>
            <w:vAlign w:val="bottom"/>
          </w:tcPr>
          <w:p>
            <w:pPr>
              <w:spacing w:after="0"/>
              <w:rPr>
                <w:sz w:val="18"/>
                <w:szCs w:val="18"/>
                <w:color w:val="auto"/>
              </w:rPr>
            </w:pPr>
          </w:p>
        </w:tc>
      </w:tr>
      <w:tr>
        <w:trPr>
          <w:trHeight w:val="209"/>
        </w:trPr>
        <w:tc>
          <w:tcPr>
            <w:tcW w:w="4340" w:type="dxa"/>
            <w:vAlign w:val="bottom"/>
            <w:shd w:val="clear" w:color="auto" w:fill="B2B2B2"/>
          </w:tcPr>
          <w:p>
            <w:pPr>
              <w:spacing w:after="0"/>
              <w:rPr>
                <w:sz w:val="20"/>
                <w:szCs w:val="20"/>
                <w:color w:val="auto"/>
              </w:rPr>
            </w:pPr>
            <w:r>
              <w:rPr>
                <w:rFonts w:ascii="Arial" w:cs="Arial" w:eastAsia="Arial" w:hAnsi="Arial"/>
                <w:sz w:val="18"/>
                <w:szCs w:val="18"/>
                <w:i w:val="1"/>
                <w:iCs w:val="1"/>
                <w:color w:val="auto"/>
              </w:rPr>
              <w:t>December 31, 2020</w:t>
            </w:r>
          </w:p>
        </w:tc>
        <w:tc>
          <w:tcPr>
            <w:tcW w:w="2520" w:type="dxa"/>
            <w:vAlign w:val="bottom"/>
            <w:shd w:val="clear" w:color="auto" w:fill="B2B2B2"/>
          </w:tcPr>
          <w:p>
            <w:pPr>
              <w:spacing w:after="0"/>
              <w:rPr>
                <w:sz w:val="18"/>
                <w:szCs w:val="18"/>
                <w:color w:val="auto"/>
              </w:rPr>
            </w:pPr>
          </w:p>
        </w:tc>
        <w:tc>
          <w:tcPr>
            <w:tcW w:w="94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94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08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740" w:type="dxa"/>
            <w:vAlign w:val="bottom"/>
            <w:shd w:val="clear" w:color="auto" w:fill="B2B2B2"/>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4340" w:type="dxa"/>
            <w:vAlign w:val="bottom"/>
          </w:tcPr>
          <w:p>
            <w:pPr>
              <w:spacing w:after="0"/>
              <w:rPr>
                <w:sz w:val="20"/>
                <w:szCs w:val="20"/>
                <w:color w:val="auto"/>
              </w:rPr>
            </w:pPr>
            <w:r>
              <w:rPr>
                <w:rFonts w:ascii="Arial" w:cs="Arial" w:eastAsia="Arial" w:hAnsi="Arial"/>
                <w:sz w:val="18"/>
                <w:szCs w:val="18"/>
                <w:color w:val="auto"/>
              </w:rPr>
              <w:t>Commercial and industrial</w:t>
            </w:r>
          </w:p>
        </w:tc>
        <w:tc>
          <w:tcPr>
            <w:tcW w:w="2520" w:type="dxa"/>
            <w:vAlign w:val="bottom"/>
          </w:tcPr>
          <w:p>
            <w:pPr>
              <w:ind w:left="242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284,882</w:t>
            </w:r>
          </w:p>
        </w:tc>
        <w:tc>
          <w:tcPr>
            <w:tcW w:w="160" w:type="dxa"/>
            <w:vAlign w:val="bottom"/>
          </w:tcPr>
          <w:p>
            <w:pPr>
              <w:ind w:left="6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14,102</w:t>
            </w: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1080" w:type="dxa"/>
            <w:vAlign w:val="bottom"/>
          </w:tcPr>
          <w:p>
            <w:pPr>
              <w:ind w:left="84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298,984</w:t>
            </w:r>
          </w:p>
        </w:tc>
        <w:tc>
          <w:tcPr>
            <w:tcW w:w="20" w:type="dxa"/>
            <w:vAlign w:val="bottom"/>
          </w:tcPr>
          <w:p>
            <w:pPr>
              <w:spacing w:after="0"/>
              <w:rPr>
                <w:sz w:val="18"/>
                <w:szCs w:val="18"/>
                <w:color w:val="auto"/>
              </w:rPr>
            </w:pPr>
          </w:p>
        </w:tc>
      </w:tr>
      <w:tr>
        <w:trPr>
          <w:trHeight w:val="215"/>
        </w:trPr>
        <w:tc>
          <w:tcPr>
            <w:tcW w:w="4340" w:type="dxa"/>
            <w:vAlign w:val="bottom"/>
            <w:shd w:val="clear" w:color="auto" w:fill="B2B2B2"/>
          </w:tcPr>
          <w:p>
            <w:pPr>
              <w:spacing w:after="0"/>
              <w:rPr>
                <w:sz w:val="20"/>
                <w:szCs w:val="20"/>
                <w:color w:val="auto"/>
              </w:rPr>
            </w:pPr>
            <w:r>
              <w:rPr>
                <w:rFonts w:ascii="Arial" w:cs="Arial" w:eastAsia="Arial" w:hAnsi="Arial"/>
                <w:sz w:val="18"/>
                <w:szCs w:val="18"/>
                <w:color w:val="auto"/>
              </w:rPr>
              <w:t>Real estate</w:t>
            </w:r>
          </w:p>
        </w:tc>
        <w:tc>
          <w:tcPr>
            <w:tcW w:w="2520" w:type="dxa"/>
            <w:vAlign w:val="bottom"/>
            <w:shd w:val="clear" w:color="auto" w:fill="B2B2B2"/>
          </w:tcPr>
          <w:p>
            <w:pPr>
              <w:spacing w:after="0"/>
              <w:rPr>
                <w:sz w:val="18"/>
                <w:szCs w:val="18"/>
                <w:color w:val="auto"/>
              </w:rPr>
            </w:pPr>
          </w:p>
        </w:tc>
        <w:tc>
          <w:tcPr>
            <w:tcW w:w="94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94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08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740" w:type="dxa"/>
            <w:vAlign w:val="bottom"/>
            <w:shd w:val="clear" w:color="auto" w:fill="B2B2B2"/>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434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2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4340" w:type="dxa"/>
            <w:vAlign w:val="bottom"/>
            <w:shd w:val="clear" w:color="auto" w:fill="B2B2B2"/>
          </w:tcPr>
          <w:p>
            <w:pPr>
              <w:ind w:left="360"/>
              <w:spacing w:after="0"/>
              <w:rPr>
                <w:sz w:val="20"/>
                <w:szCs w:val="20"/>
                <w:color w:val="auto"/>
              </w:rPr>
            </w:pPr>
            <w:r>
              <w:rPr>
                <w:rFonts w:ascii="Arial" w:cs="Arial" w:eastAsia="Arial" w:hAnsi="Arial"/>
                <w:sz w:val="18"/>
                <w:szCs w:val="18"/>
                <w:color w:val="auto"/>
              </w:rPr>
              <w:t>Mortgage</w:t>
            </w:r>
          </w:p>
        </w:tc>
        <w:tc>
          <w:tcPr>
            <w:tcW w:w="2520" w:type="dxa"/>
            <w:vAlign w:val="bottom"/>
            <w:shd w:val="clear" w:color="auto" w:fill="B2B2B2"/>
          </w:tcPr>
          <w:p>
            <w:pPr>
              <w:spacing w:after="0"/>
              <w:rPr>
                <w:sz w:val="18"/>
                <w:szCs w:val="18"/>
                <w:color w:val="auto"/>
              </w:rPr>
            </w:pPr>
          </w:p>
        </w:tc>
        <w:tc>
          <w:tcPr>
            <w:tcW w:w="9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99,044</w:t>
            </w:r>
          </w:p>
        </w:tc>
        <w:tc>
          <w:tcPr>
            <w:tcW w:w="160" w:type="dxa"/>
            <w:vAlign w:val="bottom"/>
            <w:shd w:val="clear" w:color="auto" w:fill="B2B2B2"/>
          </w:tcPr>
          <w:p>
            <w:pPr>
              <w:spacing w:after="0"/>
              <w:rPr>
                <w:sz w:val="18"/>
                <w:szCs w:val="18"/>
                <w:color w:val="auto"/>
              </w:rPr>
            </w:pPr>
          </w:p>
        </w:tc>
        <w:tc>
          <w:tcPr>
            <w:tcW w:w="9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1,375</w:t>
            </w:r>
          </w:p>
        </w:tc>
        <w:tc>
          <w:tcPr>
            <w:tcW w:w="220" w:type="dxa"/>
            <w:vAlign w:val="bottom"/>
            <w:shd w:val="clear" w:color="auto" w:fill="B2B2B2"/>
          </w:tcPr>
          <w:p>
            <w:pPr>
              <w:spacing w:after="0"/>
              <w:rPr>
                <w:sz w:val="18"/>
                <w:szCs w:val="18"/>
                <w:color w:val="auto"/>
              </w:rPr>
            </w:pPr>
          </w:p>
        </w:tc>
        <w:tc>
          <w:tcPr>
            <w:tcW w:w="1080" w:type="dxa"/>
            <w:vAlign w:val="bottom"/>
            <w:shd w:val="clear" w:color="auto" w:fill="B2B2B2"/>
          </w:tcPr>
          <w:p>
            <w:pPr>
              <w:ind w:left="840"/>
              <w:spacing w:after="0"/>
              <w:rPr>
                <w:sz w:val="20"/>
                <w:szCs w:val="20"/>
                <w:color w:val="auto"/>
              </w:rPr>
            </w:pPr>
            <w:r>
              <w:rPr>
                <w:rFonts w:ascii="Arial" w:cs="Arial" w:eastAsia="Arial" w:hAnsi="Arial"/>
                <w:sz w:val="18"/>
                <w:szCs w:val="18"/>
                <w:color w:val="auto"/>
              </w:rPr>
              <w:t>—</w:t>
            </w:r>
          </w:p>
        </w:tc>
        <w:tc>
          <w:tcPr>
            <w:tcW w:w="300" w:type="dxa"/>
            <w:vAlign w:val="bottom"/>
            <w:shd w:val="clear" w:color="auto" w:fill="B2B2B2"/>
          </w:tcPr>
          <w:p>
            <w:pPr>
              <w:spacing w:after="0"/>
              <w:rPr>
                <w:sz w:val="18"/>
                <w:szCs w:val="18"/>
                <w:color w:val="auto"/>
              </w:rPr>
            </w:pPr>
          </w:p>
        </w:tc>
        <w:tc>
          <w:tcPr>
            <w:tcW w:w="7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100,419</w:t>
            </w:r>
          </w:p>
        </w:tc>
        <w:tc>
          <w:tcPr>
            <w:tcW w:w="20" w:type="dxa"/>
            <w:vAlign w:val="bottom"/>
          </w:tcPr>
          <w:p>
            <w:pPr>
              <w:spacing w:after="0"/>
              <w:rPr>
                <w:sz w:val="18"/>
                <w:szCs w:val="18"/>
                <w:color w:val="auto"/>
              </w:rPr>
            </w:pPr>
          </w:p>
        </w:tc>
      </w:tr>
      <w:tr>
        <w:trPr>
          <w:trHeight w:val="215"/>
        </w:trPr>
        <w:tc>
          <w:tcPr>
            <w:tcW w:w="4340" w:type="dxa"/>
            <w:vAlign w:val="bottom"/>
          </w:tcPr>
          <w:p>
            <w:pPr>
              <w:ind w:left="360"/>
              <w:spacing w:after="0"/>
              <w:rPr>
                <w:sz w:val="20"/>
                <w:szCs w:val="20"/>
                <w:color w:val="auto"/>
              </w:rPr>
            </w:pPr>
            <w:r>
              <w:rPr>
                <w:rFonts w:ascii="Arial" w:cs="Arial" w:eastAsia="Arial" w:hAnsi="Arial"/>
                <w:sz w:val="18"/>
                <w:szCs w:val="18"/>
                <w:color w:val="auto"/>
              </w:rPr>
              <w:t>Construction</w:t>
            </w:r>
          </w:p>
        </w:tc>
        <w:tc>
          <w:tcPr>
            <w:tcW w:w="2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25,090</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80" w:type="dxa"/>
            <w:vAlign w:val="bottom"/>
          </w:tcPr>
          <w:p>
            <w:pPr>
              <w:ind w:left="8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25,090</w:t>
            </w:r>
          </w:p>
        </w:tc>
        <w:tc>
          <w:tcPr>
            <w:tcW w:w="20" w:type="dxa"/>
            <w:vAlign w:val="bottom"/>
          </w:tcPr>
          <w:p>
            <w:pPr>
              <w:spacing w:after="0"/>
              <w:rPr>
                <w:sz w:val="18"/>
                <w:szCs w:val="18"/>
                <w:color w:val="auto"/>
              </w:rPr>
            </w:pPr>
          </w:p>
        </w:tc>
      </w:tr>
      <w:tr>
        <w:trPr>
          <w:trHeight w:val="215"/>
        </w:trPr>
        <w:tc>
          <w:tcPr>
            <w:tcW w:w="4340" w:type="dxa"/>
            <w:vAlign w:val="bottom"/>
            <w:shd w:val="clear" w:color="auto" w:fill="B2B2B2"/>
          </w:tcPr>
          <w:p>
            <w:pPr>
              <w:ind w:left="180"/>
              <w:spacing w:after="0"/>
              <w:rPr>
                <w:sz w:val="20"/>
                <w:szCs w:val="20"/>
                <w:color w:val="auto"/>
              </w:rPr>
            </w:pPr>
            <w:r>
              <w:rPr>
                <w:rFonts w:ascii="Arial" w:cs="Arial" w:eastAsia="Arial" w:hAnsi="Arial"/>
                <w:sz w:val="18"/>
                <w:szCs w:val="18"/>
                <w:color w:val="auto"/>
              </w:rPr>
              <w:t>Faith-based:</w:t>
            </w:r>
          </w:p>
        </w:tc>
        <w:tc>
          <w:tcPr>
            <w:tcW w:w="2520" w:type="dxa"/>
            <w:vAlign w:val="bottom"/>
            <w:shd w:val="clear" w:color="auto" w:fill="B2B2B2"/>
          </w:tcPr>
          <w:p>
            <w:pPr>
              <w:spacing w:after="0"/>
              <w:rPr>
                <w:sz w:val="18"/>
                <w:szCs w:val="18"/>
                <w:color w:val="auto"/>
              </w:rPr>
            </w:pPr>
          </w:p>
        </w:tc>
        <w:tc>
          <w:tcPr>
            <w:tcW w:w="94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94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08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740" w:type="dxa"/>
            <w:vAlign w:val="bottom"/>
            <w:shd w:val="clear" w:color="auto" w:fill="B2B2B2"/>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4340" w:type="dxa"/>
            <w:vAlign w:val="bottom"/>
          </w:tcPr>
          <w:p>
            <w:pPr>
              <w:ind w:left="360"/>
              <w:spacing w:after="0"/>
              <w:rPr>
                <w:sz w:val="20"/>
                <w:szCs w:val="20"/>
                <w:color w:val="auto"/>
              </w:rPr>
            </w:pPr>
            <w:r>
              <w:rPr>
                <w:rFonts w:ascii="Arial" w:cs="Arial" w:eastAsia="Arial" w:hAnsi="Arial"/>
                <w:sz w:val="18"/>
                <w:szCs w:val="18"/>
                <w:color w:val="auto"/>
              </w:rPr>
              <w:t>Mortgage</w:t>
            </w:r>
          </w:p>
        </w:tc>
        <w:tc>
          <w:tcPr>
            <w:tcW w:w="2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330,554</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3,107</w:t>
            </w:r>
          </w:p>
        </w:tc>
        <w:tc>
          <w:tcPr>
            <w:tcW w:w="220" w:type="dxa"/>
            <w:vAlign w:val="bottom"/>
          </w:tcPr>
          <w:p>
            <w:pPr>
              <w:spacing w:after="0"/>
              <w:rPr>
                <w:sz w:val="18"/>
                <w:szCs w:val="18"/>
                <w:color w:val="auto"/>
              </w:rPr>
            </w:pPr>
          </w:p>
        </w:tc>
        <w:tc>
          <w:tcPr>
            <w:tcW w:w="1080" w:type="dxa"/>
            <w:vAlign w:val="bottom"/>
          </w:tcPr>
          <w:p>
            <w:pPr>
              <w:ind w:left="8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333,661</w:t>
            </w:r>
          </w:p>
        </w:tc>
        <w:tc>
          <w:tcPr>
            <w:tcW w:w="20" w:type="dxa"/>
            <w:vAlign w:val="bottom"/>
          </w:tcPr>
          <w:p>
            <w:pPr>
              <w:spacing w:after="0"/>
              <w:rPr>
                <w:sz w:val="18"/>
                <w:szCs w:val="18"/>
                <w:color w:val="auto"/>
              </w:rPr>
            </w:pPr>
          </w:p>
        </w:tc>
      </w:tr>
      <w:tr>
        <w:trPr>
          <w:trHeight w:val="215"/>
        </w:trPr>
        <w:tc>
          <w:tcPr>
            <w:tcW w:w="4340" w:type="dxa"/>
            <w:vAlign w:val="bottom"/>
            <w:shd w:val="clear" w:color="auto" w:fill="B2B2B2"/>
          </w:tcPr>
          <w:p>
            <w:pPr>
              <w:ind w:left="360"/>
              <w:spacing w:after="0"/>
              <w:rPr>
                <w:sz w:val="20"/>
                <w:szCs w:val="20"/>
                <w:color w:val="auto"/>
              </w:rPr>
            </w:pPr>
            <w:r>
              <w:rPr>
                <w:rFonts w:ascii="Arial" w:cs="Arial" w:eastAsia="Arial" w:hAnsi="Arial"/>
                <w:sz w:val="18"/>
                <w:szCs w:val="18"/>
                <w:color w:val="auto"/>
              </w:rPr>
              <w:t>Construction</w:t>
            </w:r>
          </w:p>
        </w:tc>
        <w:tc>
          <w:tcPr>
            <w:tcW w:w="2520" w:type="dxa"/>
            <w:vAlign w:val="bottom"/>
            <w:shd w:val="clear" w:color="auto" w:fill="B2B2B2"/>
          </w:tcPr>
          <w:p>
            <w:pPr>
              <w:spacing w:after="0"/>
              <w:rPr>
                <w:sz w:val="18"/>
                <w:szCs w:val="18"/>
                <w:color w:val="auto"/>
              </w:rPr>
            </w:pPr>
          </w:p>
        </w:tc>
        <w:tc>
          <w:tcPr>
            <w:tcW w:w="9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23,818</w:t>
            </w:r>
          </w:p>
        </w:tc>
        <w:tc>
          <w:tcPr>
            <w:tcW w:w="160" w:type="dxa"/>
            <w:vAlign w:val="bottom"/>
            <w:shd w:val="clear" w:color="auto" w:fill="B2B2B2"/>
          </w:tcPr>
          <w:p>
            <w:pPr>
              <w:spacing w:after="0"/>
              <w:rPr>
                <w:sz w:val="18"/>
                <w:szCs w:val="18"/>
                <w:color w:val="auto"/>
              </w:rPr>
            </w:pPr>
          </w:p>
        </w:tc>
        <w:tc>
          <w:tcPr>
            <w:tcW w:w="9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B2B2B2"/>
          </w:tcPr>
          <w:p>
            <w:pPr>
              <w:spacing w:after="0"/>
              <w:rPr>
                <w:sz w:val="18"/>
                <w:szCs w:val="18"/>
                <w:color w:val="auto"/>
              </w:rPr>
            </w:pPr>
          </w:p>
        </w:tc>
        <w:tc>
          <w:tcPr>
            <w:tcW w:w="1080" w:type="dxa"/>
            <w:vAlign w:val="bottom"/>
            <w:shd w:val="clear" w:color="auto" w:fill="B2B2B2"/>
          </w:tcPr>
          <w:p>
            <w:pPr>
              <w:ind w:left="840"/>
              <w:spacing w:after="0"/>
              <w:rPr>
                <w:sz w:val="20"/>
                <w:szCs w:val="20"/>
                <w:color w:val="auto"/>
              </w:rPr>
            </w:pPr>
            <w:r>
              <w:rPr>
                <w:rFonts w:ascii="Arial" w:cs="Arial" w:eastAsia="Arial" w:hAnsi="Arial"/>
                <w:sz w:val="18"/>
                <w:szCs w:val="18"/>
                <w:color w:val="auto"/>
              </w:rPr>
              <w:t>—</w:t>
            </w:r>
          </w:p>
        </w:tc>
        <w:tc>
          <w:tcPr>
            <w:tcW w:w="300" w:type="dxa"/>
            <w:vAlign w:val="bottom"/>
            <w:shd w:val="clear" w:color="auto" w:fill="B2B2B2"/>
          </w:tcPr>
          <w:p>
            <w:pPr>
              <w:spacing w:after="0"/>
              <w:rPr>
                <w:sz w:val="18"/>
                <w:szCs w:val="18"/>
                <w:color w:val="auto"/>
              </w:rPr>
            </w:pPr>
          </w:p>
        </w:tc>
        <w:tc>
          <w:tcPr>
            <w:tcW w:w="7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23,818</w:t>
            </w:r>
          </w:p>
        </w:tc>
        <w:tc>
          <w:tcPr>
            <w:tcW w:w="20" w:type="dxa"/>
            <w:vAlign w:val="bottom"/>
          </w:tcPr>
          <w:p>
            <w:pPr>
              <w:spacing w:after="0"/>
              <w:rPr>
                <w:sz w:val="18"/>
                <w:szCs w:val="18"/>
                <w:color w:val="auto"/>
              </w:rPr>
            </w:pPr>
          </w:p>
        </w:tc>
      </w:tr>
      <w:tr>
        <w:trPr>
          <w:trHeight w:val="215"/>
        </w:trPr>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PPP</w:t>
            </w:r>
          </w:p>
        </w:tc>
        <w:tc>
          <w:tcPr>
            <w:tcW w:w="2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109,704</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109,704</w:t>
            </w:r>
          </w:p>
        </w:tc>
        <w:tc>
          <w:tcPr>
            <w:tcW w:w="20" w:type="dxa"/>
            <w:vAlign w:val="bottom"/>
          </w:tcPr>
          <w:p>
            <w:pPr>
              <w:spacing w:after="0"/>
              <w:rPr>
                <w:sz w:val="18"/>
                <w:szCs w:val="18"/>
                <w:color w:val="auto"/>
              </w:rPr>
            </w:pPr>
          </w:p>
        </w:tc>
      </w:tr>
      <w:tr>
        <w:trPr>
          <w:trHeight w:val="209"/>
        </w:trPr>
        <w:tc>
          <w:tcPr>
            <w:tcW w:w="4340" w:type="dxa"/>
            <w:vAlign w:val="bottom"/>
            <w:shd w:val="clear" w:color="auto" w:fill="B2B2B2"/>
          </w:tcPr>
          <w:p>
            <w:pPr>
              <w:spacing w:after="0"/>
              <w:rPr>
                <w:sz w:val="20"/>
                <w:szCs w:val="20"/>
                <w:color w:val="auto"/>
              </w:rPr>
            </w:pPr>
            <w:r>
              <w:rPr>
                <w:rFonts w:ascii="Arial" w:cs="Arial" w:eastAsia="Arial" w:hAnsi="Arial"/>
                <w:sz w:val="18"/>
                <w:szCs w:val="18"/>
                <w:color w:val="auto"/>
              </w:rPr>
              <w:t>Total</w:t>
            </w:r>
          </w:p>
        </w:tc>
        <w:tc>
          <w:tcPr>
            <w:tcW w:w="2520" w:type="dxa"/>
            <w:vAlign w:val="bottom"/>
            <w:shd w:val="clear" w:color="auto" w:fill="B2B2B2"/>
          </w:tcPr>
          <w:p>
            <w:pPr>
              <w:ind w:left="242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873,092</w:t>
            </w:r>
          </w:p>
        </w:tc>
        <w:tc>
          <w:tcPr>
            <w:tcW w:w="160" w:type="dxa"/>
            <w:vAlign w:val="bottom"/>
            <w:shd w:val="clear" w:color="auto" w:fill="B2B2B2"/>
          </w:tcPr>
          <w:p>
            <w:pPr>
              <w:ind w:left="6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18,584</w:t>
            </w:r>
          </w:p>
        </w:tc>
        <w:tc>
          <w:tcPr>
            <w:tcW w:w="220" w:type="dxa"/>
            <w:vAlign w:val="bottom"/>
            <w:shd w:val="clear" w:color="auto" w:fill="B2B2B2"/>
          </w:tcPr>
          <w:p>
            <w:pPr>
              <w:ind w:lef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B2B2B2"/>
          </w:tcPr>
          <w:p>
            <w:pPr>
              <w:ind w:left="840"/>
              <w:spacing w:after="0"/>
              <w:rPr>
                <w:sz w:val="20"/>
                <w:szCs w:val="20"/>
                <w:color w:val="auto"/>
              </w:rPr>
            </w:pPr>
            <w:r>
              <w:rPr>
                <w:rFonts w:ascii="Arial" w:cs="Arial" w:eastAsia="Arial" w:hAnsi="Arial"/>
                <w:sz w:val="18"/>
                <w:szCs w:val="18"/>
                <w:color w:val="auto"/>
              </w:rPr>
              <w:t>—</w:t>
            </w:r>
          </w:p>
        </w:tc>
        <w:tc>
          <w:tcPr>
            <w:tcW w:w="300" w:type="dxa"/>
            <w:vAlign w:val="bottom"/>
            <w:shd w:val="clear" w:color="auto" w:fill="B2B2B2"/>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891,676</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95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955" cy="25400"/>
                    </a:xfrm>
                    <a:prstGeom prst="rect">
                      <a:avLst/>
                    </a:prstGeom>
                    <a:noFill/>
                  </pic:spPr>
                </pic:pic>
              </a:graphicData>
            </a:graphic>
          </wp:anchor>
        </w:drawing>
      </w:r>
    </w:p>
    <w:p>
      <w:pPr>
        <w:ind w:left="120" w:hanging="112"/>
        <w:spacing w:after="0"/>
        <w:tabs>
          <w:tab w:leader="none" w:pos="120" w:val="left"/>
        </w:tabs>
        <w:numPr>
          <w:ilvl w:val="0"/>
          <w:numId w:val="6"/>
        </w:numPr>
        <w:rPr>
          <w:rFonts w:ascii="Arial" w:cs="Arial" w:eastAsia="Arial" w:hAnsi="Arial"/>
          <w:sz w:val="12"/>
          <w:szCs w:val="12"/>
          <w:color w:val="auto"/>
        </w:rPr>
      </w:pPr>
      <w:r>
        <w:rPr>
          <w:rFonts w:ascii="Arial" w:cs="Arial" w:eastAsia="Arial" w:hAnsi="Arial"/>
          <w:sz w:val="14"/>
          <w:szCs w:val="14"/>
          <w:color w:val="auto"/>
        </w:rPr>
        <w:t>Loans subject to normal monitoring involve borrowers of acceptable-to-strong credit quality and risk, who have the apparent ability to satisfy their loan obligations.</w:t>
      </w:r>
    </w:p>
    <w:p>
      <w:pPr>
        <w:spacing w:after="0" w:line="12"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2"/>
          <w:szCs w:val="12"/>
          <w:color w:val="auto"/>
        </w:rPr>
        <w:t xml:space="preserve">2 </w:t>
      </w:r>
      <w:r>
        <w:rPr>
          <w:rFonts w:ascii="Arial" w:cs="Arial" w:eastAsia="Arial" w:hAnsi="Arial"/>
          <w:sz w:val="14"/>
          <w:szCs w:val="14"/>
          <w:color w:val="auto"/>
        </w:rPr>
        <w:t>Loans subject to special monitoring possess some credit deficiency or potential weakness which requires a high level of management attention.</w:t>
      </w:r>
    </w:p>
    <w:p>
      <w:pPr>
        <w:sectPr>
          <w:pgSz w:w="11900" w:h="16838" w:orient="portrait"/>
          <w:cols w:equalWidth="0" w:num="1">
            <w:col w:w="11240"/>
          </w:cols>
          <w:pgMar w:left="320" w:top="283" w:right="339" w:bottom="1440" w:gutter="0" w:footer="0" w:header="0"/>
        </w:sect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7158355" cy="596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355" cy="5969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15"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The Company had two loans that were considered impaired in the amount of $2,912,000 at March 31, 2021. These loans were individually evaluated for impairment, resulting in a specific allowance for credit loss of $750,000. The Company had one loan that was considered impaired in the amount of $2,500,000 at December 31, 2020. This loan was individually evaluated for impairment, resulting in a specific allowance for credit loss of $500,000.</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foreclosed loans recorded as other real estate owned (included in other assets) as of March 31, 2021 or December 31, 2020.</w:t>
      </w:r>
    </w:p>
    <w:p>
      <w:pPr>
        <w:spacing w:after="0" w:line="197"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There were no loans considered troubled debt restructurings as of March 31, 2021. There were two loans that were considered troubled debt restructurings at December 31, 2020 and these loans were removed from troubled debt restructuring status during the first quarter 2021.</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The recorded investment by category for loans considered as troubled debt restructuring during the year ended December 31, 2020 is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Pre-</w:t>
            </w:r>
          </w:p>
        </w:tc>
        <w:tc>
          <w:tcPr>
            <w:tcW w:w="200" w:type="dxa"/>
            <w:vAlign w:val="bottom"/>
          </w:tcPr>
          <w:p>
            <w:pPr>
              <w:spacing w:after="0"/>
              <w:rPr>
                <w:sz w:val="18"/>
                <w:szCs w:val="18"/>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4"/>
              </w:rPr>
              <w:t>Post-</w:t>
            </w:r>
          </w:p>
        </w:tc>
      </w:tr>
      <w:tr>
        <w:trPr>
          <w:trHeight w:val="215"/>
        </w:trPr>
        <w:tc>
          <w:tcPr>
            <w:tcW w:w="35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Modification</w:t>
            </w:r>
          </w:p>
        </w:tc>
        <w:tc>
          <w:tcPr>
            <w:tcW w:w="11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Modification</w:t>
            </w:r>
          </w:p>
        </w:tc>
      </w:tr>
      <w:tr>
        <w:trPr>
          <w:trHeight w:val="215"/>
        </w:trPr>
        <w:tc>
          <w:tcPr>
            <w:tcW w:w="3580" w:type="dxa"/>
            <w:vAlign w:val="bottom"/>
          </w:tcPr>
          <w:p>
            <w:pPr>
              <w:spacing w:after="0"/>
              <w:rPr>
                <w:sz w:val="18"/>
                <w:szCs w:val="18"/>
                <w:color w:val="auto"/>
              </w:rPr>
            </w:pPr>
          </w:p>
        </w:tc>
        <w:tc>
          <w:tcPr>
            <w:tcW w:w="2560" w:type="dxa"/>
            <w:vAlign w:val="bottom"/>
          </w:tcPr>
          <w:p>
            <w:pPr>
              <w:jc w:val="right"/>
              <w:spacing w:after="0"/>
              <w:rPr>
                <w:sz w:val="20"/>
                <w:szCs w:val="20"/>
                <w:color w:val="auto"/>
              </w:rPr>
            </w:pPr>
            <w:r>
              <w:rPr>
                <w:rFonts w:ascii="Arial" w:cs="Arial" w:eastAsia="Arial" w:hAnsi="Arial"/>
                <w:sz w:val="18"/>
                <w:szCs w:val="18"/>
                <w:b w:val="1"/>
                <w:bCs w:val="1"/>
                <w:color w:val="auto"/>
              </w:rPr>
              <w:t>Number of</w:t>
            </w:r>
          </w:p>
        </w:tc>
        <w:tc>
          <w:tcPr>
            <w:tcW w:w="12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11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Outstanding</w:t>
            </w:r>
          </w:p>
        </w:tc>
      </w:tr>
      <w:tr>
        <w:trPr>
          <w:trHeight w:val="234"/>
        </w:trPr>
        <w:tc>
          <w:tcPr>
            <w:tcW w:w="3580" w:type="dxa"/>
            <w:vAlign w:val="bottom"/>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2560" w:type="dxa"/>
            <w:vAlign w:val="bottom"/>
          </w:tcPr>
          <w:p>
            <w:pPr>
              <w:jc w:val="right"/>
              <w:ind w:right="170"/>
              <w:spacing w:after="0"/>
              <w:rPr>
                <w:sz w:val="20"/>
                <w:szCs w:val="20"/>
                <w:color w:val="auto"/>
              </w:rPr>
            </w:pPr>
            <w:r>
              <w:rPr>
                <w:rFonts w:ascii="Arial" w:cs="Arial" w:eastAsia="Arial" w:hAnsi="Arial"/>
                <w:sz w:val="18"/>
                <w:szCs w:val="18"/>
                <w:b w:val="1"/>
                <w:bCs w:val="1"/>
                <w:color w:val="auto"/>
              </w:rPr>
              <w:t>Loans</w:t>
            </w:r>
          </w:p>
        </w:tc>
        <w:tc>
          <w:tcPr>
            <w:tcW w:w="220" w:type="dxa"/>
            <w:vAlign w:val="bottom"/>
          </w:tcPr>
          <w:p>
            <w:pPr>
              <w:spacing w:after="0"/>
              <w:rPr>
                <w:sz w:val="20"/>
                <w:szCs w:val="20"/>
                <w:color w:val="auto"/>
              </w:rPr>
            </w:pPr>
          </w:p>
        </w:tc>
        <w:tc>
          <w:tcPr>
            <w:tcW w:w="980" w:type="dxa"/>
            <w:vAlign w:val="bottom"/>
          </w:tcPr>
          <w:p>
            <w:pPr>
              <w:jc w:val="center"/>
              <w:ind w:right="130"/>
              <w:spacing w:after="0"/>
              <w:rPr>
                <w:sz w:val="20"/>
                <w:szCs w:val="20"/>
                <w:color w:val="auto"/>
              </w:rPr>
            </w:pPr>
            <w:r>
              <w:rPr>
                <w:rFonts w:ascii="Arial" w:cs="Arial" w:eastAsia="Arial" w:hAnsi="Arial"/>
                <w:sz w:val="18"/>
                <w:szCs w:val="18"/>
                <w:b w:val="1"/>
                <w:bCs w:val="1"/>
                <w:color w:val="auto"/>
                <w:w w:val="86"/>
              </w:rPr>
              <w:t>Balance</w:t>
            </w:r>
          </w:p>
        </w:tc>
        <w:tc>
          <w:tcPr>
            <w:tcW w:w="200" w:type="dxa"/>
            <w:vAlign w:val="bottom"/>
          </w:tcPr>
          <w:p>
            <w:pPr>
              <w:spacing w:after="0"/>
              <w:rPr>
                <w:sz w:val="20"/>
                <w:szCs w:val="20"/>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Balance</w:t>
            </w:r>
          </w:p>
        </w:tc>
      </w:tr>
      <w:tr>
        <w:trPr>
          <w:trHeight w:val="209"/>
        </w:trPr>
        <w:tc>
          <w:tcPr>
            <w:tcW w:w="3580" w:type="dxa"/>
            <w:vAlign w:val="bottom"/>
            <w:tcBorders>
              <w:top w:val="single" w:sz="8" w:color="auto"/>
            </w:tcBorders>
            <w:shd w:val="clear" w:color="auto" w:fill="B2B2B2"/>
          </w:tcPr>
          <w:p>
            <w:pPr>
              <w:spacing w:after="0"/>
              <w:rPr>
                <w:sz w:val="20"/>
                <w:szCs w:val="20"/>
                <w:color w:val="auto"/>
              </w:rPr>
            </w:pPr>
            <w:r>
              <w:rPr>
                <w:rFonts w:ascii="Arial" w:cs="Arial" w:eastAsia="Arial" w:hAnsi="Arial"/>
                <w:sz w:val="18"/>
                <w:szCs w:val="18"/>
                <w:color w:val="auto"/>
              </w:rPr>
              <w:t>Commercial and industrial</w:t>
            </w:r>
          </w:p>
        </w:tc>
        <w:tc>
          <w:tcPr>
            <w:tcW w:w="256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8,773</w:t>
            </w:r>
          </w:p>
        </w:tc>
        <w:tc>
          <w:tcPr>
            <w:tcW w:w="20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8,773</w:t>
            </w:r>
          </w:p>
        </w:tc>
        <w:tc>
          <w:tcPr>
            <w:tcW w:w="20" w:type="dxa"/>
            <w:vAlign w:val="bottom"/>
          </w:tcPr>
          <w:p>
            <w:pPr>
              <w:spacing w:after="0"/>
              <w:rPr>
                <w:sz w:val="18"/>
                <w:szCs w:val="18"/>
                <w:color w:val="auto"/>
              </w:rPr>
            </w:pPr>
          </w:p>
        </w:tc>
      </w:tr>
      <w:tr>
        <w:trPr>
          <w:trHeight w:val="215"/>
        </w:trPr>
        <w:tc>
          <w:tcPr>
            <w:tcW w:w="3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Faith-based real estate</w:t>
            </w:r>
          </w:p>
        </w:tc>
        <w:tc>
          <w:tcPr>
            <w:tcW w:w="2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w:t>
            </w:r>
          </w:p>
        </w:tc>
        <w:tc>
          <w:tcPr>
            <w:tcW w:w="20" w:type="dxa"/>
            <w:vAlign w:val="bottom"/>
          </w:tcPr>
          <w:p>
            <w:pPr>
              <w:spacing w:after="0"/>
              <w:rPr>
                <w:sz w:val="18"/>
                <w:szCs w:val="18"/>
                <w:color w:val="auto"/>
              </w:rPr>
            </w:pPr>
          </w:p>
        </w:tc>
      </w:tr>
      <w:tr>
        <w:trPr>
          <w:trHeight w:val="216"/>
        </w:trPr>
        <w:tc>
          <w:tcPr>
            <w:tcW w:w="3580" w:type="dxa"/>
            <w:vAlign w:val="bottom"/>
            <w:tcBorders>
              <w:bottom w:val="single" w:sz="8" w:color="auto"/>
            </w:tcBorders>
            <w:shd w:val="clear" w:color="auto" w:fill="B2B2B2"/>
          </w:tcPr>
          <w:p>
            <w:pPr>
              <w:spacing w:after="0" w:line="195" w:lineRule="exact"/>
              <w:rPr>
                <w:sz w:val="20"/>
                <w:szCs w:val="20"/>
                <w:color w:val="auto"/>
              </w:rPr>
            </w:pPr>
            <w:r>
              <w:rPr>
                <w:rFonts w:ascii="Arial" w:cs="Arial" w:eastAsia="Arial" w:hAnsi="Arial"/>
                <w:sz w:val="18"/>
                <w:szCs w:val="18"/>
                <w:color w:val="auto"/>
              </w:rPr>
              <w:t>Total</w:t>
            </w:r>
          </w:p>
        </w:tc>
        <w:tc>
          <w:tcPr>
            <w:tcW w:w="2560" w:type="dxa"/>
            <w:vAlign w:val="bottom"/>
            <w:tcBorders>
              <w:bottom w:val="single" w:sz="8" w:color="auto"/>
            </w:tcBorders>
            <w:shd w:val="clear" w:color="auto" w:fill="B2B2B2"/>
          </w:tcPr>
          <w:p>
            <w:pPr>
              <w:jc w:val="right"/>
              <w:spacing w:after="0" w:line="195" w:lineRule="exact"/>
              <w:rPr>
                <w:sz w:val="20"/>
                <w:szCs w:val="20"/>
                <w:color w:val="auto"/>
              </w:rPr>
            </w:pPr>
            <w:r>
              <w:rPr>
                <w:rFonts w:ascii="Arial" w:cs="Arial" w:eastAsia="Arial" w:hAnsi="Arial"/>
                <w:sz w:val="18"/>
                <w:szCs w:val="18"/>
                <w:color w:val="auto"/>
              </w:rPr>
              <w:t>2</w:t>
            </w:r>
          </w:p>
        </w:tc>
        <w:tc>
          <w:tcPr>
            <w:tcW w:w="220" w:type="dxa"/>
            <w:vAlign w:val="bottom"/>
            <w:tcBorders>
              <w:bottom w:val="single" w:sz="8" w:color="auto"/>
            </w:tcBorders>
            <w:shd w:val="clear" w:color="auto" w:fill="B2B2B2"/>
          </w:tcPr>
          <w:p>
            <w:pPr>
              <w:jc w:val="right"/>
              <w:spacing w:after="0" w:line="195"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B2B2B2"/>
          </w:tcPr>
          <w:p>
            <w:pPr>
              <w:jc w:val="right"/>
              <w:spacing w:after="0" w:line="195" w:lineRule="exact"/>
              <w:rPr>
                <w:sz w:val="20"/>
                <w:szCs w:val="20"/>
                <w:color w:val="auto"/>
              </w:rPr>
            </w:pPr>
            <w:r>
              <w:rPr>
                <w:rFonts w:ascii="Arial" w:cs="Arial" w:eastAsia="Arial" w:hAnsi="Arial"/>
                <w:sz w:val="18"/>
                <w:szCs w:val="18"/>
                <w:color w:val="auto"/>
              </w:rPr>
              <w:t>9,802</w:t>
            </w:r>
          </w:p>
        </w:tc>
        <w:tc>
          <w:tcPr>
            <w:tcW w:w="200" w:type="dxa"/>
            <w:vAlign w:val="bottom"/>
            <w:tcBorders>
              <w:bottom w:val="single" w:sz="8" w:color="auto"/>
            </w:tcBorders>
            <w:shd w:val="clear" w:color="auto" w:fill="B2B2B2"/>
          </w:tcPr>
          <w:p>
            <w:pPr>
              <w:jc w:val="right"/>
              <w:spacing w:after="0" w:line="195" w:lineRule="exact"/>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B2B2B2"/>
          </w:tcPr>
          <w:p>
            <w:pPr>
              <w:jc w:val="right"/>
              <w:spacing w:after="0" w:line="195" w:lineRule="exact"/>
              <w:rPr>
                <w:sz w:val="20"/>
                <w:szCs w:val="20"/>
                <w:color w:val="auto"/>
              </w:rPr>
            </w:pPr>
            <w:r>
              <w:rPr>
                <w:rFonts w:ascii="Arial" w:cs="Arial" w:eastAsia="Arial" w:hAnsi="Arial"/>
                <w:sz w:val="18"/>
                <w:szCs w:val="18"/>
                <w:color w:val="auto"/>
              </w:rPr>
              <w:t>9,802</w:t>
            </w:r>
          </w:p>
        </w:tc>
        <w:tc>
          <w:tcPr>
            <w:tcW w:w="20" w:type="dxa"/>
            <w:vAlign w:val="bottom"/>
            <w:tcBorders>
              <w:bottom w:val="single" w:sz="8" w:color="auto"/>
            </w:tcBorders>
          </w:tcPr>
          <w:p>
            <w:pPr>
              <w:spacing w:after="0"/>
              <w:rPr>
                <w:sz w:val="18"/>
                <w:szCs w:val="18"/>
                <w:color w:val="auto"/>
              </w:rPr>
            </w:pPr>
          </w:p>
        </w:tc>
      </w:tr>
    </w:tbl>
    <w:p>
      <w:pPr>
        <w:spacing w:after="0" w:line="3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year ended December 31, 2020, two loans were restructured to change the amortization schedule to reduce payments from the borrowers while the contractual interest rate remained unchanged. These loans did not have a specific allowance for credit loss allocated to them at December 31, 2020. There were no loans restructured that subsequently defaulted during the year ended December 31, 2020.</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activity in allowance for credit losses (“ACL”) by category for the period ended March 31, 2021 and December 31, 2020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Faith-based</w:t>
            </w: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3740" w:type="dxa"/>
            <w:vAlign w:val="bottom"/>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06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Arial" w:cs="Arial" w:eastAsia="Arial" w:hAnsi="Arial"/>
                <w:sz w:val="18"/>
                <w:szCs w:val="18"/>
                <w:b w:val="1"/>
                <w:bCs w:val="1"/>
                <w:color w:val="auto"/>
              </w:rPr>
              <w:t>C&amp;I</w:t>
            </w:r>
          </w:p>
        </w:tc>
        <w:tc>
          <w:tcPr>
            <w:tcW w:w="32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CRE</w:t>
            </w:r>
          </w:p>
        </w:tc>
        <w:tc>
          <w:tcPr>
            <w:tcW w:w="220" w:type="dxa"/>
            <w:vAlign w:val="bottom"/>
          </w:tcPr>
          <w:p>
            <w:pPr>
              <w:spacing w:after="0"/>
              <w:rPr>
                <w:sz w:val="20"/>
                <w:szCs w:val="20"/>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b w:val="1"/>
                <w:bCs w:val="1"/>
                <w:color w:val="auto"/>
              </w:rPr>
              <w:t>CRE</w:t>
            </w:r>
          </w:p>
        </w:tc>
        <w:tc>
          <w:tcPr>
            <w:tcW w:w="12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8"/>
              </w:rPr>
              <w:t>Construction</w:t>
            </w:r>
          </w:p>
        </w:tc>
        <w:tc>
          <w:tcPr>
            <w:tcW w:w="320" w:type="dxa"/>
            <w:vAlign w:val="bottom"/>
          </w:tcPr>
          <w:p>
            <w:pPr>
              <w:spacing w:after="0"/>
              <w:rPr>
                <w:sz w:val="20"/>
                <w:szCs w:val="20"/>
                <w:color w:val="auto"/>
              </w:rPr>
            </w:pPr>
          </w:p>
        </w:tc>
        <w:tc>
          <w:tcPr>
            <w:tcW w:w="108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r>
      <w:tr>
        <w:trPr>
          <w:trHeight w:val="209"/>
        </w:trPr>
        <w:tc>
          <w:tcPr>
            <w:tcW w:w="3740" w:type="dxa"/>
            <w:vAlign w:val="bottom"/>
            <w:tcBorders>
              <w:top w:val="single" w:sz="8" w:color="auto"/>
            </w:tcBorders>
            <w:shd w:val="clear" w:color="auto" w:fill="B2B2B2"/>
          </w:tcPr>
          <w:p>
            <w:pPr>
              <w:spacing w:after="0"/>
              <w:rPr>
                <w:sz w:val="20"/>
                <w:szCs w:val="20"/>
                <w:color w:val="auto"/>
              </w:rPr>
            </w:pPr>
            <w:r>
              <w:rPr>
                <w:rFonts w:ascii="Arial" w:cs="Arial" w:eastAsia="Arial" w:hAnsi="Arial"/>
                <w:sz w:val="18"/>
                <w:szCs w:val="18"/>
                <w:color w:val="auto"/>
              </w:rPr>
              <w:t>Allowance for credit losses on loans:</w:t>
            </w:r>
          </w:p>
        </w:tc>
        <w:tc>
          <w:tcPr>
            <w:tcW w:w="1060" w:type="dxa"/>
            <w:vAlign w:val="bottom"/>
            <w:tcBorders>
              <w:top w:val="single" w:sz="8" w:color="auto"/>
            </w:tcBorders>
            <w:shd w:val="clear" w:color="auto" w:fill="B2B2B2"/>
          </w:tcPr>
          <w:p>
            <w:pPr>
              <w:spacing w:after="0"/>
              <w:rPr>
                <w:sz w:val="18"/>
                <w:szCs w:val="18"/>
                <w:color w:val="auto"/>
              </w:rPr>
            </w:pPr>
          </w:p>
        </w:tc>
        <w:tc>
          <w:tcPr>
            <w:tcW w:w="1040" w:type="dxa"/>
            <w:vAlign w:val="bottom"/>
            <w:tcBorders>
              <w:top w:val="single" w:sz="8" w:color="auto"/>
            </w:tcBorders>
            <w:shd w:val="clear" w:color="auto" w:fill="B2B2B2"/>
          </w:tcPr>
          <w:p>
            <w:pPr>
              <w:spacing w:after="0"/>
              <w:rPr>
                <w:sz w:val="18"/>
                <w:szCs w:val="18"/>
                <w:color w:val="auto"/>
              </w:rPr>
            </w:pPr>
          </w:p>
        </w:tc>
        <w:tc>
          <w:tcPr>
            <w:tcW w:w="320" w:type="dxa"/>
            <w:vAlign w:val="bottom"/>
            <w:tcBorders>
              <w:top w:val="single" w:sz="8" w:color="auto"/>
            </w:tcBorders>
            <w:shd w:val="clear" w:color="auto" w:fill="B2B2B2"/>
          </w:tcPr>
          <w:p>
            <w:pPr>
              <w:spacing w:after="0"/>
              <w:rPr>
                <w:sz w:val="18"/>
                <w:szCs w:val="18"/>
                <w:color w:val="auto"/>
              </w:rPr>
            </w:pPr>
          </w:p>
        </w:tc>
        <w:tc>
          <w:tcPr>
            <w:tcW w:w="1020" w:type="dxa"/>
            <w:vAlign w:val="bottom"/>
            <w:tcBorders>
              <w:top w:val="single" w:sz="8" w:color="auto"/>
            </w:tcBorders>
            <w:shd w:val="clear" w:color="auto" w:fill="B2B2B2"/>
          </w:tcPr>
          <w:p>
            <w:pPr>
              <w:spacing w:after="0"/>
              <w:rPr>
                <w:sz w:val="18"/>
                <w:szCs w:val="18"/>
                <w:color w:val="auto"/>
              </w:rPr>
            </w:pPr>
          </w:p>
        </w:tc>
        <w:tc>
          <w:tcPr>
            <w:tcW w:w="220" w:type="dxa"/>
            <w:vAlign w:val="bottom"/>
            <w:tcBorders>
              <w:top w:val="single" w:sz="8" w:color="auto"/>
            </w:tcBorders>
            <w:shd w:val="clear" w:color="auto" w:fill="B2B2B2"/>
          </w:tcPr>
          <w:p>
            <w:pPr>
              <w:spacing w:after="0"/>
              <w:rPr>
                <w:sz w:val="18"/>
                <w:szCs w:val="18"/>
                <w:color w:val="auto"/>
              </w:rPr>
            </w:pPr>
          </w:p>
        </w:tc>
        <w:tc>
          <w:tcPr>
            <w:tcW w:w="1220" w:type="dxa"/>
            <w:vAlign w:val="bottom"/>
            <w:tcBorders>
              <w:top w:val="single" w:sz="8" w:color="auto"/>
            </w:tcBorders>
            <w:shd w:val="clear" w:color="auto" w:fill="B2B2B2"/>
          </w:tcPr>
          <w:p>
            <w:pPr>
              <w:spacing w:after="0"/>
              <w:rPr>
                <w:sz w:val="18"/>
                <w:szCs w:val="18"/>
                <w:color w:val="auto"/>
              </w:rPr>
            </w:pPr>
          </w:p>
        </w:tc>
        <w:tc>
          <w:tcPr>
            <w:tcW w:w="520" w:type="dxa"/>
            <w:vAlign w:val="bottom"/>
            <w:tcBorders>
              <w:top w:val="single" w:sz="8" w:color="auto"/>
            </w:tcBorders>
            <w:shd w:val="clear" w:color="auto" w:fill="B2B2B2"/>
          </w:tcPr>
          <w:p>
            <w:pPr>
              <w:spacing w:after="0"/>
              <w:rPr>
                <w:sz w:val="18"/>
                <w:szCs w:val="18"/>
                <w:color w:val="auto"/>
              </w:rPr>
            </w:pPr>
          </w:p>
        </w:tc>
        <w:tc>
          <w:tcPr>
            <w:tcW w:w="720" w:type="dxa"/>
            <w:vAlign w:val="bottom"/>
            <w:tcBorders>
              <w:top w:val="single" w:sz="8" w:color="auto"/>
            </w:tcBorders>
            <w:shd w:val="clear" w:color="auto" w:fill="B2B2B2"/>
          </w:tcPr>
          <w:p>
            <w:pPr>
              <w:spacing w:after="0"/>
              <w:rPr>
                <w:sz w:val="18"/>
                <w:szCs w:val="18"/>
                <w:color w:val="auto"/>
              </w:rPr>
            </w:pPr>
          </w:p>
        </w:tc>
        <w:tc>
          <w:tcPr>
            <w:tcW w:w="320" w:type="dxa"/>
            <w:vAlign w:val="bottom"/>
            <w:tcBorders>
              <w:top w:val="single" w:sz="8" w:color="auto"/>
            </w:tcBorders>
            <w:shd w:val="clear" w:color="auto" w:fill="B2B2B2"/>
          </w:tcPr>
          <w:p>
            <w:pPr>
              <w:spacing w:after="0"/>
              <w:rPr>
                <w:sz w:val="18"/>
                <w:szCs w:val="18"/>
                <w:color w:val="auto"/>
              </w:rPr>
            </w:pPr>
          </w:p>
        </w:tc>
        <w:tc>
          <w:tcPr>
            <w:tcW w:w="1060" w:type="dxa"/>
            <w:vAlign w:val="bottom"/>
            <w:tcBorders>
              <w:top w:val="single" w:sz="8" w:color="auto"/>
            </w:tcBorders>
            <w:shd w:val="clear" w:color="auto" w:fill="B2B2B2"/>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Balance at December 31, 2020</w:t>
            </w: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4,635</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5,717</w:t>
            </w:r>
          </w:p>
        </w:tc>
        <w:tc>
          <w:tcPr>
            <w:tcW w:w="5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11,944</w:t>
            </w:r>
          </w:p>
        </w:tc>
        <w:tc>
          <w:tcPr>
            <w:tcW w:w="20" w:type="dxa"/>
            <w:vAlign w:val="bottom"/>
          </w:tcPr>
          <w:p>
            <w:pPr>
              <w:spacing w:after="0"/>
              <w:rPr>
                <w:sz w:val="18"/>
                <w:szCs w:val="18"/>
                <w:color w:val="auto"/>
              </w:rPr>
            </w:pPr>
          </w:p>
        </w:tc>
      </w:tr>
      <w:tr>
        <w:trPr>
          <w:trHeight w:val="209"/>
        </w:trPr>
        <w:tc>
          <w:tcPr>
            <w:tcW w:w="3740" w:type="dxa"/>
            <w:vAlign w:val="bottom"/>
            <w:tcBorders>
              <w:bottom w:val="single" w:sz="8" w:color="auto"/>
            </w:tcBorders>
            <w:shd w:val="clear" w:color="auto" w:fill="B2B2B2"/>
          </w:tcPr>
          <w:p>
            <w:pPr>
              <w:ind w:left="180"/>
              <w:spacing w:after="0"/>
              <w:rPr>
                <w:sz w:val="20"/>
                <w:szCs w:val="20"/>
                <w:color w:val="auto"/>
              </w:rPr>
            </w:pPr>
            <w:r>
              <w:rPr>
                <w:rFonts w:ascii="Arial" w:cs="Arial" w:eastAsia="Arial" w:hAnsi="Arial"/>
                <w:sz w:val="18"/>
                <w:szCs w:val="18"/>
                <w:color w:val="auto"/>
              </w:rPr>
              <w:t>Charge Offs</w:t>
            </w:r>
          </w:p>
        </w:tc>
        <w:tc>
          <w:tcPr>
            <w:tcW w:w="1060" w:type="dxa"/>
            <w:vAlign w:val="bottom"/>
            <w:tcBorders>
              <w:bottom w:val="single" w:sz="8" w:color="auto"/>
            </w:tcBorders>
            <w:shd w:val="clear" w:color="auto" w:fill="B2B2B2"/>
          </w:tcPr>
          <w:p>
            <w:pPr>
              <w:spacing w:after="0"/>
              <w:rPr>
                <w:sz w:val="18"/>
                <w:szCs w:val="18"/>
                <w:color w:val="auto"/>
              </w:rPr>
            </w:pPr>
          </w:p>
        </w:tc>
        <w:tc>
          <w:tcPr>
            <w:tcW w:w="104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B2B2B2"/>
          </w:tcPr>
          <w:p>
            <w:pPr>
              <w:spacing w:after="0"/>
              <w:rPr>
                <w:sz w:val="18"/>
                <w:szCs w:val="18"/>
                <w:color w:val="auto"/>
              </w:rPr>
            </w:pPr>
          </w:p>
        </w:tc>
        <w:tc>
          <w:tcPr>
            <w:tcW w:w="10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B2B2B2"/>
          </w:tcPr>
          <w:p>
            <w:pPr>
              <w:spacing w:after="0"/>
              <w:rPr>
                <w:sz w:val="18"/>
                <w:szCs w:val="18"/>
                <w:color w:val="auto"/>
              </w:rPr>
            </w:pPr>
          </w:p>
        </w:tc>
        <w:tc>
          <w:tcPr>
            <w:tcW w:w="12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B2B2B2"/>
          </w:tcPr>
          <w:p>
            <w:pPr>
              <w:spacing w:after="0"/>
              <w:rPr>
                <w:sz w:val="18"/>
                <w:szCs w:val="18"/>
                <w:color w:val="auto"/>
              </w:rPr>
            </w:pPr>
          </w:p>
        </w:tc>
        <w:tc>
          <w:tcPr>
            <w:tcW w:w="7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B2B2B2"/>
          </w:tcPr>
          <w:p>
            <w:pPr>
              <w:spacing w:after="0"/>
              <w:rPr>
                <w:sz w:val="18"/>
                <w:szCs w:val="18"/>
                <w:color w:val="auto"/>
              </w:rPr>
            </w:pPr>
          </w:p>
        </w:tc>
        <w:tc>
          <w:tcPr>
            <w:tcW w:w="106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09"/>
        </w:trPr>
        <w:tc>
          <w:tcPr>
            <w:tcW w:w="3740" w:type="dxa"/>
            <w:vAlign w:val="bottom"/>
          </w:tcPr>
          <w:p>
            <w:pPr>
              <w:ind w:left="180"/>
              <w:spacing w:after="0"/>
              <w:rPr>
                <w:sz w:val="20"/>
                <w:szCs w:val="20"/>
                <w:color w:val="auto"/>
              </w:rPr>
            </w:pPr>
            <w:r>
              <w:rPr>
                <w:rFonts w:ascii="Arial" w:cs="Arial" w:eastAsia="Arial" w:hAnsi="Arial"/>
                <w:sz w:val="18"/>
                <w:szCs w:val="18"/>
                <w:color w:val="auto"/>
              </w:rPr>
              <w:t>(Release of) provision for credit losses</w:t>
            </w:r>
          </w:p>
        </w:tc>
        <w:tc>
          <w:tcPr>
            <w:tcW w:w="10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(200)</w:t>
            </w:r>
          </w:p>
        </w:tc>
        <w:tc>
          <w:tcPr>
            <w:tcW w:w="5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(240)</w:t>
            </w:r>
          </w:p>
        </w:tc>
        <w:tc>
          <w:tcPr>
            <w:tcW w:w="20" w:type="dxa"/>
            <w:vAlign w:val="bottom"/>
          </w:tcPr>
          <w:p>
            <w:pPr>
              <w:spacing w:after="0"/>
              <w:rPr>
                <w:sz w:val="18"/>
                <w:szCs w:val="18"/>
                <w:color w:val="auto"/>
              </w:rPr>
            </w:pPr>
          </w:p>
        </w:tc>
      </w:tr>
      <w:tr>
        <w:trPr>
          <w:trHeight w:val="215"/>
        </w:trPr>
        <w:tc>
          <w:tcPr>
            <w:tcW w:w="3740" w:type="dxa"/>
            <w:vAlign w:val="bottom"/>
            <w:tcBorders>
              <w:bottom w:val="single" w:sz="8" w:color="auto"/>
            </w:tcBorders>
            <w:shd w:val="clear" w:color="auto" w:fill="B2B2B2"/>
          </w:tcPr>
          <w:p>
            <w:pPr>
              <w:ind w:left="180"/>
              <w:spacing w:after="0"/>
              <w:rPr>
                <w:sz w:val="20"/>
                <w:szCs w:val="20"/>
                <w:color w:val="auto"/>
              </w:rPr>
            </w:pPr>
            <w:r>
              <w:rPr>
                <w:rFonts w:ascii="Arial" w:cs="Arial" w:eastAsia="Arial" w:hAnsi="Arial"/>
                <w:sz w:val="18"/>
                <w:szCs w:val="18"/>
                <w:color w:val="auto"/>
              </w:rPr>
              <w:t>Recoveries</w:t>
            </w:r>
          </w:p>
        </w:tc>
        <w:tc>
          <w:tcPr>
            <w:tcW w:w="1060" w:type="dxa"/>
            <w:vAlign w:val="bottom"/>
            <w:tcBorders>
              <w:bottom w:val="single" w:sz="8" w:color="auto"/>
            </w:tcBorders>
            <w:shd w:val="clear" w:color="auto" w:fill="B2B2B2"/>
          </w:tcPr>
          <w:p>
            <w:pPr>
              <w:spacing w:after="0"/>
              <w:rPr>
                <w:sz w:val="18"/>
                <w:szCs w:val="18"/>
                <w:color w:val="auto"/>
              </w:rPr>
            </w:pPr>
          </w:p>
        </w:tc>
        <w:tc>
          <w:tcPr>
            <w:tcW w:w="104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2</w:t>
            </w:r>
          </w:p>
        </w:tc>
        <w:tc>
          <w:tcPr>
            <w:tcW w:w="320" w:type="dxa"/>
            <w:vAlign w:val="bottom"/>
            <w:tcBorders>
              <w:bottom w:val="single" w:sz="8" w:color="auto"/>
            </w:tcBorders>
            <w:shd w:val="clear" w:color="auto" w:fill="B2B2B2"/>
          </w:tcPr>
          <w:p>
            <w:pPr>
              <w:spacing w:after="0"/>
              <w:rPr>
                <w:sz w:val="18"/>
                <w:szCs w:val="18"/>
                <w:color w:val="auto"/>
              </w:rPr>
            </w:pPr>
          </w:p>
        </w:tc>
        <w:tc>
          <w:tcPr>
            <w:tcW w:w="10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B2B2B2"/>
          </w:tcPr>
          <w:p>
            <w:pPr>
              <w:spacing w:after="0"/>
              <w:rPr>
                <w:sz w:val="18"/>
                <w:szCs w:val="18"/>
                <w:color w:val="auto"/>
              </w:rPr>
            </w:pPr>
          </w:p>
        </w:tc>
        <w:tc>
          <w:tcPr>
            <w:tcW w:w="12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15</w:t>
            </w:r>
          </w:p>
        </w:tc>
        <w:tc>
          <w:tcPr>
            <w:tcW w:w="520" w:type="dxa"/>
            <w:vAlign w:val="bottom"/>
            <w:tcBorders>
              <w:bottom w:val="single" w:sz="8" w:color="auto"/>
            </w:tcBorders>
            <w:shd w:val="clear" w:color="auto" w:fill="B2B2B2"/>
          </w:tcPr>
          <w:p>
            <w:pPr>
              <w:spacing w:after="0"/>
              <w:rPr>
                <w:sz w:val="18"/>
                <w:szCs w:val="18"/>
                <w:color w:val="auto"/>
              </w:rPr>
            </w:pPr>
          </w:p>
        </w:tc>
        <w:tc>
          <w:tcPr>
            <w:tcW w:w="7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B2B2B2"/>
          </w:tcPr>
          <w:p>
            <w:pPr>
              <w:spacing w:after="0"/>
              <w:rPr>
                <w:sz w:val="18"/>
                <w:szCs w:val="18"/>
                <w:color w:val="auto"/>
              </w:rPr>
            </w:pPr>
          </w:p>
        </w:tc>
        <w:tc>
          <w:tcPr>
            <w:tcW w:w="106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r>
      <w:tr>
        <w:trPr>
          <w:trHeight w:val="216"/>
        </w:trPr>
        <w:tc>
          <w:tcPr>
            <w:tcW w:w="3740" w:type="dxa"/>
            <w:vAlign w:val="bottom"/>
            <w:tcBorders>
              <w:bottom w:val="single" w:sz="8" w:color="auto"/>
            </w:tcBorders>
          </w:tcPr>
          <w:p>
            <w:pPr>
              <w:spacing w:after="0" w:line="195" w:lineRule="exact"/>
              <w:rPr>
                <w:sz w:val="20"/>
                <w:szCs w:val="20"/>
                <w:color w:val="auto"/>
              </w:rPr>
            </w:pPr>
            <w:r>
              <w:rPr>
                <w:rFonts w:ascii="Arial" w:cs="Arial" w:eastAsia="Arial" w:hAnsi="Arial"/>
                <w:sz w:val="18"/>
                <w:szCs w:val="18"/>
                <w:color w:val="auto"/>
              </w:rPr>
              <w:t>Balance at March 31, 2021</w:t>
            </w:r>
          </w:p>
        </w:tc>
        <w:tc>
          <w:tcPr>
            <w:tcW w:w="1060" w:type="dxa"/>
            <w:vAlign w:val="bottom"/>
            <w:tcBorders>
              <w:bottom w:val="single" w:sz="8" w:color="auto"/>
            </w:tcBorders>
          </w:tcPr>
          <w:p>
            <w:pPr>
              <w:jc w:val="right"/>
              <w:ind w:right="110"/>
              <w:spacing w:after="0" w:line="195"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4,691</w:t>
            </w:r>
          </w:p>
        </w:tc>
        <w:tc>
          <w:tcPr>
            <w:tcW w:w="320" w:type="dxa"/>
            <w:vAlign w:val="bottom"/>
            <w:tcBorders>
              <w:bottom w:val="single" w:sz="8" w:color="auto"/>
            </w:tcBorders>
          </w:tcPr>
          <w:p>
            <w:pPr>
              <w:jc w:val="right"/>
              <w:ind w:right="90"/>
              <w:spacing w:after="0" w:line="195"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1,110</w:t>
            </w:r>
          </w:p>
        </w:tc>
        <w:tc>
          <w:tcPr>
            <w:tcW w:w="22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5,532</w:t>
            </w:r>
          </w:p>
        </w:tc>
        <w:tc>
          <w:tcPr>
            <w:tcW w:w="520" w:type="dxa"/>
            <w:vAlign w:val="bottom"/>
            <w:tcBorders>
              <w:bottom w:val="single" w:sz="8" w:color="auto"/>
            </w:tcBorders>
          </w:tcPr>
          <w:p>
            <w:pPr>
              <w:jc w:val="right"/>
              <w:ind w:right="270"/>
              <w:spacing w:after="0" w:line="195"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388</w:t>
            </w:r>
          </w:p>
        </w:tc>
        <w:tc>
          <w:tcPr>
            <w:tcW w:w="320" w:type="dxa"/>
            <w:vAlign w:val="bottom"/>
            <w:tcBorders>
              <w:bottom w:val="single" w:sz="8" w:color="auto"/>
            </w:tcBorders>
          </w:tcPr>
          <w:p>
            <w:pPr>
              <w:jc w:val="right"/>
              <w:ind w:right="90"/>
              <w:spacing w:after="0" w:line="195"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11,721</w:t>
            </w:r>
          </w:p>
        </w:tc>
        <w:tc>
          <w:tcPr>
            <w:tcW w:w="20" w:type="dxa"/>
            <w:vAlign w:val="bottom"/>
          </w:tcPr>
          <w:p>
            <w:pPr>
              <w:spacing w:after="0"/>
              <w:rPr>
                <w:sz w:val="18"/>
                <w:szCs w:val="18"/>
                <w:color w:val="auto"/>
              </w:rPr>
            </w:pPr>
          </w:p>
        </w:tc>
      </w:tr>
    </w:tbl>
    <w:p>
      <w:pPr>
        <w:spacing w:after="0" w:line="363"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decrease in the provision for credit losses on loans during the quarter ended March 31, 2021 is due to the Company’s forecast of macroeconomic factors, which improved during the first quarter 2021.</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Faith-based</w:t>
            </w: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4380" w:type="dxa"/>
            <w:vAlign w:val="bottom"/>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42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Arial" w:cs="Arial" w:eastAsia="Arial" w:hAnsi="Arial"/>
                <w:sz w:val="18"/>
                <w:szCs w:val="18"/>
                <w:b w:val="1"/>
                <w:bCs w:val="1"/>
                <w:color w:val="auto"/>
              </w:rPr>
              <w:t>C&amp;I</w:t>
            </w:r>
          </w:p>
        </w:tc>
        <w:tc>
          <w:tcPr>
            <w:tcW w:w="32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CRE</w:t>
            </w:r>
          </w:p>
        </w:tc>
        <w:tc>
          <w:tcPr>
            <w:tcW w:w="220" w:type="dxa"/>
            <w:vAlign w:val="bottom"/>
          </w:tcPr>
          <w:p>
            <w:pPr>
              <w:spacing w:after="0"/>
              <w:rPr>
                <w:sz w:val="20"/>
                <w:szCs w:val="20"/>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b w:val="1"/>
                <w:bCs w:val="1"/>
                <w:color w:val="auto"/>
              </w:rPr>
              <w:t>CRE</w:t>
            </w:r>
          </w:p>
        </w:tc>
        <w:tc>
          <w:tcPr>
            <w:tcW w:w="12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8"/>
              </w:rPr>
              <w:t>Construction</w:t>
            </w:r>
          </w:p>
        </w:tc>
        <w:tc>
          <w:tcPr>
            <w:tcW w:w="320" w:type="dxa"/>
            <w:vAlign w:val="bottom"/>
          </w:tcPr>
          <w:p>
            <w:pPr>
              <w:spacing w:after="0"/>
              <w:rPr>
                <w:sz w:val="20"/>
                <w:szCs w:val="20"/>
                <w:color w:val="auto"/>
              </w:rPr>
            </w:pPr>
          </w:p>
        </w:tc>
        <w:tc>
          <w:tcPr>
            <w:tcW w:w="108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r>
      <w:tr>
        <w:trPr>
          <w:trHeight w:val="209"/>
        </w:trPr>
        <w:tc>
          <w:tcPr>
            <w:tcW w:w="4380" w:type="dxa"/>
            <w:vAlign w:val="bottom"/>
            <w:tcBorders>
              <w:top w:val="single" w:sz="8" w:color="auto"/>
            </w:tcBorders>
            <w:shd w:val="clear" w:color="auto" w:fill="B2B2B2"/>
          </w:tcPr>
          <w:p>
            <w:pPr>
              <w:spacing w:after="0"/>
              <w:rPr>
                <w:sz w:val="20"/>
                <w:szCs w:val="20"/>
                <w:color w:val="auto"/>
              </w:rPr>
            </w:pPr>
            <w:r>
              <w:rPr>
                <w:rFonts w:ascii="Arial" w:cs="Arial" w:eastAsia="Arial" w:hAnsi="Arial"/>
                <w:sz w:val="18"/>
                <w:szCs w:val="18"/>
                <w:color w:val="auto"/>
              </w:rPr>
              <w:t>Allowance for credit losses on loans:</w:t>
            </w:r>
          </w:p>
        </w:tc>
        <w:tc>
          <w:tcPr>
            <w:tcW w:w="420" w:type="dxa"/>
            <w:vAlign w:val="bottom"/>
            <w:tcBorders>
              <w:top w:val="single" w:sz="8" w:color="auto"/>
            </w:tcBorders>
            <w:shd w:val="clear" w:color="auto" w:fill="B2B2B2"/>
          </w:tcPr>
          <w:p>
            <w:pPr>
              <w:spacing w:after="0"/>
              <w:rPr>
                <w:sz w:val="18"/>
                <w:szCs w:val="18"/>
                <w:color w:val="auto"/>
              </w:rPr>
            </w:pPr>
          </w:p>
        </w:tc>
        <w:tc>
          <w:tcPr>
            <w:tcW w:w="1040" w:type="dxa"/>
            <w:vAlign w:val="bottom"/>
            <w:tcBorders>
              <w:top w:val="single" w:sz="8" w:color="auto"/>
            </w:tcBorders>
            <w:shd w:val="clear" w:color="auto" w:fill="B2B2B2"/>
          </w:tcPr>
          <w:p>
            <w:pPr>
              <w:spacing w:after="0"/>
              <w:rPr>
                <w:sz w:val="18"/>
                <w:szCs w:val="18"/>
                <w:color w:val="auto"/>
              </w:rPr>
            </w:pPr>
          </w:p>
        </w:tc>
        <w:tc>
          <w:tcPr>
            <w:tcW w:w="320" w:type="dxa"/>
            <w:vAlign w:val="bottom"/>
            <w:tcBorders>
              <w:top w:val="single" w:sz="8" w:color="auto"/>
            </w:tcBorders>
            <w:shd w:val="clear" w:color="auto" w:fill="B2B2B2"/>
          </w:tcPr>
          <w:p>
            <w:pPr>
              <w:spacing w:after="0"/>
              <w:rPr>
                <w:sz w:val="18"/>
                <w:szCs w:val="18"/>
                <w:color w:val="auto"/>
              </w:rPr>
            </w:pPr>
          </w:p>
        </w:tc>
        <w:tc>
          <w:tcPr>
            <w:tcW w:w="1020" w:type="dxa"/>
            <w:vAlign w:val="bottom"/>
            <w:tcBorders>
              <w:top w:val="single" w:sz="8" w:color="auto"/>
            </w:tcBorders>
            <w:shd w:val="clear" w:color="auto" w:fill="B2B2B2"/>
          </w:tcPr>
          <w:p>
            <w:pPr>
              <w:spacing w:after="0"/>
              <w:rPr>
                <w:sz w:val="18"/>
                <w:szCs w:val="18"/>
                <w:color w:val="auto"/>
              </w:rPr>
            </w:pPr>
          </w:p>
        </w:tc>
        <w:tc>
          <w:tcPr>
            <w:tcW w:w="220" w:type="dxa"/>
            <w:vAlign w:val="bottom"/>
            <w:tcBorders>
              <w:top w:val="single" w:sz="8" w:color="auto"/>
            </w:tcBorders>
            <w:shd w:val="clear" w:color="auto" w:fill="B2B2B2"/>
          </w:tcPr>
          <w:p>
            <w:pPr>
              <w:spacing w:after="0"/>
              <w:rPr>
                <w:sz w:val="18"/>
                <w:szCs w:val="18"/>
                <w:color w:val="auto"/>
              </w:rPr>
            </w:pPr>
          </w:p>
        </w:tc>
        <w:tc>
          <w:tcPr>
            <w:tcW w:w="1220" w:type="dxa"/>
            <w:vAlign w:val="bottom"/>
            <w:tcBorders>
              <w:top w:val="single" w:sz="8" w:color="auto"/>
            </w:tcBorders>
            <w:shd w:val="clear" w:color="auto" w:fill="B2B2B2"/>
          </w:tcPr>
          <w:p>
            <w:pPr>
              <w:spacing w:after="0"/>
              <w:rPr>
                <w:sz w:val="18"/>
                <w:szCs w:val="18"/>
                <w:color w:val="auto"/>
              </w:rPr>
            </w:pPr>
          </w:p>
        </w:tc>
        <w:tc>
          <w:tcPr>
            <w:tcW w:w="540" w:type="dxa"/>
            <w:vAlign w:val="bottom"/>
            <w:tcBorders>
              <w:top w:val="single" w:sz="8" w:color="auto"/>
            </w:tcBorders>
            <w:shd w:val="clear" w:color="auto" w:fill="B2B2B2"/>
          </w:tcPr>
          <w:p>
            <w:pPr>
              <w:spacing w:after="0"/>
              <w:rPr>
                <w:sz w:val="18"/>
                <w:szCs w:val="18"/>
                <w:color w:val="auto"/>
              </w:rPr>
            </w:pPr>
          </w:p>
        </w:tc>
        <w:tc>
          <w:tcPr>
            <w:tcW w:w="700" w:type="dxa"/>
            <w:vAlign w:val="bottom"/>
            <w:tcBorders>
              <w:top w:val="single" w:sz="8" w:color="auto"/>
            </w:tcBorders>
            <w:shd w:val="clear" w:color="auto" w:fill="B2B2B2"/>
          </w:tcPr>
          <w:p>
            <w:pPr>
              <w:spacing w:after="0"/>
              <w:rPr>
                <w:sz w:val="18"/>
                <w:szCs w:val="18"/>
                <w:color w:val="auto"/>
              </w:rPr>
            </w:pPr>
          </w:p>
        </w:tc>
        <w:tc>
          <w:tcPr>
            <w:tcW w:w="320" w:type="dxa"/>
            <w:vAlign w:val="bottom"/>
            <w:tcBorders>
              <w:top w:val="single" w:sz="8" w:color="auto"/>
            </w:tcBorders>
            <w:shd w:val="clear" w:color="auto" w:fill="B2B2B2"/>
          </w:tcPr>
          <w:p>
            <w:pPr>
              <w:spacing w:after="0"/>
              <w:rPr>
                <w:sz w:val="18"/>
                <w:szCs w:val="18"/>
                <w:color w:val="auto"/>
              </w:rPr>
            </w:pPr>
          </w:p>
        </w:tc>
        <w:tc>
          <w:tcPr>
            <w:tcW w:w="1060" w:type="dxa"/>
            <w:vAlign w:val="bottom"/>
            <w:tcBorders>
              <w:top w:val="single" w:sz="8" w:color="auto"/>
            </w:tcBorders>
            <w:shd w:val="clear" w:color="auto" w:fill="B2B2B2"/>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4380" w:type="dxa"/>
            <w:vAlign w:val="bottom"/>
          </w:tcPr>
          <w:p>
            <w:pPr>
              <w:spacing w:after="0"/>
              <w:rPr>
                <w:sz w:val="20"/>
                <w:szCs w:val="20"/>
                <w:color w:val="auto"/>
              </w:rPr>
            </w:pPr>
            <w:r>
              <w:rPr>
                <w:rFonts w:ascii="Arial" w:cs="Arial" w:eastAsia="Arial" w:hAnsi="Arial"/>
                <w:sz w:val="18"/>
                <w:szCs w:val="18"/>
                <w:color w:val="auto"/>
              </w:rPr>
              <w:t>Balance at December 31, 2019</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4,874</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1,528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3,842</w:t>
            </w:r>
          </w:p>
        </w:tc>
        <w:tc>
          <w:tcPr>
            <w:tcW w:w="5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312</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10,556</w:t>
            </w:r>
          </w:p>
        </w:tc>
        <w:tc>
          <w:tcPr>
            <w:tcW w:w="20" w:type="dxa"/>
            <w:vAlign w:val="bottom"/>
          </w:tcPr>
          <w:p>
            <w:pPr>
              <w:spacing w:after="0"/>
              <w:rPr>
                <w:sz w:val="18"/>
                <w:szCs w:val="18"/>
                <w:color w:val="auto"/>
              </w:rPr>
            </w:pPr>
          </w:p>
        </w:tc>
      </w:tr>
      <w:tr>
        <w:trPr>
          <w:trHeight w:val="215"/>
        </w:trPr>
        <w:tc>
          <w:tcPr>
            <w:tcW w:w="4380" w:type="dxa"/>
            <w:vAlign w:val="bottom"/>
            <w:tcBorders>
              <w:bottom w:val="single" w:sz="8" w:color="auto"/>
            </w:tcBorders>
            <w:shd w:val="clear" w:color="auto" w:fill="B2B2B2"/>
          </w:tcPr>
          <w:p>
            <w:pPr>
              <w:ind w:left="180"/>
              <w:spacing w:after="0"/>
              <w:rPr>
                <w:sz w:val="20"/>
                <w:szCs w:val="20"/>
                <w:color w:val="auto"/>
              </w:rPr>
            </w:pPr>
            <w:r>
              <w:rPr>
                <w:rFonts w:ascii="Arial" w:cs="Arial" w:eastAsia="Arial" w:hAnsi="Arial"/>
                <w:sz w:val="18"/>
                <w:szCs w:val="18"/>
                <w:color w:val="auto"/>
                <w:w w:val="94"/>
              </w:rPr>
              <w:t>Cumulative effect of accounting change (ASU 2016-13)</w:t>
            </w:r>
          </w:p>
        </w:tc>
        <w:tc>
          <w:tcPr>
            <w:tcW w:w="420" w:type="dxa"/>
            <w:vAlign w:val="bottom"/>
            <w:tcBorders>
              <w:bottom w:val="single" w:sz="8" w:color="auto"/>
            </w:tcBorders>
            <w:shd w:val="clear" w:color="auto" w:fill="B2B2B2"/>
          </w:tcPr>
          <w:p>
            <w:pPr>
              <w:spacing w:after="0"/>
              <w:rPr>
                <w:sz w:val="18"/>
                <w:szCs w:val="18"/>
                <w:color w:val="auto"/>
              </w:rPr>
            </w:pPr>
          </w:p>
        </w:tc>
        <w:tc>
          <w:tcPr>
            <w:tcW w:w="104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(526)</w:t>
            </w:r>
          </w:p>
        </w:tc>
        <w:tc>
          <w:tcPr>
            <w:tcW w:w="320" w:type="dxa"/>
            <w:vAlign w:val="bottom"/>
            <w:tcBorders>
              <w:bottom w:val="single" w:sz="8" w:color="auto"/>
            </w:tcBorders>
            <w:shd w:val="clear" w:color="auto" w:fill="B2B2B2"/>
          </w:tcPr>
          <w:p>
            <w:pPr>
              <w:spacing w:after="0"/>
              <w:rPr>
                <w:sz w:val="18"/>
                <w:szCs w:val="18"/>
                <w:color w:val="auto"/>
              </w:rPr>
            </w:pPr>
          </w:p>
        </w:tc>
        <w:tc>
          <w:tcPr>
            <w:tcW w:w="10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(401)</w:t>
            </w:r>
          </w:p>
        </w:tc>
        <w:tc>
          <w:tcPr>
            <w:tcW w:w="220" w:type="dxa"/>
            <w:vAlign w:val="bottom"/>
            <w:tcBorders>
              <w:bottom w:val="single" w:sz="8" w:color="auto"/>
            </w:tcBorders>
            <w:shd w:val="clear" w:color="auto" w:fill="B2B2B2"/>
          </w:tcPr>
          <w:p>
            <w:pPr>
              <w:spacing w:after="0"/>
              <w:rPr>
                <w:sz w:val="18"/>
                <w:szCs w:val="18"/>
                <w:color w:val="auto"/>
              </w:rPr>
            </w:pPr>
          </w:p>
        </w:tc>
        <w:tc>
          <w:tcPr>
            <w:tcW w:w="12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1,636</w:t>
            </w:r>
          </w:p>
        </w:tc>
        <w:tc>
          <w:tcPr>
            <w:tcW w:w="540" w:type="dxa"/>
            <w:vAlign w:val="bottom"/>
            <w:tcBorders>
              <w:bottom w:val="single" w:sz="8" w:color="auto"/>
            </w:tcBorders>
            <w:shd w:val="clear" w:color="auto" w:fill="B2B2B2"/>
          </w:tcPr>
          <w:p>
            <w:pPr>
              <w:spacing w:after="0"/>
              <w:rPr>
                <w:sz w:val="18"/>
                <w:szCs w:val="18"/>
                <w:color w:val="auto"/>
              </w:rPr>
            </w:pPr>
          </w:p>
        </w:tc>
        <w:tc>
          <w:tcPr>
            <w:tcW w:w="70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14</w:t>
            </w:r>
          </w:p>
        </w:tc>
        <w:tc>
          <w:tcPr>
            <w:tcW w:w="320" w:type="dxa"/>
            <w:vAlign w:val="bottom"/>
            <w:tcBorders>
              <w:bottom w:val="single" w:sz="8" w:color="auto"/>
            </w:tcBorders>
            <w:shd w:val="clear" w:color="auto" w:fill="B2B2B2"/>
          </w:tcPr>
          <w:p>
            <w:pPr>
              <w:spacing w:after="0"/>
              <w:rPr>
                <w:sz w:val="18"/>
                <w:szCs w:val="18"/>
                <w:color w:val="auto"/>
              </w:rPr>
            </w:pPr>
          </w:p>
        </w:tc>
        <w:tc>
          <w:tcPr>
            <w:tcW w:w="106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723</w:t>
            </w:r>
          </w:p>
        </w:tc>
        <w:tc>
          <w:tcPr>
            <w:tcW w:w="20" w:type="dxa"/>
            <w:vAlign w:val="bottom"/>
          </w:tcPr>
          <w:p>
            <w:pPr>
              <w:spacing w:after="0"/>
              <w:rPr>
                <w:sz w:val="18"/>
                <w:szCs w:val="18"/>
                <w:color w:val="auto"/>
              </w:rPr>
            </w:pPr>
          </w:p>
        </w:tc>
      </w:tr>
      <w:tr>
        <w:trPr>
          <w:trHeight w:val="209"/>
        </w:trPr>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Balance at January 1, 2020</w:t>
            </w: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4,348</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5,478</w:t>
            </w:r>
          </w:p>
        </w:tc>
        <w:tc>
          <w:tcPr>
            <w:tcW w:w="5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11,279</w:t>
            </w:r>
          </w:p>
        </w:tc>
        <w:tc>
          <w:tcPr>
            <w:tcW w:w="20" w:type="dxa"/>
            <w:vAlign w:val="bottom"/>
          </w:tcPr>
          <w:p>
            <w:pPr>
              <w:spacing w:after="0"/>
              <w:rPr>
                <w:sz w:val="18"/>
                <w:szCs w:val="18"/>
                <w:color w:val="auto"/>
              </w:rPr>
            </w:pPr>
          </w:p>
        </w:tc>
      </w:tr>
      <w:tr>
        <w:trPr>
          <w:trHeight w:val="209"/>
        </w:trPr>
        <w:tc>
          <w:tcPr>
            <w:tcW w:w="4380" w:type="dxa"/>
            <w:vAlign w:val="bottom"/>
            <w:shd w:val="clear" w:color="auto" w:fill="B2B2B2"/>
          </w:tcPr>
          <w:p>
            <w:pPr>
              <w:ind w:left="180"/>
              <w:spacing w:after="0"/>
              <w:rPr>
                <w:sz w:val="20"/>
                <w:szCs w:val="20"/>
                <w:color w:val="auto"/>
              </w:rPr>
            </w:pPr>
            <w:r>
              <w:rPr>
                <w:rFonts w:ascii="Arial" w:cs="Arial" w:eastAsia="Arial" w:hAnsi="Arial"/>
                <w:sz w:val="18"/>
                <w:szCs w:val="18"/>
                <w:color w:val="auto"/>
              </w:rPr>
              <w:t>Provision for credit losses</w:t>
            </w:r>
          </w:p>
        </w:tc>
        <w:tc>
          <w:tcPr>
            <w:tcW w:w="420" w:type="dxa"/>
            <w:vAlign w:val="bottom"/>
            <w:shd w:val="clear" w:color="auto" w:fill="B2B2B2"/>
          </w:tcPr>
          <w:p>
            <w:pPr>
              <w:spacing w:after="0"/>
              <w:rPr>
                <w:sz w:val="18"/>
                <w:szCs w:val="18"/>
                <w:color w:val="auto"/>
              </w:rPr>
            </w:pPr>
          </w:p>
        </w:tc>
        <w:tc>
          <w:tcPr>
            <w:tcW w:w="10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268</w:t>
            </w:r>
          </w:p>
        </w:tc>
        <w:tc>
          <w:tcPr>
            <w:tcW w:w="320" w:type="dxa"/>
            <w:vAlign w:val="bottom"/>
            <w:shd w:val="clear" w:color="auto" w:fill="B2B2B2"/>
          </w:tcPr>
          <w:p>
            <w:pPr>
              <w:spacing w:after="0"/>
              <w:rPr>
                <w:sz w:val="18"/>
                <w:szCs w:val="18"/>
                <w:color w:val="auto"/>
              </w:rPr>
            </w:pPr>
          </w:p>
        </w:tc>
        <w:tc>
          <w:tcPr>
            <w:tcW w:w="10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48</w:t>
            </w:r>
          </w:p>
        </w:tc>
        <w:tc>
          <w:tcPr>
            <w:tcW w:w="220" w:type="dxa"/>
            <w:vAlign w:val="bottom"/>
            <w:shd w:val="clear" w:color="auto" w:fill="B2B2B2"/>
          </w:tcPr>
          <w:p>
            <w:pPr>
              <w:spacing w:after="0"/>
              <w:rPr>
                <w:sz w:val="18"/>
                <w:szCs w:val="18"/>
                <w:color w:val="auto"/>
              </w:rPr>
            </w:pPr>
          </w:p>
        </w:tc>
        <w:tc>
          <w:tcPr>
            <w:tcW w:w="12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238</w:t>
            </w:r>
          </w:p>
        </w:tc>
        <w:tc>
          <w:tcPr>
            <w:tcW w:w="540" w:type="dxa"/>
            <w:vAlign w:val="bottom"/>
            <w:shd w:val="clear" w:color="auto" w:fill="B2B2B2"/>
          </w:tcPr>
          <w:p>
            <w:pPr>
              <w:spacing w:after="0"/>
              <w:rPr>
                <w:sz w:val="18"/>
                <w:szCs w:val="18"/>
                <w:color w:val="auto"/>
              </w:rPr>
            </w:pPr>
          </w:p>
        </w:tc>
        <w:tc>
          <w:tcPr>
            <w:tcW w:w="7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91</w:t>
            </w:r>
          </w:p>
        </w:tc>
        <w:tc>
          <w:tcPr>
            <w:tcW w:w="320" w:type="dxa"/>
            <w:vAlign w:val="bottom"/>
            <w:shd w:val="clear" w:color="auto" w:fill="B2B2B2"/>
          </w:tcPr>
          <w:p>
            <w:pPr>
              <w:spacing w:after="0"/>
              <w:rPr>
                <w:sz w:val="18"/>
                <w:szCs w:val="18"/>
                <w:color w:val="auto"/>
              </w:rPr>
            </w:pPr>
          </w:p>
        </w:tc>
        <w:tc>
          <w:tcPr>
            <w:tcW w:w="10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645</w:t>
            </w:r>
          </w:p>
        </w:tc>
        <w:tc>
          <w:tcPr>
            <w:tcW w:w="20" w:type="dxa"/>
            <w:vAlign w:val="bottom"/>
          </w:tcPr>
          <w:p>
            <w:pPr>
              <w:spacing w:after="0"/>
              <w:rPr>
                <w:sz w:val="18"/>
                <w:szCs w:val="18"/>
                <w:color w:val="auto"/>
              </w:rPr>
            </w:pPr>
          </w:p>
        </w:tc>
      </w:tr>
      <w:tr>
        <w:trPr>
          <w:trHeight w:val="215"/>
        </w:trPr>
        <w:tc>
          <w:tcPr>
            <w:tcW w:w="43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Recoveries</w:t>
            </w: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5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r>
      <w:tr>
        <w:trPr>
          <w:trHeight w:val="216"/>
        </w:trPr>
        <w:tc>
          <w:tcPr>
            <w:tcW w:w="4380" w:type="dxa"/>
            <w:vAlign w:val="bottom"/>
            <w:tcBorders>
              <w:bottom w:val="single" w:sz="8" w:color="auto"/>
            </w:tcBorders>
            <w:shd w:val="clear" w:color="auto" w:fill="B2B2B2"/>
          </w:tcPr>
          <w:p>
            <w:pPr>
              <w:spacing w:after="0" w:line="202" w:lineRule="exact"/>
              <w:rPr>
                <w:sz w:val="20"/>
                <w:szCs w:val="20"/>
                <w:color w:val="auto"/>
              </w:rPr>
            </w:pPr>
            <w:r>
              <w:rPr>
                <w:rFonts w:ascii="Arial" w:cs="Arial" w:eastAsia="Arial" w:hAnsi="Arial"/>
                <w:sz w:val="18"/>
                <w:szCs w:val="18"/>
                <w:color w:val="auto"/>
              </w:rPr>
              <w:t>Balance at December 31, 2020</w:t>
            </w:r>
          </w:p>
        </w:tc>
        <w:tc>
          <w:tcPr>
            <w:tcW w:w="420" w:type="dxa"/>
            <w:vAlign w:val="bottom"/>
            <w:tcBorders>
              <w:bottom w:val="single" w:sz="8" w:color="auto"/>
            </w:tcBorders>
            <w:shd w:val="clear" w:color="auto" w:fill="B2B2B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B2B2B2"/>
          </w:tcPr>
          <w:p>
            <w:pPr>
              <w:jc w:val="right"/>
              <w:spacing w:after="0" w:line="202" w:lineRule="exact"/>
              <w:rPr>
                <w:sz w:val="20"/>
                <w:szCs w:val="20"/>
                <w:color w:val="auto"/>
              </w:rPr>
            </w:pPr>
            <w:r>
              <w:rPr>
                <w:rFonts w:ascii="Arial" w:cs="Arial" w:eastAsia="Arial" w:hAnsi="Arial"/>
                <w:sz w:val="18"/>
                <w:szCs w:val="18"/>
                <w:color w:val="auto"/>
              </w:rPr>
              <w:t>4,635</w:t>
            </w:r>
          </w:p>
        </w:tc>
        <w:tc>
          <w:tcPr>
            <w:tcW w:w="320" w:type="dxa"/>
            <w:vAlign w:val="bottom"/>
            <w:tcBorders>
              <w:bottom w:val="single" w:sz="8" w:color="auto"/>
            </w:tcBorders>
            <w:shd w:val="clear" w:color="auto" w:fill="B2B2B2"/>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B2B2B2"/>
          </w:tcPr>
          <w:p>
            <w:pPr>
              <w:jc w:val="right"/>
              <w:spacing w:after="0" w:line="202" w:lineRule="exact"/>
              <w:rPr>
                <w:sz w:val="20"/>
                <w:szCs w:val="20"/>
                <w:color w:val="auto"/>
              </w:rPr>
            </w:pPr>
            <w:r>
              <w:rPr>
                <w:rFonts w:ascii="Arial" w:cs="Arial" w:eastAsia="Arial" w:hAnsi="Arial"/>
                <w:sz w:val="18"/>
                <w:szCs w:val="18"/>
                <w:color w:val="auto"/>
              </w:rPr>
              <w:t>1,175</w:t>
            </w:r>
          </w:p>
        </w:tc>
        <w:tc>
          <w:tcPr>
            <w:tcW w:w="220" w:type="dxa"/>
            <w:vAlign w:val="bottom"/>
            <w:tcBorders>
              <w:bottom w:val="single" w:sz="8" w:color="auto"/>
            </w:tcBorders>
            <w:shd w:val="clear" w:color="auto" w:fill="B2B2B2"/>
          </w:tcPr>
          <w:p>
            <w:pPr>
              <w:jc w:val="right"/>
              <w:spacing w:after="0" w:line="202" w:lineRule="exact"/>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B2B2B2"/>
          </w:tcPr>
          <w:p>
            <w:pPr>
              <w:jc w:val="right"/>
              <w:spacing w:after="0" w:line="202" w:lineRule="exact"/>
              <w:rPr>
                <w:sz w:val="20"/>
                <w:szCs w:val="20"/>
                <w:color w:val="auto"/>
              </w:rPr>
            </w:pPr>
            <w:r>
              <w:rPr>
                <w:rFonts w:ascii="Arial" w:cs="Arial" w:eastAsia="Arial" w:hAnsi="Arial"/>
                <w:sz w:val="18"/>
                <w:szCs w:val="18"/>
                <w:color w:val="auto"/>
              </w:rPr>
              <w:t>5,717</w:t>
            </w:r>
          </w:p>
        </w:tc>
        <w:tc>
          <w:tcPr>
            <w:tcW w:w="540" w:type="dxa"/>
            <w:vAlign w:val="bottom"/>
            <w:tcBorders>
              <w:bottom w:val="single" w:sz="8" w:color="auto"/>
            </w:tcBorders>
            <w:shd w:val="clear" w:color="auto" w:fill="B2B2B2"/>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B2B2B2"/>
          </w:tcPr>
          <w:p>
            <w:pPr>
              <w:jc w:val="right"/>
              <w:spacing w:after="0" w:line="202" w:lineRule="exact"/>
              <w:rPr>
                <w:sz w:val="20"/>
                <w:szCs w:val="20"/>
                <w:color w:val="auto"/>
              </w:rPr>
            </w:pPr>
            <w:r>
              <w:rPr>
                <w:rFonts w:ascii="Arial" w:cs="Arial" w:eastAsia="Arial" w:hAnsi="Arial"/>
                <w:sz w:val="18"/>
                <w:szCs w:val="18"/>
                <w:color w:val="auto"/>
              </w:rPr>
              <w:t>417</w:t>
            </w:r>
          </w:p>
        </w:tc>
        <w:tc>
          <w:tcPr>
            <w:tcW w:w="320" w:type="dxa"/>
            <w:vAlign w:val="bottom"/>
            <w:tcBorders>
              <w:bottom w:val="single" w:sz="8" w:color="auto"/>
            </w:tcBorders>
            <w:shd w:val="clear" w:color="auto" w:fill="B2B2B2"/>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B2B2B2"/>
          </w:tcPr>
          <w:p>
            <w:pPr>
              <w:jc w:val="right"/>
              <w:spacing w:after="0" w:line="202" w:lineRule="exact"/>
              <w:rPr>
                <w:sz w:val="20"/>
                <w:szCs w:val="20"/>
                <w:color w:val="auto"/>
              </w:rPr>
            </w:pPr>
            <w:r>
              <w:rPr>
                <w:rFonts w:ascii="Arial" w:cs="Arial" w:eastAsia="Arial" w:hAnsi="Arial"/>
                <w:sz w:val="18"/>
                <w:szCs w:val="18"/>
                <w:color w:val="auto"/>
              </w:rPr>
              <w:t>11,944</w:t>
            </w:r>
          </w:p>
        </w:tc>
        <w:tc>
          <w:tcPr>
            <w:tcW w:w="20" w:type="dxa"/>
            <w:vAlign w:val="bottom"/>
          </w:tcPr>
          <w:p>
            <w:pPr>
              <w:spacing w:after="0"/>
              <w:rPr>
                <w:sz w:val="18"/>
                <w:szCs w:val="18"/>
                <w:color w:val="auto"/>
              </w:rPr>
            </w:pPr>
          </w:p>
        </w:tc>
      </w:tr>
    </w:tbl>
    <w:p>
      <w:pPr>
        <w:spacing w:after="0" w:line="363"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increase in the provision for credit losses on loans during the year ended December 31, 2020 is due to the Company’s forecast of macroeconomic factors, which decreased during 2020, primarily due to the COVID-19 pandemic.</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activity in the allowance for loan losses from December 31, 2019 to March 31, 2020 is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Charge-</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3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4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Offs</w:t>
            </w:r>
          </w:p>
        </w:tc>
        <w:tc>
          <w:tcPr>
            <w:tcW w:w="3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85"/>
              </w:rPr>
              <w:t>Recoveries</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2"/>
              </w:rPr>
              <w:t>Provision</w:t>
            </w: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r>
      <w:tr>
        <w:trPr>
          <w:trHeight w:val="209"/>
        </w:trPr>
        <w:tc>
          <w:tcPr>
            <w:tcW w:w="3220" w:type="dxa"/>
            <w:vAlign w:val="bottom"/>
            <w:shd w:val="clear" w:color="auto" w:fill="B2B2B2"/>
          </w:tcPr>
          <w:p>
            <w:pPr>
              <w:spacing w:after="0"/>
              <w:rPr>
                <w:sz w:val="20"/>
                <w:szCs w:val="20"/>
                <w:color w:val="auto"/>
              </w:rPr>
            </w:pPr>
            <w:r>
              <w:rPr>
                <w:rFonts w:ascii="Arial" w:cs="Arial" w:eastAsia="Arial" w:hAnsi="Arial"/>
                <w:sz w:val="18"/>
                <w:szCs w:val="18"/>
                <w:color w:val="auto"/>
              </w:rPr>
              <w:t>Commercial and industrial</w:t>
            </w:r>
          </w:p>
        </w:tc>
        <w:tc>
          <w:tcPr>
            <w:tcW w:w="14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4,874</w:t>
            </w:r>
          </w:p>
        </w:tc>
        <w:tc>
          <w:tcPr>
            <w:tcW w:w="1140" w:type="dxa"/>
            <w:vAlign w:val="bottom"/>
            <w:shd w:val="clear" w:color="auto" w:fill="B2B2B2"/>
          </w:tcPr>
          <w:p>
            <w:pPr>
              <w:jc w:val="right"/>
              <w:ind w:right="890"/>
              <w:spacing w:after="0"/>
              <w:rPr>
                <w:sz w:val="20"/>
                <w:szCs w:val="20"/>
                <w:color w:val="auto"/>
              </w:rPr>
            </w:pPr>
            <w:r>
              <w:rPr>
                <w:rFonts w:ascii="Arial" w:cs="Arial" w:eastAsia="Arial" w:hAnsi="Arial"/>
                <w:sz w:val="18"/>
                <w:szCs w:val="18"/>
                <w:color w:val="auto"/>
              </w:rPr>
              <w:t>$</w:t>
            </w:r>
          </w:p>
        </w:tc>
        <w:tc>
          <w:tcPr>
            <w:tcW w:w="320" w:type="dxa"/>
            <w:vAlign w:val="bottom"/>
            <w:shd w:val="clear" w:color="auto" w:fill="B2B2B2"/>
          </w:tcPr>
          <w:p>
            <w:pPr>
              <w:ind w:lef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213</w:t>
            </w:r>
          </w:p>
        </w:tc>
        <w:tc>
          <w:tcPr>
            <w:tcW w:w="2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B2B2B2"/>
            </w:tcBorders>
            <w:shd w:val="clear" w:color="auto" w:fill="B2B2B2"/>
          </w:tcPr>
          <w:p>
            <w:pPr>
              <w:jc w:val="right"/>
              <w:spacing w:after="0"/>
              <w:rPr>
                <w:sz w:val="20"/>
                <w:szCs w:val="20"/>
                <w:color w:val="auto"/>
              </w:rPr>
            </w:pPr>
            <w:r>
              <w:rPr>
                <w:rFonts w:ascii="Arial" w:cs="Arial" w:eastAsia="Arial" w:hAnsi="Arial"/>
                <w:sz w:val="18"/>
                <w:szCs w:val="18"/>
                <w:color w:val="auto"/>
              </w:rPr>
              <w:t>5,094</w:t>
            </w:r>
          </w:p>
        </w:tc>
        <w:tc>
          <w:tcPr>
            <w:tcW w:w="20" w:type="dxa"/>
            <w:vAlign w:val="bottom"/>
          </w:tcPr>
          <w:p>
            <w:pPr>
              <w:spacing w:after="0"/>
              <w:rPr>
                <w:sz w:val="18"/>
                <w:szCs w:val="18"/>
                <w:color w:val="auto"/>
              </w:rPr>
            </w:pPr>
          </w:p>
        </w:tc>
      </w:tr>
      <w:tr>
        <w:trPr>
          <w:trHeight w:val="215"/>
        </w:trPr>
        <w:tc>
          <w:tcPr>
            <w:tcW w:w="3220" w:type="dxa"/>
            <w:vAlign w:val="bottom"/>
          </w:tcPr>
          <w:p>
            <w:pPr>
              <w:spacing w:after="0"/>
              <w:rPr>
                <w:sz w:val="20"/>
                <w:szCs w:val="20"/>
                <w:color w:val="auto"/>
              </w:rPr>
            </w:pPr>
            <w:r>
              <w:rPr>
                <w:rFonts w:ascii="Arial" w:cs="Arial" w:eastAsia="Arial" w:hAnsi="Arial"/>
                <w:sz w:val="18"/>
                <w:szCs w:val="18"/>
                <w:color w:val="auto"/>
              </w:rPr>
              <w:t>Real estate</w:t>
            </w:r>
          </w:p>
        </w:tc>
        <w:tc>
          <w:tcPr>
            <w:tcW w:w="1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3220" w:type="dxa"/>
            <w:vAlign w:val="bottom"/>
            <w:shd w:val="clear" w:color="auto" w:fill="B2B2B2"/>
          </w:tcPr>
          <w:p>
            <w:pPr>
              <w:ind w:left="180"/>
              <w:spacing w:after="0"/>
              <w:rPr>
                <w:sz w:val="20"/>
                <w:szCs w:val="20"/>
                <w:color w:val="auto"/>
              </w:rPr>
            </w:pPr>
            <w:r>
              <w:rPr>
                <w:rFonts w:ascii="Arial" w:cs="Arial" w:eastAsia="Arial" w:hAnsi="Arial"/>
                <w:sz w:val="18"/>
                <w:szCs w:val="18"/>
                <w:color w:val="auto"/>
              </w:rPr>
              <w:t>Commercial:</w:t>
            </w:r>
          </w:p>
        </w:tc>
        <w:tc>
          <w:tcPr>
            <w:tcW w:w="1420" w:type="dxa"/>
            <w:vAlign w:val="bottom"/>
            <w:shd w:val="clear" w:color="auto" w:fill="B2B2B2"/>
          </w:tcPr>
          <w:p>
            <w:pPr>
              <w:spacing w:after="0"/>
              <w:rPr>
                <w:sz w:val="18"/>
                <w:szCs w:val="18"/>
                <w:color w:val="auto"/>
              </w:rPr>
            </w:pPr>
          </w:p>
        </w:tc>
        <w:tc>
          <w:tcPr>
            <w:tcW w:w="1300" w:type="dxa"/>
            <w:vAlign w:val="bottom"/>
            <w:shd w:val="clear" w:color="auto" w:fill="B2B2B2"/>
          </w:tcPr>
          <w:p>
            <w:pPr>
              <w:spacing w:after="0"/>
              <w:rPr>
                <w:sz w:val="18"/>
                <w:szCs w:val="18"/>
                <w:color w:val="auto"/>
              </w:rPr>
            </w:pPr>
          </w:p>
        </w:tc>
        <w:tc>
          <w:tcPr>
            <w:tcW w:w="1140" w:type="dxa"/>
            <w:vAlign w:val="bottom"/>
            <w:shd w:val="clear" w:color="auto" w:fill="B2B2B2"/>
          </w:tcPr>
          <w:p>
            <w:pPr>
              <w:spacing w:after="0"/>
              <w:rPr>
                <w:sz w:val="18"/>
                <w:szCs w:val="18"/>
                <w:color w:val="auto"/>
              </w:rPr>
            </w:pPr>
          </w:p>
        </w:tc>
        <w:tc>
          <w:tcPr>
            <w:tcW w:w="32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04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04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160" w:type="dxa"/>
            <w:vAlign w:val="bottom"/>
            <w:tcBorders>
              <w:right w:val="single" w:sz="8" w:color="B2B2B2"/>
            </w:tcBorders>
            <w:shd w:val="clear" w:color="auto" w:fill="B2B2B2"/>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3220" w:type="dxa"/>
            <w:vAlign w:val="bottom"/>
          </w:tcPr>
          <w:p>
            <w:pPr>
              <w:ind w:left="360"/>
              <w:spacing w:after="0"/>
              <w:rPr>
                <w:sz w:val="20"/>
                <w:szCs w:val="20"/>
                <w:color w:val="auto"/>
              </w:rPr>
            </w:pPr>
            <w:r>
              <w:rPr>
                <w:rFonts w:ascii="Arial" w:cs="Arial" w:eastAsia="Arial" w:hAnsi="Arial"/>
                <w:sz w:val="18"/>
                <w:szCs w:val="18"/>
                <w:color w:val="auto"/>
              </w:rPr>
              <w:t>Mortgage</w:t>
            </w:r>
          </w:p>
        </w:tc>
        <w:tc>
          <w:tcPr>
            <w:tcW w:w="14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1,528</w:t>
            </w:r>
          </w:p>
        </w:tc>
        <w:tc>
          <w:tcPr>
            <w:tcW w:w="1140" w:type="dxa"/>
            <w:vAlign w:val="bottom"/>
          </w:tcPr>
          <w:p>
            <w:pPr>
              <w:spacing w:after="0"/>
              <w:rPr>
                <w:sz w:val="18"/>
                <w:szCs w:val="18"/>
                <w:color w:val="auto"/>
              </w:rPr>
            </w:pP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1,552</w:t>
            </w:r>
          </w:p>
        </w:tc>
        <w:tc>
          <w:tcPr>
            <w:tcW w:w="20" w:type="dxa"/>
            <w:vAlign w:val="bottom"/>
          </w:tcPr>
          <w:p>
            <w:pPr>
              <w:spacing w:after="0"/>
              <w:rPr>
                <w:sz w:val="18"/>
                <w:szCs w:val="18"/>
                <w:color w:val="auto"/>
              </w:rPr>
            </w:pPr>
          </w:p>
        </w:tc>
      </w:tr>
      <w:tr>
        <w:trPr>
          <w:trHeight w:val="215"/>
        </w:trPr>
        <w:tc>
          <w:tcPr>
            <w:tcW w:w="3220" w:type="dxa"/>
            <w:vAlign w:val="bottom"/>
            <w:shd w:val="clear" w:color="auto" w:fill="B2B2B2"/>
          </w:tcPr>
          <w:p>
            <w:pPr>
              <w:ind w:left="360"/>
              <w:spacing w:after="0"/>
              <w:rPr>
                <w:sz w:val="20"/>
                <w:szCs w:val="20"/>
                <w:color w:val="auto"/>
              </w:rPr>
            </w:pPr>
            <w:r>
              <w:rPr>
                <w:rFonts w:ascii="Arial" w:cs="Arial" w:eastAsia="Arial" w:hAnsi="Arial"/>
                <w:sz w:val="18"/>
                <w:szCs w:val="18"/>
                <w:color w:val="auto"/>
              </w:rPr>
              <w:t>Construction</w:t>
            </w:r>
          </w:p>
        </w:tc>
        <w:tc>
          <w:tcPr>
            <w:tcW w:w="1420" w:type="dxa"/>
            <w:vAlign w:val="bottom"/>
            <w:shd w:val="clear" w:color="auto" w:fill="B2B2B2"/>
          </w:tcPr>
          <w:p>
            <w:pPr>
              <w:spacing w:after="0"/>
              <w:rPr>
                <w:sz w:val="18"/>
                <w:szCs w:val="18"/>
                <w:color w:val="auto"/>
              </w:rPr>
            </w:pPr>
          </w:p>
        </w:tc>
        <w:tc>
          <w:tcPr>
            <w:tcW w:w="13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191</w:t>
            </w:r>
          </w:p>
        </w:tc>
        <w:tc>
          <w:tcPr>
            <w:tcW w:w="1140" w:type="dxa"/>
            <w:vAlign w:val="bottom"/>
            <w:shd w:val="clear" w:color="auto" w:fill="B2B2B2"/>
          </w:tcPr>
          <w:p>
            <w:pPr>
              <w:spacing w:after="0"/>
              <w:rPr>
                <w:sz w:val="18"/>
                <w:szCs w:val="18"/>
                <w:color w:val="auto"/>
              </w:rPr>
            </w:pPr>
          </w:p>
        </w:tc>
        <w:tc>
          <w:tcPr>
            <w:tcW w:w="320" w:type="dxa"/>
            <w:vAlign w:val="bottom"/>
            <w:shd w:val="clear" w:color="auto" w:fill="B2B2B2"/>
          </w:tcPr>
          <w:p>
            <w:pPr>
              <w:ind w:lef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B2B2B2"/>
          </w:tcPr>
          <w:p>
            <w:pPr>
              <w:spacing w:after="0"/>
              <w:rPr>
                <w:sz w:val="18"/>
                <w:szCs w:val="18"/>
                <w:color w:val="auto"/>
              </w:rPr>
            </w:pPr>
          </w:p>
        </w:tc>
        <w:tc>
          <w:tcPr>
            <w:tcW w:w="10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B2B2B2"/>
          </w:tcPr>
          <w:p>
            <w:pPr>
              <w:spacing w:after="0"/>
              <w:rPr>
                <w:sz w:val="18"/>
                <w:szCs w:val="18"/>
                <w:color w:val="auto"/>
              </w:rPr>
            </w:pPr>
          </w:p>
        </w:tc>
        <w:tc>
          <w:tcPr>
            <w:tcW w:w="10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(41)</w:t>
            </w:r>
          </w:p>
        </w:tc>
        <w:tc>
          <w:tcPr>
            <w:tcW w:w="220" w:type="dxa"/>
            <w:vAlign w:val="bottom"/>
            <w:shd w:val="clear" w:color="auto" w:fill="B2B2B2"/>
          </w:tcPr>
          <w:p>
            <w:pPr>
              <w:spacing w:after="0"/>
              <w:rPr>
                <w:sz w:val="18"/>
                <w:szCs w:val="18"/>
                <w:color w:val="auto"/>
              </w:rPr>
            </w:pPr>
          </w:p>
        </w:tc>
        <w:tc>
          <w:tcPr>
            <w:tcW w:w="1160" w:type="dxa"/>
            <w:vAlign w:val="bottom"/>
            <w:tcBorders>
              <w:right w:val="single" w:sz="8" w:color="B2B2B2"/>
            </w:tcBorders>
            <w:shd w:val="clear" w:color="auto" w:fill="B2B2B2"/>
          </w:tcPr>
          <w:p>
            <w:pPr>
              <w:jc w:val="right"/>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18"/>
                <w:szCs w:val="18"/>
                <w:color w:val="auto"/>
              </w:rPr>
            </w:pPr>
          </w:p>
        </w:tc>
      </w:tr>
      <w:tr>
        <w:trPr>
          <w:trHeight w:val="215"/>
        </w:trPr>
        <w:tc>
          <w:tcPr>
            <w:tcW w:w="3220" w:type="dxa"/>
            <w:vAlign w:val="bottom"/>
          </w:tcPr>
          <w:p>
            <w:pPr>
              <w:ind w:left="180"/>
              <w:spacing w:after="0"/>
              <w:rPr>
                <w:sz w:val="20"/>
                <w:szCs w:val="20"/>
                <w:color w:val="auto"/>
              </w:rPr>
            </w:pPr>
            <w:r>
              <w:rPr>
                <w:rFonts w:ascii="Arial" w:cs="Arial" w:eastAsia="Arial" w:hAnsi="Arial"/>
                <w:sz w:val="18"/>
                <w:szCs w:val="18"/>
                <w:color w:val="auto"/>
              </w:rPr>
              <w:t>Faith-based:</w:t>
            </w:r>
          </w:p>
        </w:tc>
        <w:tc>
          <w:tcPr>
            <w:tcW w:w="1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3220" w:type="dxa"/>
            <w:vAlign w:val="bottom"/>
            <w:shd w:val="clear" w:color="auto" w:fill="B2B2B2"/>
          </w:tcPr>
          <w:p>
            <w:pPr>
              <w:ind w:left="360"/>
              <w:spacing w:after="0"/>
              <w:rPr>
                <w:sz w:val="20"/>
                <w:szCs w:val="20"/>
                <w:color w:val="auto"/>
              </w:rPr>
            </w:pPr>
            <w:r>
              <w:rPr>
                <w:rFonts w:ascii="Arial" w:cs="Arial" w:eastAsia="Arial" w:hAnsi="Arial"/>
                <w:sz w:val="18"/>
                <w:szCs w:val="18"/>
                <w:color w:val="auto"/>
              </w:rPr>
              <w:t>Mortgage</w:t>
            </w:r>
          </w:p>
        </w:tc>
        <w:tc>
          <w:tcPr>
            <w:tcW w:w="1420" w:type="dxa"/>
            <w:vAlign w:val="bottom"/>
            <w:shd w:val="clear" w:color="auto" w:fill="B2B2B2"/>
          </w:tcPr>
          <w:p>
            <w:pPr>
              <w:spacing w:after="0"/>
              <w:rPr>
                <w:sz w:val="18"/>
                <w:szCs w:val="18"/>
                <w:color w:val="auto"/>
              </w:rPr>
            </w:pPr>
          </w:p>
        </w:tc>
        <w:tc>
          <w:tcPr>
            <w:tcW w:w="13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3,842</w:t>
            </w:r>
          </w:p>
        </w:tc>
        <w:tc>
          <w:tcPr>
            <w:tcW w:w="1140" w:type="dxa"/>
            <w:vAlign w:val="bottom"/>
            <w:shd w:val="clear" w:color="auto" w:fill="B2B2B2"/>
          </w:tcPr>
          <w:p>
            <w:pPr>
              <w:spacing w:after="0"/>
              <w:rPr>
                <w:sz w:val="18"/>
                <w:szCs w:val="18"/>
                <w:color w:val="auto"/>
              </w:rPr>
            </w:pPr>
          </w:p>
        </w:tc>
        <w:tc>
          <w:tcPr>
            <w:tcW w:w="320" w:type="dxa"/>
            <w:vAlign w:val="bottom"/>
            <w:shd w:val="clear" w:color="auto" w:fill="B2B2B2"/>
          </w:tcPr>
          <w:p>
            <w:pPr>
              <w:ind w:lef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B2B2B2"/>
          </w:tcPr>
          <w:p>
            <w:pPr>
              <w:spacing w:after="0"/>
              <w:rPr>
                <w:sz w:val="18"/>
                <w:szCs w:val="18"/>
                <w:color w:val="auto"/>
              </w:rPr>
            </w:pPr>
          </w:p>
        </w:tc>
        <w:tc>
          <w:tcPr>
            <w:tcW w:w="10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B2B2B2"/>
          </w:tcPr>
          <w:p>
            <w:pPr>
              <w:spacing w:after="0"/>
              <w:rPr>
                <w:sz w:val="18"/>
                <w:szCs w:val="18"/>
                <w:color w:val="auto"/>
              </w:rPr>
            </w:pPr>
          </w:p>
        </w:tc>
        <w:tc>
          <w:tcPr>
            <w:tcW w:w="10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106</w:t>
            </w:r>
          </w:p>
        </w:tc>
        <w:tc>
          <w:tcPr>
            <w:tcW w:w="220" w:type="dxa"/>
            <w:vAlign w:val="bottom"/>
            <w:shd w:val="clear" w:color="auto" w:fill="B2B2B2"/>
          </w:tcPr>
          <w:p>
            <w:pPr>
              <w:spacing w:after="0"/>
              <w:rPr>
                <w:sz w:val="18"/>
                <w:szCs w:val="18"/>
                <w:color w:val="auto"/>
              </w:rPr>
            </w:pPr>
          </w:p>
        </w:tc>
        <w:tc>
          <w:tcPr>
            <w:tcW w:w="1160" w:type="dxa"/>
            <w:vAlign w:val="bottom"/>
            <w:tcBorders>
              <w:right w:val="single" w:sz="8" w:color="B2B2B2"/>
            </w:tcBorders>
            <w:shd w:val="clear" w:color="auto" w:fill="B2B2B2"/>
          </w:tcPr>
          <w:p>
            <w:pPr>
              <w:jc w:val="right"/>
              <w:spacing w:after="0"/>
              <w:rPr>
                <w:sz w:val="20"/>
                <w:szCs w:val="20"/>
                <w:color w:val="auto"/>
              </w:rPr>
            </w:pPr>
            <w:r>
              <w:rPr>
                <w:rFonts w:ascii="Arial" w:cs="Arial" w:eastAsia="Arial" w:hAnsi="Arial"/>
                <w:sz w:val="18"/>
                <w:szCs w:val="18"/>
                <w:color w:val="auto"/>
              </w:rPr>
              <w:t>3,949</w:t>
            </w:r>
          </w:p>
        </w:tc>
        <w:tc>
          <w:tcPr>
            <w:tcW w:w="20" w:type="dxa"/>
            <w:vAlign w:val="bottom"/>
          </w:tcPr>
          <w:p>
            <w:pPr>
              <w:spacing w:after="0"/>
              <w:rPr>
                <w:sz w:val="18"/>
                <w:szCs w:val="18"/>
                <w:color w:val="auto"/>
              </w:rPr>
            </w:pPr>
          </w:p>
        </w:tc>
      </w:tr>
      <w:tr>
        <w:trPr>
          <w:trHeight w:val="215"/>
        </w:trPr>
        <w:tc>
          <w:tcPr>
            <w:tcW w:w="32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Construction</w:t>
            </w:r>
          </w:p>
        </w:tc>
        <w:tc>
          <w:tcPr>
            <w:tcW w:w="14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1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20" w:type="dxa"/>
            <w:vAlign w:val="bottom"/>
          </w:tcPr>
          <w:p>
            <w:pPr>
              <w:spacing w:after="0"/>
              <w:rPr>
                <w:sz w:val="18"/>
                <w:szCs w:val="18"/>
                <w:color w:val="auto"/>
              </w:rPr>
            </w:pPr>
          </w:p>
        </w:tc>
      </w:tr>
      <w:tr>
        <w:trPr>
          <w:trHeight w:val="216"/>
        </w:trPr>
        <w:tc>
          <w:tcPr>
            <w:tcW w:w="3220" w:type="dxa"/>
            <w:vAlign w:val="bottom"/>
            <w:tcBorders>
              <w:bottom w:val="single" w:sz="8" w:color="auto"/>
            </w:tcBorders>
            <w:shd w:val="clear" w:color="auto" w:fill="B2B2B2"/>
          </w:tcPr>
          <w:p>
            <w:pPr>
              <w:spacing w:after="0" w:line="202" w:lineRule="exact"/>
              <w:rPr>
                <w:sz w:val="20"/>
                <w:szCs w:val="20"/>
                <w:color w:val="auto"/>
              </w:rPr>
            </w:pPr>
            <w:r>
              <w:rPr>
                <w:rFonts w:ascii="Arial" w:cs="Arial" w:eastAsia="Arial" w:hAnsi="Arial"/>
                <w:sz w:val="18"/>
                <w:szCs w:val="18"/>
                <w:color w:val="auto"/>
              </w:rPr>
              <w:t>Total</w:t>
            </w:r>
          </w:p>
        </w:tc>
        <w:tc>
          <w:tcPr>
            <w:tcW w:w="1420" w:type="dxa"/>
            <w:vAlign w:val="bottom"/>
            <w:tcBorders>
              <w:bottom w:val="single" w:sz="8" w:color="auto"/>
            </w:tcBorders>
            <w:shd w:val="clear" w:color="auto" w:fill="B2B2B2"/>
          </w:tcPr>
          <w:p>
            <w:pPr>
              <w:jc w:val="right"/>
              <w:spacing w:after="0" w:line="202"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B2B2B2"/>
          </w:tcPr>
          <w:p>
            <w:pPr>
              <w:jc w:val="right"/>
              <w:spacing w:after="0" w:line="202" w:lineRule="exact"/>
              <w:rPr>
                <w:sz w:val="20"/>
                <w:szCs w:val="20"/>
                <w:color w:val="auto"/>
              </w:rPr>
            </w:pPr>
            <w:r>
              <w:rPr>
                <w:rFonts w:ascii="Arial" w:cs="Arial" w:eastAsia="Arial" w:hAnsi="Arial"/>
                <w:sz w:val="18"/>
                <w:szCs w:val="18"/>
                <w:color w:val="auto"/>
              </w:rPr>
              <w:t>10,556</w:t>
            </w:r>
          </w:p>
        </w:tc>
        <w:tc>
          <w:tcPr>
            <w:tcW w:w="1140" w:type="dxa"/>
            <w:vAlign w:val="bottom"/>
            <w:tcBorders>
              <w:bottom w:val="single" w:sz="8" w:color="auto"/>
            </w:tcBorders>
            <w:shd w:val="clear" w:color="auto" w:fill="B2B2B2"/>
          </w:tcPr>
          <w:p>
            <w:pPr>
              <w:jc w:val="right"/>
              <w:ind w:right="890"/>
              <w:spacing w:after="0" w:line="202"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B2B2B2"/>
          </w:tcPr>
          <w:p>
            <w:pPr>
              <w:ind w:left="80"/>
              <w:spacing w:after="0" w:line="202"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B2B2B2"/>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B2B2B2"/>
          </w:tcPr>
          <w:p>
            <w:pPr>
              <w:jc w:val="right"/>
              <w:spacing w:after="0" w:line="202" w:lineRule="exact"/>
              <w:rPr>
                <w:sz w:val="20"/>
                <w:szCs w:val="20"/>
                <w:color w:val="auto"/>
              </w:rPr>
            </w:pPr>
            <w:r>
              <w:rPr>
                <w:rFonts w:ascii="Arial" w:cs="Arial" w:eastAsia="Arial" w:hAnsi="Arial"/>
                <w:sz w:val="18"/>
                <w:szCs w:val="18"/>
                <w:color w:val="auto"/>
              </w:rPr>
              <w:t>8</w:t>
            </w:r>
          </w:p>
        </w:tc>
        <w:tc>
          <w:tcPr>
            <w:tcW w:w="200" w:type="dxa"/>
            <w:vAlign w:val="bottom"/>
            <w:tcBorders>
              <w:bottom w:val="single" w:sz="8" w:color="auto"/>
            </w:tcBorders>
            <w:shd w:val="clear" w:color="auto" w:fill="B2B2B2"/>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B2B2B2"/>
          </w:tcPr>
          <w:p>
            <w:pPr>
              <w:jc w:val="right"/>
              <w:spacing w:after="0" w:line="202" w:lineRule="exact"/>
              <w:rPr>
                <w:sz w:val="20"/>
                <w:szCs w:val="20"/>
                <w:color w:val="auto"/>
              </w:rPr>
            </w:pPr>
            <w:r>
              <w:rPr>
                <w:rFonts w:ascii="Arial" w:cs="Arial" w:eastAsia="Arial" w:hAnsi="Arial"/>
                <w:sz w:val="18"/>
                <w:szCs w:val="18"/>
                <w:color w:val="auto"/>
              </w:rPr>
              <w:t>325</w:t>
            </w:r>
          </w:p>
        </w:tc>
        <w:tc>
          <w:tcPr>
            <w:tcW w:w="220" w:type="dxa"/>
            <w:vAlign w:val="bottom"/>
            <w:tcBorders>
              <w:bottom w:val="single" w:sz="8" w:color="auto"/>
            </w:tcBorders>
            <w:shd w:val="clear" w:color="auto" w:fill="B2B2B2"/>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B2B2B2"/>
            </w:tcBorders>
            <w:shd w:val="clear" w:color="auto" w:fill="B2B2B2"/>
          </w:tcPr>
          <w:p>
            <w:pPr>
              <w:jc w:val="right"/>
              <w:spacing w:after="0" w:line="202" w:lineRule="exact"/>
              <w:rPr>
                <w:sz w:val="20"/>
                <w:szCs w:val="20"/>
                <w:color w:val="auto"/>
              </w:rPr>
            </w:pPr>
            <w:r>
              <w:rPr>
                <w:rFonts w:ascii="Arial" w:cs="Arial" w:eastAsia="Arial" w:hAnsi="Arial"/>
                <w:sz w:val="18"/>
                <w:szCs w:val="18"/>
                <w:color w:val="auto"/>
              </w:rPr>
              <w:t>10,889</w:t>
            </w:r>
          </w:p>
        </w:tc>
        <w:tc>
          <w:tcPr>
            <w:tcW w:w="20" w:type="dxa"/>
            <w:vAlign w:val="bottom"/>
          </w:tcPr>
          <w:p>
            <w:pPr>
              <w:spacing w:after="0"/>
              <w:rPr>
                <w:sz w:val="18"/>
                <w:szCs w:val="18"/>
                <w:color w:val="auto"/>
              </w:rPr>
            </w:pPr>
          </w:p>
        </w:tc>
      </w:tr>
      <w:tr>
        <w:trPr>
          <w:trHeight w:val="431"/>
        </w:trPr>
        <w:tc>
          <w:tcPr>
            <w:tcW w:w="3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-14-</w:t>
            </w: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5"/>
        </w:trPr>
        <w:tc>
          <w:tcPr>
            <w:tcW w:w="3220" w:type="dxa"/>
            <w:vAlign w:val="bottom"/>
            <w:tcBorders>
              <w:bottom w:val="single" w:sz="8" w:color="EEEEEE"/>
            </w:tcBorders>
          </w:tcPr>
          <w:p>
            <w:pPr>
              <w:spacing w:after="0"/>
              <w:rPr>
                <w:sz w:val="18"/>
                <w:szCs w:val="18"/>
                <w:color w:val="auto"/>
              </w:rPr>
            </w:pPr>
          </w:p>
        </w:tc>
        <w:tc>
          <w:tcPr>
            <w:tcW w:w="1420" w:type="dxa"/>
            <w:vAlign w:val="bottom"/>
            <w:tcBorders>
              <w:bottom w:val="single" w:sz="8" w:color="EEEEEE"/>
            </w:tcBorders>
          </w:tcPr>
          <w:p>
            <w:pPr>
              <w:spacing w:after="0"/>
              <w:rPr>
                <w:sz w:val="18"/>
                <w:szCs w:val="18"/>
                <w:color w:val="auto"/>
              </w:rPr>
            </w:pPr>
          </w:p>
        </w:tc>
        <w:tc>
          <w:tcPr>
            <w:tcW w:w="1300" w:type="dxa"/>
            <w:vAlign w:val="bottom"/>
            <w:tcBorders>
              <w:bottom w:val="single" w:sz="8" w:color="EEEEEE"/>
            </w:tcBorders>
          </w:tcPr>
          <w:p>
            <w:pPr>
              <w:spacing w:after="0"/>
              <w:rPr>
                <w:sz w:val="18"/>
                <w:szCs w:val="18"/>
                <w:color w:val="auto"/>
              </w:rPr>
            </w:pPr>
          </w:p>
        </w:tc>
        <w:tc>
          <w:tcPr>
            <w:tcW w:w="1140" w:type="dxa"/>
            <w:vAlign w:val="bottom"/>
            <w:tcBorders>
              <w:bottom w:val="single" w:sz="8" w:color="EEEEEE"/>
            </w:tcBorders>
          </w:tcPr>
          <w:p>
            <w:pPr>
              <w:spacing w:after="0"/>
              <w:rPr>
                <w:sz w:val="18"/>
                <w:szCs w:val="18"/>
                <w:color w:val="auto"/>
              </w:rPr>
            </w:pPr>
          </w:p>
        </w:tc>
        <w:tc>
          <w:tcPr>
            <w:tcW w:w="320" w:type="dxa"/>
            <w:vAlign w:val="bottom"/>
            <w:tcBorders>
              <w:bottom w:val="single" w:sz="8" w:color="EEEEEE"/>
            </w:tcBorders>
          </w:tcPr>
          <w:p>
            <w:pPr>
              <w:spacing w:after="0"/>
              <w:rPr>
                <w:sz w:val="18"/>
                <w:szCs w:val="18"/>
                <w:color w:val="auto"/>
              </w:rPr>
            </w:pPr>
          </w:p>
        </w:tc>
        <w:tc>
          <w:tcPr>
            <w:tcW w:w="180" w:type="dxa"/>
            <w:vAlign w:val="bottom"/>
            <w:tcBorders>
              <w:bottom w:val="single" w:sz="8" w:color="EEEEEE"/>
            </w:tcBorders>
          </w:tcPr>
          <w:p>
            <w:pPr>
              <w:spacing w:after="0"/>
              <w:rPr>
                <w:sz w:val="18"/>
                <w:szCs w:val="18"/>
                <w:color w:val="auto"/>
              </w:rPr>
            </w:pPr>
          </w:p>
        </w:tc>
        <w:tc>
          <w:tcPr>
            <w:tcW w:w="1040" w:type="dxa"/>
            <w:vAlign w:val="bottom"/>
            <w:tcBorders>
              <w:bottom w:val="single" w:sz="8" w:color="EEEEEE"/>
            </w:tcBorders>
          </w:tcPr>
          <w:p>
            <w:pPr>
              <w:spacing w:after="0"/>
              <w:rPr>
                <w:sz w:val="18"/>
                <w:szCs w:val="18"/>
                <w:color w:val="auto"/>
              </w:rPr>
            </w:pPr>
          </w:p>
        </w:tc>
        <w:tc>
          <w:tcPr>
            <w:tcW w:w="200" w:type="dxa"/>
            <w:vAlign w:val="bottom"/>
            <w:tcBorders>
              <w:bottom w:val="single" w:sz="8" w:color="EEEEEE"/>
            </w:tcBorders>
          </w:tcPr>
          <w:p>
            <w:pPr>
              <w:spacing w:after="0"/>
              <w:rPr>
                <w:sz w:val="18"/>
                <w:szCs w:val="18"/>
                <w:color w:val="auto"/>
              </w:rPr>
            </w:pPr>
          </w:p>
        </w:tc>
        <w:tc>
          <w:tcPr>
            <w:tcW w:w="1040" w:type="dxa"/>
            <w:vAlign w:val="bottom"/>
            <w:tcBorders>
              <w:bottom w:val="single" w:sz="8" w:color="EEEEEE"/>
            </w:tcBorders>
          </w:tcPr>
          <w:p>
            <w:pPr>
              <w:spacing w:after="0"/>
              <w:rPr>
                <w:sz w:val="18"/>
                <w:szCs w:val="18"/>
                <w:color w:val="auto"/>
              </w:rPr>
            </w:pPr>
          </w:p>
        </w:tc>
        <w:tc>
          <w:tcPr>
            <w:tcW w:w="220" w:type="dxa"/>
            <w:vAlign w:val="bottom"/>
            <w:tcBorders>
              <w:bottom w:val="single" w:sz="8" w:color="EEEEEE"/>
            </w:tcBorders>
          </w:tcPr>
          <w:p>
            <w:pPr>
              <w:spacing w:after="0"/>
              <w:rPr>
                <w:sz w:val="18"/>
                <w:szCs w:val="18"/>
                <w:color w:val="auto"/>
              </w:rPr>
            </w:pPr>
          </w:p>
        </w:tc>
        <w:tc>
          <w:tcPr>
            <w:tcW w:w="1160" w:type="dxa"/>
            <w:vAlign w:val="bottom"/>
            <w:tcBorders>
              <w:bottom w:val="single" w:sz="8" w:color="EEEEEE"/>
            </w:tcBorders>
          </w:tcPr>
          <w:p>
            <w:pPr>
              <w:spacing w:after="0"/>
              <w:rPr>
                <w:sz w:val="18"/>
                <w:szCs w:val="18"/>
                <w:color w:val="auto"/>
              </w:rPr>
            </w:pP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8355" cy="596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355" cy="59690"/>
                    </a:xfrm>
                    <a:prstGeom prst="rect">
                      <a:avLst/>
                    </a:prstGeom>
                    <a:noFill/>
                  </pic:spPr>
                </pic:pic>
              </a:graphicData>
            </a:graphic>
          </wp:anchor>
        </w:drawing>
      </w:r>
    </w:p>
    <w:p>
      <w:pPr>
        <w:sectPr>
          <w:pgSz w:w="11900" w:h="16838" w:orient="portrait"/>
          <w:cols w:equalWidth="0" w:num="1">
            <w:col w:w="11240"/>
          </w:cols>
          <w:pgMar w:left="320" w:top="296" w:right="339" w:bottom="78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Note 7 – Commitments and Contingencies</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the normal course of business, the Company is party to activities that contain credit, market and operational risks that are not reflected in whole or in part in the Company’s consolidated financial statements. Such activities include traditional off-balance sheet credit-related financial instruments and commitments under operating leases. These financial instruments include commitments to extend credit, commercial letters of credit and standby letters of credit. The Company’s maximum potential exposure to credit loss in the event of nonperformance by the other party to the financial instrument for commitments to extend credit, commercial letters of credit and standby letters of credit is represented by the contractual amounts of those instruments. A release of credit losses of $360,000 was recorded during the quarter ended March 31, 2021 due to lower line of credit usage. An allowance for unfunded commitments of $207,000 and $567,000 had been recorded at March 31, 2021 and December 31, 2020, respectively.</w:t>
      </w:r>
    </w:p>
    <w:p>
      <w:pPr>
        <w:spacing w:after="0" w:line="15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Commitments to extend credit are agreements to lend to a customer as long as there is no violation of any condition established in the contract. Commercial and standby letters of credit are conditional commitments issued by the Company or its subsidiaries to guarantee the performance of a customer to a third party. These off-balance sheet financial instruments generally have fixed expiration dates or other termination clauses and may require payment of a fee. At March 31, 2021, the balance of unused loan commitments, standby and commercial letters of credit were $194,737,000, $11,619,000, and $816,000, respectively. Since some of the financial instruments may expire without being drawn upon, the total amounts do not necessarily represent future cash requirements. Commitments to extend credit and letters of credit are subject to the same underwriting standards as those financial instruments included on the consolidated balance sheets. The Company evaluates each customer’s credit worthiness on a case-by-case basis. The amount of collateral obtained, if deemed necessary upon extension of the credit, is based on management’s credit evaluation of the borrower. Collateral held varies, but is generally accounts receivable, inventory, residential or income-producing commercial property or equipment. In the event of nonperformance, the Company or its subsidiaries may obtain and liquidate the collateral to recover amounts paid under guarantees on these financial instruments.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contractual cash obligations of the Company related to time deposits at March 31, 2021:</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3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w w:val="91"/>
              </w:rPr>
              <w:t>Amount of Commitment Expiration per Period</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r>
      <w:tr>
        <w:trPr>
          <w:trHeight w:val="197"/>
        </w:trPr>
        <w:tc>
          <w:tcPr>
            <w:tcW w:w="33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center"/>
              <w:ind w:right="150"/>
              <w:spacing w:after="0" w:line="197" w:lineRule="exact"/>
              <w:rPr>
                <w:sz w:val="20"/>
                <w:szCs w:val="20"/>
                <w:color w:val="auto"/>
              </w:rPr>
            </w:pPr>
            <w:r>
              <w:rPr>
                <w:rFonts w:ascii="Arial" w:cs="Arial" w:eastAsia="Arial" w:hAnsi="Arial"/>
                <w:sz w:val="18"/>
                <w:szCs w:val="18"/>
                <w:b w:val="1"/>
                <w:bCs w:val="1"/>
                <w:color w:val="auto"/>
                <w:w w:val="88"/>
              </w:rPr>
              <w:t>Less than</w:t>
            </w:r>
          </w:p>
        </w:tc>
        <w:tc>
          <w:tcPr>
            <w:tcW w:w="240" w:type="dxa"/>
            <w:vAlign w:val="bottom"/>
          </w:tcPr>
          <w:p>
            <w:pPr>
              <w:spacing w:after="0"/>
              <w:rPr>
                <w:sz w:val="17"/>
                <w:szCs w:val="17"/>
                <w:color w:val="auto"/>
              </w:rPr>
            </w:pPr>
          </w:p>
        </w:tc>
        <w:tc>
          <w:tcPr>
            <w:tcW w:w="860" w:type="dxa"/>
            <w:vAlign w:val="bottom"/>
          </w:tcPr>
          <w:p>
            <w:pPr>
              <w:jc w:val="right"/>
              <w:ind w:right="330"/>
              <w:spacing w:after="0" w:line="197" w:lineRule="exact"/>
              <w:rPr>
                <w:sz w:val="20"/>
                <w:szCs w:val="20"/>
                <w:color w:val="auto"/>
              </w:rPr>
            </w:pPr>
            <w:r>
              <w:rPr>
                <w:rFonts w:ascii="Arial" w:cs="Arial" w:eastAsia="Arial" w:hAnsi="Arial"/>
                <w:sz w:val="18"/>
                <w:szCs w:val="18"/>
                <w:b w:val="1"/>
                <w:bCs w:val="1"/>
                <w:color w:val="auto"/>
              </w:rPr>
              <w:t>1-3</w:t>
            </w:r>
          </w:p>
        </w:tc>
        <w:tc>
          <w:tcPr>
            <w:tcW w:w="240" w:type="dxa"/>
            <w:vAlign w:val="bottom"/>
          </w:tcPr>
          <w:p>
            <w:pPr>
              <w:spacing w:after="0"/>
              <w:rPr>
                <w:sz w:val="17"/>
                <w:szCs w:val="17"/>
                <w:color w:val="auto"/>
              </w:rPr>
            </w:pPr>
          </w:p>
        </w:tc>
        <w:tc>
          <w:tcPr>
            <w:tcW w:w="900" w:type="dxa"/>
            <w:vAlign w:val="bottom"/>
          </w:tcPr>
          <w:p>
            <w:pPr>
              <w:jc w:val="right"/>
              <w:ind w:right="370"/>
              <w:spacing w:after="0" w:line="197" w:lineRule="exact"/>
              <w:rPr>
                <w:sz w:val="20"/>
                <w:szCs w:val="20"/>
                <w:color w:val="auto"/>
              </w:rPr>
            </w:pPr>
            <w:r>
              <w:rPr>
                <w:rFonts w:ascii="Arial" w:cs="Arial" w:eastAsia="Arial" w:hAnsi="Arial"/>
                <w:sz w:val="18"/>
                <w:szCs w:val="18"/>
                <w:b w:val="1"/>
                <w:bCs w:val="1"/>
                <w:color w:val="auto"/>
              </w:rPr>
              <w:t>3-5</w:t>
            </w:r>
          </w:p>
        </w:tc>
        <w:tc>
          <w:tcPr>
            <w:tcW w:w="180" w:type="dxa"/>
            <w:vAlign w:val="bottom"/>
          </w:tcPr>
          <w:p>
            <w:pPr>
              <w:spacing w:after="0"/>
              <w:rPr>
                <w:sz w:val="17"/>
                <w:szCs w:val="17"/>
                <w:color w:val="auto"/>
              </w:rPr>
            </w:pPr>
          </w:p>
        </w:tc>
        <w:tc>
          <w:tcPr>
            <w:tcW w:w="840" w:type="dxa"/>
            <w:vAlign w:val="bottom"/>
          </w:tcPr>
          <w:p>
            <w:pPr>
              <w:jc w:val="center"/>
              <w:ind w:right="70"/>
              <w:spacing w:after="0" w:line="197" w:lineRule="exact"/>
              <w:rPr>
                <w:sz w:val="20"/>
                <w:szCs w:val="20"/>
                <w:color w:val="auto"/>
              </w:rPr>
            </w:pPr>
            <w:r>
              <w:rPr>
                <w:rFonts w:ascii="Arial" w:cs="Arial" w:eastAsia="Arial" w:hAnsi="Arial"/>
                <w:sz w:val="18"/>
                <w:szCs w:val="18"/>
                <w:b w:val="1"/>
                <w:bCs w:val="1"/>
                <w:color w:val="auto"/>
                <w:w w:val="92"/>
              </w:rPr>
              <w:t>Over 5</w:t>
            </w:r>
          </w:p>
        </w:tc>
      </w:tr>
      <w:tr>
        <w:trPr>
          <w:trHeight w:val="241"/>
        </w:trPr>
        <w:tc>
          <w:tcPr>
            <w:tcW w:w="3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2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Total</w:t>
            </w: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2"/>
              </w:rPr>
              <w:t>1 Year</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5"/>
              </w:rPr>
              <w:t>Years</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Years</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Years</w:t>
            </w:r>
          </w:p>
        </w:tc>
      </w:tr>
      <w:tr>
        <w:trPr>
          <w:trHeight w:val="222"/>
        </w:trPr>
        <w:tc>
          <w:tcPr>
            <w:tcW w:w="3300" w:type="dxa"/>
            <w:vAlign w:val="bottom"/>
            <w:tcBorders>
              <w:bottom w:val="single" w:sz="8" w:color="auto"/>
            </w:tcBorders>
            <w:shd w:val="clear" w:color="auto" w:fill="B2B2B2"/>
          </w:tcPr>
          <w:p>
            <w:pPr>
              <w:spacing w:after="0" w:line="202" w:lineRule="exact"/>
              <w:rPr>
                <w:sz w:val="20"/>
                <w:szCs w:val="20"/>
                <w:color w:val="auto"/>
              </w:rPr>
            </w:pPr>
            <w:r>
              <w:rPr>
                <w:rFonts w:ascii="Arial" w:cs="Arial" w:eastAsia="Arial" w:hAnsi="Arial"/>
                <w:sz w:val="18"/>
                <w:szCs w:val="18"/>
                <w:color w:val="auto"/>
              </w:rPr>
              <w:t>Time deposits</w:t>
            </w:r>
          </w:p>
        </w:tc>
        <w:tc>
          <w:tcPr>
            <w:tcW w:w="2420" w:type="dxa"/>
            <w:vAlign w:val="bottom"/>
            <w:tcBorders>
              <w:bottom w:val="single" w:sz="8" w:color="auto"/>
            </w:tcBorders>
            <w:gridSpan w:val="2"/>
            <w:shd w:val="clear" w:color="auto" w:fill="B2B2B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B2B2B2"/>
          </w:tcPr>
          <w:p>
            <w:pPr>
              <w:jc w:val="right"/>
              <w:spacing w:after="0" w:line="202" w:lineRule="exact"/>
              <w:rPr>
                <w:sz w:val="20"/>
                <w:szCs w:val="20"/>
                <w:color w:val="auto"/>
              </w:rPr>
            </w:pPr>
            <w:r>
              <w:rPr>
                <w:rFonts w:ascii="Arial" w:cs="Arial" w:eastAsia="Arial" w:hAnsi="Arial"/>
                <w:sz w:val="18"/>
                <w:szCs w:val="18"/>
                <w:color w:val="auto"/>
              </w:rPr>
              <w:t>55,536</w:t>
            </w:r>
          </w:p>
        </w:tc>
        <w:tc>
          <w:tcPr>
            <w:tcW w:w="280" w:type="dxa"/>
            <w:vAlign w:val="bottom"/>
            <w:tcBorders>
              <w:bottom w:val="single" w:sz="8" w:color="auto"/>
            </w:tcBorders>
            <w:shd w:val="clear" w:color="auto" w:fill="B2B2B2"/>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B2B2B2"/>
          </w:tcPr>
          <w:p>
            <w:pPr>
              <w:jc w:val="right"/>
              <w:spacing w:after="0" w:line="202" w:lineRule="exact"/>
              <w:rPr>
                <w:sz w:val="20"/>
                <w:szCs w:val="20"/>
                <w:color w:val="auto"/>
              </w:rPr>
            </w:pPr>
            <w:r>
              <w:rPr>
                <w:rFonts w:ascii="Arial" w:cs="Arial" w:eastAsia="Arial" w:hAnsi="Arial"/>
                <w:sz w:val="18"/>
                <w:szCs w:val="18"/>
                <w:color w:val="auto"/>
              </w:rPr>
              <w:t>41,390</w:t>
            </w:r>
          </w:p>
        </w:tc>
        <w:tc>
          <w:tcPr>
            <w:tcW w:w="240" w:type="dxa"/>
            <w:vAlign w:val="bottom"/>
            <w:tcBorders>
              <w:bottom w:val="single" w:sz="8" w:color="auto"/>
            </w:tcBorders>
            <w:shd w:val="clear" w:color="auto" w:fill="B2B2B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B2B2B2"/>
          </w:tcPr>
          <w:p>
            <w:pPr>
              <w:jc w:val="right"/>
              <w:spacing w:after="0" w:line="202" w:lineRule="exact"/>
              <w:rPr>
                <w:sz w:val="20"/>
                <w:szCs w:val="20"/>
                <w:color w:val="auto"/>
              </w:rPr>
            </w:pPr>
            <w:r>
              <w:rPr>
                <w:rFonts w:ascii="Arial" w:cs="Arial" w:eastAsia="Arial" w:hAnsi="Arial"/>
                <w:sz w:val="18"/>
                <w:szCs w:val="18"/>
                <w:color w:val="auto"/>
              </w:rPr>
              <w:t>14,098</w:t>
            </w:r>
          </w:p>
        </w:tc>
        <w:tc>
          <w:tcPr>
            <w:tcW w:w="240" w:type="dxa"/>
            <w:vAlign w:val="bottom"/>
            <w:tcBorders>
              <w:bottom w:val="single" w:sz="8" w:color="auto"/>
            </w:tcBorders>
            <w:shd w:val="clear" w:color="auto" w:fill="B2B2B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B2B2B2"/>
          </w:tcPr>
          <w:p>
            <w:pPr>
              <w:jc w:val="right"/>
              <w:spacing w:after="0" w:line="202" w:lineRule="exact"/>
              <w:rPr>
                <w:sz w:val="20"/>
                <w:szCs w:val="20"/>
                <w:color w:val="auto"/>
              </w:rPr>
            </w:pPr>
            <w:r>
              <w:rPr>
                <w:rFonts w:ascii="Arial" w:cs="Arial" w:eastAsia="Arial" w:hAnsi="Arial"/>
                <w:sz w:val="18"/>
                <w:szCs w:val="18"/>
                <w:color w:val="auto"/>
              </w:rPr>
              <w:t>48</w:t>
            </w:r>
          </w:p>
        </w:tc>
        <w:tc>
          <w:tcPr>
            <w:tcW w:w="180" w:type="dxa"/>
            <w:vAlign w:val="bottom"/>
            <w:tcBorders>
              <w:bottom w:val="single" w:sz="8" w:color="auto"/>
            </w:tcBorders>
            <w:shd w:val="clear" w:color="auto" w:fill="B2B2B2"/>
          </w:tcPr>
          <w:p>
            <w:pPr>
              <w:jc w:val="right"/>
              <w:spacing w:after="0" w:line="202" w:lineRule="exact"/>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B2B2B2"/>
          </w:tcPr>
          <w:p>
            <w:pPr>
              <w:ind w:left="660"/>
              <w:spacing w:after="0" w:line="202" w:lineRule="exact"/>
              <w:rPr>
                <w:sz w:val="20"/>
                <w:szCs w:val="20"/>
                <w:color w:val="auto"/>
              </w:rPr>
            </w:pPr>
            <w:r>
              <w:rPr>
                <w:rFonts w:ascii="Arial" w:cs="Arial" w:eastAsia="Arial" w:hAnsi="Arial"/>
                <w:sz w:val="18"/>
                <w:szCs w:val="18"/>
                <w:color w:val="auto"/>
                <w:w w:val="88"/>
              </w:rPr>
              <w:t>—</w:t>
            </w:r>
          </w:p>
        </w:tc>
      </w:tr>
    </w:tbl>
    <w:p>
      <w:pPr>
        <w:spacing w:after="0" w:line="3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and its subsidiaries are involved in various pending legal actions and proceedings in which claims for damages are asserted. Management, after discussion with legal counsel, believes the ultimate resolution of these legal actions and proceedings will not have a material effect upon the Company’s consolidated financial position or results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Note 8 – Stock-Based Compensation</w:t>
      </w:r>
    </w:p>
    <w:p>
      <w:pPr>
        <w:spacing w:after="0" w:line="21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Amended and Restated Omnibus Stock and Performance Compensation Plan (the “Omnibus Plan”) permits the issuance of up to 1,500,000 shares of the Company’s common stock in the form of stock options, stock appreciation rights (“SARs”), restricted stock, restricted stock units and performance awards. The Company may issue shares out of treasury stock for these awards. During the three months ended March 31, 2021, 39,686 restricted shares, 52,240 performance-based restricted shares, and no SARs were granted under the Omnibus Plan. Stock-based compensation expense for the three months ended March 31, 2021 and 2020 was $693,000 and $722,000, respectively.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8355" cy="596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355" cy="5969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Restricted shares granted to Company employees are amortized to expense over the three-year cliff vesting period. Restricted shares granted to members of the Board of Directors are amortized to expense over a one-year service period, with the exception of those shares granted in lieu of cash payments for retainer fees which are expensed in the period earned.</w:t>
      </w:r>
    </w:p>
    <w:p>
      <w:pPr>
        <w:spacing w:after="0" w:line="155"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As of March 31, 2021, the total unrecognized compensation expense related to non-vested restricted shares was $2,642,000, and the related weighted-average period over which it is expected to be recognized is approximately 0.98 years.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Following is a summary of the activity of the restricted stock:</w:t>
            </w:r>
          </w:p>
        </w:tc>
        <w:tc>
          <w:tcPr>
            <w:tcW w:w="1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72"/>
        </w:trPr>
        <w:tc>
          <w:tcPr>
            <w:tcW w:w="7000" w:type="dxa"/>
            <w:vAlign w:val="bottom"/>
          </w:tcPr>
          <w:p>
            <w:pPr>
              <w:spacing w:after="0"/>
              <w:rPr>
                <w:sz w:val="24"/>
                <w:szCs w:val="24"/>
                <w:color w:val="auto"/>
              </w:rPr>
            </w:pPr>
          </w:p>
        </w:tc>
        <w:tc>
          <w:tcPr>
            <w:tcW w:w="300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92"/>
              </w:rPr>
              <w:t>Three Months Ended</w:t>
            </w:r>
          </w:p>
        </w:tc>
      </w:tr>
      <w:tr>
        <w:trPr>
          <w:trHeight w:val="241"/>
        </w:trPr>
        <w:tc>
          <w:tcPr>
            <w:tcW w:w="7000" w:type="dxa"/>
            <w:vAlign w:val="bottom"/>
          </w:tcPr>
          <w:p>
            <w:pPr>
              <w:spacing w:after="0"/>
              <w:rPr>
                <w:sz w:val="20"/>
                <w:szCs w:val="20"/>
                <w:color w:val="auto"/>
              </w:rPr>
            </w:pPr>
          </w:p>
        </w:tc>
        <w:tc>
          <w:tcPr>
            <w:tcW w:w="300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2"/>
              </w:rPr>
              <w:t>March 31, 2021</w:t>
            </w:r>
          </w:p>
        </w:tc>
      </w:tr>
      <w:tr>
        <w:trPr>
          <w:trHeight w:val="222"/>
        </w:trPr>
        <w:tc>
          <w:tcPr>
            <w:tcW w:w="7000" w:type="dxa"/>
            <w:vAlign w:val="bottom"/>
            <w:tcBorders>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Shares</w:t>
            </w:r>
          </w:p>
        </w:tc>
        <w:tc>
          <w:tcPr>
            <w:tcW w:w="2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Fair Value</w:t>
            </w:r>
          </w:p>
        </w:tc>
        <w:tc>
          <w:tcPr>
            <w:tcW w:w="20" w:type="dxa"/>
            <w:vAlign w:val="bottom"/>
          </w:tcPr>
          <w:p>
            <w:pPr>
              <w:spacing w:after="0"/>
              <w:rPr>
                <w:sz w:val="19"/>
                <w:szCs w:val="19"/>
                <w:color w:val="auto"/>
              </w:rPr>
            </w:pPr>
          </w:p>
        </w:tc>
      </w:tr>
      <w:tr>
        <w:trPr>
          <w:trHeight w:val="215"/>
        </w:trPr>
        <w:tc>
          <w:tcPr>
            <w:tcW w:w="7000" w:type="dxa"/>
            <w:vAlign w:val="bottom"/>
            <w:shd w:val="clear" w:color="auto" w:fill="B2B2B2"/>
          </w:tcPr>
          <w:p>
            <w:pPr>
              <w:spacing w:after="0"/>
              <w:rPr>
                <w:sz w:val="20"/>
                <w:szCs w:val="20"/>
                <w:color w:val="auto"/>
              </w:rPr>
            </w:pPr>
            <w:r>
              <w:rPr>
                <w:rFonts w:ascii="Arial" w:cs="Arial" w:eastAsia="Arial" w:hAnsi="Arial"/>
                <w:sz w:val="18"/>
                <w:szCs w:val="18"/>
                <w:color w:val="auto"/>
              </w:rPr>
              <w:t>Balance at December 31, 2020</w:t>
            </w:r>
          </w:p>
        </w:tc>
        <w:tc>
          <w:tcPr>
            <w:tcW w:w="150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136,167</w:t>
            </w:r>
          </w:p>
        </w:tc>
        <w:tc>
          <w:tcPr>
            <w:tcW w:w="2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46.78</w:t>
            </w:r>
          </w:p>
        </w:tc>
        <w:tc>
          <w:tcPr>
            <w:tcW w:w="20" w:type="dxa"/>
            <w:vAlign w:val="bottom"/>
          </w:tcPr>
          <w:p>
            <w:pPr>
              <w:spacing w:after="0"/>
              <w:rPr>
                <w:sz w:val="18"/>
                <w:szCs w:val="18"/>
                <w:color w:val="auto"/>
              </w:rPr>
            </w:pPr>
          </w:p>
        </w:tc>
      </w:tr>
      <w:tr>
        <w:trPr>
          <w:trHeight w:val="215"/>
        </w:trPr>
        <w:tc>
          <w:tcPr>
            <w:tcW w:w="7000" w:type="dxa"/>
            <w:vAlign w:val="bottom"/>
          </w:tcPr>
          <w:p>
            <w:pPr>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39,686</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40.63</w:t>
            </w:r>
          </w:p>
        </w:tc>
        <w:tc>
          <w:tcPr>
            <w:tcW w:w="20" w:type="dxa"/>
            <w:vAlign w:val="bottom"/>
          </w:tcPr>
          <w:p>
            <w:pPr>
              <w:spacing w:after="0"/>
              <w:rPr>
                <w:sz w:val="18"/>
                <w:szCs w:val="18"/>
                <w:color w:val="auto"/>
              </w:rPr>
            </w:pPr>
          </w:p>
        </w:tc>
      </w:tr>
      <w:tr>
        <w:trPr>
          <w:trHeight w:val="215"/>
        </w:trPr>
        <w:tc>
          <w:tcPr>
            <w:tcW w:w="7000" w:type="dxa"/>
            <w:vAlign w:val="bottom"/>
            <w:tcBorders>
              <w:bottom w:val="single" w:sz="8" w:color="auto"/>
            </w:tcBorders>
            <w:shd w:val="clear" w:color="auto" w:fill="B2B2B2"/>
          </w:tcPr>
          <w:p>
            <w:pPr>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auto"/>
            </w:tcBorders>
            <w:shd w:val="clear" w:color="auto" w:fill="B2B2B2"/>
          </w:tcPr>
          <w:p>
            <w:pPr>
              <w:jc w:val="right"/>
              <w:ind w:right="10"/>
              <w:spacing w:after="0"/>
              <w:rPr>
                <w:sz w:val="20"/>
                <w:szCs w:val="20"/>
                <w:color w:val="auto"/>
              </w:rPr>
            </w:pPr>
            <w:r>
              <w:rPr>
                <w:rFonts w:ascii="Arial" w:cs="Arial" w:eastAsia="Arial" w:hAnsi="Arial"/>
                <w:sz w:val="18"/>
                <w:szCs w:val="18"/>
                <w:color w:val="auto"/>
              </w:rPr>
              <w:t>(21,364)</w:t>
            </w:r>
          </w:p>
        </w:tc>
        <w:tc>
          <w:tcPr>
            <w:tcW w:w="280" w:type="dxa"/>
            <w:vAlign w:val="bottom"/>
            <w:tcBorders>
              <w:bottom w:val="single" w:sz="8" w:color="auto"/>
            </w:tcBorders>
            <w:shd w:val="clear" w:color="auto" w:fill="B2B2B2"/>
          </w:tcPr>
          <w:p>
            <w:pPr>
              <w:spacing w:after="0"/>
              <w:rPr>
                <w:sz w:val="18"/>
                <w:szCs w:val="18"/>
                <w:color w:val="auto"/>
              </w:rPr>
            </w:pPr>
          </w:p>
        </w:tc>
        <w:tc>
          <w:tcPr>
            <w:tcW w:w="120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48.62</w:t>
            </w:r>
          </w:p>
        </w:tc>
        <w:tc>
          <w:tcPr>
            <w:tcW w:w="20" w:type="dxa"/>
            <w:vAlign w:val="bottom"/>
          </w:tcPr>
          <w:p>
            <w:pPr>
              <w:spacing w:after="0"/>
              <w:rPr>
                <w:sz w:val="18"/>
                <w:szCs w:val="18"/>
                <w:color w:val="auto"/>
              </w:rPr>
            </w:pPr>
          </w:p>
        </w:tc>
      </w:tr>
      <w:tr>
        <w:trPr>
          <w:trHeight w:val="216"/>
        </w:trPr>
        <w:tc>
          <w:tcPr>
            <w:tcW w:w="7000" w:type="dxa"/>
            <w:vAlign w:val="bottom"/>
            <w:tcBorders>
              <w:bottom w:val="single" w:sz="8" w:color="auto"/>
            </w:tcBorders>
          </w:tcPr>
          <w:p>
            <w:pPr>
              <w:spacing w:after="0" w:line="195" w:lineRule="exact"/>
              <w:rPr>
                <w:sz w:val="20"/>
                <w:szCs w:val="20"/>
                <w:color w:val="auto"/>
              </w:rPr>
            </w:pPr>
            <w:r>
              <w:rPr>
                <w:rFonts w:ascii="Arial" w:cs="Arial" w:eastAsia="Arial" w:hAnsi="Arial"/>
                <w:sz w:val="18"/>
                <w:szCs w:val="18"/>
                <w:color w:val="auto"/>
              </w:rPr>
              <w:t>Balance at March 31, 2021</w:t>
            </w:r>
          </w:p>
        </w:tc>
        <w:tc>
          <w:tcPr>
            <w:tcW w:w="1500" w:type="dxa"/>
            <w:vAlign w:val="bottom"/>
            <w:tcBorders>
              <w:bottom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154,489</w:t>
            </w:r>
          </w:p>
        </w:tc>
        <w:tc>
          <w:tcPr>
            <w:tcW w:w="28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44.91</w:t>
            </w:r>
          </w:p>
        </w:tc>
        <w:tc>
          <w:tcPr>
            <w:tcW w:w="20" w:type="dxa"/>
            <w:vAlign w:val="bottom"/>
            <w:tcBorders>
              <w:bottom w:val="single" w:sz="8" w:color="auto"/>
            </w:tcBorders>
          </w:tcPr>
          <w:p>
            <w:pPr>
              <w:spacing w:after="0"/>
              <w:rPr>
                <w:sz w:val="18"/>
                <w:szCs w:val="18"/>
                <w:color w:val="auto"/>
              </w:rPr>
            </w:pPr>
          </w:p>
        </w:tc>
      </w:tr>
    </w:tbl>
    <w:p>
      <w:pPr>
        <w:spacing w:after="0" w:line="3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Performance-Based Restricted Stock</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granted three-year performance based restricted stock (“PBRS”) awards which are contingent upon the Company’s achievement of pre-established financial goals over a three year cliff vest period. The number of shares issued ranges from 0% to 150% of the target opportunity based on the actual achievement of financial goals for the three-year performance period.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Following is a summary of the activity of the PBRS, based on target value:</w:t>
            </w:r>
          </w:p>
        </w:tc>
        <w:tc>
          <w:tcPr>
            <w:tcW w:w="1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72"/>
        </w:trPr>
        <w:tc>
          <w:tcPr>
            <w:tcW w:w="7000" w:type="dxa"/>
            <w:vAlign w:val="bottom"/>
          </w:tcPr>
          <w:p>
            <w:pPr>
              <w:spacing w:after="0"/>
              <w:rPr>
                <w:sz w:val="24"/>
                <w:szCs w:val="24"/>
                <w:color w:val="auto"/>
              </w:rPr>
            </w:pPr>
          </w:p>
        </w:tc>
        <w:tc>
          <w:tcPr>
            <w:tcW w:w="300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92"/>
              </w:rPr>
              <w:t>Three Months Ended</w:t>
            </w:r>
          </w:p>
        </w:tc>
      </w:tr>
      <w:tr>
        <w:trPr>
          <w:trHeight w:val="241"/>
        </w:trPr>
        <w:tc>
          <w:tcPr>
            <w:tcW w:w="7000" w:type="dxa"/>
            <w:vAlign w:val="bottom"/>
          </w:tcPr>
          <w:p>
            <w:pPr>
              <w:spacing w:after="0"/>
              <w:rPr>
                <w:sz w:val="20"/>
                <w:szCs w:val="20"/>
                <w:color w:val="auto"/>
              </w:rPr>
            </w:pPr>
          </w:p>
        </w:tc>
        <w:tc>
          <w:tcPr>
            <w:tcW w:w="300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2"/>
              </w:rPr>
              <w:t>March 31, 2021</w:t>
            </w:r>
          </w:p>
        </w:tc>
      </w:tr>
      <w:tr>
        <w:trPr>
          <w:trHeight w:val="222"/>
        </w:trPr>
        <w:tc>
          <w:tcPr>
            <w:tcW w:w="7000" w:type="dxa"/>
            <w:vAlign w:val="bottom"/>
            <w:tcBorders>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Shares</w:t>
            </w:r>
          </w:p>
        </w:tc>
        <w:tc>
          <w:tcPr>
            <w:tcW w:w="2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Fair Value</w:t>
            </w:r>
          </w:p>
        </w:tc>
        <w:tc>
          <w:tcPr>
            <w:tcW w:w="20" w:type="dxa"/>
            <w:vAlign w:val="bottom"/>
          </w:tcPr>
          <w:p>
            <w:pPr>
              <w:spacing w:after="0"/>
              <w:rPr>
                <w:sz w:val="19"/>
                <w:szCs w:val="19"/>
                <w:color w:val="auto"/>
              </w:rPr>
            </w:pPr>
          </w:p>
        </w:tc>
      </w:tr>
      <w:tr>
        <w:trPr>
          <w:trHeight w:val="215"/>
        </w:trPr>
        <w:tc>
          <w:tcPr>
            <w:tcW w:w="7000" w:type="dxa"/>
            <w:vAlign w:val="bottom"/>
            <w:shd w:val="clear" w:color="auto" w:fill="B2B2B2"/>
          </w:tcPr>
          <w:p>
            <w:pPr>
              <w:spacing w:after="0"/>
              <w:rPr>
                <w:sz w:val="20"/>
                <w:szCs w:val="20"/>
                <w:color w:val="auto"/>
              </w:rPr>
            </w:pPr>
            <w:r>
              <w:rPr>
                <w:rFonts w:ascii="Arial" w:cs="Arial" w:eastAsia="Arial" w:hAnsi="Arial"/>
                <w:sz w:val="18"/>
                <w:szCs w:val="18"/>
                <w:color w:val="auto"/>
              </w:rPr>
              <w:t>Balance at December 31, 2020</w:t>
            </w:r>
          </w:p>
        </w:tc>
        <w:tc>
          <w:tcPr>
            <w:tcW w:w="150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98,410</w:t>
            </w:r>
          </w:p>
        </w:tc>
        <w:tc>
          <w:tcPr>
            <w:tcW w:w="2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50.64</w:t>
            </w:r>
          </w:p>
        </w:tc>
        <w:tc>
          <w:tcPr>
            <w:tcW w:w="20" w:type="dxa"/>
            <w:vAlign w:val="bottom"/>
          </w:tcPr>
          <w:p>
            <w:pPr>
              <w:spacing w:after="0"/>
              <w:rPr>
                <w:sz w:val="18"/>
                <w:szCs w:val="18"/>
                <w:color w:val="auto"/>
              </w:rPr>
            </w:pPr>
          </w:p>
        </w:tc>
      </w:tr>
      <w:tr>
        <w:trPr>
          <w:trHeight w:val="215"/>
        </w:trPr>
        <w:tc>
          <w:tcPr>
            <w:tcW w:w="7000" w:type="dxa"/>
            <w:vAlign w:val="bottom"/>
          </w:tcPr>
          <w:p>
            <w:pPr>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52,240</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40.74</w:t>
            </w:r>
          </w:p>
        </w:tc>
        <w:tc>
          <w:tcPr>
            <w:tcW w:w="20" w:type="dxa"/>
            <w:vAlign w:val="bottom"/>
          </w:tcPr>
          <w:p>
            <w:pPr>
              <w:spacing w:after="0"/>
              <w:rPr>
                <w:sz w:val="18"/>
                <w:szCs w:val="18"/>
                <w:color w:val="auto"/>
              </w:rPr>
            </w:pPr>
          </w:p>
        </w:tc>
      </w:tr>
      <w:tr>
        <w:trPr>
          <w:trHeight w:val="215"/>
        </w:trPr>
        <w:tc>
          <w:tcPr>
            <w:tcW w:w="7000" w:type="dxa"/>
            <w:vAlign w:val="bottom"/>
            <w:tcBorders>
              <w:bottom w:val="single" w:sz="8" w:color="auto"/>
            </w:tcBorders>
            <w:shd w:val="clear" w:color="auto" w:fill="B2B2B2"/>
          </w:tcPr>
          <w:p>
            <w:pPr>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auto"/>
            </w:tcBorders>
            <w:shd w:val="clear" w:color="auto" w:fill="B2B2B2"/>
          </w:tcPr>
          <w:p>
            <w:pPr>
              <w:jc w:val="right"/>
              <w:ind w:right="10"/>
              <w:spacing w:after="0"/>
              <w:rPr>
                <w:sz w:val="20"/>
                <w:szCs w:val="20"/>
                <w:color w:val="auto"/>
              </w:rPr>
            </w:pPr>
            <w:r>
              <w:rPr>
                <w:rFonts w:ascii="Arial" w:cs="Arial" w:eastAsia="Arial" w:hAnsi="Arial"/>
                <w:sz w:val="18"/>
                <w:szCs w:val="18"/>
                <w:color w:val="auto"/>
              </w:rPr>
              <w:t>(31,451)</w:t>
            </w:r>
          </w:p>
        </w:tc>
        <w:tc>
          <w:tcPr>
            <w:tcW w:w="280" w:type="dxa"/>
            <w:vAlign w:val="bottom"/>
            <w:tcBorders>
              <w:bottom w:val="single" w:sz="8" w:color="auto"/>
            </w:tcBorders>
            <w:shd w:val="clear" w:color="auto" w:fill="B2B2B2"/>
          </w:tcPr>
          <w:p>
            <w:pPr>
              <w:spacing w:after="0"/>
              <w:rPr>
                <w:sz w:val="18"/>
                <w:szCs w:val="18"/>
                <w:color w:val="auto"/>
              </w:rPr>
            </w:pPr>
          </w:p>
        </w:tc>
        <w:tc>
          <w:tcPr>
            <w:tcW w:w="120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48.63</w:t>
            </w:r>
          </w:p>
        </w:tc>
        <w:tc>
          <w:tcPr>
            <w:tcW w:w="20" w:type="dxa"/>
            <w:vAlign w:val="bottom"/>
          </w:tcPr>
          <w:p>
            <w:pPr>
              <w:spacing w:after="0"/>
              <w:rPr>
                <w:sz w:val="18"/>
                <w:szCs w:val="18"/>
                <w:color w:val="auto"/>
              </w:rPr>
            </w:pPr>
          </w:p>
        </w:tc>
      </w:tr>
      <w:tr>
        <w:trPr>
          <w:trHeight w:val="216"/>
        </w:trPr>
        <w:tc>
          <w:tcPr>
            <w:tcW w:w="7000" w:type="dxa"/>
            <w:vAlign w:val="bottom"/>
            <w:tcBorders>
              <w:bottom w:val="single" w:sz="8" w:color="auto"/>
            </w:tcBorders>
          </w:tcPr>
          <w:p>
            <w:pPr>
              <w:spacing w:after="0" w:line="195" w:lineRule="exact"/>
              <w:rPr>
                <w:sz w:val="20"/>
                <w:szCs w:val="20"/>
                <w:color w:val="auto"/>
              </w:rPr>
            </w:pPr>
            <w:r>
              <w:rPr>
                <w:rFonts w:ascii="Arial" w:cs="Arial" w:eastAsia="Arial" w:hAnsi="Arial"/>
                <w:sz w:val="18"/>
                <w:szCs w:val="18"/>
                <w:color w:val="auto"/>
              </w:rPr>
              <w:t>Balance at March 31, 2021</w:t>
            </w:r>
          </w:p>
        </w:tc>
        <w:tc>
          <w:tcPr>
            <w:tcW w:w="1500" w:type="dxa"/>
            <w:vAlign w:val="bottom"/>
            <w:tcBorders>
              <w:bottom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119,199</w:t>
            </w:r>
          </w:p>
        </w:tc>
        <w:tc>
          <w:tcPr>
            <w:tcW w:w="28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46.79</w:t>
            </w:r>
          </w:p>
        </w:tc>
        <w:tc>
          <w:tcPr>
            <w:tcW w:w="20" w:type="dxa"/>
            <w:vAlign w:val="bottom"/>
            <w:tcBorders>
              <w:bottom w:val="single" w:sz="8" w:color="auto"/>
            </w:tcBorders>
          </w:tcPr>
          <w:p>
            <w:pPr>
              <w:spacing w:after="0"/>
              <w:rPr>
                <w:sz w:val="18"/>
                <w:szCs w:val="18"/>
                <w:color w:val="auto"/>
              </w:rPr>
            </w:pPr>
          </w:p>
        </w:tc>
      </w:tr>
    </w:tbl>
    <w:p>
      <w:pPr>
        <w:spacing w:after="0" w:line="36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PBRS that vested during the three months ended March 31, 2021 achieved financial goals of 94.4%, resulting in the issuance of 29,688 shares of common stock. The outstanding PBRS at March 31, 2021 will vest at scheduled vesting dates and the actual number of shares of common stock issued will range from 0% to 150% of the target opportunity based on the actual achievement of financial goals for the respective three-year performance period.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SARs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There were no SARs granted and no expense recognized during the three months ended March 31, 2021. Following is a summary of the activity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Company’s SARs program for the three-month period ended March 31, 2021:</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Weighted-</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160" w:type="dxa"/>
            <w:vAlign w:val="bottom"/>
          </w:tcPr>
          <w:p>
            <w:pPr>
              <w:spacing w:after="0"/>
              <w:rPr>
                <w:sz w:val="18"/>
                <w:szCs w:val="18"/>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Aggregate</w:t>
            </w:r>
          </w:p>
        </w:tc>
      </w:tr>
      <w:tr>
        <w:trPr>
          <w:trHeight w:val="215"/>
        </w:trPr>
        <w:tc>
          <w:tcPr>
            <w:tcW w:w="6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Average</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160" w:type="dxa"/>
            <w:vAlign w:val="bottom"/>
          </w:tcPr>
          <w:p>
            <w:pPr>
              <w:spacing w:after="0"/>
              <w:rPr>
                <w:sz w:val="18"/>
                <w:szCs w:val="18"/>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Intrinsic</w:t>
            </w:r>
          </w:p>
        </w:tc>
      </w:tr>
      <w:tr>
        <w:trPr>
          <w:trHeight w:val="215"/>
        </w:trPr>
        <w:tc>
          <w:tcPr>
            <w:tcW w:w="6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center"/>
              <w:ind w:right="130"/>
              <w:spacing w:after="0"/>
              <w:rPr>
                <w:sz w:val="20"/>
                <w:szCs w:val="20"/>
                <w:color w:val="auto"/>
              </w:rPr>
            </w:pPr>
            <w:r>
              <w:rPr>
                <w:rFonts w:ascii="Arial" w:cs="Arial" w:eastAsia="Arial" w:hAnsi="Arial"/>
                <w:sz w:val="18"/>
                <w:szCs w:val="18"/>
                <w:b w:val="1"/>
                <w:bCs w:val="1"/>
                <w:color w:val="auto"/>
                <w:w w:val="86"/>
              </w:rPr>
              <w:t>Exercise</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1"/>
              </w:rPr>
              <w:t>Contractual</w:t>
            </w:r>
          </w:p>
        </w:tc>
        <w:tc>
          <w:tcPr>
            <w:tcW w:w="160" w:type="dxa"/>
            <w:vAlign w:val="bottom"/>
          </w:tcPr>
          <w:p>
            <w:pPr>
              <w:spacing w:after="0"/>
              <w:rPr>
                <w:sz w:val="18"/>
                <w:szCs w:val="18"/>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Value</w:t>
            </w:r>
          </w:p>
        </w:tc>
      </w:tr>
      <w:tr>
        <w:trPr>
          <w:trHeight w:val="241"/>
        </w:trPr>
        <w:tc>
          <w:tcPr>
            <w:tcW w:w="6540" w:type="dxa"/>
            <w:vAlign w:val="bottom"/>
          </w:tcPr>
          <w:p>
            <w:pPr>
              <w:spacing w:after="0"/>
              <w:rPr>
                <w:sz w:val="20"/>
                <w:szCs w:val="20"/>
                <w:color w:val="auto"/>
              </w:rPr>
            </w:pPr>
          </w:p>
        </w:tc>
        <w:tc>
          <w:tcPr>
            <w:tcW w:w="980" w:type="dxa"/>
            <w:vAlign w:val="bottom"/>
          </w:tcPr>
          <w:p>
            <w:pPr>
              <w:jc w:val="right"/>
              <w:ind w:right="190"/>
              <w:spacing w:after="0"/>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20"/>
                <w:szCs w:val="20"/>
                <w:color w:val="auto"/>
              </w:rPr>
            </w:pPr>
          </w:p>
        </w:tc>
        <w:tc>
          <w:tcPr>
            <w:tcW w:w="106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Price</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9"/>
              </w:rPr>
              <w:t>Term Years</w:t>
            </w:r>
          </w:p>
        </w:tc>
        <w:tc>
          <w:tcPr>
            <w:tcW w:w="160" w:type="dxa"/>
            <w:vAlign w:val="bottom"/>
          </w:tcPr>
          <w:p>
            <w:pPr>
              <w:spacing w:after="0"/>
              <w:rPr>
                <w:sz w:val="20"/>
                <w:szCs w:val="20"/>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8"/>
                <w:szCs w:val="18"/>
                <w:b w:val="1"/>
                <w:bCs w:val="1"/>
                <w:i w:val="1"/>
                <w:iCs w:val="1"/>
                <w:color w:val="auto"/>
                <w:w w:val="88"/>
              </w:rPr>
              <w:t>(In thousands)</w:t>
            </w:r>
          </w:p>
        </w:tc>
      </w:tr>
      <w:tr>
        <w:trPr>
          <w:trHeight w:val="215"/>
        </w:trPr>
        <w:tc>
          <w:tcPr>
            <w:tcW w:w="6540" w:type="dxa"/>
            <w:vAlign w:val="bottom"/>
            <w:tcBorders>
              <w:top w:val="single" w:sz="8" w:color="auto"/>
            </w:tcBorders>
            <w:shd w:val="clear" w:color="auto" w:fill="B2B2B2"/>
          </w:tcPr>
          <w:p>
            <w:pPr>
              <w:spacing w:after="0"/>
              <w:rPr>
                <w:sz w:val="20"/>
                <w:szCs w:val="20"/>
                <w:color w:val="auto"/>
              </w:rPr>
            </w:pPr>
            <w:r>
              <w:rPr>
                <w:rFonts w:ascii="Arial" w:cs="Arial" w:eastAsia="Arial" w:hAnsi="Arial"/>
                <w:sz w:val="18"/>
                <w:szCs w:val="18"/>
                <w:color w:val="auto"/>
              </w:rPr>
              <w:t>Balance at December 31, 2020</w:t>
            </w:r>
          </w:p>
        </w:tc>
        <w:tc>
          <w:tcPr>
            <w:tcW w:w="98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144,999</w:t>
            </w:r>
          </w:p>
        </w:tc>
        <w:tc>
          <w:tcPr>
            <w:tcW w:w="18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32.99</w:t>
            </w:r>
          </w:p>
        </w:tc>
        <w:tc>
          <w:tcPr>
            <w:tcW w:w="110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1.95</w:t>
            </w:r>
          </w:p>
        </w:tc>
        <w:tc>
          <w:tcPr>
            <w:tcW w:w="16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1,095</w:t>
            </w:r>
          </w:p>
        </w:tc>
        <w:tc>
          <w:tcPr>
            <w:tcW w:w="20" w:type="dxa"/>
            <w:vAlign w:val="bottom"/>
          </w:tcPr>
          <w:p>
            <w:pPr>
              <w:spacing w:after="0"/>
              <w:rPr>
                <w:sz w:val="18"/>
                <w:szCs w:val="18"/>
                <w:color w:val="auto"/>
              </w:rPr>
            </w:pPr>
          </w:p>
        </w:tc>
      </w:tr>
      <w:tr>
        <w:trPr>
          <w:trHeight w:val="215"/>
        </w:trPr>
        <w:tc>
          <w:tcPr>
            <w:tcW w:w="6540" w:type="dxa"/>
            <w:vAlign w:val="bottom"/>
          </w:tcPr>
          <w:p>
            <w:pPr>
              <w:spacing w:after="0"/>
              <w:rPr>
                <w:sz w:val="20"/>
                <w:szCs w:val="20"/>
                <w:color w:val="auto"/>
              </w:rPr>
            </w:pPr>
            <w:r>
              <w:rPr>
                <w:rFonts w:ascii="Arial" w:cs="Arial" w:eastAsia="Arial" w:hAnsi="Arial"/>
                <w:sz w:val="18"/>
                <w:szCs w:val="18"/>
                <w:color w:val="auto"/>
              </w:rPr>
              <w:t>Exercised</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(20,560)</w:t>
            </w: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24.12</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6540" w:type="dxa"/>
            <w:vAlign w:val="bottom"/>
            <w:tcBorders>
              <w:bottom w:val="single" w:sz="8" w:color="auto"/>
            </w:tcBorders>
            <w:shd w:val="clear" w:color="auto" w:fill="B2B2B2"/>
          </w:tcPr>
          <w:p>
            <w:pPr>
              <w:spacing w:after="0" w:line="195" w:lineRule="exact"/>
              <w:rPr>
                <w:sz w:val="20"/>
                <w:szCs w:val="20"/>
                <w:color w:val="auto"/>
              </w:rPr>
            </w:pPr>
            <w:r>
              <w:rPr>
                <w:rFonts w:ascii="Arial" w:cs="Arial" w:eastAsia="Arial" w:hAnsi="Arial"/>
                <w:sz w:val="18"/>
                <w:szCs w:val="18"/>
                <w:color w:val="auto"/>
              </w:rPr>
              <w:t>Exercisable at March 31, 2021</w:t>
            </w:r>
          </w:p>
        </w:tc>
        <w:tc>
          <w:tcPr>
            <w:tcW w:w="980" w:type="dxa"/>
            <w:vAlign w:val="bottom"/>
            <w:tcBorders>
              <w:bottom w:val="single" w:sz="8" w:color="auto"/>
            </w:tcBorders>
            <w:shd w:val="clear" w:color="auto" w:fill="B2B2B2"/>
          </w:tcPr>
          <w:p>
            <w:pPr>
              <w:jc w:val="right"/>
              <w:spacing w:after="0" w:line="195" w:lineRule="exact"/>
              <w:rPr>
                <w:sz w:val="20"/>
                <w:szCs w:val="20"/>
                <w:color w:val="auto"/>
              </w:rPr>
            </w:pPr>
            <w:r>
              <w:rPr>
                <w:rFonts w:ascii="Arial" w:cs="Arial" w:eastAsia="Arial" w:hAnsi="Arial"/>
                <w:sz w:val="18"/>
                <w:szCs w:val="18"/>
                <w:color w:val="auto"/>
              </w:rPr>
              <w:t>124,439</w:t>
            </w:r>
          </w:p>
        </w:tc>
        <w:tc>
          <w:tcPr>
            <w:tcW w:w="180" w:type="dxa"/>
            <w:vAlign w:val="bottom"/>
            <w:tcBorders>
              <w:bottom w:val="single" w:sz="8" w:color="auto"/>
            </w:tcBorders>
            <w:shd w:val="clear" w:color="auto" w:fill="B2B2B2"/>
          </w:tcPr>
          <w:p>
            <w:pPr>
              <w:jc w:val="right"/>
              <w:spacing w:after="0" w:line="195"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B2B2B2"/>
          </w:tcPr>
          <w:p>
            <w:pPr>
              <w:jc w:val="right"/>
              <w:spacing w:after="0" w:line="195" w:lineRule="exact"/>
              <w:rPr>
                <w:sz w:val="20"/>
                <w:szCs w:val="20"/>
                <w:color w:val="auto"/>
              </w:rPr>
            </w:pPr>
            <w:r>
              <w:rPr>
                <w:rFonts w:ascii="Arial" w:cs="Arial" w:eastAsia="Arial" w:hAnsi="Arial"/>
                <w:sz w:val="18"/>
                <w:szCs w:val="18"/>
                <w:color w:val="auto"/>
              </w:rPr>
              <w:t>34.46</w:t>
            </w:r>
          </w:p>
        </w:tc>
        <w:tc>
          <w:tcPr>
            <w:tcW w:w="1100" w:type="dxa"/>
            <w:vAlign w:val="bottom"/>
            <w:tcBorders>
              <w:bottom w:val="single" w:sz="8" w:color="auto"/>
            </w:tcBorders>
            <w:shd w:val="clear" w:color="auto" w:fill="B2B2B2"/>
          </w:tcPr>
          <w:p>
            <w:pPr>
              <w:jc w:val="right"/>
              <w:spacing w:after="0" w:line="195" w:lineRule="exact"/>
              <w:rPr>
                <w:sz w:val="20"/>
                <w:szCs w:val="20"/>
                <w:color w:val="auto"/>
              </w:rPr>
            </w:pPr>
            <w:r>
              <w:rPr>
                <w:rFonts w:ascii="Arial" w:cs="Arial" w:eastAsia="Arial" w:hAnsi="Arial"/>
                <w:sz w:val="18"/>
                <w:szCs w:val="18"/>
                <w:color w:val="auto"/>
              </w:rPr>
              <w:t>1.92</w:t>
            </w:r>
          </w:p>
        </w:tc>
        <w:tc>
          <w:tcPr>
            <w:tcW w:w="160" w:type="dxa"/>
            <w:vAlign w:val="bottom"/>
            <w:tcBorders>
              <w:bottom w:val="single" w:sz="8" w:color="auto"/>
            </w:tcBorders>
            <w:shd w:val="clear" w:color="auto" w:fill="B2B2B2"/>
          </w:tcPr>
          <w:p>
            <w:pPr>
              <w:jc w:val="right"/>
              <w:spacing w:after="0" w:line="195" w:lineRule="exact"/>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B2B2B2"/>
          </w:tcPr>
          <w:p>
            <w:pPr>
              <w:jc w:val="right"/>
              <w:spacing w:after="0" w:line="195" w:lineRule="exact"/>
              <w:rPr>
                <w:sz w:val="20"/>
                <w:szCs w:val="20"/>
                <w:color w:val="auto"/>
              </w:rPr>
            </w:pPr>
            <w:r>
              <w:rPr>
                <w:rFonts w:ascii="Arial" w:cs="Arial" w:eastAsia="Arial" w:hAnsi="Arial"/>
                <w:sz w:val="18"/>
                <w:szCs w:val="18"/>
                <w:color w:val="auto"/>
              </w:rPr>
              <w:t>1,483</w:t>
            </w:r>
          </w:p>
        </w:tc>
        <w:tc>
          <w:tcPr>
            <w:tcW w:w="20" w:type="dxa"/>
            <w:vAlign w:val="bottom"/>
            <w:tcBorders>
              <w:bottom w:val="single" w:sz="8" w:color="auto"/>
            </w:tcBorders>
          </w:tcPr>
          <w:p>
            <w:pPr>
              <w:spacing w:after="0"/>
              <w:rPr>
                <w:sz w:val="18"/>
                <w:szCs w:val="18"/>
                <w:color w:val="auto"/>
              </w:rPr>
            </w:pPr>
          </w:p>
        </w:tc>
      </w:tr>
    </w:tbl>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There were no non-vested SARs at March 31, 2021.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8355" cy="596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355" cy="5969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Note 9 – Defined Pension Plans</w:t>
      </w:r>
    </w:p>
    <w:p>
      <w:pPr>
        <w:spacing w:after="0" w:line="21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has a noncontributory defined-benefit pension plan (the “Plan”), which covers eligible employees. Effective December 31, 2016, the Plan was closed to all new participants. Additionally, the Plan’s benefits were frozen for all remaining participants as of February 28, 2021. The Company accrues and makes contributions designed to fund normal service costs on a current basis using the projected unit credit with service proration method to amortize prior service costs arising from improvements in pension benefits and qualifying service prior to the establishment of the plan over a period of approximately 30 years.</w:t>
      </w:r>
    </w:p>
    <w:p>
      <w:pPr>
        <w:spacing w:after="0" w:line="16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Disclosure information is based on a measurement date of December 31 of the corresponding year. The following table represents the components of the net periodic pension costs: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40" w:type="dxa"/>
            <w:vAlign w:val="bottom"/>
          </w:tcPr>
          <w:p>
            <w:pPr>
              <w:jc w:val="right"/>
              <w:ind w:right="290"/>
              <w:spacing w:after="0"/>
              <w:rPr>
                <w:sz w:val="20"/>
                <w:szCs w:val="20"/>
                <w:color w:val="auto"/>
              </w:rPr>
            </w:pPr>
            <w:r>
              <w:rPr>
                <w:rFonts w:ascii="Arial" w:cs="Arial" w:eastAsia="Arial" w:hAnsi="Arial"/>
                <w:sz w:val="18"/>
                <w:szCs w:val="18"/>
                <w:b w:val="1"/>
                <w:bCs w:val="1"/>
                <w:color w:val="auto"/>
                <w:w w:val="97"/>
              </w:rPr>
              <w:t>Estimated</w:t>
            </w:r>
          </w:p>
        </w:tc>
        <w:tc>
          <w:tcPr>
            <w:tcW w:w="260" w:type="dxa"/>
            <w:vAlign w:val="bottom"/>
          </w:tcPr>
          <w:p>
            <w:pPr>
              <w:spacing w:after="0"/>
              <w:rPr>
                <w:sz w:val="18"/>
                <w:szCs w:val="18"/>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b w:val="1"/>
                <w:bCs w:val="1"/>
                <w:color w:val="auto"/>
              </w:rPr>
              <w:t>Actual</w:t>
            </w:r>
          </w:p>
        </w:tc>
      </w:tr>
      <w:tr>
        <w:trPr>
          <w:trHeight w:val="241"/>
        </w:trPr>
        <w:tc>
          <w:tcPr>
            <w:tcW w:w="5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27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r>
      <w:tr>
        <w:trPr>
          <w:trHeight w:val="215"/>
        </w:trPr>
        <w:tc>
          <w:tcPr>
            <w:tcW w:w="5880" w:type="dxa"/>
            <w:vAlign w:val="bottom"/>
            <w:shd w:val="clear" w:color="auto" w:fill="B2B2B2"/>
          </w:tcPr>
          <w:p>
            <w:pPr>
              <w:spacing w:after="0"/>
              <w:rPr>
                <w:sz w:val="20"/>
                <w:szCs w:val="20"/>
                <w:color w:val="auto"/>
              </w:rPr>
            </w:pPr>
            <w:r>
              <w:rPr>
                <w:rFonts w:ascii="Arial" w:cs="Arial" w:eastAsia="Arial" w:hAnsi="Arial"/>
                <w:sz w:val="18"/>
                <w:szCs w:val="18"/>
                <w:color w:val="auto"/>
              </w:rPr>
              <w:t>Service cost – benefits earned during the year</w:t>
            </w:r>
          </w:p>
        </w:tc>
        <w:tc>
          <w:tcPr>
            <w:tcW w:w="27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963</w:t>
            </w:r>
          </w:p>
        </w:tc>
        <w:tc>
          <w:tcPr>
            <w:tcW w:w="260" w:type="dxa"/>
            <w:vAlign w:val="bottom"/>
            <w:shd w:val="clear" w:color="auto" w:fill="B2B2B2"/>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4,329</w:t>
            </w:r>
          </w:p>
        </w:tc>
        <w:tc>
          <w:tcPr>
            <w:tcW w:w="20" w:type="dxa"/>
            <w:vAlign w:val="bottom"/>
          </w:tcPr>
          <w:p>
            <w:pPr>
              <w:spacing w:after="0"/>
              <w:rPr>
                <w:sz w:val="18"/>
                <w:szCs w:val="18"/>
                <w:color w:val="auto"/>
              </w:rPr>
            </w:pPr>
          </w:p>
        </w:tc>
      </w:tr>
      <w:tr>
        <w:trPr>
          <w:trHeight w:val="215"/>
        </w:trPr>
        <w:tc>
          <w:tcPr>
            <w:tcW w:w="5880" w:type="dxa"/>
            <w:vAlign w:val="bottom"/>
          </w:tcPr>
          <w:p>
            <w:pPr>
              <w:spacing w:after="0"/>
              <w:rPr>
                <w:sz w:val="20"/>
                <w:szCs w:val="20"/>
                <w:color w:val="auto"/>
              </w:rPr>
            </w:pPr>
            <w:r>
              <w:rPr>
                <w:rFonts w:ascii="Arial" w:cs="Arial" w:eastAsia="Arial" w:hAnsi="Arial"/>
                <w:sz w:val="18"/>
                <w:szCs w:val="18"/>
                <w:color w:val="auto"/>
              </w:rPr>
              <w:t>Interest cost on projected benefit obligations</w:t>
            </w:r>
          </w:p>
        </w:tc>
        <w:tc>
          <w:tcPr>
            <w:tcW w:w="278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3,069</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3,908</w:t>
            </w:r>
          </w:p>
        </w:tc>
        <w:tc>
          <w:tcPr>
            <w:tcW w:w="20" w:type="dxa"/>
            <w:vAlign w:val="bottom"/>
          </w:tcPr>
          <w:p>
            <w:pPr>
              <w:spacing w:after="0"/>
              <w:rPr>
                <w:sz w:val="18"/>
                <w:szCs w:val="18"/>
                <w:color w:val="auto"/>
              </w:rPr>
            </w:pPr>
          </w:p>
        </w:tc>
      </w:tr>
      <w:tr>
        <w:trPr>
          <w:trHeight w:val="215"/>
        </w:trPr>
        <w:tc>
          <w:tcPr>
            <w:tcW w:w="5880" w:type="dxa"/>
            <w:vAlign w:val="bottom"/>
            <w:shd w:val="clear" w:color="auto" w:fill="B2B2B2"/>
          </w:tcPr>
          <w:p>
            <w:pPr>
              <w:spacing w:after="0"/>
              <w:rPr>
                <w:sz w:val="20"/>
                <w:szCs w:val="20"/>
                <w:color w:val="auto"/>
              </w:rPr>
            </w:pPr>
            <w:r>
              <w:rPr>
                <w:rFonts w:ascii="Arial" w:cs="Arial" w:eastAsia="Arial" w:hAnsi="Arial"/>
                <w:sz w:val="18"/>
                <w:szCs w:val="18"/>
                <w:color w:val="auto"/>
              </w:rPr>
              <w:t>Expected return on plan assets</w:t>
            </w:r>
          </w:p>
        </w:tc>
        <w:tc>
          <w:tcPr>
            <w:tcW w:w="2780" w:type="dxa"/>
            <w:vAlign w:val="bottom"/>
            <w:shd w:val="clear" w:color="auto" w:fill="B2B2B2"/>
          </w:tcPr>
          <w:p>
            <w:pPr>
              <w:spacing w:after="0"/>
              <w:rPr>
                <w:sz w:val="18"/>
                <w:szCs w:val="18"/>
                <w:color w:val="auto"/>
              </w:rPr>
            </w:pPr>
          </w:p>
        </w:tc>
        <w:tc>
          <w:tcPr>
            <w:tcW w:w="124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(6,299)</w:t>
            </w:r>
          </w:p>
        </w:tc>
        <w:tc>
          <w:tcPr>
            <w:tcW w:w="260" w:type="dxa"/>
            <w:vAlign w:val="bottom"/>
            <w:shd w:val="clear" w:color="auto" w:fill="B2B2B2"/>
          </w:tcPr>
          <w:p>
            <w:pPr>
              <w:spacing w:after="0"/>
              <w:rPr>
                <w:sz w:val="18"/>
                <w:szCs w:val="18"/>
                <w:color w:val="auto"/>
              </w:rPr>
            </w:pPr>
          </w:p>
        </w:tc>
        <w:tc>
          <w:tcPr>
            <w:tcW w:w="10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(6,049)</w:t>
            </w:r>
          </w:p>
        </w:tc>
        <w:tc>
          <w:tcPr>
            <w:tcW w:w="20" w:type="dxa"/>
            <w:vAlign w:val="bottom"/>
          </w:tcPr>
          <w:p>
            <w:pPr>
              <w:spacing w:after="0"/>
              <w:rPr>
                <w:sz w:val="18"/>
                <w:szCs w:val="18"/>
                <w:color w:val="auto"/>
              </w:rPr>
            </w:pPr>
          </w:p>
        </w:tc>
      </w:tr>
      <w:tr>
        <w:trPr>
          <w:trHeight w:val="215"/>
        </w:trPr>
        <w:tc>
          <w:tcPr>
            <w:tcW w:w="5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amortization</w:t>
            </w:r>
          </w:p>
        </w:tc>
        <w:tc>
          <w:tcPr>
            <w:tcW w:w="27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360</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1,946</w:t>
            </w:r>
          </w:p>
        </w:tc>
        <w:tc>
          <w:tcPr>
            <w:tcW w:w="20" w:type="dxa"/>
            <w:vAlign w:val="bottom"/>
          </w:tcPr>
          <w:p>
            <w:pPr>
              <w:spacing w:after="0"/>
              <w:rPr>
                <w:sz w:val="18"/>
                <w:szCs w:val="18"/>
                <w:color w:val="auto"/>
              </w:rPr>
            </w:pPr>
          </w:p>
        </w:tc>
      </w:tr>
      <w:tr>
        <w:trPr>
          <w:trHeight w:val="216"/>
        </w:trPr>
        <w:tc>
          <w:tcPr>
            <w:tcW w:w="5880" w:type="dxa"/>
            <w:vAlign w:val="bottom"/>
            <w:tcBorders>
              <w:bottom w:val="single" w:sz="8" w:color="auto"/>
            </w:tcBorders>
            <w:shd w:val="clear" w:color="auto" w:fill="B2B2B2"/>
          </w:tcPr>
          <w:p>
            <w:pPr>
              <w:ind w:left="180"/>
              <w:spacing w:after="0" w:line="195" w:lineRule="exact"/>
              <w:rPr>
                <w:sz w:val="20"/>
                <w:szCs w:val="20"/>
                <w:color w:val="auto"/>
              </w:rPr>
            </w:pPr>
            <w:r>
              <w:rPr>
                <w:rFonts w:ascii="Arial" w:cs="Arial" w:eastAsia="Arial" w:hAnsi="Arial"/>
                <w:sz w:val="18"/>
                <w:szCs w:val="18"/>
                <w:color w:val="auto"/>
              </w:rPr>
              <w:t>Net periodic pension (benefit) cost</w:t>
            </w:r>
          </w:p>
        </w:tc>
        <w:tc>
          <w:tcPr>
            <w:tcW w:w="2780" w:type="dxa"/>
            <w:vAlign w:val="bottom"/>
            <w:tcBorders>
              <w:bottom w:val="single" w:sz="8" w:color="auto"/>
            </w:tcBorders>
            <w:shd w:val="clear" w:color="auto" w:fill="B2B2B2"/>
          </w:tcPr>
          <w:p>
            <w:pPr>
              <w:jc w:val="right"/>
              <w:spacing w:after="0" w:line="195" w:lineRule="exact"/>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B2B2B2"/>
          </w:tcPr>
          <w:p>
            <w:pPr>
              <w:jc w:val="right"/>
              <w:spacing w:after="0" w:line="195" w:lineRule="exact"/>
              <w:rPr>
                <w:sz w:val="20"/>
                <w:szCs w:val="20"/>
                <w:color w:val="auto"/>
              </w:rPr>
            </w:pPr>
            <w:r>
              <w:rPr>
                <w:rFonts w:ascii="Arial" w:cs="Arial" w:eastAsia="Arial" w:hAnsi="Arial"/>
                <w:sz w:val="18"/>
                <w:szCs w:val="18"/>
                <w:color w:val="auto"/>
              </w:rPr>
              <w:t>(1,907)</w:t>
            </w:r>
          </w:p>
        </w:tc>
        <w:tc>
          <w:tcPr>
            <w:tcW w:w="260" w:type="dxa"/>
            <w:vAlign w:val="bottom"/>
            <w:tcBorders>
              <w:bottom w:val="single" w:sz="8" w:color="auto"/>
            </w:tcBorders>
            <w:shd w:val="clear" w:color="auto" w:fill="B2B2B2"/>
          </w:tcPr>
          <w:p>
            <w:pPr>
              <w:jc w:val="right"/>
              <w:ind w:right="50"/>
              <w:spacing w:after="0" w:line="195"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B2B2B2"/>
          </w:tcPr>
          <w:p>
            <w:pPr>
              <w:jc w:val="right"/>
              <w:spacing w:after="0" w:line="195" w:lineRule="exact"/>
              <w:rPr>
                <w:sz w:val="20"/>
                <w:szCs w:val="20"/>
                <w:color w:val="auto"/>
              </w:rPr>
            </w:pPr>
            <w:r>
              <w:rPr>
                <w:rFonts w:ascii="Arial" w:cs="Arial" w:eastAsia="Arial" w:hAnsi="Arial"/>
                <w:sz w:val="18"/>
                <w:szCs w:val="18"/>
                <w:color w:val="auto"/>
              </w:rPr>
              <w:t>4,134</w:t>
            </w:r>
          </w:p>
        </w:tc>
        <w:tc>
          <w:tcPr>
            <w:tcW w:w="20" w:type="dxa"/>
            <w:vAlign w:val="bottom"/>
            <w:tcBorders>
              <w:bottom w:val="single" w:sz="8" w:color="auto"/>
            </w:tcBorders>
          </w:tcPr>
          <w:p>
            <w:pPr>
              <w:spacing w:after="0"/>
              <w:rPr>
                <w:sz w:val="18"/>
                <w:szCs w:val="18"/>
                <w:color w:val="auto"/>
              </w:rPr>
            </w:pPr>
          </w:p>
        </w:tc>
      </w:tr>
    </w:tbl>
    <w:p>
      <w:pPr>
        <w:spacing w:after="0" w:line="363"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Pension costs recorded to expense were $273,000 and $1,029,000 for the three-month periods ended March 31, 2021 and 2020, respectively. Pension costs decreased in 2021 primarily due to the Plan being frozen as of February 28, 2021. The Company made no contribution to the plan during the three-month period ended March 31, 2021 and is evaluating the amount of additional contributions, if any, in the remainder of 2021.</w:t>
      </w:r>
    </w:p>
    <w:p>
      <w:pPr>
        <w:spacing w:after="0" w:line="13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addition to the above funded benefit plan, the Company has an unfunded supplemental executive retirement plan which covers key executives of the Company. This is a noncontributory plan in which the Company and its subsidiaries make accruals designed to fund normal service costs on a current basis using the same method and criteria as its defined benefit plan. The following table represents the components of the net periodic pension costs for 2020 and an estimate for 2021:</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80" w:type="dxa"/>
            <w:vAlign w:val="bottom"/>
          </w:tcPr>
          <w:p>
            <w:pPr>
              <w:spacing w:after="0"/>
              <w:rPr>
                <w:sz w:val="18"/>
                <w:szCs w:val="18"/>
                <w:color w:val="auto"/>
              </w:rPr>
            </w:pPr>
          </w:p>
        </w:tc>
        <w:tc>
          <w:tcPr>
            <w:tcW w:w="3640" w:type="dxa"/>
            <w:vAlign w:val="bottom"/>
          </w:tcPr>
          <w:p>
            <w:pPr>
              <w:jc w:val="right"/>
              <w:spacing w:after="0"/>
              <w:rPr>
                <w:sz w:val="20"/>
                <w:szCs w:val="20"/>
                <w:color w:val="auto"/>
              </w:rPr>
            </w:pPr>
            <w:r>
              <w:rPr>
                <w:rFonts w:ascii="Arial" w:cs="Arial" w:eastAsia="Arial" w:hAnsi="Arial"/>
                <w:sz w:val="18"/>
                <w:szCs w:val="18"/>
                <w:b w:val="1"/>
                <w:bCs w:val="1"/>
                <w:color w:val="auto"/>
              </w:rPr>
              <w:t>Estimated</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b w:val="1"/>
                <w:bCs w:val="1"/>
                <w:color w:val="auto"/>
              </w:rPr>
              <w:t>Actual</w:t>
            </w:r>
          </w:p>
        </w:tc>
      </w:tr>
      <w:tr>
        <w:trPr>
          <w:trHeight w:val="241"/>
        </w:trPr>
        <w:tc>
          <w:tcPr>
            <w:tcW w:w="5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3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r>
      <w:tr>
        <w:trPr>
          <w:trHeight w:val="215"/>
        </w:trPr>
        <w:tc>
          <w:tcPr>
            <w:tcW w:w="5880" w:type="dxa"/>
            <w:vAlign w:val="bottom"/>
            <w:shd w:val="clear" w:color="auto" w:fill="B2B2B2"/>
          </w:tcPr>
          <w:p>
            <w:pPr>
              <w:spacing w:after="0"/>
              <w:rPr>
                <w:sz w:val="20"/>
                <w:szCs w:val="20"/>
                <w:color w:val="auto"/>
              </w:rPr>
            </w:pPr>
            <w:r>
              <w:rPr>
                <w:rFonts w:ascii="Arial" w:cs="Arial" w:eastAsia="Arial" w:hAnsi="Arial"/>
                <w:sz w:val="18"/>
                <w:szCs w:val="18"/>
                <w:color w:val="auto"/>
              </w:rPr>
              <w:t>Service cost – benefits earned during the year</w:t>
            </w:r>
          </w:p>
        </w:tc>
        <w:tc>
          <w:tcPr>
            <w:tcW w:w="3640" w:type="dxa"/>
            <w:vAlign w:val="bottom"/>
            <w:shd w:val="clear" w:color="auto" w:fill="B2B2B2"/>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shd w:val="clear" w:color="auto" w:fill="B2B2B2"/>
          </w:tcPr>
          <w:p>
            <w:pPr>
              <w:jc w:val="right"/>
              <w:spacing w:after="0"/>
              <w:rPr>
                <w:sz w:val="20"/>
                <w:szCs w:val="20"/>
                <w:color w:val="auto"/>
              </w:rPr>
            </w:pPr>
            <w:r>
              <w:rPr>
                <w:rFonts w:ascii="Arial" w:cs="Arial" w:eastAsia="Arial" w:hAnsi="Arial"/>
                <w:sz w:val="18"/>
                <w:szCs w:val="18"/>
                <w:color w:val="auto"/>
                <w:w w:val="86"/>
              </w:rPr>
              <w:t>147</w:t>
            </w:r>
          </w:p>
        </w:tc>
        <w:tc>
          <w:tcPr>
            <w:tcW w:w="300" w:type="dxa"/>
            <w:vAlign w:val="bottom"/>
            <w:shd w:val="clear" w:color="auto" w:fill="B2B2B2"/>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18"/>
                <w:szCs w:val="18"/>
                <w:color w:val="auto"/>
              </w:rPr>
            </w:pPr>
          </w:p>
        </w:tc>
      </w:tr>
      <w:tr>
        <w:trPr>
          <w:trHeight w:val="215"/>
        </w:trPr>
        <w:tc>
          <w:tcPr>
            <w:tcW w:w="588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36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6"/>
              </w:rPr>
              <w:t>291</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347</w:t>
            </w:r>
          </w:p>
        </w:tc>
        <w:tc>
          <w:tcPr>
            <w:tcW w:w="20" w:type="dxa"/>
            <w:vAlign w:val="bottom"/>
          </w:tcPr>
          <w:p>
            <w:pPr>
              <w:spacing w:after="0"/>
              <w:rPr>
                <w:sz w:val="18"/>
                <w:szCs w:val="18"/>
                <w:color w:val="auto"/>
              </w:rPr>
            </w:pPr>
          </w:p>
        </w:tc>
      </w:tr>
      <w:tr>
        <w:trPr>
          <w:trHeight w:val="215"/>
        </w:trPr>
        <w:tc>
          <w:tcPr>
            <w:tcW w:w="5880" w:type="dxa"/>
            <w:vAlign w:val="bottom"/>
            <w:tcBorders>
              <w:bottom w:val="single" w:sz="8" w:color="auto"/>
            </w:tcBorders>
            <w:shd w:val="clear" w:color="auto" w:fill="B2B2B2"/>
          </w:tcPr>
          <w:p>
            <w:pPr>
              <w:spacing w:after="0"/>
              <w:rPr>
                <w:sz w:val="20"/>
                <w:szCs w:val="20"/>
                <w:color w:val="auto"/>
              </w:rPr>
            </w:pPr>
            <w:r>
              <w:rPr>
                <w:rFonts w:ascii="Arial" w:cs="Arial" w:eastAsia="Arial" w:hAnsi="Arial"/>
                <w:sz w:val="18"/>
                <w:szCs w:val="18"/>
                <w:color w:val="auto"/>
              </w:rPr>
              <w:t>Net amortization</w:t>
            </w:r>
          </w:p>
        </w:tc>
        <w:tc>
          <w:tcPr>
            <w:tcW w:w="3640" w:type="dxa"/>
            <w:vAlign w:val="bottom"/>
            <w:tcBorders>
              <w:bottom w:val="single" w:sz="8" w:color="auto"/>
            </w:tcBorders>
            <w:shd w:val="clear" w:color="auto" w:fill="B2B2B2"/>
          </w:tcPr>
          <w:p>
            <w:pPr>
              <w:spacing w:after="0"/>
              <w:rPr>
                <w:sz w:val="18"/>
                <w:szCs w:val="18"/>
                <w:color w:val="auto"/>
              </w:rPr>
            </w:pPr>
          </w:p>
        </w:tc>
        <w:tc>
          <w:tcPr>
            <w:tcW w:w="34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w w:val="86"/>
              </w:rPr>
              <w:t>203</w:t>
            </w:r>
          </w:p>
        </w:tc>
        <w:tc>
          <w:tcPr>
            <w:tcW w:w="300" w:type="dxa"/>
            <w:vAlign w:val="bottom"/>
            <w:tcBorders>
              <w:bottom w:val="single" w:sz="8" w:color="auto"/>
            </w:tcBorders>
            <w:shd w:val="clear" w:color="auto" w:fill="B2B2B2"/>
          </w:tcPr>
          <w:p>
            <w:pPr>
              <w:spacing w:after="0"/>
              <w:rPr>
                <w:sz w:val="18"/>
                <w:szCs w:val="18"/>
                <w:color w:val="auto"/>
              </w:rPr>
            </w:pPr>
          </w:p>
        </w:tc>
        <w:tc>
          <w:tcPr>
            <w:tcW w:w="10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112</w:t>
            </w:r>
          </w:p>
        </w:tc>
        <w:tc>
          <w:tcPr>
            <w:tcW w:w="20" w:type="dxa"/>
            <w:vAlign w:val="bottom"/>
          </w:tcPr>
          <w:p>
            <w:pPr>
              <w:spacing w:after="0"/>
              <w:rPr>
                <w:sz w:val="18"/>
                <w:szCs w:val="18"/>
                <w:color w:val="auto"/>
              </w:rPr>
            </w:pPr>
          </w:p>
        </w:tc>
      </w:tr>
      <w:tr>
        <w:trPr>
          <w:trHeight w:val="216"/>
        </w:trPr>
        <w:tc>
          <w:tcPr>
            <w:tcW w:w="5880" w:type="dxa"/>
            <w:vAlign w:val="bottom"/>
            <w:tcBorders>
              <w:bottom w:val="single" w:sz="8" w:color="auto"/>
            </w:tcBorders>
          </w:tcPr>
          <w:p>
            <w:pPr>
              <w:ind w:left="180"/>
              <w:spacing w:after="0" w:line="195" w:lineRule="exact"/>
              <w:rPr>
                <w:sz w:val="20"/>
                <w:szCs w:val="20"/>
                <w:color w:val="auto"/>
              </w:rPr>
            </w:pPr>
            <w:r>
              <w:rPr>
                <w:rFonts w:ascii="Arial" w:cs="Arial" w:eastAsia="Arial" w:hAnsi="Arial"/>
                <w:sz w:val="18"/>
                <w:szCs w:val="18"/>
                <w:color w:val="auto"/>
              </w:rPr>
              <w:t>Net periodic pension cost</w:t>
            </w:r>
          </w:p>
        </w:tc>
        <w:tc>
          <w:tcPr>
            <w:tcW w:w="3640" w:type="dxa"/>
            <w:vAlign w:val="bottom"/>
            <w:tcBorders>
              <w:bottom w:val="single" w:sz="8" w:color="auto"/>
            </w:tcBorders>
          </w:tcPr>
          <w:p>
            <w:pPr>
              <w:jc w:val="right"/>
              <w:ind w:right="850"/>
              <w:spacing w:after="0" w:line="195"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w w:val="86"/>
              </w:rPr>
              <w:t>641</w:t>
            </w:r>
          </w:p>
        </w:tc>
        <w:tc>
          <w:tcPr>
            <w:tcW w:w="300" w:type="dxa"/>
            <w:vAlign w:val="bottom"/>
            <w:tcBorders>
              <w:bottom w:val="single" w:sz="8" w:color="auto"/>
            </w:tcBorders>
          </w:tcPr>
          <w:p>
            <w:pPr>
              <w:jc w:val="right"/>
              <w:ind w:right="50"/>
              <w:spacing w:after="0" w:line="195"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580</w:t>
            </w:r>
          </w:p>
        </w:tc>
        <w:tc>
          <w:tcPr>
            <w:tcW w:w="20" w:type="dxa"/>
            <w:vAlign w:val="bottom"/>
            <w:tcBorders>
              <w:bottom w:val="single" w:sz="8" w:color="auto"/>
            </w:tcBorders>
          </w:tcPr>
          <w:p>
            <w:pPr>
              <w:spacing w:after="0"/>
              <w:rPr>
                <w:sz w:val="18"/>
                <w:szCs w:val="18"/>
                <w:color w:val="auto"/>
              </w:rPr>
            </w:pPr>
          </w:p>
        </w:tc>
      </w:tr>
    </w:tbl>
    <w:p>
      <w:pPr>
        <w:spacing w:after="0" w:line="363"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Supplemental executive retirement plan costs recorded to expense were $160,000 and $145,000 for the three-month periods ended March 31, 2021 and 2020,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Note 10 – Income Taxes</w:t>
      </w:r>
    </w:p>
    <w:p>
      <w:pPr>
        <w:spacing w:after="0" w:line="211"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The effective tax rate was 17.7% and 18.1% for the three-month periods ended March 31, 2021 and 2020, respectively. The 2021 and 2020 effective tax rate for the three-month period differs from the statutory rate of 21% primarily due to the tax-exempt interest received from municipal bonds.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8355" cy="596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355" cy="5969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Note 11 – Investment in Securities</w:t>
      </w:r>
    </w:p>
    <w:p>
      <w:pPr>
        <w:spacing w:after="0" w:line="21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Investment securities available-for-sale are recorded at fair value on a recurring basis. The Company’s investment securities available-for-sale are measured at fair value using Level 2 valuations. The market evaluation utilizes several sources which include “observable inputs” rather than “significant unobservable inputs” and therefore fall into the Level 2 category. The amortized cost, gross unrealized gains, gross unrealized losses and fair value of investment securities are summarized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8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8"/>
                <w:szCs w:val="18"/>
                <w:b w:val="1"/>
                <w:bCs w:val="1"/>
                <w:color w:val="auto"/>
              </w:rPr>
              <w:t>March 31, 2021</w:t>
            </w: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7"/>
        </w:trPr>
        <w:tc>
          <w:tcPr>
            <w:tcW w:w="6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center"/>
              <w:ind w:right="70"/>
              <w:spacing w:after="0" w:line="197" w:lineRule="exact"/>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17"/>
                <w:szCs w:val="17"/>
                <w:color w:val="auto"/>
              </w:rPr>
            </w:pPr>
          </w:p>
        </w:tc>
        <w:tc>
          <w:tcPr>
            <w:tcW w:w="880" w:type="dxa"/>
            <w:vAlign w:val="bottom"/>
          </w:tcPr>
          <w:p>
            <w:pPr>
              <w:jc w:val="center"/>
              <w:ind w:right="110"/>
              <w:spacing w:after="0" w:line="197" w:lineRule="exact"/>
              <w:rPr>
                <w:sz w:val="20"/>
                <w:szCs w:val="20"/>
                <w:color w:val="auto"/>
              </w:rPr>
            </w:pPr>
            <w:r>
              <w:rPr>
                <w:rFonts w:ascii="Arial" w:cs="Arial" w:eastAsia="Arial" w:hAnsi="Arial"/>
                <w:sz w:val="18"/>
                <w:szCs w:val="18"/>
                <w:b w:val="1"/>
                <w:bCs w:val="1"/>
                <w:color w:val="auto"/>
                <w:w w:val="84"/>
              </w:rPr>
              <w:t>Gross</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5"/>
        </w:trPr>
        <w:tc>
          <w:tcPr>
            <w:tcW w:w="6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Amortized</w:t>
            </w:r>
          </w:p>
        </w:tc>
        <w:tc>
          <w:tcPr>
            <w:tcW w:w="160" w:type="dxa"/>
            <w:vAlign w:val="bottom"/>
          </w:tcPr>
          <w:p>
            <w:pPr>
              <w:spacing w:after="0"/>
              <w:rPr>
                <w:sz w:val="18"/>
                <w:szCs w:val="18"/>
                <w:color w:val="auto"/>
              </w:rPr>
            </w:pPr>
          </w:p>
        </w:tc>
        <w:tc>
          <w:tcPr>
            <w:tcW w:w="96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Unrealized</w:t>
            </w:r>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Unrealized</w:t>
            </w:r>
          </w:p>
        </w:tc>
        <w:tc>
          <w:tcPr>
            <w:tcW w:w="160" w:type="dxa"/>
            <w:vAlign w:val="bottom"/>
          </w:tcPr>
          <w:p>
            <w:pPr>
              <w:spacing w:after="0"/>
              <w:rPr>
                <w:sz w:val="18"/>
                <w:szCs w:val="18"/>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Fair</w:t>
            </w:r>
          </w:p>
        </w:tc>
      </w:tr>
      <w:tr>
        <w:trPr>
          <w:trHeight w:val="241"/>
        </w:trPr>
        <w:tc>
          <w:tcPr>
            <w:tcW w:w="6880" w:type="dxa"/>
            <w:vAlign w:val="bottom"/>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00" w:type="dxa"/>
            <w:vAlign w:val="bottom"/>
          </w:tcPr>
          <w:p>
            <w:pPr>
              <w:spacing w:after="0"/>
              <w:rPr>
                <w:sz w:val="20"/>
                <w:szCs w:val="20"/>
                <w:color w:val="auto"/>
              </w:rPr>
            </w:pPr>
          </w:p>
        </w:tc>
        <w:tc>
          <w:tcPr>
            <w:tcW w:w="980" w:type="dxa"/>
            <w:vAlign w:val="bottom"/>
          </w:tcPr>
          <w:p>
            <w:pPr>
              <w:jc w:val="center"/>
              <w:ind w:right="70"/>
              <w:spacing w:after="0"/>
              <w:rPr>
                <w:sz w:val="20"/>
                <w:szCs w:val="20"/>
                <w:color w:val="auto"/>
              </w:rPr>
            </w:pPr>
            <w:r>
              <w:rPr>
                <w:rFonts w:ascii="Arial" w:cs="Arial" w:eastAsia="Arial" w:hAnsi="Arial"/>
                <w:sz w:val="18"/>
                <w:szCs w:val="18"/>
                <w:b w:val="1"/>
                <w:bCs w:val="1"/>
                <w:color w:val="auto"/>
                <w:w w:val="84"/>
              </w:rPr>
              <w:t>Cost</w:t>
            </w:r>
          </w:p>
        </w:tc>
        <w:tc>
          <w:tcPr>
            <w:tcW w:w="160" w:type="dxa"/>
            <w:vAlign w:val="bottom"/>
          </w:tcPr>
          <w:p>
            <w:pPr>
              <w:spacing w:after="0"/>
              <w:rPr>
                <w:sz w:val="20"/>
                <w:szCs w:val="20"/>
                <w:color w:val="auto"/>
              </w:rPr>
            </w:pPr>
          </w:p>
        </w:tc>
        <w:tc>
          <w:tcPr>
            <w:tcW w:w="96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Gains</w:t>
            </w:r>
          </w:p>
        </w:tc>
        <w:tc>
          <w:tcPr>
            <w:tcW w:w="220" w:type="dxa"/>
            <w:vAlign w:val="bottom"/>
          </w:tcPr>
          <w:p>
            <w:pPr>
              <w:spacing w:after="0"/>
              <w:rPr>
                <w:sz w:val="20"/>
                <w:szCs w:val="20"/>
                <w:color w:val="auto"/>
              </w:rPr>
            </w:pPr>
          </w:p>
        </w:tc>
        <w:tc>
          <w:tcPr>
            <w:tcW w:w="880" w:type="dxa"/>
            <w:vAlign w:val="bottom"/>
          </w:tcPr>
          <w:p>
            <w:pPr>
              <w:jc w:val="center"/>
              <w:ind w:right="130"/>
              <w:spacing w:after="0"/>
              <w:rPr>
                <w:sz w:val="20"/>
                <w:szCs w:val="20"/>
                <w:color w:val="auto"/>
              </w:rPr>
            </w:pPr>
            <w:r>
              <w:rPr>
                <w:rFonts w:ascii="Arial" w:cs="Arial" w:eastAsia="Arial" w:hAnsi="Arial"/>
                <w:sz w:val="18"/>
                <w:szCs w:val="18"/>
                <w:b w:val="1"/>
                <w:bCs w:val="1"/>
                <w:color w:val="auto"/>
                <w:w w:val="80"/>
              </w:rPr>
              <w:t>Losses</w:t>
            </w:r>
          </w:p>
        </w:tc>
        <w:tc>
          <w:tcPr>
            <w:tcW w:w="160" w:type="dxa"/>
            <w:vAlign w:val="bottom"/>
          </w:tcPr>
          <w:p>
            <w:pPr>
              <w:spacing w:after="0"/>
              <w:rPr>
                <w:sz w:val="20"/>
                <w:szCs w:val="20"/>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Value</w:t>
            </w:r>
          </w:p>
        </w:tc>
      </w:tr>
      <w:tr>
        <w:trPr>
          <w:trHeight w:val="215"/>
        </w:trPr>
        <w:tc>
          <w:tcPr>
            <w:tcW w:w="6880" w:type="dxa"/>
            <w:vAlign w:val="bottom"/>
            <w:tcBorders>
              <w:top w:val="single" w:sz="8" w:color="auto"/>
            </w:tcBorders>
            <w:shd w:val="clear" w:color="auto" w:fill="B2B2B2"/>
          </w:tcPr>
          <w:p>
            <w:pPr>
              <w:spacing w:after="0"/>
              <w:rPr>
                <w:sz w:val="20"/>
                <w:szCs w:val="20"/>
                <w:color w:val="auto"/>
              </w:rPr>
            </w:pPr>
            <w:r>
              <w:rPr>
                <w:rFonts w:ascii="Arial" w:cs="Arial" w:eastAsia="Arial" w:hAnsi="Arial"/>
                <w:sz w:val="18"/>
                <w:szCs w:val="18"/>
                <w:color w:val="auto"/>
              </w:rPr>
              <w:t>State and political subdivisions</w:t>
            </w:r>
          </w:p>
        </w:tc>
        <w:tc>
          <w:tcPr>
            <w:tcW w:w="10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312,479</w:t>
            </w:r>
          </w:p>
        </w:tc>
        <w:tc>
          <w:tcPr>
            <w:tcW w:w="16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15,678</w:t>
            </w:r>
          </w:p>
        </w:tc>
        <w:tc>
          <w:tcPr>
            <w:tcW w:w="22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174</w:t>
            </w:r>
          </w:p>
        </w:tc>
        <w:tc>
          <w:tcPr>
            <w:tcW w:w="16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327,983</w:t>
            </w:r>
          </w:p>
        </w:tc>
        <w:tc>
          <w:tcPr>
            <w:tcW w:w="20" w:type="dxa"/>
            <w:vAlign w:val="bottom"/>
          </w:tcPr>
          <w:p>
            <w:pPr>
              <w:spacing w:after="0"/>
              <w:rPr>
                <w:sz w:val="18"/>
                <w:szCs w:val="18"/>
                <w:color w:val="auto"/>
              </w:rPr>
            </w:pPr>
          </w:p>
        </w:tc>
      </w:tr>
      <w:tr>
        <w:trPr>
          <w:trHeight w:val="215"/>
        </w:trPr>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government agencies</w:t>
            </w: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99,349</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99,261</w:t>
            </w:r>
          </w:p>
        </w:tc>
        <w:tc>
          <w:tcPr>
            <w:tcW w:w="20" w:type="dxa"/>
            <w:vAlign w:val="bottom"/>
          </w:tcPr>
          <w:p>
            <w:pPr>
              <w:spacing w:after="0"/>
              <w:rPr>
                <w:sz w:val="18"/>
                <w:szCs w:val="18"/>
                <w:color w:val="auto"/>
              </w:rPr>
            </w:pPr>
          </w:p>
        </w:tc>
      </w:tr>
      <w:tr>
        <w:trPr>
          <w:trHeight w:val="216"/>
        </w:trPr>
        <w:tc>
          <w:tcPr>
            <w:tcW w:w="6880" w:type="dxa"/>
            <w:vAlign w:val="bottom"/>
            <w:tcBorders>
              <w:bottom w:val="single" w:sz="8" w:color="auto"/>
            </w:tcBorders>
            <w:shd w:val="clear" w:color="auto" w:fill="B2B2B2"/>
          </w:tcPr>
          <w:p>
            <w:pPr>
              <w:ind w:left="180"/>
              <w:spacing w:after="0" w:line="202" w:lineRule="exact"/>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B2B2B2"/>
          </w:tcPr>
          <w:p>
            <w:pPr>
              <w:jc w:val="right"/>
              <w:spacing w:after="0" w:line="202" w:lineRule="exact"/>
              <w:rPr>
                <w:sz w:val="20"/>
                <w:szCs w:val="20"/>
                <w:color w:val="auto"/>
              </w:rPr>
            </w:pPr>
            <w:r>
              <w:rPr>
                <w:rFonts w:ascii="Arial" w:cs="Arial" w:eastAsia="Arial" w:hAnsi="Arial"/>
                <w:sz w:val="18"/>
                <w:szCs w:val="18"/>
                <w:color w:val="auto"/>
              </w:rPr>
              <w:t>411,828</w:t>
            </w:r>
          </w:p>
        </w:tc>
        <w:tc>
          <w:tcPr>
            <w:tcW w:w="160" w:type="dxa"/>
            <w:vAlign w:val="bottom"/>
            <w:tcBorders>
              <w:bottom w:val="single" w:sz="8" w:color="auto"/>
            </w:tcBorders>
            <w:shd w:val="clear" w:color="auto" w:fill="B2B2B2"/>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B2B2B2"/>
          </w:tcPr>
          <w:p>
            <w:pPr>
              <w:jc w:val="right"/>
              <w:spacing w:after="0" w:line="202" w:lineRule="exact"/>
              <w:rPr>
                <w:sz w:val="20"/>
                <w:szCs w:val="20"/>
                <w:color w:val="auto"/>
              </w:rPr>
            </w:pPr>
            <w:r>
              <w:rPr>
                <w:rFonts w:ascii="Arial" w:cs="Arial" w:eastAsia="Arial" w:hAnsi="Arial"/>
                <w:sz w:val="18"/>
                <w:szCs w:val="18"/>
                <w:color w:val="auto"/>
              </w:rPr>
              <w:t>16,301</w:t>
            </w:r>
          </w:p>
        </w:tc>
        <w:tc>
          <w:tcPr>
            <w:tcW w:w="220" w:type="dxa"/>
            <w:vAlign w:val="bottom"/>
            <w:tcBorders>
              <w:bottom w:val="single" w:sz="8" w:color="auto"/>
            </w:tcBorders>
            <w:shd w:val="clear" w:color="auto" w:fill="B2B2B2"/>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B2B2B2"/>
          </w:tcPr>
          <w:p>
            <w:pPr>
              <w:jc w:val="right"/>
              <w:spacing w:after="0" w:line="202" w:lineRule="exact"/>
              <w:rPr>
                <w:sz w:val="20"/>
                <w:szCs w:val="20"/>
                <w:color w:val="auto"/>
              </w:rPr>
            </w:pPr>
            <w:r>
              <w:rPr>
                <w:rFonts w:ascii="Arial" w:cs="Arial" w:eastAsia="Arial" w:hAnsi="Arial"/>
                <w:sz w:val="18"/>
                <w:szCs w:val="18"/>
                <w:color w:val="auto"/>
              </w:rPr>
              <w:t>885</w:t>
            </w:r>
          </w:p>
        </w:tc>
        <w:tc>
          <w:tcPr>
            <w:tcW w:w="160" w:type="dxa"/>
            <w:vAlign w:val="bottom"/>
            <w:tcBorders>
              <w:bottom w:val="single" w:sz="8" w:color="auto"/>
            </w:tcBorders>
            <w:shd w:val="clear" w:color="auto" w:fill="B2B2B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B2B2B2"/>
          </w:tcPr>
          <w:p>
            <w:pPr>
              <w:jc w:val="right"/>
              <w:spacing w:after="0" w:line="202" w:lineRule="exact"/>
              <w:rPr>
                <w:sz w:val="20"/>
                <w:szCs w:val="20"/>
                <w:color w:val="auto"/>
              </w:rPr>
            </w:pPr>
            <w:r>
              <w:rPr>
                <w:rFonts w:ascii="Arial" w:cs="Arial" w:eastAsia="Arial" w:hAnsi="Arial"/>
                <w:sz w:val="18"/>
                <w:szCs w:val="18"/>
                <w:color w:val="auto"/>
              </w:rPr>
              <w:t>427,244</w:t>
            </w:r>
          </w:p>
        </w:tc>
        <w:tc>
          <w:tcPr>
            <w:tcW w:w="20" w:type="dxa"/>
            <w:vAlign w:val="bottom"/>
          </w:tcPr>
          <w:p>
            <w:pPr>
              <w:spacing w:after="0"/>
              <w:rPr>
                <w:sz w:val="18"/>
                <w:szCs w:val="18"/>
                <w:color w:val="auto"/>
              </w:rPr>
            </w:pPr>
          </w:p>
        </w:tc>
      </w:tr>
      <w:tr>
        <w:trPr>
          <w:trHeight w:val="398"/>
        </w:trPr>
        <w:tc>
          <w:tcPr>
            <w:tcW w:w="68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8"/>
                <w:szCs w:val="18"/>
                <w:b w:val="1"/>
                <w:bCs w:val="1"/>
                <w:color w:val="auto"/>
              </w:rPr>
              <w:t>December 31, 2020</w:t>
            </w: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97"/>
        </w:trPr>
        <w:tc>
          <w:tcPr>
            <w:tcW w:w="6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center"/>
              <w:ind w:right="70"/>
              <w:spacing w:after="0" w:line="197" w:lineRule="exact"/>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17"/>
                <w:szCs w:val="17"/>
                <w:color w:val="auto"/>
              </w:rPr>
            </w:pPr>
          </w:p>
        </w:tc>
        <w:tc>
          <w:tcPr>
            <w:tcW w:w="880" w:type="dxa"/>
            <w:vAlign w:val="bottom"/>
          </w:tcPr>
          <w:p>
            <w:pPr>
              <w:jc w:val="center"/>
              <w:ind w:right="110"/>
              <w:spacing w:after="0" w:line="197" w:lineRule="exact"/>
              <w:rPr>
                <w:sz w:val="20"/>
                <w:szCs w:val="20"/>
                <w:color w:val="auto"/>
              </w:rPr>
            </w:pPr>
            <w:r>
              <w:rPr>
                <w:rFonts w:ascii="Arial" w:cs="Arial" w:eastAsia="Arial" w:hAnsi="Arial"/>
                <w:sz w:val="18"/>
                <w:szCs w:val="18"/>
                <w:b w:val="1"/>
                <w:bCs w:val="1"/>
                <w:color w:val="auto"/>
                <w:w w:val="84"/>
              </w:rPr>
              <w:t>Gross</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5"/>
        </w:trPr>
        <w:tc>
          <w:tcPr>
            <w:tcW w:w="6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Amortized</w:t>
            </w:r>
          </w:p>
        </w:tc>
        <w:tc>
          <w:tcPr>
            <w:tcW w:w="160" w:type="dxa"/>
            <w:vAlign w:val="bottom"/>
          </w:tcPr>
          <w:p>
            <w:pPr>
              <w:spacing w:after="0"/>
              <w:rPr>
                <w:sz w:val="18"/>
                <w:szCs w:val="18"/>
                <w:color w:val="auto"/>
              </w:rPr>
            </w:pPr>
          </w:p>
        </w:tc>
        <w:tc>
          <w:tcPr>
            <w:tcW w:w="96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Unrealized</w:t>
            </w:r>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Unrealized</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6880" w:type="dxa"/>
            <w:vAlign w:val="bottom"/>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00" w:type="dxa"/>
            <w:vAlign w:val="bottom"/>
          </w:tcPr>
          <w:p>
            <w:pPr>
              <w:spacing w:after="0"/>
              <w:rPr>
                <w:sz w:val="20"/>
                <w:szCs w:val="20"/>
                <w:color w:val="auto"/>
              </w:rPr>
            </w:pPr>
          </w:p>
        </w:tc>
        <w:tc>
          <w:tcPr>
            <w:tcW w:w="980" w:type="dxa"/>
            <w:vAlign w:val="bottom"/>
          </w:tcPr>
          <w:p>
            <w:pPr>
              <w:jc w:val="center"/>
              <w:ind w:right="70"/>
              <w:spacing w:after="0"/>
              <w:rPr>
                <w:sz w:val="20"/>
                <w:szCs w:val="20"/>
                <w:color w:val="auto"/>
              </w:rPr>
            </w:pPr>
            <w:r>
              <w:rPr>
                <w:rFonts w:ascii="Arial" w:cs="Arial" w:eastAsia="Arial" w:hAnsi="Arial"/>
                <w:sz w:val="18"/>
                <w:szCs w:val="18"/>
                <w:b w:val="1"/>
                <w:bCs w:val="1"/>
                <w:color w:val="auto"/>
                <w:w w:val="84"/>
              </w:rPr>
              <w:t>Cost</w:t>
            </w:r>
          </w:p>
        </w:tc>
        <w:tc>
          <w:tcPr>
            <w:tcW w:w="160" w:type="dxa"/>
            <w:vAlign w:val="bottom"/>
          </w:tcPr>
          <w:p>
            <w:pPr>
              <w:spacing w:after="0"/>
              <w:rPr>
                <w:sz w:val="20"/>
                <w:szCs w:val="20"/>
                <w:color w:val="auto"/>
              </w:rPr>
            </w:pPr>
          </w:p>
        </w:tc>
        <w:tc>
          <w:tcPr>
            <w:tcW w:w="96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Gains</w:t>
            </w:r>
          </w:p>
        </w:tc>
        <w:tc>
          <w:tcPr>
            <w:tcW w:w="220" w:type="dxa"/>
            <w:vAlign w:val="bottom"/>
          </w:tcPr>
          <w:p>
            <w:pPr>
              <w:spacing w:after="0"/>
              <w:rPr>
                <w:sz w:val="20"/>
                <w:szCs w:val="20"/>
                <w:color w:val="auto"/>
              </w:rPr>
            </w:pPr>
          </w:p>
        </w:tc>
        <w:tc>
          <w:tcPr>
            <w:tcW w:w="880" w:type="dxa"/>
            <w:vAlign w:val="bottom"/>
          </w:tcPr>
          <w:p>
            <w:pPr>
              <w:jc w:val="center"/>
              <w:ind w:right="130"/>
              <w:spacing w:after="0"/>
              <w:rPr>
                <w:sz w:val="20"/>
                <w:szCs w:val="20"/>
                <w:color w:val="auto"/>
              </w:rPr>
            </w:pPr>
            <w:r>
              <w:rPr>
                <w:rFonts w:ascii="Arial" w:cs="Arial" w:eastAsia="Arial" w:hAnsi="Arial"/>
                <w:sz w:val="18"/>
                <w:szCs w:val="18"/>
                <w:b w:val="1"/>
                <w:bCs w:val="1"/>
                <w:color w:val="auto"/>
                <w:w w:val="80"/>
              </w:rPr>
              <w:t>Losses</w:t>
            </w:r>
          </w:p>
        </w:tc>
        <w:tc>
          <w:tcPr>
            <w:tcW w:w="160" w:type="dxa"/>
            <w:vAlign w:val="bottom"/>
          </w:tcPr>
          <w:p>
            <w:pPr>
              <w:spacing w:after="0"/>
              <w:rPr>
                <w:sz w:val="20"/>
                <w:szCs w:val="20"/>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Fair Value</w:t>
            </w:r>
          </w:p>
        </w:tc>
      </w:tr>
      <w:tr>
        <w:trPr>
          <w:trHeight w:val="215"/>
        </w:trPr>
        <w:tc>
          <w:tcPr>
            <w:tcW w:w="6880" w:type="dxa"/>
            <w:vAlign w:val="bottom"/>
            <w:tcBorders>
              <w:top w:val="single" w:sz="8" w:color="auto"/>
            </w:tcBorders>
            <w:shd w:val="clear" w:color="auto" w:fill="B2B2B2"/>
          </w:tcPr>
          <w:p>
            <w:pPr>
              <w:spacing w:after="0"/>
              <w:rPr>
                <w:sz w:val="20"/>
                <w:szCs w:val="20"/>
                <w:color w:val="auto"/>
              </w:rPr>
            </w:pPr>
            <w:r>
              <w:rPr>
                <w:rFonts w:ascii="Arial" w:cs="Arial" w:eastAsia="Arial" w:hAnsi="Arial"/>
                <w:sz w:val="18"/>
                <w:szCs w:val="18"/>
                <w:color w:val="auto"/>
              </w:rPr>
              <w:t>State and political subdivisions</w:t>
            </w:r>
          </w:p>
        </w:tc>
        <w:tc>
          <w:tcPr>
            <w:tcW w:w="10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287,059</w:t>
            </w:r>
          </w:p>
        </w:tc>
        <w:tc>
          <w:tcPr>
            <w:tcW w:w="16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18,915</w:t>
            </w:r>
          </w:p>
        </w:tc>
        <w:tc>
          <w:tcPr>
            <w:tcW w:w="22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305,974</w:t>
            </w:r>
          </w:p>
        </w:tc>
        <w:tc>
          <w:tcPr>
            <w:tcW w:w="20" w:type="dxa"/>
            <w:vAlign w:val="bottom"/>
          </w:tcPr>
          <w:p>
            <w:pPr>
              <w:spacing w:after="0"/>
              <w:rPr>
                <w:sz w:val="18"/>
                <w:szCs w:val="18"/>
                <w:color w:val="auto"/>
              </w:rPr>
            </w:pPr>
          </w:p>
        </w:tc>
      </w:tr>
      <w:tr>
        <w:trPr>
          <w:trHeight w:val="215"/>
        </w:trPr>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government agencies</w:t>
            </w: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50,988</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51,752</w:t>
            </w:r>
          </w:p>
        </w:tc>
        <w:tc>
          <w:tcPr>
            <w:tcW w:w="20" w:type="dxa"/>
            <w:vAlign w:val="bottom"/>
          </w:tcPr>
          <w:p>
            <w:pPr>
              <w:spacing w:after="0"/>
              <w:rPr>
                <w:sz w:val="18"/>
                <w:szCs w:val="18"/>
                <w:color w:val="auto"/>
              </w:rPr>
            </w:pPr>
          </w:p>
        </w:tc>
      </w:tr>
      <w:tr>
        <w:trPr>
          <w:trHeight w:val="216"/>
        </w:trPr>
        <w:tc>
          <w:tcPr>
            <w:tcW w:w="6880" w:type="dxa"/>
            <w:vAlign w:val="bottom"/>
            <w:tcBorders>
              <w:bottom w:val="single" w:sz="8" w:color="auto"/>
            </w:tcBorders>
            <w:shd w:val="clear" w:color="auto" w:fill="B2B2B2"/>
          </w:tcPr>
          <w:p>
            <w:pPr>
              <w:ind w:left="180"/>
              <w:spacing w:after="0" w:line="195" w:lineRule="exact"/>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B2B2B2"/>
          </w:tcPr>
          <w:p>
            <w:pPr>
              <w:jc w:val="right"/>
              <w:spacing w:after="0" w:line="195" w:lineRule="exact"/>
              <w:rPr>
                <w:sz w:val="20"/>
                <w:szCs w:val="20"/>
                <w:color w:val="auto"/>
              </w:rPr>
            </w:pPr>
            <w:r>
              <w:rPr>
                <w:rFonts w:ascii="Arial" w:cs="Arial" w:eastAsia="Arial" w:hAnsi="Arial"/>
                <w:sz w:val="18"/>
                <w:szCs w:val="18"/>
                <w:color w:val="auto"/>
              </w:rPr>
              <w:t>338,047</w:t>
            </w:r>
          </w:p>
        </w:tc>
        <w:tc>
          <w:tcPr>
            <w:tcW w:w="160" w:type="dxa"/>
            <w:vAlign w:val="bottom"/>
            <w:tcBorders>
              <w:bottom w:val="single" w:sz="8" w:color="auto"/>
            </w:tcBorders>
            <w:shd w:val="clear" w:color="auto" w:fill="B2B2B2"/>
          </w:tcPr>
          <w:p>
            <w:pPr>
              <w:jc w:val="right"/>
              <w:spacing w:after="0" w:line="195"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B2B2B2"/>
          </w:tcPr>
          <w:p>
            <w:pPr>
              <w:jc w:val="right"/>
              <w:spacing w:after="0" w:line="195" w:lineRule="exact"/>
              <w:rPr>
                <w:sz w:val="20"/>
                <w:szCs w:val="20"/>
                <w:color w:val="auto"/>
              </w:rPr>
            </w:pPr>
            <w:r>
              <w:rPr>
                <w:rFonts w:ascii="Arial" w:cs="Arial" w:eastAsia="Arial" w:hAnsi="Arial"/>
                <w:sz w:val="18"/>
                <w:szCs w:val="18"/>
                <w:color w:val="auto"/>
              </w:rPr>
              <w:t>19,679</w:t>
            </w:r>
          </w:p>
        </w:tc>
        <w:tc>
          <w:tcPr>
            <w:tcW w:w="220" w:type="dxa"/>
            <w:vAlign w:val="bottom"/>
            <w:tcBorders>
              <w:bottom w:val="single" w:sz="8" w:color="auto"/>
            </w:tcBorders>
            <w:shd w:val="clear" w:color="auto" w:fill="B2B2B2"/>
          </w:tcPr>
          <w:p>
            <w:pPr>
              <w:jc w:val="right"/>
              <w:spacing w:after="0" w:line="195"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B2B2B2"/>
          </w:tcPr>
          <w:p>
            <w:pPr>
              <w:jc w:val="right"/>
              <w:spacing w:after="0" w:line="195"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B2B2B2"/>
          </w:tcPr>
          <w:p>
            <w:pPr>
              <w:jc w:val="right"/>
              <w:spacing w:after="0" w:line="195"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B2B2B2"/>
          </w:tcPr>
          <w:p>
            <w:pPr>
              <w:jc w:val="right"/>
              <w:spacing w:after="0" w:line="195" w:lineRule="exact"/>
              <w:rPr>
                <w:sz w:val="20"/>
                <w:szCs w:val="20"/>
                <w:color w:val="auto"/>
              </w:rPr>
            </w:pPr>
            <w:r>
              <w:rPr>
                <w:rFonts w:ascii="Arial" w:cs="Arial" w:eastAsia="Arial" w:hAnsi="Arial"/>
                <w:sz w:val="18"/>
                <w:szCs w:val="18"/>
                <w:color w:val="auto"/>
              </w:rPr>
              <w:t>357,726</w:t>
            </w:r>
          </w:p>
        </w:tc>
        <w:tc>
          <w:tcPr>
            <w:tcW w:w="20" w:type="dxa"/>
            <w:vAlign w:val="bottom"/>
            <w:tcBorders>
              <w:bottom w:val="single" w:sz="8" w:color="auto"/>
            </w:tcBorders>
          </w:tcPr>
          <w:p>
            <w:pPr>
              <w:spacing w:after="0"/>
              <w:rPr>
                <w:sz w:val="18"/>
                <w:szCs w:val="18"/>
                <w:color w:val="auto"/>
              </w:rPr>
            </w:pPr>
          </w:p>
        </w:tc>
      </w:tr>
    </w:tbl>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securities with unrealized losses are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rPr>
              <w:t>March 31, 2021</w:t>
            </w: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09"/>
        </w:trPr>
        <w:tc>
          <w:tcPr>
            <w:tcW w:w="46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8"/>
                <w:szCs w:val="18"/>
                <w:b w:val="1"/>
                <w:bCs w:val="1"/>
                <w:color w:val="auto"/>
                <w:w w:val="98"/>
              </w:rPr>
              <w:t>Less than 12 months</w:t>
            </w:r>
          </w:p>
        </w:tc>
        <w:tc>
          <w:tcPr>
            <w:tcW w:w="1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w w:val="96"/>
              </w:rPr>
              <w:t>12 months or more</w:t>
            </w:r>
          </w:p>
        </w:tc>
        <w:tc>
          <w:tcPr>
            <w:tcW w:w="2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Total</w:t>
            </w:r>
          </w:p>
        </w:tc>
        <w:tc>
          <w:tcPr>
            <w:tcW w:w="8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91"/>
        </w:trPr>
        <w:tc>
          <w:tcPr>
            <w:tcW w:w="4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110"/>
              <w:spacing w:after="0" w:line="191" w:lineRule="exact"/>
              <w:rPr>
                <w:sz w:val="20"/>
                <w:szCs w:val="20"/>
                <w:color w:val="auto"/>
              </w:rPr>
            </w:pPr>
            <w:r>
              <w:rPr>
                <w:rFonts w:ascii="Arial" w:cs="Arial" w:eastAsia="Arial" w:hAnsi="Arial"/>
                <w:sz w:val="18"/>
                <w:szCs w:val="18"/>
                <w:b w:val="1"/>
                <w:bCs w:val="1"/>
                <w:color w:val="auto"/>
                <w:w w:val="90"/>
              </w:rPr>
              <w:t>Estimated</w:t>
            </w:r>
          </w:p>
        </w:tc>
        <w:tc>
          <w:tcPr>
            <w:tcW w:w="140" w:type="dxa"/>
            <w:vAlign w:val="bottom"/>
          </w:tcPr>
          <w:p>
            <w:pPr>
              <w:spacing w:after="0"/>
              <w:rPr>
                <w:sz w:val="16"/>
                <w:szCs w:val="16"/>
                <w:color w:val="auto"/>
              </w:rPr>
            </w:pPr>
          </w:p>
        </w:tc>
        <w:tc>
          <w:tcPr>
            <w:tcW w:w="1000" w:type="dxa"/>
            <w:vAlign w:val="bottom"/>
          </w:tcPr>
          <w:p>
            <w:pPr>
              <w:jc w:val="right"/>
              <w:ind w:right="70"/>
              <w:spacing w:after="0" w:line="191" w:lineRule="exact"/>
              <w:rPr>
                <w:sz w:val="20"/>
                <w:szCs w:val="20"/>
                <w:color w:val="auto"/>
              </w:rPr>
            </w:pPr>
            <w:r>
              <w:rPr>
                <w:rFonts w:ascii="Arial" w:cs="Arial" w:eastAsia="Arial" w:hAnsi="Arial"/>
                <w:sz w:val="18"/>
                <w:szCs w:val="18"/>
                <w:b w:val="1"/>
                <w:bCs w:val="1"/>
                <w:color w:val="auto"/>
                <w:w w:val="90"/>
              </w:rPr>
              <w:t>Unrealized</w:t>
            </w:r>
          </w:p>
        </w:tc>
        <w:tc>
          <w:tcPr>
            <w:tcW w:w="160" w:type="dxa"/>
            <w:vAlign w:val="bottom"/>
          </w:tcPr>
          <w:p>
            <w:pPr>
              <w:spacing w:after="0"/>
              <w:rPr>
                <w:sz w:val="16"/>
                <w:szCs w:val="16"/>
                <w:color w:val="auto"/>
              </w:rPr>
            </w:pPr>
          </w:p>
        </w:tc>
        <w:tc>
          <w:tcPr>
            <w:tcW w:w="960" w:type="dxa"/>
            <w:vAlign w:val="bottom"/>
          </w:tcPr>
          <w:p>
            <w:pPr>
              <w:ind w:left="20"/>
              <w:spacing w:after="0" w:line="191" w:lineRule="exact"/>
              <w:rPr>
                <w:sz w:val="20"/>
                <w:szCs w:val="20"/>
                <w:color w:val="auto"/>
              </w:rPr>
            </w:pPr>
            <w:r>
              <w:rPr>
                <w:rFonts w:ascii="Arial" w:cs="Arial" w:eastAsia="Arial" w:hAnsi="Arial"/>
                <w:sz w:val="18"/>
                <w:szCs w:val="18"/>
                <w:b w:val="1"/>
                <w:bCs w:val="1"/>
                <w:color w:val="auto"/>
              </w:rPr>
              <w:t>Estimated</w:t>
            </w:r>
          </w:p>
        </w:tc>
        <w:tc>
          <w:tcPr>
            <w:tcW w:w="1100" w:type="dxa"/>
            <w:vAlign w:val="bottom"/>
            <w:gridSpan w:val="2"/>
          </w:tcPr>
          <w:p>
            <w:pPr>
              <w:ind w:left="140"/>
              <w:spacing w:after="0" w:line="191" w:lineRule="exact"/>
              <w:rPr>
                <w:sz w:val="20"/>
                <w:szCs w:val="20"/>
                <w:color w:val="auto"/>
              </w:rPr>
            </w:pPr>
            <w:r>
              <w:rPr>
                <w:rFonts w:ascii="Arial" w:cs="Arial" w:eastAsia="Arial" w:hAnsi="Arial"/>
                <w:sz w:val="18"/>
                <w:szCs w:val="18"/>
                <w:b w:val="1"/>
                <w:bCs w:val="1"/>
                <w:color w:val="auto"/>
              </w:rPr>
              <w:t>Unrealized</w:t>
            </w:r>
          </w:p>
        </w:tc>
        <w:tc>
          <w:tcPr>
            <w:tcW w:w="160" w:type="dxa"/>
            <w:vAlign w:val="bottom"/>
          </w:tcPr>
          <w:p>
            <w:pPr>
              <w:spacing w:after="0"/>
              <w:rPr>
                <w:sz w:val="16"/>
                <w:szCs w:val="16"/>
                <w:color w:val="auto"/>
              </w:rPr>
            </w:pPr>
          </w:p>
        </w:tc>
        <w:tc>
          <w:tcPr>
            <w:tcW w:w="940" w:type="dxa"/>
            <w:vAlign w:val="bottom"/>
          </w:tcPr>
          <w:p>
            <w:pPr>
              <w:jc w:val="right"/>
              <w:ind w:right="70"/>
              <w:spacing w:after="0" w:line="191" w:lineRule="exact"/>
              <w:rPr>
                <w:sz w:val="20"/>
                <w:szCs w:val="20"/>
                <w:color w:val="auto"/>
              </w:rPr>
            </w:pPr>
            <w:r>
              <w:rPr>
                <w:rFonts w:ascii="Arial" w:cs="Arial" w:eastAsia="Arial" w:hAnsi="Arial"/>
                <w:sz w:val="18"/>
                <w:szCs w:val="18"/>
                <w:b w:val="1"/>
                <w:bCs w:val="1"/>
                <w:color w:val="auto"/>
                <w:w w:val="88"/>
              </w:rPr>
              <w:t>Estimated</w:t>
            </w:r>
          </w:p>
        </w:tc>
        <w:tc>
          <w:tcPr>
            <w:tcW w:w="106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92"/>
              </w:rPr>
              <w:t>Unrealized</w:t>
            </w:r>
          </w:p>
        </w:tc>
        <w:tc>
          <w:tcPr>
            <w:tcW w:w="20" w:type="dxa"/>
            <w:vAlign w:val="bottom"/>
          </w:tcPr>
          <w:p>
            <w:pPr>
              <w:spacing w:after="0"/>
              <w:rPr>
                <w:sz w:val="16"/>
                <w:szCs w:val="16"/>
                <w:color w:val="auto"/>
              </w:rPr>
            </w:pPr>
          </w:p>
        </w:tc>
      </w:tr>
      <w:tr>
        <w:trPr>
          <w:trHeight w:val="234"/>
        </w:trPr>
        <w:tc>
          <w:tcPr>
            <w:tcW w:w="4620" w:type="dxa"/>
            <w:vAlign w:val="bottom"/>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00" w:type="dxa"/>
            <w:vAlign w:val="bottom"/>
          </w:tcPr>
          <w:p>
            <w:pPr>
              <w:spacing w:after="0"/>
              <w:rPr>
                <w:sz w:val="20"/>
                <w:szCs w:val="20"/>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Fair Value</w:t>
            </w:r>
          </w:p>
        </w:tc>
        <w:tc>
          <w:tcPr>
            <w:tcW w:w="140" w:type="dxa"/>
            <w:vAlign w:val="bottom"/>
          </w:tcPr>
          <w:p>
            <w:pPr>
              <w:spacing w:after="0"/>
              <w:rPr>
                <w:sz w:val="20"/>
                <w:szCs w:val="20"/>
                <w:color w:val="auto"/>
              </w:rPr>
            </w:pPr>
          </w:p>
        </w:tc>
        <w:tc>
          <w:tcPr>
            <w:tcW w:w="1000" w:type="dxa"/>
            <w:vAlign w:val="bottom"/>
          </w:tcPr>
          <w:p>
            <w:pPr>
              <w:jc w:val="right"/>
              <w:ind w:right="230"/>
              <w:spacing w:after="0"/>
              <w:rPr>
                <w:sz w:val="20"/>
                <w:szCs w:val="20"/>
                <w:color w:val="auto"/>
              </w:rPr>
            </w:pPr>
            <w:r>
              <w:rPr>
                <w:rFonts w:ascii="Arial" w:cs="Arial" w:eastAsia="Arial" w:hAnsi="Arial"/>
                <w:sz w:val="18"/>
                <w:szCs w:val="18"/>
                <w:b w:val="1"/>
                <w:bCs w:val="1"/>
                <w:color w:val="auto"/>
              </w:rPr>
              <w:t>Losses</w:t>
            </w:r>
          </w:p>
        </w:tc>
        <w:tc>
          <w:tcPr>
            <w:tcW w:w="1120" w:type="dxa"/>
            <w:vAlign w:val="bottom"/>
            <w:gridSpan w:val="2"/>
          </w:tcPr>
          <w:p>
            <w:pPr>
              <w:ind w:left="160"/>
              <w:spacing w:after="0"/>
              <w:rPr>
                <w:sz w:val="20"/>
                <w:szCs w:val="20"/>
                <w:color w:val="auto"/>
              </w:rPr>
            </w:pPr>
            <w:r>
              <w:rPr>
                <w:rFonts w:ascii="Arial" w:cs="Arial" w:eastAsia="Arial" w:hAnsi="Arial"/>
                <w:sz w:val="18"/>
                <w:szCs w:val="18"/>
                <w:b w:val="1"/>
                <w:bCs w:val="1"/>
                <w:color w:val="auto"/>
              </w:rPr>
              <w:t>Fair Value</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Losses</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Fair Value</w:t>
            </w:r>
          </w:p>
        </w:tc>
        <w:tc>
          <w:tcPr>
            <w:tcW w:w="260" w:type="dxa"/>
            <w:vAlign w:val="bottom"/>
          </w:tcPr>
          <w:p>
            <w:pPr>
              <w:spacing w:after="0"/>
              <w:rPr>
                <w:sz w:val="20"/>
                <w:szCs w:val="20"/>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0"/>
              </w:rPr>
              <w:t>Losses</w:t>
            </w:r>
          </w:p>
        </w:tc>
      </w:tr>
      <w:tr>
        <w:trPr>
          <w:trHeight w:val="209"/>
        </w:trPr>
        <w:tc>
          <w:tcPr>
            <w:tcW w:w="4620" w:type="dxa"/>
            <w:vAlign w:val="bottom"/>
            <w:tcBorders>
              <w:top w:val="single" w:sz="8" w:color="auto"/>
            </w:tcBorders>
            <w:shd w:val="clear" w:color="auto" w:fill="B2B2B2"/>
          </w:tcPr>
          <w:p>
            <w:pPr>
              <w:spacing w:after="0"/>
              <w:rPr>
                <w:sz w:val="20"/>
                <w:szCs w:val="20"/>
                <w:color w:val="auto"/>
              </w:rPr>
            </w:pPr>
            <w:r>
              <w:rPr>
                <w:rFonts w:ascii="Arial" w:cs="Arial" w:eastAsia="Arial" w:hAnsi="Arial"/>
                <w:sz w:val="18"/>
                <w:szCs w:val="18"/>
                <w:color w:val="auto"/>
              </w:rPr>
              <w:t>State and political subdivisions</w:t>
            </w:r>
          </w:p>
        </w:tc>
        <w:tc>
          <w:tcPr>
            <w:tcW w:w="10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36,423</w:t>
            </w:r>
          </w:p>
        </w:tc>
        <w:tc>
          <w:tcPr>
            <w:tcW w:w="14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174</w:t>
            </w:r>
          </w:p>
        </w:tc>
        <w:tc>
          <w:tcPr>
            <w:tcW w:w="16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B2B2B2"/>
          </w:tcPr>
          <w:p>
            <w:pPr>
              <w:ind w:left="78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B2B2B2"/>
          </w:tcPr>
          <w:p>
            <w:pPr>
              <w:jc w:val="right"/>
              <w:ind w:right="61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shd w:val="clear" w:color="auto" w:fill="B2B2B2"/>
          </w:tcPr>
          <w:p>
            <w:pPr>
              <w:ind w:left="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36,423</w:t>
            </w:r>
          </w:p>
        </w:tc>
        <w:tc>
          <w:tcPr>
            <w:tcW w:w="260" w:type="dxa"/>
            <w:vAlign w:val="bottom"/>
            <w:tcBorders>
              <w:top w:val="single" w:sz="8" w:color="auto"/>
            </w:tcBorders>
            <w:shd w:val="clear" w:color="auto" w:fill="B2B2B2"/>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174</w:t>
            </w:r>
          </w:p>
        </w:tc>
        <w:tc>
          <w:tcPr>
            <w:tcW w:w="20" w:type="dxa"/>
            <w:vAlign w:val="bottom"/>
          </w:tcPr>
          <w:p>
            <w:pPr>
              <w:spacing w:after="0"/>
              <w:rPr>
                <w:sz w:val="18"/>
                <w:szCs w:val="18"/>
                <w:color w:val="auto"/>
              </w:rPr>
            </w:pPr>
          </w:p>
        </w:tc>
      </w:tr>
      <w:tr>
        <w:trPr>
          <w:trHeight w:val="215"/>
        </w:trPr>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government agencies</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60,491</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60,491</w:t>
            </w: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w:t>
            </w:r>
          </w:p>
        </w:tc>
        <w:tc>
          <w:tcPr>
            <w:tcW w:w="20" w:type="dxa"/>
            <w:vAlign w:val="bottom"/>
          </w:tcPr>
          <w:p>
            <w:pPr>
              <w:spacing w:after="0"/>
              <w:rPr>
                <w:sz w:val="18"/>
                <w:szCs w:val="18"/>
                <w:color w:val="auto"/>
              </w:rPr>
            </w:pPr>
          </w:p>
        </w:tc>
      </w:tr>
      <w:tr>
        <w:trPr>
          <w:trHeight w:val="216"/>
        </w:trPr>
        <w:tc>
          <w:tcPr>
            <w:tcW w:w="4620" w:type="dxa"/>
            <w:vAlign w:val="bottom"/>
            <w:tcBorders>
              <w:bottom w:val="single" w:sz="8" w:color="auto"/>
            </w:tcBorders>
            <w:shd w:val="clear" w:color="auto" w:fill="B2B2B2"/>
          </w:tcPr>
          <w:p>
            <w:pPr>
              <w:ind w:left="180"/>
              <w:spacing w:after="0" w:line="195" w:lineRule="exact"/>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shd w:val="clear" w:color="auto" w:fill="B2B2B2"/>
          </w:tcPr>
          <w:p>
            <w:pPr>
              <w:jc w:val="right"/>
              <w:spacing w:after="0" w:line="195"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B2B2B2"/>
          </w:tcPr>
          <w:p>
            <w:pPr>
              <w:jc w:val="right"/>
              <w:spacing w:after="0" w:line="195" w:lineRule="exact"/>
              <w:rPr>
                <w:sz w:val="20"/>
                <w:szCs w:val="20"/>
                <w:color w:val="auto"/>
              </w:rPr>
            </w:pPr>
            <w:r>
              <w:rPr>
                <w:rFonts w:ascii="Arial" w:cs="Arial" w:eastAsia="Arial" w:hAnsi="Arial"/>
                <w:sz w:val="18"/>
                <w:szCs w:val="18"/>
                <w:color w:val="auto"/>
              </w:rPr>
              <w:t>96,914</w:t>
            </w:r>
          </w:p>
        </w:tc>
        <w:tc>
          <w:tcPr>
            <w:tcW w:w="140" w:type="dxa"/>
            <w:vAlign w:val="bottom"/>
            <w:tcBorders>
              <w:bottom w:val="single" w:sz="8" w:color="auto"/>
            </w:tcBorders>
            <w:shd w:val="clear" w:color="auto" w:fill="B2B2B2"/>
          </w:tcPr>
          <w:p>
            <w:pPr>
              <w:jc w:val="right"/>
              <w:spacing w:after="0" w:line="195"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B2B2B2"/>
          </w:tcPr>
          <w:p>
            <w:pPr>
              <w:jc w:val="right"/>
              <w:spacing w:after="0" w:line="195" w:lineRule="exact"/>
              <w:rPr>
                <w:sz w:val="20"/>
                <w:szCs w:val="20"/>
                <w:color w:val="auto"/>
              </w:rPr>
            </w:pPr>
            <w:r>
              <w:rPr>
                <w:rFonts w:ascii="Arial" w:cs="Arial" w:eastAsia="Arial" w:hAnsi="Arial"/>
                <w:sz w:val="18"/>
                <w:szCs w:val="18"/>
                <w:color w:val="auto"/>
              </w:rPr>
              <w:t>885</w:t>
            </w:r>
          </w:p>
        </w:tc>
        <w:tc>
          <w:tcPr>
            <w:tcW w:w="160" w:type="dxa"/>
            <w:vAlign w:val="bottom"/>
            <w:tcBorders>
              <w:bottom w:val="single" w:sz="8" w:color="auto"/>
            </w:tcBorders>
            <w:shd w:val="clear" w:color="auto" w:fill="B2B2B2"/>
          </w:tcPr>
          <w:p>
            <w:pPr>
              <w:jc w:val="right"/>
              <w:spacing w:after="0" w:line="195"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B2B2B2"/>
          </w:tcPr>
          <w:p>
            <w:pPr>
              <w:ind w:left="780"/>
              <w:spacing w:after="0" w:line="195"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B2B2B2"/>
          </w:tcPr>
          <w:p>
            <w:pPr>
              <w:jc w:val="right"/>
              <w:ind w:right="610"/>
              <w:spacing w:after="0" w:line="195"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B2B2B2"/>
          </w:tcPr>
          <w:p>
            <w:pPr>
              <w:ind w:left="60"/>
              <w:spacing w:after="0" w:line="195"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B2B2B2"/>
          </w:tcPr>
          <w:p>
            <w:pPr>
              <w:jc w:val="right"/>
              <w:spacing w:after="0" w:line="195"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B2B2B2"/>
          </w:tcPr>
          <w:p>
            <w:pPr>
              <w:jc w:val="right"/>
              <w:spacing w:after="0" w:line="195" w:lineRule="exact"/>
              <w:rPr>
                <w:sz w:val="20"/>
                <w:szCs w:val="20"/>
                <w:color w:val="auto"/>
              </w:rPr>
            </w:pPr>
            <w:r>
              <w:rPr>
                <w:rFonts w:ascii="Arial" w:cs="Arial" w:eastAsia="Arial" w:hAnsi="Arial"/>
                <w:sz w:val="18"/>
                <w:szCs w:val="18"/>
                <w:color w:val="auto"/>
              </w:rPr>
              <w:t>96,914</w:t>
            </w:r>
          </w:p>
        </w:tc>
        <w:tc>
          <w:tcPr>
            <w:tcW w:w="260" w:type="dxa"/>
            <w:vAlign w:val="bottom"/>
            <w:tcBorders>
              <w:bottom w:val="single" w:sz="8" w:color="auto"/>
            </w:tcBorders>
            <w:shd w:val="clear" w:color="auto" w:fill="B2B2B2"/>
          </w:tcPr>
          <w:p>
            <w:pPr>
              <w:jc w:val="right"/>
              <w:ind w:right="10"/>
              <w:spacing w:after="0" w:line="195"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B2B2B2"/>
          </w:tcPr>
          <w:p>
            <w:pPr>
              <w:jc w:val="right"/>
              <w:spacing w:after="0" w:line="195" w:lineRule="exact"/>
              <w:rPr>
                <w:sz w:val="20"/>
                <w:szCs w:val="20"/>
                <w:color w:val="auto"/>
              </w:rPr>
            </w:pPr>
            <w:r>
              <w:rPr>
                <w:rFonts w:ascii="Arial" w:cs="Arial" w:eastAsia="Arial" w:hAnsi="Arial"/>
                <w:sz w:val="18"/>
                <w:szCs w:val="18"/>
                <w:color w:val="auto"/>
              </w:rPr>
              <w:t>885</w:t>
            </w:r>
          </w:p>
        </w:tc>
        <w:tc>
          <w:tcPr>
            <w:tcW w:w="20" w:type="dxa"/>
            <w:vAlign w:val="bottom"/>
            <w:tcBorders>
              <w:bottom w:val="single" w:sz="8" w:color="auto"/>
            </w:tcBorders>
          </w:tcPr>
          <w:p>
            <w:pPr>
              <w:spacing w:after="0"/>
              <w:rPr>
                <w:sz w:val="18"/>
                <w:szCs w:val="18"/>
                <w:color w:val="auto"/>
              </w:rPr>
            </w:pPr>
          </w:p>
        </w:tc>
      </w:tr>
    </w:tbl>
    <w:p>
      <w:pPr>
        <w:spacing w:after="0" w:line="363"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There were 33 securities, or 12%, (0 greater than 12 months) in an unrealized loss position as of March 31, 2021. There were no securities in an unrealized loss position as of December 31, 2020.</w:t>
      </w:r>
    </w:p>
    <w:p>
      <w:pPr>
        <w:spacing w:after="0" w:line="143"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amortized cost and fair value of investment securities by contractual maturity are shown in the following table. Expected maturities may differ from contractual maturities because borrowers have the right to prepay obligations with or without prepayment penalties.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3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20" w:type="dxa"/>
            <w:vAlign w:val="bottom"/>
            <w:gridSpan w:val="4"/>
          </w:tcPr>
          <w:p>
            <w:pPr>
              <w:ind w:left="840"/>
              <w:spacing w:after="0"/>
              <w:rPr>
                <w:sz w:val="20"/>
                <w:szCs w:val="20"/>
                <w:color w:val="auto"/>
              </w:rPr>
            </w:pPr>
            <w:r>
              <w:rPr>
                <w:rFonts w:ascii="Arial" w:cs="Arial" w:eastAsia="Arial" w:hAnsi="Arial"/>
                <w:sz w:val="18"/>
                <w:szCs w:val="18"/>
                <w:b w:val="1"/>
                <w:bCs w:val="1"/>
                <w:color w:val="auto"/>
              </w:rPr>
              <w:t>March 31, 2021</w:t>
            </w:r>
          </w:p>
        </w:tc>
      </w:tr>
      <w:tr>
        <w:trPr>
          <w:trHeight w:val="222"/>
        </w:trPr>
        <w:tc>
          <w:tcPr>
            <w:tcW w:w="5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28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3"/>
              </w:rPr>
              <w:t>Amortized Cost</w:t>
            </w:r>
          </w:p>
        </w:tc>
        <w:tc>
          <w:tcPr>
            <w:tcW w:w="2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Fair Value</w:t>
            </w:r>
          </w:p>
        </w:tc>
        <w:tc>
          <w:tcPr>
            <w:tcW w:w="20" w:type="dxa"/>
            <w:vAlign w:val="bottom"/>
          </w:tcPr>
          <w:p>
            <w:pPr>
              <w:spacing w:after="0"/>
              <w:rPr>
                <w:sz w:val="19"/>
                <w:szCs w:val="19"/>
                <w:color w:val="auto"/>
              </w:rPr>
            </w:pPr>
          </w:p>
        </w:tc>
      </w:tr>
      <w:tr>
        <w:trPr>
          <w:trHeight w:val="215"/>
        </w:trPr>
        <w:tc>
          <w:tcPr>
            <w:tcW w:w="5300" w:type="dxa"/>
            <w:vAlign w:val="bottom"/>
            <w:shd w:val="clear" w:color="auto" w:fill="B2B2B2"/>
          </w:tcPr>
          <w:p>
            <w:pPr>
              <w:spacing w:after="0"/>
              <w:rPr>
                <w:sz w:val="20"/>
                <w:szCs w:val="20"/>
                <w:color w:val="auto"/>
              </w:rPr>
            </w:pPr>
            <w:r>
              <w:rPr>
                <w:rFonts w:ascii="Arial" w:cs="Arial" w:eastAsia="Arial" w:hAnsi="Arial"/>
                <w:sz w:val="18"/>
                <w:szCs w:val="18"/>
                <w:color w:val="auto"/>
              </w:rPr>
              <w:t>Due in 1 year or less</w:t>
            </w:r>
          </w:p>
        </w:tc>
        <w:tc>
          <w:tcPr>
            <w:tcW w:w="2940" w:type="dxa"/>
            <w:vAlign w:val="bottom"/>
            <w:gridSpan w:val="2"/>
            <w:shd w:val="clear" w:color="auto" w:fill="B2B2B2"/>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70,415</w:t>
            </w:r>
          </w:p>
        </w:tc>
        <w:tc>
          <w:tcPr>
            <w:tcW w:w="26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70,697</w:t>
            </w:r>
          </w:p>
        </w:tc>
        <w:tc>
          <w:tcPr>
            <w:tcW w:w="20" w:type="dxa"/>
            <w:vAlign w:val="bottom"/>
          </w:tcPr>
          <w:p>
            <w:pPr>
              <w:spacing w:after="0"/>
              <w:rPr>
                <w:sz w:val="18"/>
                <w:szCs w:val="18"/>
                <w:color w:val="auto"/>
              </w:rPr>
            </w:pPr>
          </w:p>
        </w:tc>
      </w:tr>
      <w:tr>
        <w:trPr>
          <w:trHeight w:val="215"/>
        </w:trPr>
        <w:tc>
          <w:tcPr>
            <w:tcW w:w="5300" w:type="dxa"/>
            <w:vAlign w:val="bottom"/>
          </w:tcPr>
          <w:p>
            <w:pPr>
              <w:spacing w:after="0"/>
              <w:rPr>
                <w:sz w:val="20"/>
                <w:szCs w:val="20"/>
                <w:color w:val="auto"/>
              </w:rPr>
            </w:pPr>
            <w:r>
              <w:rPr>
                <w:rFonts w:ascii="Arial" w:cs="Arial" w:eastAsia="Arial" w:hAnsi="Arial"/>
                <w:sz w:val="18"/>
                <w:szCs w:val="18"/>
                <w:color w:val="auto"/>
              </w:rPr>
              <w:t>Due after 1 year through 5 years</w:t>
            </w:r>
          </w:p>
        </w:tc>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89,351</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93,669</w:t>
            </w:r>
          </w:p>
        </w:tc>
        <w:tc>
          <w:tcPr>
            <w:tcW w:w="20" w:type="dxa"/>
            <w:vAlign w:val="bottom"/>
          </w:tcPr>
          <w:p>
            <w:pPr>
              <w:spacing w:after="0"/>
              <w:rPr>
                <w:sz w:val="18"/>
                <w:szCs w:val="18"/>
                <w:color w:val="auto"/>
              </w:rPr>
            </w:pPr>
          </w:p>
        </w:tc>
      </w:tr>
      <w:tr>
        <w:trPr>
          <w:trHeight w:val="215"/>
        </w:trPr>
        <w:tc>
          <w:tcPr>
            <w:tcW w:w="5300" w:type="dxa"/>
            <w:vAlign w:val="bottom"/>
            <w:shd w:val="clear" w:color="auto" w:fill="B2B2B2"/>
          </w:tcPr>
          <w:p>
            <w:pPr>
              <w:spacing w:after="0"/>
              <w:rPr>
                <w:sz w:val="20"/>
                <w:szCs w:val="20"/>
                <w:color w:val="auto"/>
              </w:rPr>
            </w:pPr>
            <w:r>
              <w:rPr>
                <w:rFonts w:ascii="Arial" w:cs="Arial" w:eastAsia="Arial" w:hAnsi="Arial"/>
                <w:sz w:val="18"/>
                <w:szCs w:val="18"/>
                <w:color w:val="auto"/>
              </w:rPr>
              <w:t>Due after 5 years through 10 years</w:t>
            </w:r>
          </w:p>
        </w:tc>
        <w:tc>
          <w:tcPr>
            <w:tcW w:w="28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5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161,771</w:t>
            </w:r>
          </w:p>
        </w:tc>
        <w:tc>
          <w:tcPr>
            <w:tcW w:w="260" w:type="dxa"/>
            <w:vAlign w:val="bottom"/>
            <w:shd w:val="clear" w:color="auto" w:fill="B2B2B2"/>
          </w:tcPr>
          <w:p>
            <w:pPr>
              <w:spacing w:after="0"/>
              <w:rPr>
                <w:sz w:val="18"/>
                <w:szCs w:val="18"/>
                <w:color w:val="auto"/>
              </w:rPr>
            </w:pPr>
          </w:p>
        </w:tc>
        <w:tc>
          <w:tcPr>
            <w:tcW w:w="12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173,009</w:t>
            </w:r>
          </w:p>
        </w:tc>
        <w:tc>
          <w:tcPr>
            <w:tcW w:w="20" w:type="dxa"/>
            <w:vAlign w:val="bottom"/>
          </w:tcPr>
          <w:p>
            <w:pPr>
              <w:spacing w:after="0"/>
              <w:rPr>
                <w:sz w:val="18"/>
                <w:szCs w:val="18"/>
                <w:color w:val="auto"/>
              </w:rPr>
            </w:pPr>
          </w:p>
        </w:tc>
      </w:tr>
      <w:tr>
        <w:trPr>
          <w:trHeight w:val="215"/>
        </w:trPr>
        <w:tc>
          <w:tcPr>
            <w:tcW w:w="5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Due after 10 years</w:t>
            </w:r>
          </w:p>
        </w:tc>
        <w:tc>
          <w:tcPr>
            <w:tcW w:w="2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90,291</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89,869</w:t>
            </w:r>
          </w:p>
        </w:tc>
        <w:tc>
          <w:tcPr>
            <w:tcW w:w="20" w:type="dxa"/>
            <w:vAlign w:val="bottom"/>
          </w:tcPr>
          <w:p>
            <w:pPr>
              <w:spacing w:after="0"/>
              <w:rPr>
                <w:sz w:val="18"/>
                <w:szCs w:val="18"/>
                <w:color w:val="auto"/>
              </w:rPr>
            </w:pPr>
          </w:p>
        </w:tc>
      </w:tr>
      <w:tr>
        <w:trPr>
          <w:trHeight w:val="216"/>
        </w:trPr>
        <w:tc>
          <w:tcPr>
            <w:tcW w:w="5300" w:type="dxa"/>
            <w:vAlign w:val="bottom"/>
            <w:tcBorders>
              <w:bottom w:val="single" w:sz="8" w:color="auto"/>
            </w:tcBorders>
            <w:shd w:val="clear" w:color="auto" w:fill="B2B2B2"/>
          </w:tcPr>
          <w:p>
            <w:pPr>
              <w:ind w:left="180"/>
              <w:spacing w:after="0" w:line="195" w:lineRule="exact"/>
              <w:rPr>
                <w:sz w:val="20"/>
                <w:szCs w:val="20"/>
                <w:color w:val="auto"/>
              </w:rPr>
            </w:pPr>
            <w:r>
              <w:rPr>
                <w:rFonts w:ascii="Arial" w:cs="Arial" w:eastAsia="Arial" w:hAnsi="Arial"/>
                <w:sz w:val="18"/>
                <w:szCs w:val="18"/>
                <w:color w:val="auto"/>
              </w:rPr>
              <w:t>Total</w:t>
            </w:r>
          </w:p>
        </w:tc>
        <w:tc>
          <w:tcPr>
            <w:tcW w:w="2940" w:type="dxa"/>
            <w:vAlign w:val="bottom"/>
            <w:tcBorders>
              <w:bottom w:val="single" w:sz="8" w:color="auto"/>
            </w:tcBorders>
            <w:gridSpan w:val="2"/>
            <w:shd w:val="clear" w:color="auto" w:fill="B2B2B2"/>
          </w:tcPr>
          <w:p>
            <w:pPr>
              <w:jc w:val="right"/>
              <w:ind w:right="40"/>
              <w:spacing w:after="0" w:line="195" w:lineRule="exact"/>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B2B2B2"/>
          </w:tcPr>
          <w:p>
            <w:pPr>
              <w:jc w:val="right"/>
              <w:spacing w:after="0" w:line="195" w:lineRule="exact"/>
              <w:rPr>
                <w:sz w:val="20"/>
                <w:szCs w:val="20"/>
                <w:color w:val="auto"/>
              </w:rPr>
            </w:pPr>
            <w:r>
              <w:rPr>
                <w:rFonts w:ascii="Arial" w:cs="Arial" w:eastAsia="Arial" w:hAnsi="Arial"/>
                <w:sz w:val="18"/>
                <w:szCs w:val="18"/>
                <w:color w:val="auto"/>
              </w:rPr>
              <w:t>411,828</w:t>
            </w:r>
          </w:p>
        </w:tc>
        <w:tc>
          <w:tcPr>
            <w:tcW w:w="260" w:type="dxa"/>
            <w:vAlign w:val="bottom"/>
            <w:tcBorders>
              <w:bottom w:val="single" w:sz="8" w:color="auto"/>
            </w:tcBorders>
            <w:shd w:val="clear" w:color="auto" w:fill="B2B2B2"/>
          </w:tcPr>
          <w:p>
            <w:pPr>
              <w:jc w:val="right"/>
              <w:ind w:right="30"/>
              <w:spacing w:after="0" w:line="195" w:lineRule="exact"/>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B2B2B2"/>
          </w:tcPr>
          <w:p>
            <w:pPr>
              <w:jc w:val="right"/>
              <w:spacing w:after="0" w:line="195" w:lineRule="exact"/>
              <w:rPr>
                <w:sz w:val="20"/>
                <w:szCs w:val="20"/>
                <w:color w:val="auto"/>
              </w:rPr>
            </w:pPr>
            <w:r>
              <w:rPr>
                <w:rFonts w:ascii="Arial" w:cs="Arial" w:eastAsia="Arial" w:hAnsi="Arial"/>
                <w:sz w:val="18"/>
                <w:szCs w:val="18"/>
                <w:color w:val="auto"/>
              </w:rPr>
              <w:t>427,244</w:t>
            </w:r>
          </w:p>
        </w:tc>
        <w:tc>
          <w:tcPr>
            <w:tcW w:w="20" w:type="dxa"/>
            <w:vAlign w:val="bottom"/>
            <w:tcBorders>
              <w:bottom w:val="single" w:sz="8" w:color="auto"/>
            </w:tcBorders>
          </w:tcPr>
          <w:p>
            <w:pPr>
              <w:spacing w:after="0"/>
              <w:rPr>
                <w:sz w:val="18"/>
                <w:szCs w:val="18"/>
                <w:color w:val="auto"/>
              </w:rPr>
            </w:pPr>
          </w:p>
        </w:tc>
      </w:tr>
    </w:tbl>
    <w:p>
      <w:pPr>
        <w:spacing w:after="0" w:line="3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Proceeds from sales of investment securities classified as available for sale were $2,991,000 and $19,629,000 for the three months ended March 31, 2021 and 2020, respectively. Gross realized gains were $48,000 and $1,069,000 for the three months ended March 31, 2021 and 2020, respectively. There were no securities pledged to secure public deposits or for other purposes at March 31, 2021.</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8355" cy="596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355" cy="5969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Note 12 – Fair Value of Financial Instruments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the carrying amounts and fair values of the Company’s financial instruments: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80" w:type="dxa"/>
            <w:vAlign w:val="bottom"/>
            <w:gridSpan w:val="4"/>
          </w:tcPr>
          <w:p>
            <w:pPr>
              <w:ind w:left="360"/>
              <w:spacing w:after="0"/>
              <w:rPr>
                <w:sz w:val="20"/>
                <w:szCs w:val="20"/>
                <w:color w:val="auto"/>
              </w:rPr>
            </w:pPr>
            <w:r>
              <w:rPr>
                <w:rFonts w:ascii="Arial" w:cs="Arial" w:eastAsia="Arial" w:hAnsi="Arial"/>
                <w:sz w:val="18"/>
                <w:szCs w:val="18"/>
                <w:b w:val="1"/>
                <w:bCs w:val="1"/>
                <w:color w:val="auto"/>
              </w:rPr>
              <w:t>March 31, 2021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80" w:type="dxa"/>
            <w:vAlign w:val="bottom"/>
            <w:gridSpan w:val="3"/>
          </w:tcPr>
          <w:p>
            <w:pPr>
              <w:jc w:val="right"/>
              <w:ind w:right="230"/>
              <w:spacing w:after="0"/>
              <w:rPr>
                <w:sz w:val="20"/>
                <w:szCs w:val="20"/>
                <w:color w:val="auto"/>
              </w:rPr>
            </w:pPr>
            <w:r>
              <w:rPr>
                <w:rFonts w:ascii="Arial" w:cs="Arial" w:eastAsia="Arial" w:hAnsi="Arial"/>
                <w:sz w:val="18"/>
                <w:szCs w:val="18"/>
                <w:b w:val="1"/>
                <w:bCs w:val="1"/>
                <w:color w:val="auto"/>
              </w:rPr>
              <w:t>December 31, 2020</w:t>
            </w:r>
          </w:p>
        </w:tc>
      </w:tr>
      <w:tr>
        <w:trPr>
          <w:trHeight w:val="197"/>
        </w:trPr>
        <w:tc>
          <w:tcPr>
            <w:tcW w:w="67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30"/>
              <w:spacing w:after="0" w:line="197" w:lineRule="exact"/>
              <w:rPr>
                <w:sz w:val="20"/>
                <w:szCs w:val="20"/>
                <w:color w:val="auto"/>
              </w:rPr>
            </w:pPr>
            <w:r>
              <w:rPr>
                <w:rFonts w:ascii="Arial" w:cs="Arial" w:eastAsia="Arial" w:hAnsi="Arial"/>
                <w:sz w:val="18"/>
                <w:szCs w:val="18"/>
                <w:b w:val="1"/>
                <w:bCs w:val="1"/>
                <w:color w:val="auto"/>
                <w:w w:val="97"/>
              </w:rPr>
              <w:t>Carrying</w:t>
            </w: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90"/>
              <w:spacing w:after="0" w:line="197" w:lineRule="exact"/>
              <w:rPr>
                <w:sz w:val="20"/>
                <w:szCs w:val="20"/>
                <w:color w:val="auto"/>
              </w:rPr>
            </w:pPr>
            <w:r>
              <w:rPr>
                <w:rFonts w:ascii="Arial" w:cs="Arial" w:eastAsia="Arial" w:hAnsi="Arial"/>
                <w:sz w:val="18"/>
                <w:szCs w:val="18"/>
                <w:b w:val="1"/>
                <w:bCs w:val="1"/>
                <w:color w:val="auto"/>
                <w:w w:val="97"/>
              </w:rPr>
              <w:t>Carrying</w:t>
            </w: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r>
      <w:tr>
        <w:trPr>
          <w:trHeight w:val="241"/>
        </w:trPr>
        <w:tc>
          <w:tcPr>
            <w:tcW w:w="6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Amount</w:t>
            </w: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Fair Value</w:t>
            </w: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Amount</w:t>
            </w: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0"/>
              </w:rPr>
              <w:t>Fair Value</w:t>
            </w:r>
          </w:p>
        </w:tc>
      </w:tr>
      <w:tr>
        <w:trPr>
          <w:trHeight w:val="215"/>
        </w:trPr>
        <w:tc>
          <w:tcPr>
            <w:tcW w:w="6760" w:type="dxa"/>
            <w:vAlign w:val="bottom"/>
            <w:shd w:val="clear" w:color="auto" w:fill="B2B2B2"/>
          </w:tcPr>
          <w:p>
            <w:pPr>
              <w:spacing w:after="0"/>
              <w:rPr>
                <w:sz w:val="20"/>
                <w:szCs w:val="20"/>
                <w:color w:val="auto"/>
              </w:rPr>
            </w:pPr>
            <w:r>
              <w:rPr>
                <w:rFonts w:ascii="Arial" w:cs="Arial" w:eastAsia="Arial" w:hAnsi="Arial"/>
                <w:sz w:val="18"/>
                <w:szCs w:val="18"/>
                <w:color w:val="auto"/>
              </w:rPr>
              <w:t>Balance sheet assets:</w:t>
            </w:r>
          </w:p>
        </w:tc>
        <w:tc>
          <w:tcPr>
            <w:tcW w:w="240" w:type="dxa"/>
            <w:vAlign w:val="bottom"/>
            <w:shd w:val="clear" w:color="auto" w:fill="B2B2B2"/>
          </w:tcPr>
          <w:p>
            <w:pPr>
              <w:spacing w:after="0"/>
              <w:rPr>
                <w:sz w:val="18"/>
                <w:szCs w:val="18"/>
                <w:color w:val="auto"/>
              </w:rPr>
            </w:pPr>
          </w:p>
        </w:tc>
        <w:tc>
          <w:tcPr>
            <w:tcW w:w="96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92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92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r>
      <w:tr>
        <w:trPr>
          <w:trHeight w:val="215"/>
        </w:trPr>
        <w:tc>
          <w:tcPr>
            <w:tcW w:w="676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599,659</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599,659</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670,528</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670,528</w:t>
            </w:r>
          </w:p>
        </w:tc>
      </w:tr>
      <w:tr>
        <w:trPr>
          <w:trHeight w:val="215"/>
        </w:trPr>
        <w:tc>
          <w:tcPr>
            <w:tcW w:w="6760" w:type="dxa"/>
            <w:vAlign w:val="bottom"/>
            <w:shd w:val="clear" w:color="auto" w:fill="B2B2B2"/>
          </w:tcPr>
          <w:p>
            <w:pPr>
              <w:ind w:left="180"/>
              <w:spacing w:after="0"/>
              <w:rPr>
                <w:sz w:val="20"/>
                <w:szCs w:val="20"/>
                <w:color w:val="auto"/>
              </w:rPr>
            </w:pPr>
            <w:r>
              <w:rPr>
                <w:rFonts w:ascii="Arial" w:cs="Arial" w:eastAsia="Arial" w:hAnsi="Arial"/>
                <w:sz w:val="18"/>
                <w:szCs w:val="18"/>
                <w:color w:val="auto"/>
              </w:rPr>
              <w:t>Investment securities</w:t>
            </w:r>
          </w:p>
        </w:tc>
        <w:tc>
          <w:tcPr>
            <w:tcW w:w="240" w:type="dxa"/>
            <w:vAlign w:val="bottom"/>
            <w:shd w:val="clear" w:color="auto" w:fill="B2B2B2"/>
          </w:tcPr>
          <w:p>
            <w:pPr>
              <w:spacing w:after="0"/>
              <w:rPr>
                <w:sz w:val="18"/>
                <w:szCs w:val="18"/>
                <w:color w:val="auto"/>
              </w:rPr>
            </w:pPr>
          </w:p>
        </w:tc>
        <w:tc>
          <w:tcPr>
            <w:tcW w:w="9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427,244</w:t>
            </w:r>
          </w:p>
        </w:tc>
        <w:tc>
          <w:tcPr>
            <w:tcW w:w="160" w:type="dxa"/>
            <w:vAlign w:val="bottom"/>
            <w:shd w:val="clear" w:color="auto" w:fill="B2B2B2"/>
          </w:tcPr>
          <w:p>
            <w:pPr>
              <w:spacing w:after="0"/>
              <w:rPr>
                <w:sz w:val="18"/>
                <w:szCs w:val="18"/>
                <w:color w:val="auto"/>
              </w:rPr>
            </w:pPr>
          </w:p>
        </w:tc>
        <w:tc>
          <w:tcPr>
            <w:tcW w:w="960" w:type="dxa"/>
            <w:vAlign w:val="bottom"/>
            <w:gridSpan w:val="2"/>
            <w:shd w:val="clear" w:color="auto" w:fill="B2B2B2"/>
          </w:tcPr>
          <w:p>
            <w:pPr>
              <w:jc w:val="right"/>
              <w:ind w:right="40"/>
              <w:spacing w:after="0"/>
              <w:rPr>
                <w:sz w:val="20"/>
                <w:szCs w:val="20"/>
                <w:color w:val="auto"/>
              </w:rPr>
            </w:pPr>
            <w:r>
              <w:rPr>
                <w:rFonts w:ascii="Arial" w:cs="Arial" w:eastAsia="Arial" w:hAnsi="Arial"/>
                <w:sz w:val="18"/>
                <w:szCs w:val="18"/>
                <w:color w:val="auto"/>
              </w:rPr>
              <w:t>427,244</w:t>
            </w:r>
          </w:p>
        </w:tc>
        <w:tc>
          <w:tcPr>
            <w:tcW w:w="6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9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357,726</w:t>
            </w:r>
          </w:p>
        </w:tc>
        <w:tc>
          <w:tcPr>
            <w:tcW w:w="160" w:type="dxa"/>
            <w:vAlign w:val="bottom"/>
            <w:shd w:val="clear" w:color="auto" w:fill="B2B2B2"/>
          </w:tcPr>
          <w:p>
            <w:pPr>
              <w:spacing w:after="0"/>
              <w:rPr>
                <w:sz w:val="18"/>
                <w:szCs w:val="18"/>
                <w:color w:val="auto"/>
              </w:rPr>
            </w:pPr>
          </w:p>
        </w:tc>
        <w:tc>
          <w:tcPr>
            <w:tcW w:w="9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357,726</w:t>
            </w:r>
          </w:p>
        </w:tc>
      </w:tr>
      <w:tr>
        <w:trPr>
          <w:trHeight w:val="215"/>
        </w:trPr>
        <w:tc>
          <w:tcPr>
            <w:tcW w:w="6760" w:type="dxa"/>
            <w:vAlign w:val="bottom"/>
          </w:tcPr>
          <w:p>
            <w:pPr>
              <w:ind w:left="180"/>
              <w:spacing w:after="0"/>
              <w:rPr>
                <w:sz w:val="20"/>
                <w:szCs w:val="20"/>
                <w:color w:val="auto"/>
              </w:rPr>
            </w:pPr>
            <w:r>
              <w:rPr>
                <w:rFonts w:ascii="Arial" w:cs="Arial" w:eastAsia="Arial" w:hAnsi="Arial"/>
                <w:sz w:val="18"/>
                <w:szCs w:val="18"/>
                <w:color w:val="auto"/>
              </w:rPr>
              <w:t>Loans, net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876,854</w:t>
            </w: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880,231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879,732</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883,461</w:t>
            </w:r>
          </w:p>
        </w:tc>
      </w:tr>
      <w:tr>
        <w:trPr>
          <w:trHeight w:val="215"/>
        </w:trPr>
        <w:tc>
          <w:tcPr>
            <w:tcW w:w="6760" w:type="dxa"/>
            <w:vAlign w:val="bottom"/>
            <w:tcBorders>
              <w:bottom w:val="single" w:sz="8" w:color="auto"/>
            </w:tcBorders>
            <w:shd w:val="clear" w:color="auto" w:fill="B2B2B2"/>
          </w:tcPr>
          <w:p>
            <w:pPr>
              <w:ind w:left="180"/>
              <w:spacing w:after="0"/>
              <w:rPr>
                <w:sz w:val="20"/>
                <w:szCs w:val="20"/>
                <w:color w:val="auto"/>
              </w:rPr>
            </w:pPr>
            <w:r>
              <w:rPr>
                <w:rFonts w:ascii="Arial" w:cs="Arial" w:eastAsia="Arial" w:hAnsi="Arial"/>
                <w:sz w:val="18"/>
                <w:szCs w:val="18"/>
                <w:color w:val="auto"/>
              </w:rPr>
              <w:t>Accrued interest receivable</w:t>
            </w:r>
          </w:p>
        </w:tc>
        <w:tc>
          <w:tcPr>
            <w:tcW w:w="240" w:type="dxa"/>
            <w:vAlign w:val="bottom"/>
            <w:tcBorders>
              <w:bottom w:val="single" w:sz="8" w:color="auto"/>
            </w:tcBorders>
            <w:shd w:val="clear" w:color="auto" w:fill="B2B2B2"/>
          </w:tcPr>
          <w:p>
            <w:pPr>
              <w:spacing w:after="0"/>
              <w:rPr>
                <w:sz w:val="18"/>
                <w:szCs w:val="18"/>
                <w:color w:val="auto"/>
              </w:rPr>
            </w:pPr>
          </w:p>
        </w:tc>
        <w:tc>
          <w:tcPr>
            <w:tcW w:w="96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6,458</w:t>
            </w:r>
          </w:p>
        </w:tc>
        <w:tc>
          <w:tcPr>
            <w:tcW w:w="160" w:type="dxa"/>
            <w:vAlign w:val="bottom"/>
            <w:tcBorders>
              <w:bottom w:val="single" w:sz="8" w:color="auto"/>
            </w:tcBorders>
            <w:shd w:val="clear" w:color="auto" w:fill="B2B2B2"/>
          </w:tcPr>
          <w:p>
            <w:pPr>
              <w:spacing w:after="0"/>
              <w:rPr>
                <w:sz w:val="18"/>
                <w:szCs w:val="18"/>
                <w:color w:val="auto"/>
              </w:rPr>
            </w:pPr>
          </w:p>
        </w:tc>
        <w:tc>
          <w:tcPr>
            <w:tcW w:w="960" w:type="dxa"/>
            <w:vAlign w:val="bottom"/>
            <w:tcBorders>
              <w:bottom w:val="single" w:sz="8" w:color="auto"/>
            </w:tcBorders>
            <w:gridSpan w:val="2"/>
            <w:shd w:val="clear" w:color="auto" w:fill="B2B2B2"/>
          </w:tcPr>
          <w:p>
            <w:pPr>
              <w:jc w:val="right"/>
              <w:ind w:right="40"/>
              <w:spacing w:after="0"/>
              <w:rPr>
                <w:sz w:val="20"/>
                <w:szCs w:val="20"/>
                <w:color w:val="auto"/>
              </w:rPr>
            </w:pPr>
            <w:r>
              <w:rPr>
                <w:rFonts w:ascii="Arial" w:cs="Arial" w:eastAsia="Arial" w:hAnsi="Arial"/>
                <w:sz w:val="18"/>
                <w:szCs w:val="18"/>
                <w:color w:val="auto"/>
              </w:rPr>
              <w:t>6,458</w:t>
            </w:r>
          </w:p>
        </w:tc>
        <w:tc>
          <w:tcPr>
            <w:tcW w:w="60" w:type="dxa"/>
            <w:vAlign w:val="bottom"/>
            <w:tcBorders>
              <w:bottom w:val="single" w:sz="8" w:color="auto"/>
            </w:tcBorders>
            <w:shd w:val="clear" w:color="auto" w:fill="B2B2B2"/>
          </w:tcPr>
          <w:p>
            <w:pPr>
              <w:spacing w:after="0"/>
              <w:rPr>
                <w:sz w:val="18"/>
                <w:szCs w:val="18"/>
                <w:color w:val="auto"/>
              </w:rPr>
            </w:pPr>
          </w:p>
        </w:tc>
        <w:tc>
          <w:tcPr>
            <w:tcW w:w="120" w:type="dxa"/>
            <w:vAlign w:val="bottom"/>
            <w:tcBorders>
              <w:bottom w:val="single" w:sz="8" w:color="auto"/>
            </w:tcBorders>
            <w:shd w:val="clear" w:color="auto" w:fill="B2B2B2"/>
          </w:tcPr>
          <w:p>
            <w:pPr>
              <w:spacing w:after="0"/>
              <w:rPr>
                <w:sz w:val="18"/>
                <w:szCs w:val="18"/>
                <w:color w:val="auto"/>
              </w:rPr>
            </w:pPr>
          </w:p>
        </w:tc>
        <w:tc>
          <w:tcPr>
            <w:tcW w:w="9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6,850</w:t>
            </w:r>
          </w:p>
        </w:tc>
        <w:tc>
          <w:tcPr>
            <w:tcW w:w="160" w:type="dxa"/>
            <w:vAlign w:val="bottom"/>
            <w:tcBorders>
              <w:bottom w:val="single" w:sz="8" w:color="auto"/>
            </w:tcBorders>
            <w:shd w:val="clear" w:color="auto" w:fill="B2B2B2"/>
          </w:tcPr>
          <w:p>
            <w:pPr>
              <w:spacing w:after="0"/>
              <w:rPr>
                <w:sz w:val="18"/>
                <w:szCs w:val="18"/>
                <w:color w:val="auto"/>
              </w:rPr>
            </w:pPr>
          </w:p>
        </w:tc>
        <w:tc>
          <w:tcPr>
            <w:tcW w:w="90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6,850</w:t>
            </w:r>
          </w:p>
        </w:tc>
      </w:tr>
      <w:tr>
        <w:trPr>
          <w:trHeight w:val="209"/>
        </w:trPr>
        <w:tc>
          <w:tcPr>
            <w:tcW w:w="67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1,910,215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1,913,592</w:t>
            </w: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1,914,836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1,918,565</w:t>
            </w:r>
          </w:p>
        </w:tc>
      </w:tr>
      <w:tr>
        <w:trPr>
          <w:trHeight w:val="209"/>
        </w:trPr>
        <w:tc>
          <w:tcPr>
            <w:tcW w:w="6760" w:type="dxa"/>
            <w:vAlign w:val="bottom"/>
            <w:shd w:val="clear" w:color="auto" w:fill="B2B2B2"/>
          </w:tcPr>
          <w:p>
            <w:pPr>
              <w:spacing w:after="0"/>
              <w:rPr>
                <w:sz w:val="20"/>
                <w:szCs w:val="20"/>
                <w:color w:val="auto"/>
              </w:rPr>
            </w:pPr>
            <w:r>
              <w:rPr>
                <w:rFonts w:ascii="Arial" w:cs="Arial" w:eastAsia="Arial" w:hAnsi="Arial"/>
                <w:sz w:val="18"/>
                <w:szCs w:val="18"/>
                <w:color w:val="auto"/>
              </w:rPr>
              <w:t>Balance sheet liabilities:</w:t>
            </w:r>
          </w:p>
        </w:tc>
        <w:tc>
          <w:tcPr>
            <w:tcW w:w="240" w:type="dxa"/>
            <w:vAlign w:val="bottom"/>
            <w:shd w:val="clear" w:color="auto" w:fill="B2B2B2"/>
          </w:tcPr>
          <w:p>
            <w:pPr>
              <w:spacing w:after="0"/>
              <w:rPr>
                <w:sz w:val="18"/>
                <w:szCs w:val="18"/>
                <w:color w:val="auto"/>
              </w:rPr>
            </w:pPr>
          </w:p>
        </w:tc>
        <w:tc>
          <w:tcPr>
            <w:tcW w:w="96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92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92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r>
      <w:tr>
        <w:trPr>
          <w:trHeight w:val="215"/>
        </w:trPr>
        <w:tc>
          <w:tcPr>
            <w:tcW w:w="6760" w:type="dxa"/>
            <w:vAlign w:val="bottom"/>
          </w:tcPr>
          <w:p>
            <w:pPr>
              <w:ind w:left="180"/>
              <w:spacing w:after="0"/>
              <w:rPr>
                <w:sz w:val="20"/>
                <w:szCs w:val="20"/>
                <w:color w:val="auto"/>
              </w:rPr>
            </w:pPr>
            <w:r>
              <w:rPr>
                <w:rFonts w:ascii="Arial" w:cs="Arial" w:eastAsia="Arial" w:hAnsi="Arial"/>
                <w:sz w:val="18"/>
                <w:szCs w:val="18"/>
                <w:color w:val="auto"/>
              </w:rPr>
              <w:t>Deposits</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1,003,135</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1,003,135</w:t>
            </w:r>
          </w:p>
        </w:tc>
        <w:tc>
          <w:tcPr>
            <w:tcW w:w="4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1,050,856</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1,050,856</w:t>
            </w:r>
          </w:p>
        </w:tc>
      </w:tr>
      <w:tr>
        <w:trPr>
          <w:trHeight w:val="215"/>
        </w:trPr>
        <w:tc>
          <w:tcPr>
            <w:tcW w:w="6760" w:type="dxa"/>
            <w:vAlign w:val="bottom"/>
            <w:shd w:val="clear" w:color="auto" w:fill="B2B2B2"/>
          </w:tcPr>
          <w:p>
            <w:pPr>
              <w:ind w:left="180"/>
              <w:spacing w:after="0"/>
              <w:rPr>
                <w:sz w:val="20"/>
                <w:szCs w:val="20"/>
                <w:color w:val="auto"/>
              </w:rPr>
            </w:pPr>
            <w:r>
              <w:rPr>
                <w:rFonts w:ascii="Arial" w:cs="Arial" w:eastAsia="Arial" w:hAnsi="Arial"/>
                <w:sz w:val="18"/>
                <w:szCs w:val="18"/>
                <w:color w:val="auto"/>
              </w:rPr>
              <w:t>Accounts and drafts payable</w:t>
            </w:r>
          </w:p>
        </w:tc>
        <w:tc>
          <w:tcPr>
            <w:tcW w:w="240" w:type="dxa"/>
            <w:vAlign w:val="bottom"/>
            <w:shd w:val="clear" w:color="auto" w:fill="B2B2B2"/>
          </w:tcPr>
          <w:p>
            <w:pPr>
              <w:spacing w:after="0"/>
              <w:rPr>
                <w:sz w:val="18"/>
                <w:szCs w:val="18"/>
                <w:color w:val="auto"/>
              </w:rPr>
            </w:pPr>
          </w:p>
        </w:tc>
        <w:tc>
          <w:tcPr>
            <w:tcW w:w="9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897,508</w:t>
            </w:r>
          </w:p>
        </w:tc>
        <w:tc>
          <w:tcPr>
            <w:tcW w:w="160" w:type="dxa"/>
            <w:vAlign w:val="bottom"/>
            <w:shd w:val="clear" w:color="auto" w:fill="B2B2B2"/>
          </w:tcPr>
          <w:p>
            <w:pPr>
              <w:spacing w:after="0"/>
              <w:rPr>
                <w:sz w:val="18"/>
                <w:szCs w:val="18"/>
                <w:color w:val="auto"/>
              </w:rPr>
            </w:pPr>
          </w:p>
        </w:tc>
        <w:tc>
          <w:tcPr>
            <w:tcW w:w="960" w:type="dxa"/>
            <w:vAlign w:val="bottom"/>
            <w:gridSpan w:val="2"/>
            <w:shd w:val="clear" w:color="auto" w:fill="B2B2B2"/>
          </w:tcPr>
          <w:p>
            <w:pPr>
              <w:jc w:val="right"/>
              <w:ind w:right="40"/>
              <w:spacing w:after="0"/>
              <w:rPr>
                <w:sz w:val="20"/>
                <w:szCs w:val="20"/>
                <w:color w:val="auto"/>
              </w:rPr>
            </w:pPr>
            <w:r>
              <w:rPr>
                <w:rFonts w:ascii="Arial" w:cs="Arial" w:eastAsia="Arial" w:hAnsi="Arial"/>
                <w:sz w:val="18"/>
                <w:szCs w:val="18"/>
                <w:color w:val="auto"/>
              </w:rPr>
              <w:t>897,508</w:t>
            </w:r>
          </w:p>
        </w:tc>
        <w:tc>
          <w:tcPr>
            <w:tcW w:w="6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9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835,386</w:t>
            </w:r>
          </w:p>
        </w:tc>
        <w:tc>
          <w:tcPr>
            <w:tcW w:w="160" w:type="dxa"/>
            <w:vAlign w:val="bottom"/>
            <w:shd w:val="clear" w:color="auto" w:fill="B2B2B2"/>
          </w:tcPr>
          <w:p>
            <w:pPr>
              <w:spacing w:after="0"/>
              <w:rPr>
                <w:sz w:val="18"/>
                <w:szCs w:val="18"/>
                <w:color w:val="auto"/>
              </w:rPr>
            </w:pPr>
          </w:p>
        </w:tc>
        <w:tc>
          <w:tcPr>
            <w:tcW w:w="9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835,386</w:t>
            </w:r>
          </w:p>
        </w:tc>
      </w:tr>
      <w:tr>
        <w:trPr>
          <w:trHeight w:val="215"/>
        </w:trPr>
        <w:tc>
          <w:tcPr>
            <w:tcW w:w="67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Accrued interest payable</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6760" w:type="dxa"/>
            <w:vAlign w:val="bottom"/>
            <w:tcBorders>
              <w:bottom w:val="single" w:sz="8" w:color="auto"/>
            </w:tcBorders>
            <w:shd w:val="clear" w:color="auto" w:fill="B2B2B2"/>
          </w:tcPr>
          <w:p>
            <w:pPr>
              <w:ind w:left="360"/>
              <w:spacing w:after="0" w:line="202" w:lineRule="exact"/>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B2B2B2"/>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B2B2B2"/>
          </w:tcPr>
          <w:p>
            <w:pPr>
              <w:jc w:val="right"/>
              <w:spacing w:after="0" w:line="202" w:lineRule="exact"/>
              <w:rPr>
                <w:sz w:val="20"/>
                <w:szCs w:val="20"/>
                <w:color w:val="auto"/>
              </w:rPr>
            </w:pPr>
            <w:r>
              <w:rPr>
                <w:rFonts w:ascii="Arial" w:cs="Arial" w:eastAsia="Arial" w:hAnsi="Arial"/>
                <w:sz w:val="18"/>
                <w:szCs w:val="18"/>
                <w:color w:val="auto"/>
              </w:rPr>
              <w:t>1,900,701</w:t>
            </w:r>
          </w:p>
        </w:tc>
        <w:tc>
          <w:tcPr>
            <w:tcW w:w="160" w:type="dxa"/>
            <w:vAlign w:val="bottom"/>
            <w:tcBorders>
              <w:bottom w:val="single" w:sz="8" w:color="auto"/>
            </w:tcBorders>
            <w:shd w:val="clear" w:color="auto" w:fill="B2B2B2"/>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B2B2B2"/>
          </w:tcPr>
          <w:p>
            <w:pPr>
              <w:jc w:val="right"/>
              <w:spacing w:after="0" w:line="202" w:lineRule="exact"/>
              <w:rPr>
                <w:sz w:val="20"/>
                <w:szCs w:val="20"/>
                <w:color w:val="auto"/>
              </w:rPr>
            </w:pPr>
            <w:r>
              <w:rPr>
                <w:rFonts w:ascii="Arial" w:cs="Arial" w:eastAsia="Arial" w:hAnsi="Arial"/>
                <w:sz w:val="18"/>
                <w:szCs w:val="18"/>
                <w:color w:val="auto"/>
              </w:rPr>
              <w:t>1,900,701</w:t>
            </w:r>
          </w:p>
        </w:tc>
        <w:tc>
          <w:tcPr>
            <w:tcW w:w="40" w:type="dxa"/>
            <w:vAlign w:val="bottom"/>
            <w:tcBorders>
              <w:bottom w:val="single" w:sz="8" w:color="auto"/>
            </w:tcBorders>
            <w:shd w:val="clear" w:color="auto" w:fill="B2B2B2"/>
          </w:tcPr>
          <w:p>
            <w:pPr>
              <w:spacing w:after="0"/>
              <w:rPr>
                <w:sz w:val="18"/>
                <w:szCs w:val="18"/>
                <w:color w:val="auto"/>
              </w:rPr>
            </w:pPr>
          </w:p>
        </w:tc>
        <w:tc>
          <w:tcPr>
            <w:tcW w:w="180" w:type="dxa"/>
            <w:vAlign w:val="bottom"/>
            <w:tcBorders>
              <w:bottom w:val="single" w:sz="8" w:color="auto"/>
            </w:tcBorders>
            <w:gridSpan w:val="2"/>
            <w:shd w:val="clear" w:color="auto" w:fill="B2B2B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B2B2B2"/>
          </w:tcPr>
          <w:p>
            <w:pPr>
              <w:jc w:val="right"/>
              <w:spacing w:after="0" w:line="202" w:lineRule="exact"/>
              <w:rPr>
                <w:sz w:val="20"/>
                <w:szCs w:val="20"/>
                <w:color w:val="auto"/>
              </w:rPr>
            </w:pPr>
            <w:r>
              <w:rPr>
                <w:rFonts w:ascii="Arial" w:cs="Arial" w:eastAsia="Arial" w:hAnsi="Arial"/>
                <w:sz w:val="18"/>
                <w:szCs w:val="18"/>
                <w:color w:val="auto"/>
              </w:rPr>
              <w:t>1,886,280</w:t>
            </w:r>
          </w:p>
        </w:tc>
        <w:tc>
          <w:tcPr>
            <w:tcW w:w="160" w:type="dxa"/>
            <w:vAlign w:val="bottom"/>
            <w:tcBorders>
              <w:bottom w:val="single" w:sz="8" w:color="auto"/>
            </w:tcBorders>
            <w:shd w:val="clear" w:color="auto" w:fill="B2B2B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B2B2B2"/>
          </w:tcPr>
          <w:p>
            <w:pPr>
              <w:jc w:val="right"/>
              <w:spacing w:after="0" w:line="202" w:lineRule="exact"/>
              <w:rPr>
                <w:sz w:val="20"/>
                <w:szCs w:val="20"/>
                <w:color w:val="auto"/>
              </w:rPr>
            </w:pPr>
            <w:r>
              <w:rPr>
                <w:rFonts w:ascii="Arial" w:cs="Arial" w:eastAsia="Arial" w:hAnsi="Arial"/>
                <w:sz w:val="18"/>
                <w:szCs w:val="18"/>
                <w:color w:val="auto"/>
              </w:rPr>
              <w:t>1,886,280</w:t>
            </w:r>
          </w:p>
        </w:tc>
      </w:tr>
    </w:tbl>
    <w:p>
      <w:pPr>
        <w:spacing w:after="0" w:line="363"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following methods and assumptions were used to estimate the fair value of each class of financial instruments for which it is practicable to estimate that value: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 The carrying amount approximates fair value.</w:t>
      </w:r>
    </w:p>
    <w:p>
      <w:pPr>
        <w:spacing w:after="0" w:line="19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i w:val="1"/>
          <w:iCs w:val="1"/>
          <w:color w:val="auto"/>
        </w:rPr>
        <w:t xml:space="preserve">Investment in Securities </w:t>
      </w:r>
      <w:r>
        <w:rPr>
          <w:rFonts w:ascii="Arial" w:cs="Arial" w:eastAsia="Arial" w:hAnsi="Arial"/>
          <w:sz w:val="18"/>
          <w:szCs w:val="18"/>
          <w:color w:val="auto"/>
        </w:rPr>
        <w:t>– The fair value is measured on a recurring basis using Level 2 valuations. Refer to Note 11, “Investment in Securities,” for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and unrealized gains and losses by investment type.</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Loans </w:t>
      </w:r>
      <w:r>
        <w:rPr>
          <w:rFonts w:ascii="Arial" w:cs="Arial" w:eastAsia="Arial" w:hAnsi="Arial"/>
          <w:sz w:val="18"/>
          <w:szCs w:val="18"/>
          <w:color w:val="auto"/>
        </w:rPr>
        <w:t>– The fair value is estimated using present values of future cash flows discounted at risk-adjusted interest rates for each loan category designated by</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and is therefore a Level 3 valuation. Management believes that the risk factor embedded in the interest rates along with the allowance for credit losses result in a fair valuation.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Accrued Interest Receivable </w:t>
      </w:r>
      <w:r>
        <w:rPr>
          <w:rFonts w:ascii="Arial" w:cs="Arial" w:eastAsia="Arial" w:hAnsi="Arial"/>
          <w:sz w:val="18"/>
          <w:szCs w:val="18"/>
          <w:color w:val="auto"/>
        </w:rPr>
        <w:t>– The carrying amount approximates fair value.</w:t>
      </w:r>
    </w:p>
    <w:p>
      <w:pPr>
        <w:spacing w:after="0" w:line="19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Deposits </w:t>
      </w:r>
      <w:r>
        <w:rPr>
          <w:rFonts w:ascii="Arial" w:cs="Arial" w:eastAsia="Arial" w:hAnsi="Arial"/>
          <w:sz w:val="16"/>
          <w:szCs w:val="16"/>
          <w:color w:val="auto"/>
        </w:rPr>
        <w:t>– The fair value of demand deposits, savings deposits and certain money market deposits is the amount payable on demand at the reporting date.</w:t>
      </w:r>
      <w:r>
        <w:rPr>
          <w:rFonts w:ascii="Arial" w:cs="Arial" w:eastAsia="Arial" w:hAnsi="Arial"/>
          <w:sz w:val="16"/>
          <w:szCs w:val="16"/>
          <w:i w:val="1"/>
          <w:iCs w:val="1"/>
          <w:color w:val="auto"/>
        </w:rPr>
        <w:t xml:space="preserve"> </w:t>
      </w:r>
      <w:r>
        <w:rPr>
          <w:rFonts w:ascii="Arial" w:cs="Arial" w:eastAsia="Arial" w:hAnsi="Arial"/>
          <w:sz w:val="16"/>
          <w:szCs w:val="16"/>
          <w:color w:val="auto"/>
        </w:rPr>
        <w:t>The fair value of fixed-maturity certificates of deposit is estimated using the rates currently offered for deposits of similar remaining maturities and therefore, is a Level 2 valuation. The fair value estimates above do not include the benefit that results from the low-cost funding provided by the deposit liabilities compared to the cost of borrowing funds in the market or the benefit derived from the customer relationship inherent in existing deposits.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Accounts and Drafts Payable </w:t>
      </w:r>
      <w:r>
        <w:rPr>
          <w:rFonts w:ascii="Arial" w:cs="Arial" w:eastAsia="Arial" w:hAnsi="Arial"/>
          <w:sz w:val="18"/>
          <w:szCs w:val="18"/>
          <w:color w:val="auto"/>
        </w:rPr>
        <w:t>– The carrying amount approximates fair value.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Accrued Interest </w:t>
      </w:r>
      <w:r>
        <w:rPr>
          <w:rFonts w:ascii="Arial" w:cs="Arial" w:eastAsia="Arial" w:hAnsi="Arial"/>
          <w:sz w:val="18"/>
          <w:szCs w:val="18"/>
          <w:color w:val="auto"/>
        </w:rPr>
        <w:t>– The carrying amount approximates fair value.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No financial instruments are measured using Level 3 inputs for the three months ended March 31, 2021 and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13 – Revenue from Contracts with Customers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Revenue is recognized as the obligation to the customer is satisfied. The following is detail of the Company’s revenue from contracts with clients.</w:t>
      </w:r>
    </w:p>
    <w:p>
      <w:pPr>
        <w:spacing w:after="0" w:line="20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 xml:space="preserve">Invoice processing fees </w:t>
      </w:r>
      <w:r>
        <w:rPr>
          <w:rFonts w:ascii="Arial" w:cs="Arial" w:eastAsia="Arial" w:hAnsi="Arial"/>
          <w:sz w:val="18"/>
          <w:szCs w:val="18"/>
          <w:color w:val="auto"/>
        </w:rPr>
        <w:t>– The Company earns fees on a per-item or monthly basis for the invoice processing services rendered on behalf of customers. Per-item fees are recognized at the point in time when the performance obligation is satisfied. Monthly fees are earned over the course of a month, representing the period over which the performance obligation is satisfied. The contracts have no significant impact of variable consideration and no significant financing components.</w:t>
      </w:r>
    </w:p>
    <w:p>
      <w:pPr>
        <w:spacing w:after="0" w:line="17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Invoice payment fees </w:t>
      </w:r>
      <w:r>
        <w:rPr>
          <w:rFonts w:ascii="Arial" w:cs="Arial" w:eastAsia="Arial" w:hAnsi="Arial"/>
          <w:sz w:val="18"/>
          <w:szCs w:val="18"/>
          <w:color w:val="auto"/>
        </w:rPr>
        <w:t>– The Company earns fees on a transaction level basis for invoice payment services when making customer payments. Fees are</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at the point in time when the payment transactions are made, which is when the performance obligation is satisfied. The contracts have no significant impact of variable consideration and no significant financing components.</w:t>
      </w:r>
    </w:p>
    <w:p>
      <w:pPr>
        <w:spacing w:after="0" w:line="168" w:lineRule="exact"/>
        <w:rPr>
          <w:sz w:val="20"/>
          <w:szCs w:val="20"/>
          <w:color w:val="auto"/>
        </w:rPr>
      </w:pPr>
    </w:p>
    <w:p>
      <w:pPr>
        <w:jc w:val="both"/>
        <w:spacing w:after="0" w:line="278" w:lineRule="auto"/>
        <w:rPr>
          <w:sz w:val="20"/>
          <w:szCs w:val="20"/>
          <w:color w:val="auto"/>
        </w:rPr>
      </w:pPr>
      <w:r>
        <w:rPr>
          <w:rFonts w:ascii="Arial" w:cs="Arial" w:eastAsia="Arial" w:hAnsi="Arial"/>
          <w:sz w:val="17"/>
          <w:szCs w:val="17"/>
          <w:i w:val="1"/>
          <w:iCs w:val="1"/>
          <w:color w:val="auto"/>
        </w:rPr>
        <w:t xml:space="preserve">Bank service fees </w:t>
      </w:r>
      <w:r>
        <w:rPr>
          <w:rFonts w:ascii="Arial" w:cs="Arial" w:eastAsia="Arial" w:hAnsi="Arial"/>
          <w:sz w:val="17"/>
          <w:szCs w:val="17"/>
          <w:color w:val="auto"/>
        </w:rPr>
        <w:t>– Revenue from service fees consists of service charges and fees on deposit accounts under depository agreements with customers to</w:t>
      </w:r>
      <w:r>
        <w:rPr>
          <w:rFonts w:ascii="Arial" w:cs="Arial" w:eastAsia="Arial" w:hAnsi="Arial"/>
          <w:sz w:val="17"/>
          <w:szCs w:val="17"/>
          <w:i w:val="1"/>
          <w:iCs w:val="1"/>
          <w:color w:val="auto"/>
        </w:rPr>
        <w:t xml:space="preserve"> </w:t>
      </w:r>
      <w:r>
        <w:rPr>
          <w:rFonts w:ascii="Arial" w:cs="Arial" w:eastAsia="Arial" w:hAnsi="Arial"/>
          <w:sz w:val="17"/>
          <w:szCs w:val="17"/>
          <w:color w:val="auto"/>
        </w:rPr>
        <w:t>provide access to deposited funds. Service charges on deposit accounts are transaction based fees that are recognized at the point in time when the performance obligation is satisfied. Service charges are recognized on a monthly basis representing the period over which the performance obligation is satisfied. The contracts have no significant impact of variable consideration and no significant financing components.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8355" cy="508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355" cy="5080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654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2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6"/>
        </w:trPr>
        <w:tc>
          <w:tcPr>
            <w:tcW w:w="1360" w:type="dxa"/>
            <w:vAlign w:val="bottom"/>
            <w:tcBorders>
              <w:top w:val="single" w:sz="8" w:color="0000EE"/>
            </w:tcBorders>
          </w:tcPr>
          <w:p>
            <w:pPr>
              <w:spacing w:after="0"/>
              <w:rPr>
                <w:sz w:val="24"/>
                <w:szCs w:val="24"/>
                <w:color w:val="auto"/>
              </w:rPr>
            </w:pPr>
          </w:p>
        </w:tc>
        <w:tc>
          <w:tcPr>
            <w:tcW w:w="51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20" w:type="dxa"/>
            <w:vAlign w:val="bottom"/>
            <w:gridSpan w:val="5"/>
          </w:tcPr>
          <w:p>
            <w:pPr>
              <w:ind w:left="160"/>
              <w:spacing w:after="0"/>
              <w:rPr>
                <w:sz w:val="20"/>
                <w:szCs w:val="20"/>
                <w:color w:val="auto"/>
              </w:rPr>
            </w:pPr>
            <w:r>
              <w:rPr>
                <w:rFonts w:ascii="Arial" w:cs="Arial" w:eastAsia="Arial" w:hAnsi="Arial"/>
                <w:sz w:val="18"/>
                <w:szCs w:val="18"/>
                <w:b w:val="1"/>
                <w:bCs w:val="1"/>
                <w:color w:val="auto"/>
              </w:rPr>
              <w:t>For the Three Months</w:t>
            </w:r>
          </w:p>
        </w:tc>
        <w:tc>
          <w:tcPr>
            <w:tcW w:w="0" w:type="dxa"/>
            <w:vAlign w:val="bottom"/>
          </w:tcPr>
          <w:p>
            <w:pPr>
              <w:spacing w:after="0"/>
              <w:rPr>
                <w:sz w:val="1"/>
                <w:szCs w:val="1"/>
                <w:color w:val="auto"/>
              </w:rPr>
            </w:pPr>
          </w:p>
        </w:tc>
      </w:tr>
      <w:tr>
        <w:trPr>
          <w:trHeight w:val="241"/>
        </w:trPr>
        <w:tc>
          <w:tcPr>
            <w:tcW w:w="136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20" w:type="dxa"/>
            <w:vAlign w:val="bottom"/>
            <w:gridSpan w:val="5"/>
          </w:tcPr>
          <w:p>
            <w:pPr>
              <w:ind w:left="340"/>
              <w:spacing w:after="0"/>
              <w:rPr>
                <w:sz w:val="20"/>
                <w:szCs w:val="20"/>
                <w:color w:val="auto"/>
              </w:rPr>
            </w:pPr>
            <w:r>
              <w:rPr>
                <w:rFonts w:ascii="Arial" w:cs="Arial" w:eastAsia="Arial" w:hAnsi="Arial"/>
                <w:sz w:val="18"/>
                <w:szCs w:val="18"/>
                <w:b w:val="1"/>
                <w:bCs w:val="1"/>
                <w:color w:val="auto"/>
              </w:rPr>
              <w:t>Ended March 31,</w:t>
            </w:r>
          </w:p>
        </w:tc>
        <w:tc>
          <w:tcPr>
            <w:tcW w:w="0" w:type="dxa"/>
            <w:vAlign w:val="bottom"/>
          </w:tcPr>
          <w:p>
            <w:pPr>
              <w:spacing w:after="0"/>
              <w:rPr>
                <w:sz w:val="1"/>
                <w:szCs w:val="1"/>
                <w:color w:val="auto"/>
              </w:rPr>
            </w:pPr>
          </w:p>
        </w:tc>
      </w:tr>
      <w:tr>
        <w:trPr>
          <w:trHeight w:val="222"/>
        </w:trPr>
        <w:tc>
          <w:tcPr>
            <w:tcW w:w="6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21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54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Fee revenue and other income</w:t>
            </w:r>
          </w:p>
        </w:tc>
        <w:tc>
          <w:tcPr>
            <w:tcW w:w="212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960" w:type="dxa"/>
            <w:vAlign w:val="bottom"/>
            <w:shd w:val="clear" w:color="auto" w:fill="B2B2B2"/>
          </w:tcPr>
          <w:p>
            <w:pPr>
              <w:spacing w:after="0"/>
              <w:rPr>
                <w:sz w:val="18"/>
                <w:szCs w:val="18"/>
                <w:color w:val="auto"/>
              </w:rPr>
            </w:pPr>
          </w:p>
        </w:tc>
        <w:tc>
          <w:tcPr>
            <w:tcW w:w="120" w:type="dxa"/>
            <w:vAlign w:val="bottom"/>
            <w:tcBorders>
              <w:left w:val="single" w:sz="8" w:color="B2B2B2"/>
            </w:tcBorders>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960" w:type="dxa"/>
            <w:vAlign w:val="bottom"/>
            <w:shd w:val="clear" w:color="auto" w:fill="B2B2B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40" w:type="dxa"/>
            <w:vAlign w:val="bottom"/>
            <w:gridSpan w:val="2"/>
          </w:tcPr>
          <w:p>
            <w:pPr>
              <w:ind w:left="180"/>
              <w:spacing w:after="0"/>
              <w:rPr>
                <w:sz w:val="20"/>
                <w:szCs w:val="20"/>
                <w:color w:val="auto"/>
              </w:rPr>
            </w:pPr>
            <w:r>
              <w:rPr>
                <w:rFonts w:ascii="Arial" w:cs="Arial" w:eastAsia="Arial" w:hAnsi="Arial"/>
                <w:sz w:val="18"/>
                <w:szCs w:val="18"/>
                <w:i w:val="1"/>
                <w:iCs w:val="1"/>
                <w:color w:val="auto"/>
              </w:rPr>
              <w:t>In-scope of FASB ASC 606</w:t>
            </w:r>
          </w:p>
        </w:tc>
        <w:tc>
          <w:tcPr>
            <w:tcW w:w="2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40" w:type="dxa"/>
            <w:vAlign w:val="bottom"/>
            <w:gridSpan w:val="2"/>
            <w:shd w:val="clear" w:color="auto" w:fill="B2B2B2"/>
          </w:tcPr>
          <w:p>
            <w:pPr>
              <w:ind w:left="360"/>
              <w:spacing w:after="0"/>
              <w:rPr>
                <w:sz w:val="20"/>
                <w:szCs w:val="20"/>
                <w:color w:val="auto"/>
              </w:rPr>
            </w:pPr>
            <w:r>
              <w:rPr>
                <w:rFonts w:ascii="Arial" w:cs="Arial" w:eastAsia="Arial" w:hAnsi="Arial"/>
                <w:sz w:val="18"/>
                <w:szCs w:val="18"/>
                <w:color w:val="auto"/>
              </w:rPr>
              <w:t>Invoice processing fees</w:t>
            </w:r>
          </w:p>
        </w:tc>
        <w:tc>
          <w:tcPr>
            <w:tcW w:w="2400" w:type="dxa"/>
            <w:vAlign w:val="bottom"/>
            <w:gridSpan w:val="2"/>
            <w:shd w:val="clear" w:color="auto" w:fill="B2B2B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19,064</w:t>
            </w:r>
          </w:p>
        </w:tc>
        <w:tc>
          <w:tcPr>
            <w:tcW w:w="380" w:type="dxa"/>
            <w:vAlign w:val="bottom"/>
            <w:tcBorders>
              <w:left w:val="single" w:sz="8" w:color="B2B2B2"/>
            </w:tcBorders>
            <w:gridSpan w:val="2"/>
            <w:shd w:val="clear" w:color="auto" w:fill="B2B2B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19,124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40" w:type="dxa"/>
            <w:vAlign w:val="bottom"/>
            <w:gridSpan w:val="2"/>
          </w:tcPr>
          <w:p>
            <w:pPr>
              <w:ind w:left="360"/>
              <w:spacing w:after="0"/>
              <w:rPr>
                <w:sz w:val="20"/>
                <w:szCs w:val="20"/>
                <w:color w:val="auto"/>
              </w:rPr>
            </w:pPr>
            <w:r>
              <w:rPr>
                <w:rFonts w:ascii="Arial" w:cs="Arial" w:eastAsia="Arial" w:hAnsi="Arial"/>
                <w:sz w:val="18"/>
                <w:szCs w:val="18"/>
                <w:color w:val="auto"/>
              </w:rPr>
              <w:t>Invoice payment fees</w:t>
            </w:r>
          </w:p>
        </w:tc>
        <w:tc>
          <w:tcPr>
            <w:tcW w:w="2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6,152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40" w:type="dxa"/>
            <w:vAlign w:val="bottom"/>
            <w:gridSpan w:val="2"/>
            <w:shd w:val="clear" w:color="auto" w:fill="B2B2B2"/>
          </w:tcPr>
          <w:p>
            <w:pPr>
              <w:ind w:left="540"/>
              <w:spacing w:after="0"/>
              <w:rPr>
                <w:sz w:val="20"/>
                <w:szCs w:val="20"/>
                <w:color w:val="auto"/>
              </w:rPr>
            </w:pPr>
            <w:r>
              <w:rPr>
                <w:rFonts w:ascii="Arial" w:cs="Arial" w:eastAsia="Arial" w:hAnsi="Arial"/>
                <w:sz w:val="18"/>
                <w:szCs w:val="18"/>
                <w:color w:val="auto"/>
              </w:rPr>
              <w:t>Information services payment and processing revenue</w:t>
            </w:r>
          </w:p>
        </w:tc>
        <w:tc>
          <w:tcPr>
            <w:tcW w:w="212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9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25,216</w:t>
            </w:r>
          </w:p>
        </w:tc>
        <w:tc>
          <w:tcPr>
            <w:tcW w:w="120" w:type="dxa"/>
            <w:vAlign w:val="bottom"/>
            <w:tcBorders>
              <w:left w:val="single" w:sz="8" w:color="B2B2B2"/>
            </w:tcBorders>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9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25,503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40" w:type="dxa"/>
            <w:vAlign w:val="bottom"/>
            <w:gridSpan w:val="2"/>
          </w:tcPr>
          <w:p>
            <w:pPr>
              <w:ind w:left="360"/>
              <w:spacing w:after="0"/>
              <w:rPr>
                <w:sz w:val="20"/>
                <w:szCs w:val="20"/>
                <w:color w:val="auto"/>
              </w:rPr>
            </w:pPr>
            <w:r>
              <w:rPr>
                <w:rFonts w:ascii="Arial" w:cs="Arial" w:eastAsia="Arial" w:hAnsi="Arial"/>
                <w:sz w:val="18"/>
                <w:szCs w:val="18"/>
                <w:color w:val="auto"/>
              </w:rPr>
              <w:t>Bank service fees</w:t>
            </w:r>
          </w:p>
        </w:tc>
        <w:tc>
          <w:tcPr>
            <w:tcW w:w="2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40" w:type="dxa"/>
            <w:vAlign w:val="bottom"/>
            <w:gridSpan w:val="2"/>
            <w:shd w:val="clear" w:color="auto" w:fill="B2B2B2"/>
          </w:tcPr>
          <w:p>
            <w:pPr>
              <w:ind w:left="180"/>
              <w:spacing w:after="0"/>
              <w:rPr>
                <w:sz w:val="20"/>
                <w:szCs w:val="20"/>
                <w:color w:val="auto"/>
              </w:rPr>
            </w:pPr>
            <w:r>
              <w:rPr>
                <w:rFonts w:ascii="Arial" w:cs="Arial" w:eastAsia="Arial" w:hAnsi="Arial"/>
                <w:sz w:val="18"/>
                <w:szCs w:val="18"/>
                <w:color w:val="auto"/>
              </w:rPr>
              <w:t>Fee revenue (in-scope of FASB ASC 606)</w:t>
            </w:r>
          </w:p>
        </w:tc>
        <w:tc>
          <w:tcPr>
            <w:tcW w:w="212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9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25,710</w:t>
            </w:r>
          </w:p>
        </w:tc>
        <w:tc>
          <w:tcPr>
            <w:tcW w:w="120" w:type="dxa"/>
            <w:vAlign w:val="bottom"/>
            <w:tcBorders>
              <w:left w:val="single" w:sz="8" w:color="B2B2B2"/>
            </w:tcBorders>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9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25,913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40" w:type="dxa"/>
            <w:vAlign w:val="bottom"/>
            <w:gridSpan w:val="2"/>
          </w:tcPr>
          <w:p>
            <w:pPr>
              <w:ind w:left="180"/>
              <w:spacing w:after="0"/>
              <w:rPr>
                <w:sz w:val="20"/>
                <w:szCs w:val="20"/>
                <w:color w:val="auto"/>
              </w:rPr>
            </w:pPr>
            <w:r>
              <w:rPr>
                <w:rFonts w:ascii="Arial" w:cs="Arial" w:eastAsia="Arial" w:hAnsi="Arial"/>
                <w:sz w:val="18"/>
                <w:szCs w:val="18"/>
                <w:color w:val="auto"/>
              </w:rPr>
              <w:t>Other income (out-of-scope of FASB ASC 606)</w:t>
            </w:r>
          </w:p>
        </w:tc>
        <w:tc>
          <w:tcPr>
            <w:tcW w:w="2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40" w:type="dxa"/>
            <w:vAlign w:val="bottom"/>
            <w:gridSpan w:val="2"/>
            <w:shd w:val="clear" w:color="auto" w:fill="B2B2B2"/>
          </w:tcPr>
          <w:p>
            <w:pPr>
              <w:ind w:left="540"/>
              <w:spacing w:after="0"/>
              <w:rPr>
                <w:sz w:val="20"/>
                <w:szCs w:val="20"/>
                <w:color w:val="auto"/>
              </w:rPr>
            </w:pPr>
            <w:r>
              <w:rPr>
                <w:rFonts w:ascii="Arial" w:cs="Arial" w:eastAsia="Arial" w:hAnsi="Arial"/>
                <w:sz w:val="18"/>
                <w:szCs w:val="18"/>
                <w:color w:val="auto"/>
              </w:rPr>
              <w:t>Total fee revenue and other income</w:t>
            </w:r>
          </w:p>
        </w:tc>
        <w:tc>
          <w:tcPr>
            <w:tcW w:w="212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9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26,175</w:t>
            </w:r>
          </w:p>
        </w:tc>
        <w:tc>
          <w:tcPr>
            <w:tcW w:w="120" w:type="dxa"/>
            <w:vAlign w:val="bottom"/>
            <w:tcBorders>
              <w:left w:val="single" w:sz="8" w:color="B2B2B2"/>
            </w:tcBorders>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9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27,095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shd w:val="clear" w:color="auto" w:fill="B2B2B2"/>
          </w:tcPr>
          <w:p>
            <w:pPr>
              <w:spacing w:after="0" w:line="20" w:lineRule="exact"/>
              <w:rPr>
                <w:sz w:val="1"/>
                <w:szCs w:val="1"/>
                <w:color w:val="auto"/>
              </w:rPr>
            </w:pPr>
          </w:p>
        </w:tc>
        <w:tc>
          <w:tcPr>
            <w:tcW w:w="5180" w:type="dxa"/>
            <w:vAlign w:val="bottom"/>
            <w:shd w:val="clear" w:color="auto" w:fill="B2B2B2"/>
          </w:tcPr>
          <w:p>
            <w:pPr>
              <w:spacing w:after="0" w:line="20" w:lineRule="exact"/>
              <w:rPr>
                <w:sz w:val="1"/>
                <w:szCs w:val="1"/>
                <w:color w:val="auto"/>
              </w:rPr>
            </w:pPr>
          </w:p>
        </w:tc>
        <w:tc>
          <w:tcPr>
            <w:tcW w:w="2120" w:type="dxa"/>
            <w:vAlign w:val="bottom"/>
            <w:shd w:val="clear" w:color="auto" w:fill="B2B2B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Borders>
              <w:left w:val="single" w:sz="8" w:color="B2B2B2"/>
            </w:tcBorders>
            <w:shd w:val="clear" w:color="auto" w:fill="B2B2B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Note 14 – Leases</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On January 1, 2019, the Company adopted Accounting Standards Update (“ASU”) No. 2016-02 – </w:t>
      </w:r>
      <w:r>
        <w:rPr>
          <w:rFonts w:ascii="Arial" w:cs="Arial" w:eastAsia="Arial" w:hAnsi="Arial"/>
          <w:sz w:val="17"/>
          <w:szCs w:val="17"/>
          <w:i w:val="1"/>
          <w:iCs w:val="1"/>
          <w:color w:val="auto"/>
        </w:rPr>
        <w:t>Leases (ASC Topic 842)</w:t>
      </w:r>
      <w:r>
        <w:rPr>
          <w:rFonts w:ascii="Arial" w:cs="Arial" w:eastAsia="Arial" w:hAnsi="Arial"/>
          <w:sz w:val="17"/>
          <w:szCs w:val="17"/>
          <w:color w:val="auto"/>
        </w:rPr>
        <w:t>. The Company leases certain premises under operating leases. As of March 31, 2021, the Company had lease liabilities of $5,799,000 and right-of-use assets of $5,255,000. As of March 31, 2020, the Company had lease liabilities of $7,146,000 and right-of-use assets of $6,367,000. Lease liabilities and right-of-use assets are reflected in other liabilities and other assets, respectively. Presented within occupancy expense on the Consolidated Statements of Income for the three months ended March 31, 2021, operating lease cost was $420,000, short-term lease cost was $30,000, and there was no variable lease cost. For the three months ended March 31, 2021, the weighted average remaining lease term for the operating leases was 6.2 years and the weighted average discount rate used in the measurement of operating lease liabilities was 5.5%. Certain of the Company’s leases contain options to renew the lease; however, these renewal options are not included in the calculation of the lease liabilities as they are not reasonably certain to be exercised. There has been no significant change in the Company’s expected future minimum lease payments since December 31, 2020. See the Company’s 2020 Annual Report on Form 10-K for information regarding these commitments.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A maturity analysis of operating lease liabilities and undiscounted cash flows for the three months ended March 31, 2021 is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0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44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w:t>
            </w:r>
          </w:p>
        </w:tc>
      </w:tr>
      <w:tr>
        <w:trPr>
          <w:trHeight w:val="241"/>
        </w:trPr>
        <w:tc>
          <w:tcPr>
            <w:tcW w:w="6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37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r>
      <w:tr>
        <w:trPr>
          <w:trHeight w:val="215"/>
        </w:trPr>
        <w:tc>
          <w:tcPr>
            <w:tcW w:w="6060" w:type="dxa"/>
            <w:vAlign w:val="bottom"/>
            <w:shd w:val="clear" w:color="auto" w:fill="B2B2B2"/>
          </w:tcPr>
          <w:p>
            <w:pPr>
              <w:spacing w:after="0"/>
              <w:rPr>
                <w:sz w:val="20"/>
                <w:szCs w:val="20"/>
                <w:color w:val="auto"/>
              </w:rPr>
            </w:pPr>
            <w:r>
              <w:rPr>
                <w:rFonts w:ascii="Arial" w:cs="Arial" w:eastAsia="Arial" w:hAnsi="Arial"/>
                <w:sz w:val="18"/>
                <w:szCs w:val="18"/>
                <w:color w:val="auto"/>
              </w:rPr>
              <w:t>Lease payments due</w:t>
            </w:r>
          </w:p>
        </w:tc>
        <w:tc>
          <w:tcPr>
            <w:tcW w:w="3760" w:type="dxa"/>
            <w:vAlign w:val="bottom"/>
            <w:shd w:val="clear" w:color="auto" w:fill="B2B2B2"/>
          </w:tcPr>
          <w:p>
            <w:pPr>
              <w:spacing w:after="0"/>
              <w:rPr>
                <w:sz w:val="18"/>
                <w:szCs w:val="18"/>
                <w:color w:val="auto"/>
              </w:rPr>
            </w:pPr>
          </w:p>
        </w:tc>
        <w:tc>
          <w:tcPr>
            <w:tcW w:w="1420" w:type="dxa"/>
            <w:vAlign w:val="bottom"/>
            <w:shd w:val="clear" w:color="auto" w:fill="B2B2B2"/>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6060" w:type="dxa"/>
            <w:vAlign w:val="bottom"/>
          </w:tcPr>
          <w:p>
            <w:pPr>
              <w:ind w:left="180"/>
              <w:spacing w:after="0"/>
              <w:rPr>
                <w:sz w:val="20"/>
                <w:szCs w:val="20"/>
                <w:color w:val="auto"/>
              </w:rPr>
            </w:pPr>
            <w:r>
              <w:rPr>
                <w:rFonts w:ascii="Arial" w:cs="Arial" w:eastAsia="Arial" w:hAnsi="Arial"/>
                <w:sz w:val="18"/>
                <w:szCs w:val="18"/>
                <w:color w:val="auto"/>
              </w:rPr>
              <w:t>Less than 1 year</w:t>
            </w:r>
          </w:p>
        </w:tc>
        <w:tc>
          <w:tcPr>
            <w:tcW w:w="37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1,711</w:t>
            </w:r>
          </w:p>
        </w:tc>
        <w:tc>
          <w:tcPr>
            <w:tcW w:w="20" w:type="dxa"/>
            <w:vAlign w:val="bottom"/>
          </w:tcPr>
          <w:p>
            <w:pPr>
              <w:spacing w:after="0"/>
              <w:rPr>
                <w:sz w:val="18"/>
                <w:szCs w:val="18"/>
                <w:color w:val="auto"/>
              </w:rPr>
            </w:pPr>
          </w:p>
        </w:tc>
      </w:tr>
      <w:tr>
        <w:trPr>
          <w:trHeight w:val="215"/>
        </w:trPr>
        <w:tc>
          <w:tcPr>
            <w:tcW w:w="6060" w:type="dxa"/>
            <w:vAlign w:val="bottom"/>
            <w:shd w:val="clear" w:color="auto" w:fill="B2B2B2"/>
          </w:tcPr>
          <w:p>
            <w:pPr>
              <w:ind w:left="180"/>
              <w:spacing w:after="0"/>
              <w:rPr>
                <w:sz w:val="20"/>
                <w:szCs w:val="20"/>
                <w:color w:val="auto"/>
              </w:rPr>
            </w:pPr>
            <w:r>
              <w:rPr>
                <w:rFonts w:ascii="Arial" w:cs="Arial" w:eastAsia="Arial" w:hAnsi="Arial"/>
                <w:sz w:val="18"/>
                <w:szCs w:val="18"/>
                <w:color w:val="auto"/>
              </w:rPr>
              <w:t>1-2 years</w:t>
            </w:r>
          </w:p>
        </w:tc>
        <w:tc>
          <w:tcPr>
            <w:tcW w:w="3760" w:type="dxa"/>
            <w:vAlign w:val="bottom"/>
            <w:shd w:val="clear" w:color="auto" w:fill="B2B2B2"/>
          </w:tcPr>
          <w:p>
            <w:pPr>
              <w:spacing w:after="0"/>
              <w:rPr>
                <w:sz w:val="18"/>
                <w:szCs w:val="18"/>
                <w:color w:val="auto"/>
              </w:rPr>
            </w:pPr>
          </w:p>
        </w:tc>
        <w:tc>
          <w:tcPr>
            <w:tcW w:w="14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1,558</w:t>
            </w:r>
          </w:p>
        </w:tc>
        <w:tc>
          <w:tcPr>
            <w:tcW w:w="20" w:type="dxa"/>
            <w:vAlign w:val="bottom"/>
          </w:tcPr>
          <w:p>
            <w:pPr>
              <w:spacing w:after="0"/>
              <w:rPr>
                <w:sz w:val="18"/>
                <w:szCs w:val="18"/>
                <w:color w:val="auto"/>
              </w:rPr>
            </w:pPr>
          </w:p>
        </w:tc>
      </w:tr>
      <w:tr>
        <w:trPr>
          <w:trHeight w:val="215"/>
        </w:trPr>
        <w:tc>
          <w:tcPr>
            <w:tcW w:w="6060" w:type="dxa"/>
            <w:vAlign w:val="bottom"/>
          </w:tcPr>
          <w:p>
            <w:pPr>
              <w:ind w:left="180"/>
              <w:spacing w:after="0"/>
              <w:rPr>
                <w:sz w:val="20"/>
                <w:szCs w:val="20"/>
                <w:color w:val="auto"/>
              </w:rPr>
            </w:pPr>
            <w:r>
              <w:rPr>
                <w:rFonts w:ascii="Arial" w:cs="Arial" w:eastAsia="Arial" w:hAnsi="Arial"/>
                <w:sz w:val="18"/>
                <w:szCs w:val="18"/>
                <w:color w:val="auto"/>
              </w:rPr>
              <w:t>2-3 years</w:t>
            </w:r>
          </w:p>
        </w:tc>
        <w:tc>
          <w:tcPr>
            <w:tcW w:w="37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628</w:t>
            </w:r>
          </w:p>
        </w:tc>
        <w:tc>
          <w:tcPr>
            <w:tcW w:w="20" w:type="dxa"/>
            <w:vAlign w:val="bottom"/>
          </w:tcPr>
          <w:p>
            <w:pPr>
              <w:spacing w:after="0"/>
              <w:rPr>
                <w:sz w:val="18"/>
                <w:szCs w:val="18"/>
                <w:color w:val="auto"/>
              </w:rPr>
            </w:pPr>
          </w:p>
        </w:tc>
      </w:tr>
      <w:tr>
        <w:trPr>
          <w:trHeight w:val="215"/>
        </w:trPr>
        <w:tc>
          <w:tcPr>
            <w:tcW w:w="6060" w:type="dxa"/>
            <w:vAlign w:val="bottom"/>
            <w:shd w:val="clear" w:color="auto" w:fill="B2B2B2"/>
          </w:tcPr>
          <w:p>
            <w:pPr>
              <w:ind w:left="180"/>
              <w:spacing w:after="0"/>
              <w:rPr>
                <w:sz w:val="20"/>
                <w:szCs w:val="20"/>
                <w:color w:val="auto"/>
              </w:rPr>
            </w:pPr>
            <w:r>
              <w:rPr>
                <w:rFonts w:ascii="Arial" w:cs="Arial" w:eastAsia="Arial" w:hAnsi="Arial"/>
                <w:sz w:val="18"/>
                <w:szCs w:val="18"/>
                <w:color w:val="auto"/>
              </w:rPr>
              <w:t>3-4 years</w:t>
            </w:r>
          </w:p>
        </w:tc>
        <w:tc>
          <w:tcPr>
            <w:tcW w:w="3760" w:type="dxa"/>
            <w:vAlign w:val="bottom"/>
            <w:shd w:val="clear" w:color="auto" w:fill="B2B2B2"/>
          </w:tcPr>
          <w:p>
            <w:pPr>
              <w:spacing w:after="0"/>
              <w:rPr>
                <w:sz w:val="18"/>
                <w:szCs w:val="18"/>
                <w:color w:val="auto"/>
              </w:rPr>
            </w:pPr>
          </w:p>
        </w:tc>
        <w:tc>
          <w:tcPr>
            <w:tcW w:w="14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507</w:t>
            </w:r>
          </w:p>
        </w:tc>
        <w:tc>
          <w:tcPr>
            <w:tcW w:w="20" w:type="dxa"/>
            <w:vAlign w:val="bottom"/>
          </w:tcPr>
          <w:p>
            <w:pPr>
              <w:spacing w:after="0"/>
              <w:rPr>
                <w:sz w:val="18"/>
                <w:szCs w:val="18"/>
                <w:color w:val="auto"/>
              </w:rPr>
            </w:pPr>
          </w:p>
        </w:tc>
      </w:tr>
      <w:tr>
        <w:trPr>
          <w:trHeight w:val="215"/>
        </w:trPr>
        <w:tc>
          <w:tcPr>
            <w:tcW w:w="6060" w:type="dxa"/>
            <w:vAlign w:val="bottom"/>
          </w:tcPr>
          <w:p>
            <w:pPr>
              <w:ind w:left="180"/>
              <w:spacing w:after="0"/>
              <w:rPr>
                <w:sz w:val="20"/>
                <w:szCs w:val="20"/>
                <w:color w:val="auto"/>
              </w:rPr>
            </w:pPr>
            <w:r>
              <w:rPr>
                <w:rFonts w:ascii="Arial" w:cs="Arial" w:eastAsia="Arial" w:hAnsi="Arial"/>
                <w:sz w:val="18"/>
                <w:szCs w:val="18"/>
                <w:color w:val="auto"/>
              </w:rPr>
              <w:t>4-5 years</w:t>
            </w:r>
          </w:p>
        </w:tc>
        <w:tc>
          <w:tcPr>
            <w:tcW w:w="37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517</w:t>
            </w:r>
          </w:p>
        </w:tc>
        <w:tc>
          <w:tcPr>
            <w:tcW w:w="20" w:type="dxa"/>
            <w:vAlign w:val="bottom"/>
          </w:tcPr>
          <w:p>
            <w:pPr>
              <w:spacing w:after="0"/>
              <w:rPr>
                <w:sz w:val="18"/>
                <w:szCs w:val="18"/>
                <w:color w:val="auto"/>
              </w:rPr>
            </w:pPr>
          </w:p>
        </w:tc>
      </w:tr>
      <w:tr>
        <w:trPr>
          <w:trHeight w:val="215"/>
        </w:trPr>
        <w:tc>
          <w:tcPr>
            <w:tcW w:w="6060" w:type="dxa"/>
            <w:vAlign w:val="bottom"/>
            <w:tcBorders>
              <w:bottom w:val="single" w:sz="8" w:color="auto"/>
            </w:tcBorders>
            <w:shd w:val="clear" w:color="auto" w:fill="B2B2B2"/>
          </w:tcPr>
          <w:p>
            <w:pPr>
              <w:ind w:left="180"/>
              <w:spacing w:after="0"/>
              <w:rPr>
                <w:sz w:val="20"/>
                <w:szCs w:val="20"/>
                <w:color w:val="auto"/>
              </w:rPr>
            </w:pPr>
            <w:r>
              <w:rPr>
                <w:rFonts w:ascii="Arial" w:cs="Arial" w:eastAsia="Arial" w:hAnsi="Arial"/>
                <w:sz w:val="18"/>
                <w:szCs w:val="18"/>
                <w:color w:val="auto"/>
              </w:rPr>
              <w:t>Over 5 years</w:t>
            </w:r>
          </w:p>
        </w:tc>
        <w:tc>
          <w:tcPr>
            <w:tcW w:w="3760" w:type="dxa"/>
            <w:vAlign w:val="bottom"/>
            <w:tcBorders>
              <w:bottom w:val="single" w:sz="8" w:color="auto"/>
            </w:tcBorders>
            <w:shd w:val="clear" w:color="auto" w:fill="B2B2B2"/>
          </w:tcPr>
          <w:p>
            <w:pPr>
              <w:spacing w:after="0"/>
              <w:rPr>
                <w:sz w:val="18"/>
                <w:szCs w:val="18"/>
                <w:color w:val="auto"/>
              </w:rPr>
            </w:pPr>
          </w:p>
        </w:tc>
        <w:tc>
          <w:tcPr>
            <w:tcW w:w="14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1,891</w:t>
            </w:r>
          </w:p>
        </w:tc>
        <w:tc>
          <w:tcPr>
            <w:tcW w:w="20" w:type="dxa"/>
            <w:vAlign w:val="bottom"/>
          </w:tcPr>
          <w:p>
            <w:pPr>
              <w:spacing w:after="0"/>
              <w:rPr>
                <w:sz w:val="18"/>
                <w:szCs w:val="18"/>
                <w:color w:val="auto"/>
              </w:rPr>
            </w:pPr>
          </w:p>
        </w:tc>
      </w:tr>
      <w:tr>
        <w:trPr>
          <w:trHeight w:val="209"/>
        </w:trPr>
        <w:tc>
          <w:tcPr>
            <w:tcW w:w="6060" w:type="dxa"/>
            <w:vAlign w:val="bottom"/>
          </w:tcPr>
          <w:p>
            <w:pPr>
              <w:ind w:left="360"/>
              <w:spacing w:after="0"/>
              <w:rPr>
                <w:sz w:val="20"/>
                <w:szCs w:val="20"/>
                <w:color w:val="auto"/>
              </w:rPr>
            </w:pPr>
            <w:r>
              <w:rPr>
                <w:rFonts w:ascii="Arial" w:cs="Arial" w:eastAsia="Arial" w:hAnsi="Arial"/>
                <w:sz w:val="18"/>
                <w:szCs w:val="18"/>
                <w:color w:val="auto"/>
              </w:rPr>
              <w:t>Total undiscounted cash flows</w:t>
            </w:r>
          </w:p>
        </w:tc>
        <w:tc>
          <w:tcPr>
            <w:tcW w:w="37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6,812</w:t>
            </w:r>
          </w:p>
        </w:tc>
        <w:tc>
          <w:tcPr>
            <w:tcW w:w="20" w:type="dxa"/>
            <w:vAlign w:val="bottom"/>
          </w:tcPr>
          <w:p>
            <w:pPr>
              <w:spacing w:after="0"/>
              <w:rPr>
                <w:sz w:val="18"/>
                <w:szCs w:val="18"/>
                <w:color w:val="auto"/>
              </w:rPr>
            </w:pPr>
          </w:p>
        </w:tc>
      </w:tr>
      <w:tr>
        <w:trPr>
          <w:trHeight w:val="215"/>
        </w:trPr>
        <w:tc>
          <w:tcPr>
            <w:tcW w:w="6060" w:type="dxa"/>
            <w:vAlign w:val="bottom"/>
            <w:tcBorders>
              <w:bottom w:val="single" w:sz="8" w:color="auto"/>
            </w:tcBorders>
            <w:shd w:val="clear" w:color="auto" w:fill="B2B2B2"/>
          </w:tcPr>
          <w:p>
            <w:pPr>
              <w:spacing w:after="0"/>
              <w:rPr>
                <w:sz w:val="20"/>
                <w:szCs w:val="20"/>
                <w:color w:val="auto"/>
              </w:rPr>
            </w:pPr>
            <w:r>
              <w:rPr>
                <w:rFonts w:ascii="Arial" w:cs="Arial" w:eastAsia="Arial" w:hAnsi="Arial"/>
                <w:sz w:val="18"/>
                <w:szCs w:val="18"/>
                <w:color w:val="auto"/>
              </w:rPr>
              <w:t>Discount on cash flows</w:t>
            </w:r>
          </w:p>
        </w:tc>
        <w:tc>
          <w:tcPr>
            <w:tcW w:w="3760" w:type="dxa"/>
            <w:vAlign w:val="bottom"/>
            <w:tcBorders>
              <w:bottom w:val="single" w:sz="8" w:color="auto"/>
            </w:tcBorders>
            <w:shd w:val="clear" w:color="auto" w:fill="B2B2B2"/>
          </w:tcPr>
          <w:p>
            <w:pPr>
              <w:spacing w:after="0"/>
              <w:rPr>
                <w:sz w:val="18"/>
                <w:szCs w:val="18"/>
                <w:color w:val="auto"/>
              </w:rPr>
            </w:pPr>
          </w:p>
        </w:tc>
        <w:tc>
          <w:tcPr>
            <w:tcW w:w="14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1,013</w:t>
            </w:r>
          </w:p>
        </w:tc>
        <w:tc>
          <w:tcPr>
            <w:tcW w:w="20" w:type="dxa"/>
            <w:vAlign w:val="bottom"/>
          </w:tcPr>
          <w:p>
            <w:pPr>
              <w:spacing w:after="0"/>
              <w:rPr>
                <w:sz w:val="18"/>
                <w:szCs w:val="18"/>
                <w:color w:val="auto"/>
              </w:rPr>
            </w:pPr>
          </w:p>
        </w:tc>
      </w:tr>
      <w:tr>
        <w:trPr>
          <w:trHeight w:val="216"/>
        </w:trPr>
        <w:tc>
          <w:tcPr>
            <w:tcW w:w="6060" w:type="dxa"/>
            <w:vAlign w:val="bottom"/>
            <w:tcBorders>
              <w:bottom w:val="single" w:sz="8" w:color="auto"/>
            </w:tcBorders>
          </w:tcPr>
          <w:p>
            <w:pPr>
              <w:ind w:left="360"/>
              <w:spacing w:after="0" w:line="195" w:lineRule="exact"/>
              <w:rPr>
                <w:sz w:val="20"/>
                <w:szCs w:val="20"/>
                <w:color w:val="auto"/>
              </w:rPr>
            </w:pPr>
            <w:r>
              <w:rPr>
                <w:rFonts w:ascii="Arial" w:cs="Arial" w:eastAsia="Arial" w:hAnsi="Arial"/>
                <w:sz w:val="18"/>
                <w:szCs w:val="18"/>
                <w:color w:val="auto"/>
              </w:rPr>
              <w:t>Total lease liability</w:t>
            </w:r>
          </w:p>
        </w:tc>
        <w:tc>
          <w:tcPr>
            <w:tcW w:w="3760" w:type="dxa"/>
            <w:vAlign w:val="bottom"/>
            <w:tcBorders>
              <w:bottom w:val="single" w:sz="8" w:color="auto"/>
            </w:tcBorders>
          </w:tcPr>
          <w:p>
            <w:pPr>
              <w:jc w:val="right"/>
              <w:ind w:right="50"/>
              <w:spacing w:after="0" w:line="195" w:lineRule="exact"/>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5,799</w:t>
            </w:r>
          </w:p>
        </w:tc>
        <w:tc>
          <w:tcPr>
            <w:tcW w:w="20" w:type="dxa"/>
            <w:vAlign w:val="bottom"/>
            <w:tcBorders>
              <w:bottom w:val="single" w:sz="8" w:color="auto"/>
            </w:tcBorders>
          </w:tcPr>
          <w:p>
            <w:pPr>
              <w:spacing w:after="0"/>
              <w:rPr>
                <w:sz w:val="18"/>
                <w:szCs w:val="18"/>
                <w:color w:val="auto"/>
              </w:rPr>
            </w:pPr>
          </w:p>
        </w:tc>
      </w:tr>
    </w:tbl>
    <w:p>
      <w:pPr>
        <w:spacing w:after="0" w:line="363"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There were no sale and leaseback transactions, leveraged leases, or lease transactions with related parties during the three months ended March 31, 2021. At March 31, 2021, the Company did not have any leases that had not yet commenced.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Note 15 – Subsequent Events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In accordance with FASB ASC 855, </w:t>
      </w:r>
      <w:r>
        <w:rPr>
          <w:rFonts w:ascii="Arial" w:cs="Arial" w:eastAsia="Arial" w:hAnsi="Arial"/>
          <w:sz w:val="18"/>
          <w:szCs w:val="18"/>
          <w:i w:val="1"/>
          <w:iCs w:val="1"/>
          <w:color w:val="auto"/>
        </w:rPr>
        <w:t>Subsequent Events</w:t>
      </w:r>
      <w:r>
        <w:rPr>
          <w:rFonts w:ascii="Arial" w:cs="Arial" w:eastAsia="Arial" w:hAnsi="Arial"/>
          <w:sz w:val="18"/>
          <w:szCs w:val="18"/>
          <w:color w:val="auto"/>
        </w:rPr>
        <w:t>, the Company has evaluated subsequent events after the consolidated balance sheet date of March 31, 2021. There were no events identified that would require additional disclosures to prevent the Company’s unaudited consolidated financial statements from being misleading.</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8355" cy="596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355" cy="5969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on the Company’s Business</w:t>
      </w:r>
    </w:p>
    <w:p>
      <w:pPr>
        <w:spacing w:after="0" w:line="20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year ended December 31, 2020 and three months ended March 31, 2021, the effects of COVID-19 and related actions to attempt to control its spread significantly impacted the global economy and adversely affected the Company’s operating results in both the Information Services and Banking Services segments.</w:t>
      </w:r>
    </w:p>
    <w:p>
      <w:pPr>
        <w:spacing w:after="0" w:line="16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With the spread of COVID-19 to the U.S. in the first quarter of 2020, many state and local governments recommended or mandated limitations on crowd size, closures of businesses and shelter-in-place orders in order to slow the transmission. The extent and nature of government actions varied during fiscal year 2020 and the first quarter of 2021 based upon the then-current extent and severity of the COVID-19 pandemic within the respective localities. Severe business disruptions, resulting constrictions in the manufacturing sector for most of the year, decreased oil demand and prices and general economic uncertainty, significantly and adversely impacted the Company’s customers’ business operations and had a corresponding negative affect on the Company’s revenue generation in each sector of the Company’s Information Services segment.</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Federal Reserve also took action to lower the Federal Funds rate in connection with COVID-19 relief, adversely affecting the Company’s net interest income and operating results tied to Banking Services. The Federal Reserve has indicated that it will retain the current low level interest rates until the economy has stabilized.</w:t>
      </w:r>
    </w:p>
    <w:p>
      <w:pPr>
        <w:spacing w:after="0" w:line="15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Bank regulatory agencies and various governmental authorities are urging financial institutions to work prudently with borrowers who are or may be unable to meet their contractual payment obligations because of the effects of COVID-19. Accordingly, and in coordination with its primary regulators, the Company deferred borrower principal payments on loans during 2020, on an as needed basis, for periods of up to six months. There were no borrowers remaining on deferred terms at March 31, 2021.</w:t>
      </w:r>
    </w:p>
    <w:p>
      <w:pPr>
        <w:spacing w:after="0" w:line="17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response to COVID-19, the CARES Act was adopted on March 27, 2020. The CARES Act provides for an estimated $2.2 trillion to fight the COVID-19 pandemic and stimulate the economy by supporting individuals and businesses through loans, grants, tax changes, and other types of relief. Among other things, the CARES Act established the Paycheck Protection Program (“PPP”), which allows entities to apply for low-interest private loans to fund payroll and other costs which, subject to certain conditions and qualifications, are partially or fully forgivable. In support of the CARES Act, the Bank processed nearly 350 applications for PPP loans of approximately $170,000,000 during the year ended December 31, 2020 and an additional 100 applications for approximately $37,000,000 during the three months ended March 31, 2021 to provide much-needed cash to small business and self-employed taxpayers during the COVID-19 crisis. The loans were primarily made to existing bank customers and are 100% guaranteed by the Small Business Administration.</w:t>
      </w:r>
    </w:p>
    <w:p>
      <w:pPr>
        <w:spacing w:after="0" w:line="149"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Cass remains committed to creating a safe and healthy environment for employees while offering assurance that it remains a financially strong service provider possessing the resources necessary to weather this pandemic in support of its valued customers.</w:t>
      </w:r>
    </w:p>
    <w:p>
      <w:pPr>
        <w:spacing w:after="0" w:line="14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late fiscal 2020, vaccines for combatting COVID-19 were approved by health agencies and began to be administered. However, initial quantities of vaccines are limited and vaccine distributions, controlled by local authorities, are being allocated, generally first to front-line health care workers and other essential workers and next to those members of individual populations believed most susceptible to severe effects from COVID-19. The timeline of full administration of the COVID-19 vaccines is uncertain and fluctuating. The impact of COVID-19, including the impact of restrictions imposed to combat its spread, could result in additional and prolonged business closures, work restrictions and activity restrictions. Given these and other uncertainties discussed throughout this report, the Company remains subject to heightened risk, and the aggregate impact that COVID-19 could have on the Company’s financial condition and operating results is presently unknown.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121285</wp:posOffset>
            </wp:positionV>
            <wp:extent cx="7158355" cy="508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355" cy="5080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For further discussion on COVID-19, refer to Note 1 “Basis of Presentation.”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Cass provides payment and information processing services to large manufacturing, distribution and retail enterprises from its offices/locations in St. Louis, Missouri, Columbus, Ohio, Greenville, South Carolina, Wellington, Kansas, Jacksonville, Florida, Breda, Netherlands, Basingstoke, United Kingdom, and Singapore. The Company’s services include freight invoice rating, payment processing, auditing, and the generation of accounting and transportation information. Cass also processes and pays energy invoices, which include electricity and gas as well as waste and telecommunications expenses, and is a provider of telecom expense management solutions. Cass solutions include a B2B payment platform for clients that require an agile fintech partner. Additionally, the Company offers an on-line platform to provide generosity services for faith-based and non-profit organizations. The Company’s bank subsidiary, the “Bank,” supports the Company’s payment operations. The Bank also provides banking services to its target markets, which include privately-owned businesses and faith-based ministries in the St. Louis metropolitan area as well as other selected cities in the United States.</w:t>
      </w:r>
    </w:p>
    <w:p>
      <w:pPr>
        <w:spacing w:after="0" w:line="15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specific payment and information processing services provided to each customer are developed individually to meet each customer’s requirements, which can vary greatly. In addition, the degree of automation such as electronic data interchange, imaging, work flow, and web-based solutions varies greatly among customers and industries. These factors combine so that pricing varies greatly among the customer base. In general, however, Cass is compensated for its processing services through service fees and investment of account balances generated during the payment process. The amount, type, and calculation of service fees vary greatly by service offering, but generally follow the volume of transactions processed. Interest income from the balances generated during the payment processing cycle is affected by the amount of time Cass holds the funds prior to payment and the dollar volume processed. Both the number of transactions processed and the dollar volume processed are therefore key metrics followed by management. Other factors will also influence revenue and profitability, such as changes in the general level of interest rates, which have a significant effect on net interest income. The funds generated by these processing activities are invested in overnight investments, investment grade securities, advances to payees, and loans generated by the Bank. The Bank earns most of its revenue from net interest income, or the difference between the interest earned on its loans and investments and the interest paid on its deposits and other borrowings. The Bank also assesses fees on other services such as cash management services.</w:t>
      </w:r>
    </w:p>
    <w:p>
      <w:pPr>
        <w:spacing w:after="0" w:line="15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Industry-wide factors that impact the Company include the willingness of large corporations to outsource key business functions such as freight, energy, telecommunication and environmental payment and audit. The benefits that can be achieved by outsourcing transaction processing, and the management information generated by Cass’ systems can be influenced by factors such as the competitive pressures within industries to improve profitability, the general level of transportation costs, deregulation of energy costs, and consolidation of telecommunication providers. Economic factors that impact the Company include the general level of economic activity that can affect the volume and size of invoices processed, the ability to hire and retain qualified staff, and the growth and quality of the loan portfolio. The general level of interest rates also has a significant effect on the revenue of the Company. As discussed in greater detail in Item 7A, “Quantitative and Qualitative Disclosures about Market Risk” in the Company’s 2020 Annual Report on Form 10-K, a decline in the general level of interest rates can have a negative impact on net interest income and conversely, a rise in the general level of interest rates can have a positive impact on net interest income. The cost of fuel is another factor that has a significant impact on the transportation sector. As the price of fuel goes up or down, the Company’s earnings increase or decrease with the dollar amount of transportation invoices.</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Currently, management views Cass’ major opportunity as the continued expansion of its payment and information processing service offerings and customer base. Management intends to accomplish this by maintaining the Company’s leadership position in applied technology, which when combined with the security and processing controls of the Bank, makes Cass unique in the industry.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has prepared the consolidated financial statements in this report in accordance with the Financial Accounting Standards Board (“FASB”) Accounting Standards Codification (“ASC”). In preparing the consolidated financial statements, management makes estimates and assumptions that affect the reported amount of assets and liabilities, disclosure of contingent assets and liabilities at the date of the financial statements, and the reported amounts of revenue and expenses during the reporting period. These estimates have been generally accurate in the past, have been consistent and have not required any material changes. There can be no assurances that actual results will not differ from those estimates. The accounting policy that requires significant management estimates and is deemed critical to the Company’s results of operations or financial position has been discussed with the Audit Committee of the Board of Directors and is described below.</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8355" cy="596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8355" cy="5969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Allowance for Credit Losses. </w:t>
      </w:r>
      <w:r>
        <w:rPr>
          <w:rFonts w:ascii="Arial" w:cs="Arial" w:eastAsia="Arial" w:hAnsi="Arial"/>
          <w:sz w:val="18"/>
          <w:szCs w:val="18"/>
          <w:color w:val="auto"/>
        </w:rPr>
        <w:t>The Company performs periodic and systematic detailed reviews of its loan portfolio to determine management’s estimate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lifetime expected credit losses. Although these estimates are based on established methodologies for determining allowance requirements, actual results can differ significantly from estimated results. These policies affect both segments of the Company. The impact and associated risks related to these policies on the Company’s business operations are discussed in the “Provision and Allowance for Credit Losses and Allowance for Unfunded Commitments” section of this report.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following paragraphs more fully discuss the results of operations and changes in financial condition for the three-month period ended March 31, 2021 (“First Quarter of 2021”) compared to the three-month period ended March 31, 2020 (“First Quarter of 2020”). The following discussion and analysis should be read in conjunction with the unaudited consolidated financial statements and related notes and with the statistical information and financial data appearing in this report, as well as in the Company's 2020 Annual Report on Form 10-K. Results of operations for the First Quarter of 2021 are not necessarily indicative of the results to be attained for any other period.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0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8"/>
        </w:trPr>
        <w:tc>
          <w:tcPr>
            <w:tcW w:w="6100" w:type="dxa"/>
            <w:vAlign w:val="bottom"/>
          </w:tcPr>
          <w:p>
            <w:pPr>
              <w:spacing w:after="0"/>
              <w:rPr>
                <w:sz w:val="20"/>
                <w:szCs w:val="20"/>
                <w:color w:val="auto"/>
              </w:rPr>
            </w:pPr>
            <w:r>
              <w:rPr>
                <w:rFonts w:ascii="Arial" w:cs="Arial" w:eastAsia="Arial" w:hAnsi="Arial"/>
                <w:sz w:val="18"/>
                <w:szCs w:val="18"/>
                <w:color w:val="auto"/>
              </w:rPr>
              <w:t>The following table summarizes the Company’s operating results:</w:t>
            </w: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7"/>
        </w:trPr>
        <w:tc>
          <w:tcPr>
            <w:tcW w:w="6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w w:val="93"/>
              </w:rPr>
              <w:t>First Quarter of</w:t>
            </w:r>
          </w:p>
        </w:tc>
        <w:tc>
          <w:tcPr>
            <w:tcW w:w="9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2"/>
        </w:trPr>
        <w:tc>
          <w:tcPr>
            <w:tcW w:w="6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(Dollars in thousands except per share data)</w:t>
            </w:r>
          </w:p>
        </w:tc>
        <w:tc>
          <w:tcPr>
            <w:tcW w:w="13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 Change</w:t>
            </w:r>
          </w:p>
        </w:tc>
        <w:tc>
          <w:tcPr>
            <w:tcW w:w="20" w:type="dxa"/>
            <w:vAlign w:val="bottom"/>
            <w:tcBorders>
              <w:bottom w:val="single" w:sz="8" w:color="auto"/>
            </w:tcBorders>
          </w:tcPr>
          <w:p>
            <w:pPr>
              <w:spacing w:after="0"/>
              <w:rPr>
                <w:sz w:val="19"/>
                <w:szCs w:val="19"/>
                <w:color w:val="auto"/>
              </w:rPr>
            </w:pPr>
          </w:p>
        </w:tc>
      </w:tr>
      <w:tr>
        <w:trPr>
          <w:trHeight w:val="215"/>
        </w:trPr>
        <w:tc>
          <w:tcPr>
            <w:tcW w:w="6100" w:type="dxa"/>
            <w:vAlign w:val="bottom"/>
            <w:shd w:val="clear" w:color="auto" w:fill="B2B2B2"/>
          </w:tcPr>
          <w:p>
            <w:pPr>
              <w:spacing w:after="0"/>
              <w:rPr>
                <w:sz w:val="20"/>
                <w:szCs w:val="20"/>
                <w:color w:val="auto"/>
              </w:rPr>
            </w:pPr>
            <w:r>
              <w:rPr>
                <w:rFonts w:ascii="Arial" w:cs="Arial" w:eastAsia="Arial" w:hAnsi="Arial"/>
                <w:sz w:val="18"/>
                <w:szCs w:val="18"/>
                <w:color w:val="auto"/>
              </w:rPr>
              <w:t>Net income</w:t>
            </w:r>
          </w:p>
        </w:tc>
        <w:tc>
          <w:tcPr>
            <w:tcW w:w="1640" w:type="dxa"/>
            <w:vAlign w:val="bottom"/>
            <w:gridSpan w:val="2"/>
            <w:shd w:val="clear" w:color="auto" w:fill="B2B2B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B2B2B2"/>
          </w:tcPr>
          <w:p>
            <w:pPr>
              <w:jc w:val="right"/>
              <w:ind w:right="50"/>
              <w:spacing w:after="0"/>
              <w:rPr>
                <w:sz w:val="20"/>
                <w:szCs w:val="20"/>
                <w:color w:val="auto"/>
              </w:rPr>
            </w:pPr>
            <w:r>
              <w:rPr>
                <w:rFonts w:ascii="Arial" w:cs="Arial" w:eastAsia="Arial" w:hAnsi="Arial"/>
                <w:sz w:val="18"/>
                <w:szCs w:val="18"/>
                <w:color w:val="auto"/>
              </w:rPr>
              <w:t>7,071</w:t>
            </w:r>
          </w:p>
        </w:tc>
        <w:tc>
          <w:tcPr>
            <w:tcW w:w="400" w:type="dxa"/>
            <w:vAlign w:val="bottom"/>
            <w:shd w:val="clear" w:color="auto" w:fill="B2B2B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B2B2B2"/>
          </w:tcPr>
          <w:p>
            <w:pPr>
              <w:jc w:val="right"/>
              <w:ind w:right="210"/>
              <w:spacing w:after="0"/>
              <w:rPr>
                <w:sz w:val="20"/>
                <w:szCs w:val="20"/>
                <w:color w:val="auto"/>
              </w:rPr>
            </w:pPr>
            <w:r>
              <w:rPr>
                <w:rFonts w:ascii="Arial" w:cs="Arial" w:eastAsia="Arial" w:hAnsi="Arial"/>
                <w:sz w:val="18"/>
                <w:szCs w:val="18"/>
                <w:color w:val="auto"/>
              </w:rPr>
              <w:t>7,545</w:t>
            </w:r>
          </w:p>
        </w:tc>
        <w:tc>
          <w:tcPr>
            <w:tcW w:w="9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r>
      <w:tr>
        <w:trPr>
          <w:trHeight w:val="215"/>
        </w:trPr>
        <w:tc>
          <w:tcPr>
            <w:tcW w:w="610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.49</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.52</w:t>
            </w:r>
          </w:p>
        </w:tc>
        <w:tc>
          <w:tcPr>
            <w:tcW w:w="980" w:type="dxa"/>
            <w:vAlign w:val="bottom"/>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r>
      <w:tr>
        <w:trPr>
          <w:trHeight w:val="215"/>
        </w:trPr>
        <w:tc>
          <w:tcPr>
            <w:tcW w:w="6100" w:type="dxa"/>
            <w:vAlign w:val="bottom"/>
            <w:shd w:val="clear" w:color="auto" w:fill="B2B2B2"/>
          </w:tcPr>
          <w:p>
            <w:pPr>
              <w:spacing w:after="0"/>
              <w:rPr>
                <w:sz w:val="20"/>
                <w:szCs w:val="20"/>
                <w:color w:val="auto"/>
              </w:rPr>
            </w:pPr>
            <w:r>
              <w:rPr>
                <w:rFonts w:ascii="Arial" w:cs="Arial" w:eastAsia="Arial" w:hAnsi="Arial"/>
                <w:sz w:val="18"/>
                <w:szCs w:val="18"/>
                <w:color w:val="auto"/>
              </w:rPr>
              <w:t>Return on average assets</w:t>
            </w:r>
          </w:p>
        </w:tc>
        <w:tc>
          <w:tcPr>
            <w:tcW w:w="136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1.31%</w:t>
            </w:r>
          </w:p>
        </w:tc>
        <w:tc>
          <w:tcPr>
            <w:tcW w:w="400" w:type="dxa"/>
            <w:vAlign w:val="bottom"/>
            <w:shd w:val="clear" w:color="auto" w:fill="B2B2B2"/>
          </w:tcPr>
          <w:p>
            <w:pPr>
              <w:spacing w:after="0"/>
              <w:rPr>
                <w:sz w:val="18"/>
                <w:szCs w:val="18"/>
                <w:color w:val="auto"/>
              </w:rPr>
            </w:pPr>
          </w:p>
        </w:tc>
        <w:tc>
          <w:tcPr>
            <w:tcW w:w="1140" w:type="dxa"/>
            <w:vAlign w:val="bottom"/>
            <w:shd w:val="clear" w:color="auto" w:fill="B2B2B2"/>
          </w:tcPr>
          <w:p>
            <w:pPr>
              <w:jc w:val="right"/>
              <w:ind w:right="50"/>
              <w:spacing w:after="0"/>
              <w:rPr>
                <w:sz w:val="20"/>
                <w:szCs w:val="20"/>
                <w:color w:val="auto"/>
              </w:rPr>
            </w:pPr>
            <w:r>
              <w:rPr>
                <w:rFonts w:ascii="Arial" w:cs="Arial" w:eastAsia="Arial" w:hAnsi="Arial"/>
                <w:sz w:val="18"/>
                <w:szCs w:val="18"/>
                <w:color w:val="auto"/>
              </w:rPr>
              <w:t>1.70%</w:t>
            </w:r>
          </w:p>
        </w:tc>
        <w:tc>
          <w:tcPr>
            <w:tcW w:w="9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2"/>
        </w:trPr>
        <w:tc>
          <w:tcPr>
            <w:tcW w:w="61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Return on average equity</w:t>
            </w:r>
          </w:p>
        </w:tc>
        <w:tc>
          <w:tcPr>
            <w:tcW w:w="13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11.09%</w:t>
            </w: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12.50%</w:t>
            </w: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bl>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 Revenue and Other Income</w:t>
      </w:r>
    </w:p>
    <w:p>
      <w:pPr>
        <w:spacing w:after="0" w:line="21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Company’s fee revenue is derived mainly from transportation and facility payment and processing fees. As the Company provides its processing and payment services, it is compensated by service fees which are typically calculated on a per-item basis and by the accounts and drafts payable balances generated in the payment process which can be used to generate interest income. Processing volumes, fee revenue and other income were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7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First Quarter of</w:t>
            </w:r>
          </w:p>
        </w:tc>
        <w:tc>
          <w:tcPr>
            <w:tcW w:w="9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2"/>
        </w:trPr>
        <w:tc>
          <w:tcPr>
            <w:tcW w:w="7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 Change</w:t>
            </w:r>
          </w:p>
        </w:tc>
        <w:tc>
          <w:tcPr>
            <w:tcW w:w="20" w:type="dxa"/>
            <w:vAlign w:val="bottom"/>
            <w:tcBorders>
              <w:bottom w:val="single" w:sz="8" w:color="auto"/>
            </w:tcBorders>
          </w:tcPr>
          <w:p>
            <w:pPr>
              <w:spacing w:after="0"/>
              <w:rPr>
                <w:sz w:val="19"/>
                <w:szCs w:val="19"/>
                <w:color w:val="auto"/>
              </w:rPr>
            </w:pPr>
          </w:p>
        </w:tc>
      </w:tr>
      <w:tr>
        <w:trPr>
          <w:trHeight w:val="215"/>
        </w:trPr>
        <w:tc>
          <w:tcPr>
            <w:tcW w:w="7760" w:type="dxa"/>
            <w:vAlign w:val="bottom"/>
            <w:shd w:val="clear" w:color="auto" w:fill="B2B2B2"/>
          </w:tcPr>
          <w:p>
            <w:pPr>
              <w:spacing w:after="0"/>
              <w:rPr>
                <w:sz w:val="20"/>
                <w:szCs w:val="20"/>
                <w:color w:val="auto"/>
              </w:rPr>
            </w:pPr>
            <w:r>
              <w:rPr>
                <w:rFonts w:ascii="Arial" w:cs="Arial" w:eastAsia="Arial" w:hAnsi="Arial"/>
                <w:sz w:val="18"/>
                <w:szCs w:val="18"/>
                <w:color w:val="auto"/>
              </w:rPr>
              <w:t>Transportation invoice volume</w:t>
            </w:r>
          </w:p>
        </w:tc>
        <w:tc>
          <w:tcPr>
            <w:tcW w:w="260" w:type="dxa"/>
            <w:vAlign w:val="bottom"/>
            <w:shd w:val="clear" w:color="auto" w:fill="B2B2B2"/>
          </w:tcPr>
          <w:p>
            <w:pPr>
              <w:spacing w:after="0"/>
              <w:rPr>
                <w:sz w:val="18"/>
                <w:szCs w:val="18"/>
                <w:color w:val="auto"/>
              </w:rPr>
            </w:pPr>
          </w:p>
        </w:tc>
        <w:tc>
          <w:tcPr>
            <w:tcW w:w="9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8,787</w:t>
            </w:r>
          </w:p>
        </w:tc>
        <w:tc>
          <w:tcPr>
            <w:tcW w:w="280" w:type="dxa"/>
            <w:vAlign w:val="bottom"/>
            <w:shd w:val="clear" w:color="auto" w:fill="B2B2B2"/>
          </w:tcPr>
          <w:p>
            <w:pPr>
              <w:spacing w:after="0"/>
              <w:rPr>
                <w:sz w:val="18"/>
                <w:szCs w:val="18"/>
                <w:color w:val="auto"/>
              </w:rPr>
            </w:pPr>
          </w:p>
        </w:tc>
        <w:tc>
          <w:tcPr>
            <w:tcW w:w="1040" w:type="dxa"/>
            <w:vAlign w:val="bottom"/>
            <w:shd w:val="clear" w:color="auto" w:fill="B2B2B2"/>
          </w:tcPr>
          <w:p>
            <w:pPr>
              <w:jc w:val="right"/>
              <w:ind w:right="70"/>
              <w:spacing w:after="0"/>
              <w:rPr>
                <w:sz w:val="20"/>
                <w:szCs w:val="20"/>
                <w:color w:val="auto"/>
              </w:rPr>
            </w:pPr>
            <w:r>
              <w:rPr>
                <w:rFonts w:ascii="Arial" w:cs="Arial" w:eastAsia="Arial" w:hAnsi="Arial"/>
                <w:sz w:val="18"/>
                <w:szCs w:val="18"/>
                <w:color w:val="auto"/>
              </w:rPr>
              <w:t>8,280</w:t>
            </w:r>
          </w:p>
        </w:tc>
        <w:tc>
          <w:tcPr>
            <w:tcW w:w="9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r>
      <w:tr>
        <w:trPr>
          <w:trHeight w:val="215"/>
        </w:trPr>
        <w:tc>
          <w:tcPr>
            <w:tcW w:w="7760" w:type="dxa"/>
            <w:vAlign w:val="bottom"/>
          </w:tcPr>
          <w:p>
            <w:pPr>
              <w:spacing w:after="0"/>
              <w:rPr>
                <w:sz w:val="20"/>
                <w:szCs w:val="20"/>
                <w:color w:val="auto"/>
              </w:rPr>
            </w:pPr>
            <w:r>
              <w:rPr>
                <w:rFonts w:ascii="Arial" w:cs="Arial" w:eastAsia="Arial" w:hAnsi="Arial"/>
                <w:sz w:val="18"/>
                <w:szCs w:val="18"/>
                <w:color w:val="auto"/>
              </w:rPr>
              <w:t>Transportation invoice dollar volume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7,904,639</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6,467,051</w:t>
            </w:r>
          </w:p>
        </w:tc>
        <w:tc>
          <w:tcPr>
            <w:tcW w:w="960" w:type="dxa"/>
            <w:vAlign w:val="bottom"/>
          </w:tcPr>
          <w:p>
            <w:pPr>
              <w:jc w:val="right"/>
              <w:spacing w:after="0"/>
              <w:rPr>
                <w:sz w:val="20"/>
                <w:szCs w:val="20"/>
                <w:color w:val="auto"/>
              </w:rPr>
            </w:pPr>
            <w:r>
              <w:rPr>
                <w:rFonts w:ascii="Arial" w:cs="Arial" w:eastAsia="Arial" w:hAnsi="Arial"/>
                <w:sz w:val="18"/>
                <w:szCs w:val="18"/>
                <w:color w:val="auto"/>
              </w:rPr>
              <w:t>22.2%</w:t>
            </w:r>
          </w:p>
        </w:tc>
        <w:tc>
          <w:tcPr>
            <w:tcW w:w="20" w:type="dxa"/>
            <w:vAlign w:val="bottom"/>
          </w:tcPr>
          <w:p>
            <w:pPr>
              <w:spacing w:after="0"/>
              <w:rPr>
                <w:sz w:val="18"/>
                <w:szCs w:val="18"/>
                <w:color w:val="auto"/>
              </w:rPr>
            </w:pPr>
          </w:p>
        </w:tc>
      </w:tr>
      <w:tr>
        <w:trPr>
          <w:trHeight w:val="215"/>
        </w:trPr>
        <w:tc>
          <w:tcPr>
            <w:tcW w:w="7760" w:type="dxa"/>
            <w:vAlign w:val="bottom"/>
            <w:shd w:val="clear" w:color="auto" w:fill="B2B2B2"/>
          </w:tcPr>
          <w:p>
            <w:pPr>
              <w:spacing w:after="0"/>
              <w:rPr>
                <w:sz w:val="20"/>
                <w:szCs w:val="20"/>
                <w:color w:val="auto"/>
              </w:rPr>
            </w:pPr>
            <w:r>
              <w:rPr>
                <w:rFonts w:ascii="Arial" w:cs="Arial" w:eastAsia="Arial" w:hAnsi="Arial"/>
                <w:sz w:val="18"/>
                <w:szCs w:val="18"/>
                <w:color w:val="auto"/>
              </w:rPr>
              <w:t>Facility expense transaction volume*</w:t>
            </w:r>
          </w:p>
        </w:tc>
        <w:tc>
          <w:tcPr>
            <w:tcW w:w="260" w:type="dxa"/>
            <w:vAlign w:val="bottom"/>
            <w:shd w:val="clear" w:color="auto" w:fill="B2B2B2"/>
          </w:tcPr>
          <w:p>
            <w:pPr>
              <w:spacing w:after="0"/>
              <w:rPr>
                <w:sz w:val="18"/>
                <w:szCs w:val="18"/>
                <w:color w:val="auto"/>
              </w:rPr>
            </w:pPr>
          </w:p>
        </w:tc>
        <w:tc>
          <w:tcPr>
            <w:tcW w:w="9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6,996</w:t>
            </w:r>
          </w:p>
        </w:tc>
        <w:tc>
          <w:tcPr>
            <w:tcW w:w="280" w:type="dxa"/>
            <w:vAlign w:val="bottom"/>
            <w:shd w:val="clear" w:color="auto" w:fill="B2B2B2"/>
          </w:tcPr>
          <w:p>
            <w:pPr>
              <w:spacing w:after="0"/>
              <w:rPr>
                <w:sz w:val="18"/>
                <w:szCs w:val="18"/>
                <w:color w:val="auto"/>
              </w:rPr>
            </w:pPr>
          </w:p>
        </w:tc>
        <w:tc>
          <w:tcPr>
            <w:tcW w:w="1040" w:type="dxa"/>
            <w:vAlign w:val="bottom"/>
            <w:shd w:val="clear" w:color="auto" w:fill="B2B2B2"/>
          </w:tcPr>
          <w:p>
            <w:pPr>
              <w:jc w:val="right"/>
              <w:ind w:right="70"/>
              <w:spacing w:after="0"/>
              <w:rPr>
                <w:sz w:val="20"/>
                <w:szCs w:val="20"/>
                <w:color w:val="auto"/>
              </w:rPr>
            </w:pPr>
            <w:r>
              <w:rPr>
                <w:rFonts w:ascii="Arial" w:cs="Arial" w:eastAsia="Arial" w:hAnsi="Arial"/>
                <w:sz w:val="18"/>
                <w:szCs w:val="18"/>
                <w:color w:val="auto"/>
              </w:rPr>
              <w:t>6,509</w:t>
            </w:r>
          </w:p>
        </w:tc>
        <w:tc>
          <w:tcPr>
            <w:tcW w:w="9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8"/>
                <w:szCs w:val="18"/>
                <w:color w:val="auto"/>
              </w:rPr>
            </w:pPr>
          </w:p>
        </w:tc>
      </w:tr>
      <w:tr>
        <w:trPr>
          <w:trHeight w:val="215"/>
        </w:trPr>
        <w:tc>
          <w:tcPr>
            <w:tcW w:w="7760" w:type="dxa"/>
            <w:vAlign w:val="bottom"/>
          </w:tcPr>
          <w:p>
            <w:pPr>
              <w:spacing w:after="0"/>
              <w:rPr>
                <w:sz w:val="20"/>
                <w:szCs w:val="20"/>
                <w:color w:val="auto"/>
              </w:rPr>
            </w:pPr>
            <w:r>
              <w:rPr>
                <w:rFonts w:ascii="Arial" w:cs="Arial" w:eastAsia="Arial" w:hAnsi="Arial"/>
                <w:sz w:val="18"/>
                <w:szCs w:val="18"/>
                <w:color w:val="auto"/>
              </w:rPr>
              <w:t>Facility expense dollar volume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3,717,428</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3,458,646</w:t>
            </w:r>
          </w:p>
        </w:tc>
        <w:tc>
          <w:tcPr>
            <w:tcW w:w="960" w:type="dxa"/>
            <w:vAlign w:val="bottom"/>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8"/>
                <w:szCs w:val="18"/>
                <w:color w:val="auto"/>
              </w:rPr>
            </w:pPr>
          </w:p>
        </w:tc>
      </w:tr>
      <w:tr>
        <w:trPr>
          <w:trHeight w:val="215"/>
        </w:trPr>
        <w:tc>
          <w:tcPr>
            <w:tcW w:w="7760" w:type="dxa"/>
            <w:vAlign w:val="bottom"/>
            <w:shd w:val="clear" w:color="auto" w:fill="B2B2B2"/>
          </w:tcPr>
          <w:p>
            <w:pPr>
              <w:spacing w:after="0"/>
              <w:rPr>
                <w:sz w:val="20"/>
                <w:szCs w:val="20"/>
                <w:color w:val="auto"/>
              </w:rPr>
            </w:pPr>
            <w:r>
              <w:rPr>
                <w:rFonts w:ascii="Arial" w:cs="Arial" w:eastAsia="Arial" w:hAnsi="Arial"/>
                <w:sz w:val="18"/>
                <w:szCs w:val="18"/>
                <w:color w:val="auto"/>
              </w:rPr>
              <w:t>Payment and processing revenue</w:t>
            </w:r>
          </w:p>
        </w:tc>
        <w:tc>
          <w:tcPr>
            <w:tcW w:w="260" w:type="dxa"/>
            <w:vAlign w:val="bottom"/>
            <w:shd w:val="clear" w:color="auto" w:fill="B2B2B2"/>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25,216</w:t>
            </w:r>
          </w:p>
        </w:tc>
        <w:tc>
          <w:tcPr>
            <w:tcW w:w="28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B2B2B2"/>
          </w:tcPr>
          <w:p>
            <w:pPr>
              <w:jc w:val="right"/>
              <w:ind w:right="70"/>
              <w:spacing w:after="0"/>
              <w:rPr>
                <w:sz w:val="20"/>
                <w:szCs w:val="20"/>
                <w:color w:val="auto"/>
              </w:rPr>
            </w:pPr>
            <w:r>
              <w:rPr>
                <w:rFonts w:ascii="Arial" w:cs="Arial" w:eastAsia="Arial" w:hAnsi="Arial"/>
                <w:sz w:val="18"/>
                <w:szCs w:val="18"/>
                <w:color w:val="auto"/>
              </w:rPr>
              <w:t>25,503</w:t>
            </w:r>
          </w:p>
        </w:tc>
        <w:tc>
          <w:tcPr>
            <w:tcW w:w="9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95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955" cy="2540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 Includes energy, telecom and environmental</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First Quarter of 2021 compared to First Quarter of 2020:</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Transportation invoice and dollar volumes improved 6.1% and 22.2%, respectively. Fueling the increases were the stronger performance of the manufacturing sector quarter over quarter and new customer wins over the past 12 months. Further improvement in dollar volume resulted from scarcity in carrier supply, which drove prices higher. Facility-related invoice and dollar volumes both increased 7.5% with the increases attributable, in part, to new business wins. Payment and processing fee revenue decreased 1% due to changes in client mix and the decline in certain revenue sources not directly tied to transaction volumes such as late fees. In light of the COVID-19 pandemic and the impact on certain of its customers, the Company made a risk management decision not to advance payments to customer vendors until payment is received from the customer, thereby reducing the level of late fee revenue.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8355" cy="596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8355" cy="5969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Interest Income</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interest income is the difference between interest earned on loans, investments, and other earning assets and interest expense on deposits and other interest-bearing liabilities. Net interest income is a significant source of the Company’s revenues. The following table summarizes the changes in tax-equivalent net interest income and related factors: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b w:val="1"/>
                <w:bCs w:val="1"/>
                <w:color w:val="auto"/>
                <w:w w:val="93"/>
              </w:rPr>
              <w:t>First Quarter of</w:t>
            </w:r>
          </w:p>
        </w:tc>
        <w:tc>
          <w:tcPr>
            <w:tcW w:w="9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7"/>
        </w:trPr>
        <w:tc>
          <w:tcPr>
            <w:tcW w:w="7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jc w:val="right"/>
              <w:ind w:right="270"/>
              <w:spacing w:after="0" w:line="197" w:lineRule="exact"/>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7"/>
                <w:szCs w:val="17"/>
                <w:color w:val="auto"/>
              </w:rPr>
            </w:pPr>
          </w:p>
        </w:tc>
      </w:tr>
      <w:tr>
        <w:trPr>
          <w:trHeight w:val="241"/>
        </w:trPr>
        <w:tc>
          <w:tcPr>
            <w:tcW w:w="7340" w:type="dxa"/>
            <w:vAlign w:val="bottom"/>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36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36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960" w:type="dxa"/>
            <w:vAlign w:val="bottom"/>
            <w:gridSpan w:val="2"/>
          </w:tcPr>
          <w:p>
            <w:pPr>
              <w:ind w:left="200"/>
              <w:spacing w:after="0"/>
              <w:rPr>
                <w:sz w:val="20"/>
                <w:szCs w:val="20"/>
                <w:color w:val="auto"/>
              </w:rPr>
            </w:pPr>
            <w:r>
              <w:rPr>
                <w:rFonts w:ascii="Arial" w:cs="Arial" w:eastAsia="Arial" w:hAnsi="Arial"/>
                <w:sz w:val="18"/>
                <w:szCs w:val="18"/>
                <w:b w:val="1"/>
                <w:bCs w:val="1"/>
                <w:color w:val="auto"/>
              </w:rPr>
              <w:t>Change</w:t>
            </w:r>
          </w:p>
        </w:tc>
      </w:tr>
      <w:tr>
        <w:trPr>
          <w:trHeight w:val="215"/>
        </w:trPr>
        <w:tc>
          <w:tcPr>
            <w:tcW w:w="7340" w:type="dxa"/>
            <w:vAlign w:val="bottom"/>
            <w:tcBorders>
              <w:top w:val="single" w:sz="8" w:color="auto"/>
            </w:tcBorders>
            <w:shd w:val="clear" w:color="auto" w:fill="B2B2B2"/>
          </w:tcPr>
          <w:p>
            <w:pPr>
              <w:spacing w:after="0"/>
              <w:rPr>
                <w:sz w:val="20"/>
                <w:szCs w:val="20"/>
                <w:color w:val="auto"/>
              </w:rPr>
            </w:pPr>
            <w:r>
              <w:rPr>
                <w:rFonts w:ascii="Arial" w:cs="Arial" w:eastAsia="Arial" w:hAnsi="Arial"/>
                <w:sz w:val="18"/>
                <w:szCs w:val="18"/>
                <w:color w:val="auto"/>
              </w:rPr>
              <w:t>Average earnings assets</w:t>
            </w:r>
          </w:p>
        </w:tc>
        <w:tc>
          <w:tcPr>
            <w:tcW w:w="360" w:type="dxa"/>
            <w:vAlign w:val="bottom"/>
            <w:tcBorders>
              <w:top w:val="single" w:sz="8" w:color="auto"/>
            </w:tcBorders>
            <w:shd w:val="clear" w:color="auto" w:fill="B2B2B2"/>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B2B2B2"/>
          </w:tcPr>
          <w:p>
            <w:pPr>
              <w:jc w:val="right"/>
              <w:ind w:right="50"/>
              <w:spacing w:after="0"/>
              <w:rPr>
                <w:sz w:val="20"/>
                <w:szCs w:val="20"/>
                <w:color w:val="auto"/>
              </w:rPr>
            </w:pPr>
            <w:r>
              <w:rPr>
                <w:rFonts w:ascii="Arial" w:cs="Arial" w:eastAsia="Arial" w:hAnsi="Arial"/>
                <w:sz w:val="18"/>
                <w:szCs w:val="18"/>
                <w:color w:val="auto"/>
              </w:rPr>
              <w:t>1,891,395</w:t>
            </w:r>
          </w:p>
        </w:tc>
        <w:tc>
          <w:tcPr>
            <w:tcW w:w="360" w:type="dxa"/>
            <w:vAlign w:val="bottom"/>
            <w:tcBorders>
              <w:top w:val="single" w:sz="8" w:color="auto"/>
            </w:tcBorders>
            <w:shd w:val="clear" w:color="auto" w:fill="B2B2B2"/>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B2B2B2"/>
          </w:tcPr>
          <w:p>
            <w:pPr>
              <w:jc w:val="right"/>
              <w:ind w:right="250"/>
              <w:spacing w:after="0"/>
              <w:rPr>
                <w:sz w:val="20"/>
                <w:szCs w:val="20"/>
                <w:color w:val="auto"/>
              </w:rPr>
            </w:pPr>
            <w:r>
              <w:rPr>
                <w:rFonts w:ascii="Arial" w:cs="Arial" w:eastAsia="Arial" w:hAnsi="Arial"/>
                <w:sz w:val="18"/>
                <w:szCs w:val="18"/>
                <w:color w:val="auto"/>
              </w:rPr>
              <w:t>1,487,873</w:t>
            </w:r>
          </w:p>
        </w:tc>
        <w:tc>
          <w:tcPr>
            <w:tcW w:w="94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27.12%</w:t>
            </w:r>
          </w:p>
        </w:tc>
        <w:tc>
          <w:tcPr>
            <w:tcW w:w="20" w:type="dxa"/>
            <w:vAlign w:val="bottom"/>
          </w:tcPr>
          <w:p>
            <w:pPr>
              <w:spacing w:after="0"/>
              <w:rPr>
                <w:sz w:val="18"/>
                <w:szCs w:val="18"/>
                <w:color w:val="auto"/>
              </w:rPr>
            </w:pPr>
          </w:p>
        </w:tc>
      </w:tr>
      <w:tr>
        <w:trPr>
          <w:trHeight w:val="215"/>
        </w:trPr>
        <w:tc>
          <w:tcPr>
            <w:tcW w:w="7340" w:type="dxa"/>
            <w:vAlign w:val="bottom"/>
          </w:tcPr>
          <w:p>
            <w:pPr>
              <w:spacing w:after="0"/>
              <w:rPr>
                <w:sz w:val="20"/>
                <w:szCs w:val="20"/>
                <w:color w:val="auto"/>
              </w:rPr>
            </w:pPr>
            <w:r>
              <w:rPr>
                <w:rFonts w:ascii="Arial" w:cs="Arial" w:eastAsia="Arial" w:hAnsi="Arial"/>
                <w:sz w:val="18"/>
                <w:szCs w:val="18"/>
                <w:color w:val="auto"/>
              </w:rPr>
              <w:t>Average interest-bearing liabilities</w:t>
            </w:r>
          </w:p>
        </w:tc>
        <w:tc>
          <w:tcPr>
            <w:tcW w:w="36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552,906</w:t>
            </w:r>
          </w:p>
        </w:tc>
        <w:tc>
          <w:tcPr>
            <w:tcW w:w="360" w:type="dxa"/>
            <w:vAlign w:val="bottom"/>
          </w:tcPr>
          <w:p>
            <w:pPr>
              <w:spacing w:after="0"/>
              <w:rPr>
                <w:sz w:val="18"/>
                <w:szCs w:val="18"/>
                <w:color w:val="auto"/>
              </w:rPr>
            </w:pP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409,376</w:t>
            </w:r>
          </w:p>
        </w:tc>
        <w:tc>
          <w:tcPr>
            <w:tcW w:w="940" w:type="dxa"/>
            <w:vAlign w:val="bottom"/>
          </w:tcPr>
          <w:p>
            <w:pPr>
              <w:jc w:val="right"/>
              <w:spacing w:after="0"/>
              <w:rPr>
                <w:sz w:val="20"/>
                <w:szCs w:val="20"/>
                <w:color w:val="auto"/>
              </w:rPr>
            </w:pPr>
            <w:r>
              <w:rPr>
                <w:rFonts w:ascii="Arial" w:cs="Arial" w:eastAsia="Arial" w:hAnsi="Arial"/>
                <w:sz w:val="18"/>
                <w:szCs w:val="18"/>
                <w:color w:val="auto"/>
              </w:rPr>
              <w:t>35.06%</w:t>
            </w:r>
          </w:p>
        </w:tc>
        <w:tc>
          <w:tcPr>
            <w:tcW w:w="20" w:type="dxa"/>
            <w:vAlign w:val="bottom"/>
          </w:tcPr>
          <w:p>
            <w:pPr>
              <w:spacing w:after="0"/>
              <w:rPr>
                <w:sz w:val="18"/>
                <w:szCs w:val="18"/>
                <w:color w:val="auto"/>
              </w:rPr>
            </w:pPr>
          </w:p>
        </w:tc>
      </w:tr>
      <w:tr>
        <w:trPr>
          <w:trHeight w:val="215"/>
        </w:trPr>
        <w:tc>
          <w:tcPr>
            <w:tcW w:w="7340" w:type="dxa"/>
            <w:vAlign w:val="bottom"/>
            <w:shd w:val="clear" w:color="auto" w:fill="B2B2B2"/>
          </w:tcPr>
          <w:p>
            <w:pPr>
              <w:spacing w:after="0"/>
              <w:rPr>
                <w:sz w:val="20"/>
                <w:szCs w:val="20"/>
                <w:color w:val="auto"/>
              </w:rPr>
            </w:pPr>
            <w:r>
              <w:rPr>
                <w:rFonts w:ascii="Arial" w:cs="Arial" w:eastAsia="Arial" w:hAnsi="Arial"/>
                <w:sz w:val="18"/>
                <w:szCs w:val="18"/>
                <w:color w:val="auto"/>
              </w:rPr>
              <w:t>Net interest income*</w:t>
            </w:r>
          </w:p>
        </w:tc>
        <w:tc>
          <w:tcPr>
            <w:tcW w:w="360" w:type="dxa"/>
            <w:vAlign w:val="bottom"/>
            <w:shd w:val="clear" w:color="auto" w:fill="B2B2B2"/>
          </w:tcPr>
          <w:p>
            <w:pPr>
              <w:spacing w:after="0"/>
              <w:rPr>
                <w:sz w:val="18"/>
                <w:szCs w:val="18"/>
                <w:color w:val="auto"/>
              </w:rPr>
            </w:pPr>
          </w:p>
        </w:tc>
        <w:tc>
          <w:tcPr>
            <w:tcW w:w="1020" w:type="dxa"/>
            <w:vAlign w:val="bottom"/>
            <w:shd w:val="clear" w:color="auto" w:fill="B2B2B2"/>
          </w:tcPr>
          <w:p>
            <w:pPr>
              <w:jc w:val="right"/>
              <w:ind w:right="50"/>
              <w:spacing w:after="0"/>
              <w:rPr>
                <w:sz w:val="20"/>
                <w:szCs w:val="20"/>
                <w:color w:val="auto"/>
              </w:rPr>
            </w:pPr>
            <w:r>
              <w:rPr>
                <w:rFonts w:ascii="Arial" w:cs="Arial" w:eastAsia="Arial" w:hAnsi="Arial"/>
                <w:sz w:val="18"/>
                <w:szCs w:val="18"/>
                <w:color w:val="auto"/>
              </w:rPr>
              <w:t>10,807</w:t>
            </w:r>
          </w:p>
        </w:tc>
        <w:tc>
          <w:tcPr>
            <w:tcW w:w="360" w:type="dxa"/>
            <w:vAlign w:val="bottom"/>
            <w:shd w:val="clear" w:color="auto" w:fill="B2B2B2"/>
          </w:tcPr>
          <w:p>
            <w:pPr>
              <w:spacing w:after="0"/>
              <w:rPr>
                <w:sz w:val="18"/>
                <w:szCs w:val="18"/>
                <w:color w:val="auto"/>
              </w:rPr>
            </w:pPr>
          </w:p>
        </w:tc>
        <w:tc>
          <w:tcPr>
            <w:tcW w:w="1220" w:type="dxa"/>
            <w:vAlign w:val="bottom"/>
            <w:shd w:val="clear" w:color="auto" w:fill="B2B2B2"/>
          </w:tcPr>
          <w:p>
            <w:pPr>
              <w:jc w:val="right"/>
              <w:ind w:right="250"/>
              <w:spacing w:after="0"/>
              <w:rPr>
                <w:sz w:val="20"/>
                <w:szCs w:val="20"/>
                <w:color w:val="auto"/>
              </w:rPr>
            </w:pPr>
            <w:r>
              <w:rPr>
                <w:rFonts w:ascii="Arial" w:cs="Arial" w:eastAsia="Arial" w:hAnsi="Arial"/>
                <w:sz w:val="18"/>
                <w:szCs w:val="18"/>
                <w:color w:val="auto"/>
              </w:rPr>
              <w:t>11,857</w:t>
            </w:r>
          </w:p>
        </w:tc>
        <w:tc>
          <w:tcPr>
            <w:tcW w:w="9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(8.86)%</w:t>
            </w:r>
          </w:p>
        </w:tc>
        <w:tc>
          <w:tcPr>
            <w:tcW w:w="20" w:type="dxa"/>
            <w:vAlign w:val="bottom"/>
          </w:tcPr>
          <w:p>
            <w:pPr>
              <w:spacing w:after="0"/>
              <w:rPr>
                <w:sz w:val="18"/>
                <w:szCs w:val="18"/>
                <w:color w:val="auto"/>
              </w:rPr>
            </w:pPr>
          </w:p>
        </w:tc>
      </w:tr>
      <w:tr>
        <w:trPr>
          <w:trHeight w:val="215"/>
        </w:trPr>
        <w:tc>
          <w:tcPr>
            <w:tcW w:w="7340" w:type="dxa"/>
            <w:vAlign w:val="bottom"/>
          </w:tcPr>
          <w:p>
            <w:pPr>
              <w:spacing w:after="0"/>
              <w:rPr>
                <w:sz w:val="20"/>
                <w:szCs w:val="20"/>
                <w:color w:val="auto"/>
              </w:rPr>
            </w:pPr>
            <w:r>
              <w:rPr>
                <w:rFonts w:ascii="Arial" w:cs="Arial" w:eastAsia="Arial" w:hAnsi="Arial"/>
                <w:sz w:val="18"/>
                <w:szCs w:val="18"/>
                <w:color w:val="auto"/>
              </w:rPr>
              <w:t>Net interest margin*</w:t>
            </w: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2.32%</w:t>
            </w:r>
          </w:p>
        </w:tc>
        <w:tc>
          <w:tcPr>
            <w:tcW w:w="36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3.21%</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5"/>
        </w:trPr>
        <w:tc>
          <w:tcPr>
            <w:tcW w:w="7340" w:type="dxa"/>
            <w:vAlign w:val="bottom"/>
            <w:shd w:val="clear" w:color="auto" w:fill="B2B2B2"/>
          </w:tcPr>
          <w:p>
            <w:pPr>
              <w:spacing w:after="0"/>
              <w:rPr>
                <w:sz w:val="20"/>
                <w:szCs w:val="20"/>
                <w:color w:val="auto"/>
              </w:rPr>
            </w:pPr>
            <w:r>
              <w:rPr>
                <w:rFonts w:ascii="Arial" w:cs="Arial" w:eastAsia="Arial" w:hAnsi="Arial"/>
                <w:sz w:val="18"/>
                <w:szCs w:val="18"/>
                <w:color w:val="auto"/>
              </w:rPr>
              <w:t>Yield on earning assets*</w:t>
            </w:r>
          </w:p>
        </w:tc>
        <w:tc>
          <w:tcPr>
            <w:tcW w:w="360" w:type="dxa"/>
            <w:vAlign w:val="bottom"/>
            <w:shd w:val="clear" w:color="auto" w:fill="B2B2B2"/>
          </w:tcPr>
          <w:p>
            <w:pPr>
              <w:spacing w:after="0"/>
              <w:rPr>
                <w:sz w:val="18"/>
                <w:szCs w:val="18"/>
                <w:color w:val="auto"/>
              </w:rPr>
            </w:pPr>
          </w:p>
        </w:tc>
        <w:tc>
          <w:tcPr>
            <w:tcW w:w="10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2.39%</w:t>
            </w:r>
          </w:p>
        </w:tc>
        <w:tc>
          <w:tcPr>
            <w:tcW w:w="360" w:type="dxa"/>
            <w:vAlign w:val="bottom"/>
            <w:shd w:val="clear" w:color="auto" w:fill="B2B2B2"/>
          </w:tcPr>
          <w:p>
            <w:pPr>
              <w:spacing w:after="0"/>
              <w:rPr>
                <w:sz w:val="18"/>
                <w:szCs w:val="18"/>
                <w:color w:val="auto"/>
              </w:rPr>
            </w:pPr>
          </w:p>
        </w:tc>
        <w:tc>
          <w:tcPr>
            <w:tcW w:w="1220" w:type="dxa"/>
            <w:vAlign w:val="bottom"/>
            <w:shd w:val="clear" w:color="auto" w:fill="B2B2B2"/>
          </w:tcPr>
          <w:p>
            <w:pPr>
              <w:jc w:val="right"/>
              <w:ind w:right="90"/>
              <w:spacing w:after="0"/>
              <w:rPr>
                <w:sz w:val="20"/>
                <w:szCs w:val="20"/>
                <w:color w:val="auto"/>
              </w:rPr>
            </w:pPr>
            <w:r>
              <w:rPr>
                <w:rFonts w:ascii="Arial" w:cs="Arial" w:eastAsia="Arial" w:hAnsi="Arial"/>
                <w:sz w:val="18"/>
                <w:szCs w:val="18"/>
                <w:color w:val="auto"/>
              </w:rPr>
              <w:t>3.47%</w:t>
            </w:r>
          </w:p>
        </w:tc>
        <w:tc>
          <w:tcPr>
            <w:tcW w:w="9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30"/>
        </w:trPr>
        <w:tc>
          <w:tcPr>
            <w:tcW w:w="7340" w:type="dxa"/>
            <w:vAlign w:val="bottom"/>
          </w:tcPr>
          <w:p>
            <w:pPr>
              <w:spacing w:after="0"/>
              <w:rPr>
                <w:sz w:val="20"/>
                <w:szCs w:val="20"/>
                <w:color w:val="auto"/>
              </w:rPr>
            </w:pPr>
            <w:r>
              <w:rPr>
                <w:rFonts w:ascii="Arial" w:cs="Arial" w:eastAsia="Arial" w:hAnsi="Arial"/>
                <w:sz w:val="18"/>
                <w:szCs w:val="18"/>
                <w:color w:val="auto"/>
              </w:rPr>
              <w:t>Rate on interest-bearing liabilities</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0.24%</w:t>
            </w:r>
          </w:p>
        </w:tc>
        <w:tc>
          <w:tcPr>
            <w:tcW w:w="360" w:type="dxa"/>
            <w:vAlign w:val="bottom"/>
          </w:tcPr>
          <w:p>
            <w:pPr>
              <w:spacing w:after="0"/>
              <w:rPr>
                <w:sz w:val="19"/>
                <w:szCs w:val="19"/>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0.95%</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955" cy="2540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 Presented on a tax-equivalent basis assuming a tax rate of 21% for both 2021 and 2020.</w:t>
      </w:r>
    </w:p>
    <w:p>
      <w:pPr>
        <w:spacing w:after="0" w:line="36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First Quarter of 2021 average earning assets increased $403,522,000, or 27.1%, compared to the same period in the prior year. Interest-bearing deposits in other financial institutions increased $451,493,000, or 345.7%. This increase was primarily driven by a significant increase in deposits and accounts and drafts payable driven by government stimulus programs and organic growth. Average loans increased $81,720,000, or 10.2%, primarily driven by the origination of PPP loans beginning in the second quarter of 2020, continuing through the first quarter of 2021. Federal funds sold and other short-term investments decreased $107,588,000, or 65.4% and average investment securities decreased $21,603,000, or 16.4% in the First Quarter of 2021 compared to the first quarter of 2020. The decrease in federal funds sold and other short-term investments was driven by funds migration into interest-bearing deposits in other financial institutions. The decrease in investment securities was driven by maturities.</w:t>
      </w:r>
    </w:p>
    <w:p>
      <w:pPr>
        <w:spacing w:after="0" w:line="165"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Total average interest-bearing liabilities for the First Quarter of 2021 increased $143,530,000, or 35.1%, compared to the First Quarter of 2020. Average accounts and drafts payable increased $130,380,000, or 17.0%, in the First Quarter of 2021 compared to the First Quarter of 2020.</w:t>
      </w:r>
    </w:p>
    <w:p>
      <w:pPr>
        <w:spacing w:after="0" w:line="1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First Quarter of 2021 tax-equivalized net interest income decreased $1,050,000, or 8.9%, compared to the same period in the prior year. While average interest-earning assets were up 27.1% quarter over quarter, the Company’s net interest margin declined 89 basis points from 3.21% to 2.32% quarter over quarter, reflecting the negative impact of the historically low short-term interest rate environment. Specifically, the average balance of interest-bearing deposits in other financial institutions was $582,104,000 during the First Quarter of 2021 earning a yield of 0.10% compared to an average balance of $130,611,000 during the First Quarter of 2020 earning a yield of 1.18%.</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on the changes in net interest income, please refer to the tables that follow.</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8355" cy="596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8355" cy="5969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of Assets, Liabilities and Shareholders’ Equity; Interest Rate and Interest Differential</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tables show the condensed average balance sheets for each of the periods reported, the tax-equivalent interest income and expense on each category of interest-earning assets and interest-bearing liabilities, and the average yield on such categories of interest-earning assets and the average rates paid on such categories of interest-bearing liabilities for each of the periods reported.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First Quarter of 2021</w:t>
            </w:r>
          </w:p>
        </w:tc>
        <w:tc>
          <w:tcPr>
            <w:tcW w:w="5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First Quarter of 2020</w:t>
            </w:r>
          </w:p>
        </w:tc>
        <w:tc>
          <w:tcPr>
            <w:tcW w:w="700" w:type="dxa"/>
            <w:vAlign w:val="bottom"/>
            <w:tcBorders>
              <w:bottom w:val="single" w:sz="8" w:color="auto"/>
            </w:tcBorders>
          </w:tcPr>
          <w:p>
            <w:pPr>
              <w:spacing w:after="0"/>
              <w:rPr>
                <w:sz w:val="20"/>
                <w:szCs w:val="20"/>
                <w:color w:val="auto"/>
              </w:rPr>
            </w:pPr>
          </w:p>
        </w:tc>
      </w:tr>
      <w:tr>
        <w:trPr>
          <w:trHeight w:val="197"/>
        </w:trPr>
        <w:tc>
          <w:tcPr>
            <w:tcW w:w="4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ind w:left="20"/>
              <w:spacing w:after="0" w:line="197" w:lineRule="exact"/>
              <w:rPr>
                <w:sz w:val="20"/>
                <w:szCs w:val="20"/>
                <w:color w:val="auto"/>
              </w:rPr>
            </w:pPr>
            <w:r>
              <w:rPr>
                <w:rFonts w:ascii="Arial" w:cs="Arial" w:eastAsia="Arial" w:hAnsi="Arial"/>
                <w:sz w:val="18"/>
                <w:szCs w:val="18"/>
                <w:b w:val="1"/>
                <w:bCs w:val="1"/>
                <w:color w:val="auto"/>
              </w:rPr>
              <w:t>Interest</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ind w:left="40"/>
              <w:spacing w:after="0" w:line="197" w:lineRule="exact"/>
              <w:rPr>
                <w:sz w:val="20"/>
                <w:szCs w:val="20"/>
                <w:color w:val="auto"/>
              </w:rPr>
            </w:pPr>
            <w:r>
              <w:rPr>
                <w:rFonts w:ascii="Arial" w:cs="Arial" w:eastAsia="Arial" w:hAnsi="Arial"/>
                <w:sz w:val="18"/>
                <w:szCs w:val="18"/>
                <w:b w:val="1"/>
                <w:bCs w:val="1"/>
                <w:color w:val="auto"/>
              </w:rPr>
              <w:t>Interest</w:t>
            </w:r>
          </w:p>
        </w:tc>
        <w:tc>
          <w:tcPr>
            <w:tcW w:w="700" w:type="dxa"/>
            <w:vAlign w:val="bottom"/>
          </w:tcPr>
          <w:p>
            <w:pPr>
              <w:spacing w:after="0"/>
              <w:rPr>
                <w:sz w:val="17"/>
                <w:szCs w:val="17"/>
                <w:color w:val="auto"/>
              </w:rPr>
            </w:pPr>
          </w:p>
        </w:tc>
      </w:tr>
      <w:tr>
        <w:trPr>
          <w:trHeight w:val="215"/>
        </w:trPr>
        <w:tc>
          <w:tcPr>
            <w:tcW w:w="4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b w:val="1"/>
                <w:bCs w:val="1"/>
                <w:color w:val="auto"/>
              </w:rPr>
              <w:t>Average</w:t>
            </w:r>
          </w:p>
        </w:tc>
        <w:tc>
          <w:tcPr>
            <w:tcW w:w="200" w:type="dxa"/>
            <w:vAlign w:val="bottom"/>
          </w:tcPr>
          <w:p>
            <w:pPr>
              <w:spacing w:after="0"/>
              <w:rPr>
                <w:sz w:val="18"/>
                <w:szCs w:val="18"/>
                <w:color w:val="auto"/>
              </w:rPr>
            </w:pPr>
          </w:p>
        </w:tc>
        <w:tc>
          <w:tcPr>
            <w:tcW w:w="1000" w:type="dxa"/>
            <w:vAlign w:val="bottom"/>
          </w:tcPr>
          <w:p>
            <w:pPr>
              <w:ind w:left="20"/>
              <w:spacing w:after="0"/>
              <w:rPr>
                <w:sz w:val="20"/>
                <w:szCs w:val="20"/>
                <w:color w:val="auto"/>
              </w:rPr>
            </w:pPr>
            <w:r>
              <w:rPr>
                <w:rFonts w:ascii="Arial" w:cs="Arial" w:eastAsia="Arial" w:hAnsi="Arial"/>
                <w:sz w:val="18"/>
                <w:szCs w:val="18"/>
                <w:b w:val="1"/>
                <w:bCs w:val="1"/>
                <w:color w:val="auto"/>
              </w:rPr>
              <w:t>Income/</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Yield/</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210"/>
              <w:spacing w:after="0"/>
              <w:rPr>
                <w:sz w:val="20"/>
                <w:szCs w:val="20"/>
                <w:color w:val="auto"/>
              </w:rPr>
            </w:pPr>
            <w:r>
              <w:rPr>
                <w:rFonts w:ascii="Arial" w:cs="Arial" w:eastAsia="Arial" w:hAnsi="Arial"/>
                <w:sz w:val="18"/>
                <w:szCs w:val="18"/>
                <w:b w:val="1"/>
                <w:bCs w:val="1"/>
                <w:color w:val="auto"/>
                <w:w w:val="98"/>
              </w:rPr>
              <w:t>Average</w:t>
            </w:r>
          </w:p>
        </w:tc>
        <w:tc>
          <w:tcPr>
            <w:tcW w:w="220" w:type="dxa"/>
            <w:vAlign w:val="bottom"/>
          </w:tcPr>
          <w:p>
            <w:pPr>
              <w:spacing w:after="0"/>
              <w:rPr>
                <w:sz w:val="18"/>
                <w:szCs w:val="18"/>
                <w:color w:val="auto"/>
              </w:rPr>
            </w:pPr>
          </w:p>
        </w:tc>
        <w:tc>
          <w:tcPr>
            <w:tcW w:w="900" w:type="dxa"/>
            <w:vAlign w:val="bottom"/>
          </w:tcPr>
          <w:p>
            <w:pPr>
              <w:ind w:left="20"/>
              <w:spacing w:after="0"/>
              <w:rPr>
                <w:sz w:val="20"/>
                <w:szCs w:val="20"/>
                <w:color w:val="auto"/>
              </w:rPr>
            </w:pPr>
            <w:r>
              <w:rPr>
                <w:rFonts w:ascii="Arial" w:cs="Arial" w:eastAsia="Arial" w:hAnsi="Arial"/>
                <w:sz w:val="18"/>
                <w:szCs w:val="18"/>
                <w:b w:val="1"/>
                <w:bCs w:val="1"/>
                <w:color w:val="auto"/>
              </w:rPr>
              <w:t>Income/</w:t>
            </w:r>
          </w:p>
        </w:tc>
        <w:tc>
          <w:tcPr>
            <w:tcW w:w="700" w:type="dxa"/>
            <w:vAlign w:val="bottom"/>
          </w:tcPr>
          <w:p>
            <w:pPr>
              <w:ind w:left="80"/>
              <w:spacing w:after="0"/>
              <w:rPr>
                <w:sz w:val="20"/>
                <w:szCs w:val="20"/>
                <w:color w:val="auto"/>
              </w:rPr>
            </w:pPr>
            <w:r>
              <w:rPr>
                <w:rFonts w:ascii="Arial" w:cs="Arial" w:eastAsia="Arial" w:hAnsi="Arial"/>
                <w:sz w:val="18"/>
                <w:szCs w:val="18"/>
                <w:b w:val="1"/>
                <w:bCs w:val="1"/>
                <w:color w:val="auto"/>
              </w:rPr>
              <w:t>Yield/</w:t>
            </w:r>
          </w:p>
        </w:tc>
      </w:tr>
      <w:tr>
        <w:trPr>
          <w:trHeight w:val="241"/>
        </w:trPr>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5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Balance</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Expense</w:t>
            </w:r>
          </w:p>
        </w:tc>
        <w:tc>
          <w:tcPr>
            <w:tcW w:w="6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Rate</w:t>
            </w: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Balance</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Expense</w:t>
            </w:r>
          </w:p>
        </w:tc>
        <w:tc>
          <w:tcPr>
            <w:tcW w:w="70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Rate</w:t>
            </w:r>
          </w:p>
        </w:tc>
      </w:tr>
      <w:tr>
        <w:trPr>
          <w:trHeight w:val="256"/>
        </w:trPr>
        <w:tc>
          <w:tcPr>
            <w:tcW w:w="4460" w:type="dxa"/>
            <w:vAlign w:val="bottom"/>
            <w:shd w:val="clear" w:color="auto" w:fill="B2B2B2"/>
          </w:tcPr>
          <w:p>
            <w:pPr>
              <w:spacing w:after="0" w:line="256" w:lineRule="exact"/>
              <w:rPr>
                <w:sz w:val="20"/>
                <w:szCs w:val="20"/>
                <w:color w:val="auto"/>
              </w:rPr>
            </w:pPr>
            <w:r>
              <w:rPr>
                <w:rFonts w:ascii="Arial" w:cs="Arial" w:eastAsia="Arial" w:hAnsi="Arial"/>
                <w:sz w:val="18"/>
                <w:szCs w:val="18"/>
                <w:b w:val="1"/>
                <w:bCs w:val="1"/>
                <w:color w:val="auto"/>
              </w:rPr>
              <w:t>Assets</w:t>
            </w:r>
            <w:r>
              <w:rPr>
                <w:rFonts w:ascii="Arial" w:cs="Arial" w:eastAsia="Arial" w:hAnsi="Arial"/>
                <w:sz w:val="29"/>
                <w:szCs w:val="29"/>
                <w:color w:val="auto"/>
                <w:vertAlign w:val="superscript"/>
              </w:rPr>
              <w:t>1</w:t>
            </w:r>
          </w:p>
        </w:tc>
        <w:tc>
          <w:tcPr>
            <w:tcW w:w="580" w:type="dxa"/>
            <w:vAlign w:val="bottom"/>
            <w:shd w:val="clear" w:color="auto" w:fill="B2B2B2"/>
          </w:tcPr>
          <w:p>
            <w:pPr>
              <w:spacing w:after="0"/>
              <w:rPr>
                <w:sz w:val="22"/>
                <w:szCs w:val="22"/>
                <w:color w:val="auto"/>
              </w:rPr>
            </w:pPr>
          </w:p>
        </w:tc>
        <w:tc>
          <w:tcPr>
            <w:tcW w:w="200" w:type="dxa"/>
            <w:vAlign w:val="bottom"/>
            <w:shd w:val="clear" w:color="auto" w:fill="B2B2B2"/>
          </w:tcPr>
          <w:p>
            <w:pPr>
              <w:spacing w:after="0"/>
              <w:rPr>
                <w:sz w:val="22"/>
                <w:szCs w:val="22"/>
                <w:color w:val="auto"/>
              </w:rPr>
            </w:pPr>
          </w:p>
        </w:tc>
        <w:tc>
          <w:tcPr>
            <w:tcW w:w="1060" w:type="dxa"/>
            <w:vAlign w:val="bottom"/>
            <w:shd w:val="clear" w:color="auto" w:fill="B2B2B2"/>
          </w:tcPr>
          <w:p>
            <w:pPr>
              <w:spacing w:after="0"/>
              <w:rPr>
                <w:sz w:val="22"/>
                <w:szCs w:val="22"/>
                <w:color w:val="auto"/>
              </w:rPr>
            </w:pPr>
          </w:p>
        </w:tc>
        <w:tc>
          <w:tcPr>
            <w:tcW w:w="200" w:type="dxa"/>
            <w:vAlign w:val="bottom"/>
            <w:shd w:val="clear" w:color="auto" w:fill="B2B2B2"/>
          </w:tcPr>
          <w:p>
            <w:pPr>
              <w:spacing w:after="0"/>
              <w:rPr>
                <w:sz w:val="22"/>
                <w:szCs w:val="22"/>
                <w:color w:val="auto"/>
              </w:rPr>
            </w:pPr>
          </w:p>
        </w:tc>
        <w:tc>
          <w:tcPr>
            <w:tcW w:w="1000" w:type="dxa"/>
            <w:vAlign w:val="bottom"/>
            <w:shd w:val="clear" w:color="auto" w:fill="B2B2B2"/>
          </w:tcPr>
          <w:p>
            <w:pPr>
              <w:spacing w:after="0"/>
              <w:rPr>
                <w:sz w:val="22"/>
                <w:szCs w:val="22"/>
                <w:color w:val="auto"/>
              </w:rPr>
            </w:pPr>
          </w:p>
        </w:tc>
        <w:tc>
          <w:tcPr>
            <w:tcW w:w="580" w:type="dxa"/>
            <w:vAlign w:val="bottom"/>
            <w:shd w:val="clear" w:color="auto" w:fill="B2B2B2"/>
          </w:tcPr>
          <w:p>
            <w:pPr>
              <w:spacing w:after="0"/>
              <w:rPr>
                <w:sz w:val="22"/>
                <w:szCs w:val="22"/>
                <w:color w:val="auto"/>
              </w:rPr>
            </w:pPr>
          </w:p>
        </w:tc>
        <w:tc>
          <w:tcPr>
            <w:tcW w:w="60" w:type="dxa"/>
            <w:vAlign w:val="bottom"/>
            <w:shd w:val="clear" w:color="auto" w:fill="B2B2B2"/>
          </w:tcPr>
          <w:p>
            <w:pPr>
              <w:spacing w:after="0"/>
              <w:rPr>
                <w:sz w:val="22"/>
                <w:szCs w:val="22"/>
                <w:color w:val="auto"/>
              </w:rPr>
            </w:pPr>
          </w:p>
        </w:tc>
        <w:tc>
          <w:tcPr>
            <w:tcW w:w="60" w:type="dxa"/>
            <w:vAlign w:val="bottom"/>
            <w:shd w:val="clear" w:color="auto" w:fill="B2B2B2"/>
          </w:tcPr>
          <w:p>
            <w:pPr>
              <w:spacing w:after="0"/>
              <w:rPr>
                <w:sz w:val="22"/>
                <w:szCs w:val="22"/>
                <w:color w:val="auto"/>
              </w:rPr>
            </w:pPr>
          </w:p>
        </w:tc>
        <w:tc>
          <w:tcPr>
            <w:tcW w:w="200" w:type="dxa"/>
            <w:vAlign w:val="bottom"/>
            <w:shd w:val="clear" w:color="auto" w:fill="B2B2B2"/>
          </w:tcPr>
          <w:p>
            <w:pPr>
              <w:spacing w:after="0"/>
              <w:rPr>
                <w:sz w:val="22"/>
                <w:szCs w:val="22"/>
                <w:color w:val="auto"/>
              </w:rPr>
            </w:pPr>
          </w:p>
        </w:tc>
        <w:tc>
          <w:tcPr>
            <w:tcW w:w="1020" w:type="dxa"/>
            <w:vAlign w:val="bottom"/>
            <w:shd w:val="clear" w:color="auto" w:fill="B2B2B2"/>
          </w:tcPr>
          <w:p>
            <w:pPr>
              <w:spacing w:after="0"/>
              <w:rPr>
                <w:sz w:val="22"/>
                <w:szCs w:val="22"/>
                <w:color w:val="auto"/>
              </w:rPr>
            </w:pPr>
          </w:p>
        </w:tc>
        <w:tc>
          <w:tcPr>
            <w:tcW w:w="220" w:type="dxa"/>
            <w:vAlign w:val="bottom"/>
            <w:shd w:val="clear" w:color="auto" w:fill="B2B2B2"/>
          </w:tcPr>
          <w:p>
            <w:pPr>
              <w:spacing w:after="0"/>
              <w:rPr>
                <w:sz w:val="22"/>
                <w:szCs w:val="22"/>
                <w:color w:val="auto"/>
              </w:rPr>
            </w:pPr>
          </w:p>
        </w:tc>
        <w:tc>
          <w:tcPr>
            <w:tcW w:w="900" w:type="dxa"/>
            <w:vAlign w:val="bottom"/>
            <w:shd w:val="clear" w:color="auto" w:fill="B2B2B2"/>
          </w:tcPr>
          <w:p>
            <w:pPr>
              <w:spacing w:after="0"/>
              <w:rPr>
                <w:sz w:val="22"/>
                <w:szCs w:val="22"/>
                <w:color w:val="auto"/>
              </w:rPr>
            </w:pPr>
          </w:p>
        </w:tc>
        <w:tc>
          <w:tcPr>
            <w:tcW w:w="700" w:type="dxa"/>
            <w:vAlign w:val="bottom"/>
            <w:shd w:val="clear" w:color="auto" w:fill="B2B2B2"/>
          </w:tcPr>
          <w:p>
            <w:pPr>
              <w:spacing w:after="0"/>
              <w:rPr>
                <w:sz w:val="22"/>
                <w:szCs w:val="22"/>
                <w:color w:val="auto"/>
              </w:rPr>
            </w:pPr>
          </w:p>
        </w:tc>
      </w:tr>
      <w:tr>
        <w:trPr>
          <w:trHeight w:val="215"/>
        </w:trPr>
        <w:tc>
          <w:tcPr>
            <w:tcW w:w="4460" w:type="dxa"/>
            <w:vAlign w:val="bottom"/>
          </w:tcPr>
          <w:p>
            <w:pPr>
              <w:spacing w:after="0"/>
              <w:rPr>
                <w:sz w:val="20"/>
                <w:szCs w:val="20"/>
                <w:color w:val="auto"/>
              </w:rPr>
            </w:pPr>
            <w:r>
              <w:rPr>
                <w:rFonts w:ascii="Arial" w:cs="Arial" w:eastAsia="Arial" w:hAnsi="Arial"/>
                <w:sz w:val="18"/>
                <w:szCs w:val="18"/>
                <w:color w:val="auto"/>
              </w:rPr>
              <w:t>Earning assets</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56"/>
        </w:trPr>
        <w:tc>
          <w:tcPr>
            <w:tcW w:w="4460" w:type="dxa"/>
            <w:vAlign w:val="bottom"/>
            <w:shd w:val="clear" w:color="auto" w:fill="B2B2B2"/>
          </w:tcPr>
          <w:p>
            <w:pPr>
              <w:spacing w:after="0" w:line="256" w:lineRule="exact"/>
              <w:rPr>
                <w:sz w:val="20"/>
                <w:szCs w:val="20"/>
                <w:color w:val="auto"/>
              </w:rPr>
            </w:pPr>
            <w:r>
              <w:rPr>
                <w:rFonts w:ascii="Arial" w:cs="Arial" w:eastAsia="Arial" w:hAnsi="Arial"/>
                <w:sz w:val="18"/>
                <w:szCs w:val="18"/>
                <w:color w:val="auto"/>
              </w:rPr>
              <w:t>Loans</w:t>
            </w:r>
            <w:r>
              <w:rPr>
                <w:rFonts w:ascii="Arial" w:cs="Arial" w:eastAsia="Arial" w:hAnsi="Arial"/>
                <w:sz w:val="29"/>
                <w:szCs w:val="29"/>
                <w:color w:val="auto"/>
                <w:vertAlign w:val="superscript"/>
              </w:rPr>
              <w:t>2</w:t>
            </w:r>
            <w:r>
              <w:rPr>
                <w:rFonts w:ascii="Arial" w:cs="Arial" w:eastAsia="Arial" w:hAnsi="Arial"/>
                <w:sz w:val="18"/>
                <w:szCs w:val="18"/>
                <w:color w:val="auto"/>
              </w:rPr>
              <w:t>:</w:t>
            </w:r>
          </w:p>
        </w:tc>
        <w:tc>
          <w:tcPr>
            <w:tcW w:w="580" w:type="dxa"/>
            <w:vAlign w:val="bottom"/>
            <w:shd w:val="clear" w:color="auto" w:fill="B2B2B2"/>
          </w:tcPr>
          <w:p>
            <w:pPr>
              <w:spacing w:after="0"/>
              <w:rPr>
                <w:sz w:val="22"/>
                <w:szCs w:val="22"/>
                <w:color w:val="auto"/>
              </w:rPr>
            </w:pPr>
          </w:p>
        </w:tc>
        <w:tc>
          <w:tcPr>
            <w:tcW w:w="200" w:type="dxa"/>
            <w:vAlign w:val="bottom"/>
            <w:shd w:val="clear" w:color="auto" w:fill="B2B2B2"/>
          </w:tcPr>
          <w:p>
            <w:pPr>
              <w:spacing w:after="0"/>
              <w:rPr>
                <w:sz w:val="22"/>
                <w:szCs w:val="22"/>
                <w:color w:val="auto"/>
              </w:rPr>
            </w:pPr>
          </w:p>
        </w:tc>
        <w:tc>
          <w:tcPr>
            <w:tcW w:w="1060" w:type="dxa"/>
            <w:vAlign w:val="bottom"/>
            <w:shd w:val="clear" w:color="auto" w:fill="B2B2B2"/>
          </w:tcPr>
          <w:p>
            <w:pPr>
              <w:spacing w:after="0"/>
              <w:rPr>
                <w:sz w:val="22"/>
                <w:szCs w:val="22"/>
                <w:color w:val="auto"/>
              </w:rPr>
            </w:pPr>
          </w:p>
        </w:tc>
        <w:tc>
          <w:tcPr>
            <w:tcW w:w="200" w:type="dxa"/>
            <w:vAlign w:val="bottom"/>
            <w:shd w:val="clear" w:color="auto" w:fill="B2B2B2"/>
          </w:tcPr>
          <w:p>
            <w:pPr>
              <w:spacing w:after="0"/>
              <w:rPr>
                <w:sz w:val="22"/>
                <w:szCs w:val="22"/>
                <w:color w:val="auto"/>
              </w:rPr>
            </w:pPr>
          </w:p>
        </w:tc>
        <w:tc>
          <w:tcPr>
            <w:tcW w:w="1000" w:type="dxa"/>
            <w:vAlign w:val="bottom"/>
            <w:shd w:val="clear" w:color="auto" w:fill="B2B2B2"/>
          </w:tcPr>
          <w:p>
            <w:pPr>
              <w:spacing w:after="0"/>
              <w:rPr>
                <w:sz w:val="22"/>
                <w:szCs w:val="22"/>
                <w:color w:val="auto"/>
              </w:rPr>
            </w:pPr>
          </w:p>
        </w:tc>
        <w:tc>
          <w:tcPr>
            <w:tcW w:w="580" w:type="dxa"/>
            <w:vAlign w:val="bottom"/>
            <w:shd w:val="clear" w:color="auto" w:fill="B2B2B2"/>
          </w:tcPr>
          <w:p>
            <w:pPr>
              <w:spacing w:after="0"/>
              <w:rPr>
                <w:sz w:val="22"/>
                <w:szCs w:val="22"/>
                <w:color w:val="auto"/>
              </w:rPr>
            </w:pPr>
          </w:p>
        </w:tc>
        <w:tc>
          <w:tcPr>
            <w:tcW w:w="60" w:type="dxa"/>
            <w:vAlign w:val="bottom"/>
            <w:shd w:val="clear" w:color="auto" w:fill="B2B2B2"/>
          </w:tcPr>
          <w:p>
            <w:pPr>
              <w:spacing w:after="0"/>
              <w:rPr>
                <w:sz w:val="22"/>
                <w:szCs w:val="22"/>
                <w:color w:val="auto"/>
              </w:rPr>
            </w:pPr>
          </w:p>
        </w:tc>
        <w:tc>
          <w:tcPr>
            <w:tcW w:w="60" w:type="dxa"/>
            <w:vAlign w:val="bottom"/>
            <w:shd w:val="clear" w:color="auto" w:fill="B2B2B2"/>
          </w:tcPr>
          <w:p>
            <w:pPr>
              <w:spacing w:after="0"/>
              <w:rPr>
                <w:sz w:val="22"/>
                <w:szCs w:val="22"/>
                <w:color w:val="auto"/>
              </w:rPr>
            </w:pPr>
          </w:p>
        </w:tc>
        <w:tc>
          <w:tcPr>
            <w:tcW w:w="200" w:type="dxa"/>
            <w:vAlign w:val="bottom"/>
            <w:shd w:val="clear" w:color="auto" w:fill="B2B2B2"/>
          </w:tcPr>
          <w:p>
            <w:pPr>
              <w:spacing w:after="0"/>
              <w:rPr>
                <w:sz w:val="22"/>
                <w:szCs w:val="22"/>
                <w:color w:val="auto"/>
              </w:rPr>
            </w:pPr>
          </w:p>
        </w:tc>
        <w:tc>
          <w:tcPr>
            <w:tcW w:w="1020" w:type="dxa"/>
            <w:vAlign w:val="bottom"/>
            <w:shd w:val="clear" w:color="auto" w:fill="B2B2B2"/>
          </w:tcPr>
          <w:p>
            <w:pPr>
              <w:spacing w:after="0"/>
              <w:rPr>
                <w:sz w:val="22"/>
                <w:szCs w:val="22"/>
                <w:color w:val="auto"/>
              </w:rPr>
            </w:pPr>
          </w:p>
        </w:tc>
        <w:tc>
          <w:tcPr>
            <w:tcW w:w="220" w:type="dxa"/>
            <w:vAlign w:val="bottom"/>
            <w:shd w:val="clear" w:color="auto" w:fill="B2B2B2"/>
          </w:tcPr>
          <w:p>
            <w:pPr>
              <w:spacing w:after="0"/>
              <w:rPr>
                <w:sz w:val="22"/>
                <w:szCs w:val="22"/>
                <w:color w:val="auto"/>
              </w:rPr>
            </w:pPr>
          </w:p>
        </w:tc>
        <w:tc>
          <w:tcPr>
            <w:tcW w:w="900" w:type="dxa"/>
            <w:vAlign w:val="bottom"/>
            <w:shd w:val="clear" w:color="auto" w:fill="B2B2B2"/>
          </w:tcPr>
          <w:p>
            <w:pPr>
              <w:spacing w:after="0"/>
              <w:rPr>
                <w:sz w:val="22"/>
                <w:szCs w:val="22"/>
                <w:color w:val="auto"/>
              </w:rPr>
            </w:pPr>
          </w:p>
        </w:tc>
        <w:tc>
          <w:tcPr>
            <w:tcW w:w="700" w:type="dxa"/>
            <w:vAlign w:val="bottom"/>
            <w:shd w:val="clear" w:color="auto" w:fill="B2B2B2"/>
          </w:tcPr>
          <w:p>
            <w:pPr>
              <w:spacing w:after="0"/>
              <w:rPr>
                <w:sz w:val="22"/>
                <w:szCs w:val="22"/>
                <w:color w:val="auto"/>
              </w:rPr>
            </w:pPr>
          </w:p>
        </w:tc>
      </w:tr>
      <w:tr>
        <w:trPr>
          <w:trHeight w:val="215"/>
        </w:trPr>
        <w:tc>
          <w:tcPr>
            <w:tcW w:w="4460" w:type="dxa"/>
            <w:vAlign w:val="bottom"/>
          </w:tcPr>
          <w:p>
            <w:pPr>
              <w:ind w:left="180"/>
              <w:spacing w:after="0"/>
              <w:rPr>
                <w:sz w:val="20"/>
                <w:szCs w:val="20"/>
                <w:color w:val="auto"/>
              </w:rPr>
            </w:pPr>
            <w:r>
              <w:rPr>
                <w:rFonts w:ascii="Arial" w:cs="Arial" w:eastAsia="Arial" w:hAnsi="Arial"/>
                <w:sz w:val="18"/>
                <w:szCs w:val="18"/>
                <w:color w:val="auto"/>
              </w:rPr>
              <w:t>Taxable</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881,222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8,587</w:t>
            </w:r>
          </w:p>
        </w:tc>
        <w:tc>
          <w:tcPr>
            <w:tcW w:w="580" w:type="dxa"/>
            <w:vAlign w:val="bottom"/>
          </w:tcPr>
          <w:p>
            <w:pPr>
              <w:jc w:val="right"/>
              <w:spacing w:after="0"/>
              <w:rPr>
                <w:sz w:val="20"/>
                <w:szCs w:val="20"/>
                <w:color w:val="auto"/>
              </w:rPr>
            </w:pPr>
            <w:r>
              <w:rPr>
                <w:rFonts w:ascii="Arial" w:cs="Arial" w:eastAsia="Arial" w:hAnsi="Arial"/>
                <w:sz w:val="18"/>
                <w:szCs w:val="18"/>
                <w:color w:val="auto"/>
              </w:rPr>
              <w:t>3.95%</w:t>
            </w:r>
          </w:p>
        </w:tc>
        <w:tc>
          <w:tcPr>
            <w:tcW w:w="60" w:type="dxa"/>
            <w:vAlign w:val="bottom"/>
          </w:tcPr>
          <w:p>
            <w:pPr>
              <w:spacing w:after="0"/>
              <w:rPr>
                <w:sz w:val="18"/>
                <w:szCs w:val="18"/>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799,502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9,001</w:t>
            </w:r>
          </w:p>
        </w:tc>
        <w:tc>
          <w:tcPr>
            <w:tcW w:w="700" w:type="dxa"/>
            <w:vAlign w:val="bottom"/>
          </w:tcPr>
          <w:p>
            <w:pPr>
              <w:ind w:left="220"/>
              <w:spacing w:after="0"/>
              <w:rPr>
                <w:sz w:val="20"/>
                <w:szCs w:val="20"/>
                <w:color w:val="auto"/>
              </w:rPr>
            </w:pPr>
            <w:r>
              <w:rPr>
                <w:rFonts w:ascii="Arial" w:cs="Arial" w:eastAsia="Arial" w:hAnsi="Arial"/>
                <w:sz w:val="18"/>
                <w:szCs w:val="18"/>
                <w:color w:val="auto"/>
                <w:w w:val="90"/>
              </w:rPr>
              <w:t>4.53%</w:t>
            </w:r>
          </w:p>
        </w:tc>
      </w:tr>
      <w:tr>
        <w:trPr>
          <w:trHeight w:val="256"/>
        </w:trPr>
        <w:tc>
          <w:tcPr>
            <w:tcW w:w="4460" w:type="dxa"/>
            <w:vAlign w:val="bottom"/>
            <w:shd w:val="clear" w:color="auto" w:fill="B2B2B2"/>
          </w:tcPr>
          <w:p>
            <w:pPr>
              <w:spacing w:after="0" w:line="256" w:lineRule="exact"/>
              <w:rPr>
                <w:sz w:val="20"/>
                <w:szCs w:val="20"/>
                <w:color w:val="auto"/>
              </w:rPr>
            </w:pPr>
            <w:r>
              <w:rPr>
                <w:rFonts w:ascii="Arial" w:cs="Arial" w:eastAsia="Arial" w:hAnsi="Arial"/>
                <w:sz w:val="18"/>
                <w:szCs w:val="18"/>
                <w:color w:val="auto"/>
              </w:rPr>
              <w:t>Investment securities</w:t>
            </w:r>
            <w:r>
              <w:rPr>
                <w:rFonts w:ascii="Arial" w:cs="Arial" w:eastAsia="Arial" w:hAnsi="Arial"/>
                <w:sz w:val="29"/>
                <w:szCs w:val="29"/>
                <w:color w:val="auto"/>
                <w:vertAlign w:val="superscript"/>
              </w:rPr>
              <w:t>4</w:t>
            </w:r>
            <w:r>
              <w:rPr>
                <w:rFonts w:ascii="Arial" w:cs="Arial" w:eastAsia="Arial" w:hAnsi="Arial"/>
                <w:sz w:val="18"/>
                <w:szCs w:val="18"/>
                <w:color w:val="auto"/>
              </w:rPr>
              <w:t>:</w:t>
            </w:r>
          </w:p>
        </w:tc>
        <w:tc>
          <w:tcPr>
            <w:tcW w:w="580" w:type="dxa"/>
            <w:vAlign w:val="bottom"/>
            <w:shd w:val="clear" w:color="auto" w:fill="B2B2B2"/>
          </w:tcPr>
          <w:p>
            <w:pPr>
              <w:spacing w:after="0"/>
              <w:rPr>
                <w:sz w:val="22"/>
                <w:szCs w:val="22"/>
                <w:color w:val="auto"/>
              </w:rPr>
            </w:pPr>
          </w:p>
        </w:tc>
        <w:tc>
          <w:tcPr>
            <w:tcW w:w="200" w:type="dxa"/>
            <w:vAlign w:val="bottom"/>
            <w:shd w:val="clear" w:color="auto" w:fill="B2B2B2"/>
          </w:tcPr>
          <w:p>
            <w:pPr>
              <w:spacing w:after="0"/>
              <w:rPr>
                <w:sz w:val="22"/>
                <w:szCs w:val="22"/>
                <w:color w:val="auto"/>
              </w:rPr>
            </w:pPr>
          </w:p>
        </w:tc>
        <w:tc>
          <w:tcPr>
            <w:tcW w:w="1060" w:type="dxa"/>
            <w:vAlign w:val="bottom"/>
            <w:shd w:val="clear" w:color="auto" w:fill="B2B2B2"/>
          </w:tcPr>
          <w:p>
            <w:pPr>
              <w:spacing w:after="0"/>
              <w:rPr>
                <w:sz w:val="22"/>
                <w:szCs w:val="22"/>
                <w:color w:val="auto"/>
              </w:rPr>
            </w:pPr>
          </w:p>
        </w:tc>
        <w:tc>
          <w:tcPr>
            <w:tcW w:w="200" w:type="dxa"/>
            <w:vAlign w:val="bottom"/>
            <w:shd w:val="clear" w:color="auto" w:fill="B2B2B2"/>
          </w:tcPr>
          <w:p>
            <w:pPr>
              <w:spacing w:after="0"/>
              <w:rPr>
                <w:sz w:val="22"/>
                <w:szCs w:val="22"/>
                <w:color w:val="auto"/>
              </w:rPr>
            </w:pPr>
          </w:p>
        </w:tc>
        <w:tc>
          <w:tcPr>
            <w:tcW w:w="1000" w:type="dxa"/>
            <w:vAlign w:val="bottom"/>
            <w:shd w:val="clear" w:color="auto" w:fill="B2B2B2"/>
          </w:tcPr>
          <w:p>
            <w:pPr>
              <w:spacing w:after="0"/>
              <w:rPr>
                <w:sz w:val="22"/>
                <w:szCs w:val="22"/>
                <w:color w:val="auto"/>
              </w:rPr>
            </w:pPr>
          </w:p>
        </w:tc>
        <w:tc>
          <w:tcPr>
            <w:tcW w:w="580" w:type="dxa"/>
            <w:vAlign w:val="bottom"/>
            <w:shd w:val="clear" w:color="auto" w:fill="B2B2B2"/>
          </w:tcPr>
          <w:p>
            <w:pPr>
              <w:spacing w:after="0"/>
              <w:rPr>
                <w:sz w:val="22"/>
                <w:szCs w:val="22"/>
                <w:color w:val="auto"/>
              </w:rPr>
            </w:pPr>
          </w:p>
        </w:tc>
        <w:tc>
          <w:tcPr>
            <w:tcW w:w="60" w:type="dxa"/>
            <w:vAlign w:val="bottom"/>
            <w:shd w:val="clear" w:color="auto" w:fill="B2B2B2"/>
          </w:tcPr>
          <w:p>
            <w:pPr>
              <w:spacing w:after="0"/>
              <w:rPr>
                <w:sz w:val="22"/>
                <w:szCs w:val="22"/>
                <w:color w:val="auto"/>
              </w:rPr>
            </w:pPr>
          </w:p>
        </w:tc>
        <w:tc>
          <w:tcPr>
            <w:tcW w:w="60" w:type="dxa"/>
            <w:vAlign w:val="bottom"/>
            <w:shd w:val="clear" w:color="auto" w:fill="B2B2B2"/>
          </w:tcPr>
          <w:p>
            <w:pPr>
              <w:spacing w:after="0"/>
              <w:rPr>
                <w:sz w:val="22"/>
                <w:szCs w:val="22"/>
                <w:color w:val="auto"/>
              </w:rPr>
            </w:pPr>
          </w:p>
        </w:tc>
        <w:tc>
          <w:tcPr>
            <w:tcW w:w="200" w:type="dxa"/>
            <w:vAlign w:val="bottom"/>
            <w:shd w:val="clear" w:color="auto" w:fill="B2B2B2"/>
          </w:tcPr>
          <w:p>
            <w:pPr>
              <w:spacing w:after="0"/>
              <w:rPr>
                <w:sz w:val="22"/>
                <w:szCs w:val="22"/>
                <w:color w:val="auto"/>
              </w:rPr>
            </w:pPr>
          </w:p>
        </w:tc>
        <w:tc>
          <w:tcPr>
            <w:tcW w:w="1020" w:type="dxa"/>
            <w:vAlign w:val="bottom"/>
            <w:shd w:val="clear" w:color="auto" w:fill="B2B2B2"/>
          </w:tcPr>
          <w:p>
            <w:pPr>
              <w:spacing w:after="0"/>
              <w:rPr>
                <w:sz w:val="22"/>
                <w:szCs w:val="22"/>
                <w:color w:val="auto"/>
              </w:rPr>
            </w:pPr>
          </w:p>
        </w:tc>
        <w:tc>
          <w:tcPr>
            <w:tcW w:w="220" w:type="dxa"/>
            <w:vAlign w:val="bottom"/>
            <w:shd w:val="clear" w:color="auto" w:fill="B2B2B2"/>
          </w:tcPr>
          <w:p>
            <w:pPr>
              <w:spacing w:after="0"/>
              <w:rPr>
                <w:sz w:val="22"/>
                <w:szCs w:val="22"/>
                <w:color w:val="auto"/>
              </w:rPr>
            </w:pPr>
          </w:p>
        </w:tc>
        <w:tc>
          <w:tcPr>
            <w:tcW w:w="900" w:type="dxa"/>
            <w:vAlign w:val="bottom"/>
            <w:shd w:val="clear" w:color="auto" w:fill="B2B2B2"/>
          </w:tcPr>
          <w:p>
            <w:pPr>
              <w:spacing w:after="0"/>
              <w:rPr>
                <w:sz w:val="22"/>
                <w:szCs w:val="22"/>
                <w:color w:val="auto"/>
              </w:rPr>
            </w:pPr>
          </w:p>
        </w:tc>
        <w:tc>
          <w:tcPr>
            <w:tcW w:w="700" w:type="dxa"/>
            <w:vAlign w:val="bottom"/>
            <w:shd w:val="clear" w:color="auto" w:fill="B2B2B2"/>
          </w:tcPr>
          <w:p>
            <w:pPr>
              <w:spacing w:after="0"/>
              <w:rPr>
                <w:sz w:val="22"/>
                <w:szCs w:val="22"/>
                <w:color w:val="auto"/>
              </w:rPr>
            </w:pPr>
          </w:p>
        </w:tc>
      </w:tr>
      <w:tr>
        <w:trPr>
          <w:trHeight w:val="215"/>
        </w:trPr>
        <w:tc>
          <w:tcPr>
            <w:tcW w:w="4460" w:type="dxa"/>
            <w:vAlign w:val="bottom"/>
          </w:tcPr>
          <w:p>
            <w:pPr>
              <w:ind w:left="180"/>
              <w:spacing w:after="0"/>
              <w:rPr>
                <w:sz w:val="20"/>
                <w:szCs w:val="20"/>
                <w:color w:val="auto"/>
              </w:rPr>
            </w:pPr>
            <w:r>
              <w:rPr>
                <w:rFonts w:ascii="Arial" w:cs="Arial" w:eastAsia="Arial" w:hAnsi="Arial"/>
                <w:sz w:val="18"/>
                <w:szCs w:val="18"/>
                <w:color w:val="auto"/>
              </w:rPr>
              <w:t>Taxable</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82,746</w:t>
            </w:r>
          </w:p>
        </w:tc>
        <w:tc>
          <w:tcPr>
            <w:tcW w:w="200" w:type="dxa"/>
            <w:vAlign w:val="bottom"/>
          </w:tcPr>
          <w:p>
            <w:pPr>
              <w:spacing w:after="0"/>
              <w:rPr>
                <w:sz w:val="18"/>
                <w:szCs w:val="18"/>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198</w:t>
            </w: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0.97</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95,691</w:t>
            </w:r>
          </w:p>
        </w:tc>
        <w:tc>
          <w:tcPr>
            <w:tcW w:w="22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557</w:t>
            </w:r>
          </w:p>
        </w:tc>
        <w:tc>
          <w:tcPr>
            <w:tcW w:w="700" w:type="dxa"/>
            <w:vAlign w:val="bottom"/>
          </w:tcPr>
          <w:p>
            <w:pPr>
              <w:ind w:left="220"/>
              <w:spacing w:after="0"/>
              <w:rPr>
                <w:sz w:val="20"/>
                <w:szCs w:val="20"/>
                <w:color w:val="auto"/>
              </w:rPr>
            </w:pPr>
            <w:r>
              <w:rPr>
                <w:rFonts w:ascii="Arial" w:cs="Arial" w:eastAsia="Arial" w:hAnsi="Arial"/>
                <w:sz w:val="18"/>
                <w:szCs w:val="18"/>
                <w:color w:val="auto"/>
              </w:rPr>
              <w:t>2.34</w:t>
            </w:r>
          </w:p>
        </w:tc>
      </w:tr>
      <w:tr>
        <w:trPr>
          <w:trHeight w:val="256"/>
        </w:trPr>
        <w:tc>
          <w:tcPr>
            <w:tcW w:w="4460" w:type="dxa"/>
            <w:vAlign w:val="bottom"/>
            <w:shd w:val="clear" w:color="auto" w:fill="B2B2B2"/>
          </w:tcPr>
          <w:p>
            <w:pPr>
              <w:ind w:left="180"/>
              <w:spacing w:after="0" w:line="256" w:lineRule="exact"/>
              <w:rPr>
                <w:sz w:val="20"/>
                <w:szCs w:val="20"/>
                <w:color w:val="auto"/>
              </w:rPr>
            </w:pPr>
            <w:r>
              <w:rPr>
                <w:rFonts w:ascii="Arial" w:cs="Arial" w:eastAsia="Arial" w:hAnsi="Arial"/>
                <w:sz w:val="18"/>
                <w:szCs w:val="18"/>
                <w:color w:val="auto"/>
              </w:rPr>
              <w:t>Tax-exempt</w:t>
            </w:r>
            <w:r>
              <w:rPr>
                <w:rFonts w:ascii="Arial" w:cs="Arial" w:eastAsia="Arial" w:hAnsi="Arial"/>
                <w:sz w:val="29"/>
                <w:szCs w:val="29"/>
                <w:color w:val="auto"/>
                <w:vertAlign w:val="superscript"/>
              </w:rPr>
              <w:t>3</w:t>
            </w:r>
          </w:p>
        </w:tc>
        <w:tc>
          <w:tcPr>
            <w:tcW w:w="580" w:type="dxa"/>
            <w:vAlign w:val="bottom"/>
            <w:shd w:val="clear" w:color="auto" w:fill="B2B2B2"/>
          </w:tcPr>
          <w:p>
            <w:pPr>
              <w:spacing w:after="0"/>
              <w:rPr>
                <w:sz w:val="22"/>
                <w:szCs w:val="22"/>
                <w:color w:val="auto"/>
              </w:rPr>
            </w:pPr>
          </w:p>
        </w:tc>
        <w:tc>
          <w:tcPr>
            <w:tcW w:w="200" w:type="dxa"/>
            <w:vAlign w:val="bottom"/>
            <w:shd w:val="clear" w:color="auto" w:fill="B2B2B2"/>
          </w:tcPr>
          <w:p>
            <w:pPr>
              <w:spacing w:after="0"/>
              <w:rPr>
                <w:sz w:val="22"/>
                <w:szCs w:val="22"/>
                <w:color w:val="auto"/>
              </w:rPr>
            </w:pPr>
          </w:p>
        </w:tc>
        <w:tc>
          <w:tcPr>
            <w:tcW w:w="1060" w:type="dxa"/>
            <w:vAlign w:val="bottom"/>
            <w:shd w:val="clear" w:color="auto" w:fill="B2B2B2"/>
          </w:tcPr>
          <w:p>
            <w:pPr>
              <w:jc w:val="right"/>
              <w:ind w:right="50"/>
              <w:spacing w:after="0"/>
              <w:rPr>
                <w:sz w:val="20"/>
                <w:szCs w:val="20"/>
                <w:color w:val="auto"/>
              </w:rPr>
            </w:pPr>
            <w:r>
              <w:rPr>
                <w:rFonts w:ascii="Arial" w:cs="Arial" w:eastAsia="Arial" w:hAnsi="Arial"/>
                <w:sz w:val="18"/>
                <w:szCs w:val="18"/>
                <w:color w:val="auto"/>
              </w:rPr>
              <w:t>288,386</w:t>
            </w:r>
          </w:p>
        </w:tc>
        <w:tc>
          <w:tcPr>
            <w:tcW w:w="200" w:type="dxa"/>
            <w:vAlign w:val="bottom"/>
            <w:shd w:val="clear" w:color="auto" w:fill="B2B2B2"/>
          </w:tcPr>
          <w:p>
            <w:pPr>
              <w:spacing w:after="0"/>
              <w:rPr>
                <w:sz w:val="22"/>
                <w:szCs w:val="22"/>
                <w:color w:val="auto"/>
              </w:rPr>
            </w:pPr>
          </w:p>
        </w:tc>
        <w:tc>
          <w:tcPr>
            <w:tcW w:w="1000" w:type="dxa"/>
            <w:vAlign w:val="bottom"/>
            <w:shd w:val="clear" w:color="auto" w:fill="B2B2B2"/>
          </w:tcPr>
          <w:p>
            <w:pPr>
              <w:jc w:val="right"/>
              <w:ind w:right="150"/>
              <w:spacing w:after="0"/>
              <w:rPr>
                <w:sz w:val="20"/>
                <w:szCs w:val="20"/>
                <w:color w:val="auto"/>
              </w:rPr>
            </w:pPr>
            <w:r>
              <w:rPr>
                <w:rFonts w:ascii="Arial" w:cs="Arial" w:eastAsia="Arial" w:hAnsi="Arial"/>
                <w:sz w:val="18"/>
                <w:szCs w:val="18"/>
                <w:color w:val="auto"/>
              </w:rPr>
              <w:t>2,201</w:t>
            </w:r>
          </w:p>
        </w:tc>
        <w:tc>
          <w:tcPr>
            <w:tcW w:w="580" w:type="dxa"/>
            <w:vAlign w:val="bottom"/>
            <w:shd w:val="clear" w:color="auto" w:fill="B2B2B2"/>
          </w:tcPr>
          <w:p>
            <w:pPr>
              <w:jc w:val="right"/>
              <w:ind w:right="70"/>
              <w:spacing w:after="0"/>
              <w:rPr>
                <w:sz w:val="20"/>
                <w:szCs w:val="20"/>
                <w:color w:val="auto"/>
              </w:rPr>
            </w:pPr>
            <w:r>
              <w:rPr>
                <w:rFonts w:ascii="Arial" w:cs="Arial" w:eastAsia="Arial" w:hAnsi="Arial"/>
                <w:sz w:val="18"/>
                <w:szCs w:val="18"/>
                <w:color w:val="auto"/>
              </w:rPr>
              <w:t>3.10</w:t>
            </w:r>
          </w:p>
        </w:tc>
        <w:tc>
          <w:tcPr>
            <w:tcW w:w="60" w:type="dxa"/>
            <w:vAlign w:val="bottom"/>
            <w:shd w:val="clear" w:color="auto" w:fill="B2B2B2"/>
          </w:tcPr>
          <w:p>
            <w:pPr>
              <w:spacing w:after="0"/>
              <w:rPr>
                <w:sz w:val="22"/>
                <w:szCs w:val="22"/>
                <w:color w:val="auto"/>
              </w:rPr>
            </w:pPr>
          </w:p>
        </w:tc>
        <w:tc>
          <w:tcPr>
            <w:tcW w:w="60" w:type="dxa"/>
            <w:vAlign w:val="bottom"/>
            <w:shd w:val="clear" w:color="auto" w:fill="B2B2B2"/>
          </w:tcPr>
          <w:p>
            <w:pPr>
              <w:spacing w:after="0"/>
              <w:rPr>
                <w:sz w:val="22"/>
                <w:szCs w:val="22"/>
                <w:color w:val="auto"/>
              </w:rPr>
            </w:pPr>
          </w:p>
        </w:tc>
        <w:tc>
          <w:tcPr>
            <w:tcW w:w="200" w:type="dxa"/>
            <w:vAlign w:val="bottom"/>
            <w:shd w:val="clear" w:color="auto" w:fill="B2B2B2"/>
          </w:tcPr>
          <w:p>
            <w:pPr>
              <w:spacing w:after="0"/>
              <w:rPr>
                <w:sz w:val="22"/>
                <w:szCs w:val="22"/>
                <w:color w:val="auto"/>
              </w:rPr>
            </w:pPr>
          </w:p>
        </w:tc>
        <w:tc>
          <w:tcPr>
            <w:tcW w:w="102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297,044</w:t>
            </w:r>
          </w:p>
        </w:tc>
        <w:tc>
          <w:tcPr>
            <w:tcW w:w="220" w:type="dxa"/>
            <w:vAlign w:val="bottom"/>
            <w:shd w:val="clear" w:color="auto" w:fill="B2B2B2"/>
          </w:tcPr>
          <w:p>
            <w:pPr>
              <w:spacing w:after="0"/>
              <w:rPr>
                <w:sz w:val="22"/>
                <w:szCs w:val="22"/>
                <w:color w:val="auto"/>
              </w:rPr>
            </w:pPr>
          </w:p>
        </w:tc>
        <w:tc>
          <w:tcPr>
            <w:tcW w:w="90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2,303</w:t>
            </w:r>
          </w:p>
        </w:tc>
        <w:tc>
          <w:tcPr>
            <w:tcW w:w="700" w:type="dxa"/>
            <w:vAlign w:val="bottom"/>
            <w:shd w:val="clear" w:color="auto" w:fill="B2B2B2"/>
          </w:tcPr>
          <w:p>
            <w:pPr>
              <w:ind w:left="220"/>
              <w:spacing w:after="0"/>
              <w:rPr>
                <w:sz w:val="20"/>
                <w:szCs w:val="20"/>
                <w:color w:val="auto"/>
              </w:rPr>
            </w:pPr>
            <w:r>
              <w:rPr>
                <w:rFonts w:ascii="Arial" w:cs="Arial" w:eastAsia="Arial" w:hAnsi="Arial"/>
                <w:sz w:val="18"/>
                <w:szCs w:val="18"/>
                <w:color w:val="auto"/>
              </w:rPr>
              <w:t>3.12</w:t>
            </w:r>
          </w:p>
        </w:tc>
      </w:tr>
      <w:tr>
        <w:trPr>
          <w:trHeight w:val="215"/>
        </w:trPr>
        <w:tc>
          <w:tcPr>
            <w:tcW w:w="4460" w:type="dxa"/>
            <w:vAlign w:val="bottom"/>
          </w:tcPr>
          <w:p>
            <w:pPr>
              <w:spacing w:after="0"/>
              <w:rPr>
                <w:sz w:val="20"/>
                <w:szCs w:val="20"/>
                <w:color w:val="auto"/>
              </w:rPr>
            </w:pPr>
            <w:r>
              <w:rPr>
                <w:rFonts w:ascii="Arial" w:cs="Arial" w:eastAsia="Arial" w:hAnsi="Arial"/>
                <w:sz w:val="18"/>
                <w:szCs w:val="18"/>
                <w:color w:val="auto"/>
              </w:rPr>
              <w:t>Certificates of deposit</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500</w:t>
            </w:r>
          </w:p>
        </w:tc>
        <w:tc>
          <w:tcPr>
            <w:tcW w:w="22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700" w:type="dxa"/>
            <w:vAlign w:val="bottom"/>
          </w:tcPr>
          <w:p>
            <w:pPr>
              <w:ind w:left="220"/>
              <w:spacing w:after="0"/>
              <w:rPr>
                <w:sz w:val="20"/>
                <w:szCs w:val="20"/>
                <w:color w:val="auto"/>
              </w:rPr>
            </w:pPr>
            <w:r>
              <w:rPr>
                <w:rFonts w:ascii="Arial" w:cs="Arial" w:eastAsia="Arial" w:hAnsi="Arial"/>
                <w:sz w:val="18"/>
                <w:szCs w:val="18"/>
                <w:color w:val="auto"/>
              </w:rPr>
              <w:t>2.41</w:t>
            </w:r>
          </w:p>
        </w:tc>
      </w:tr>
      <w:tr>
        <w:trPr>
          <w:trHeight w:val="215"/>
        </w:trPr>
        <w:tc>
          <w:tcPr>
            <w:tcW w:w="4460" w:type="dxa"/>
            <w:vAlign w:val="bottom"/>
            <w:shd w:val="clear" w:color="auto" w:fill="B2B2B2"/>
          </w:tcPr>
          <w:p>
            <w:pPr>
              <w:spacing w:after="0"/>
              <w:rPr>
                <w:sz w:val="20"/>
                <w:szCs w:val="20"/>
                <w:color w:val="auto"/>
              </w:rPr>
            </w:pPr>
            <w:r>
              <w:rPr>
                <w:rFonts w:ascii="Arial" w:cs="Arial" w:eastAsia="Arial" w:hAnsi="Arial"/>
                <w:sz w:val="18"/>
                <w:szCs w:val="18"/>
                <w:color w:val="auto"/>
              </w:rPr>
              <w:t>Interest-bearing deposits in other financial institutions</w:t>
            </w:r>
          </w:p>
        </w:tc>
        <w:tc>
          <w:tcPr>
            <w:tcW w:w="58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060" w:type="dxa"/>
            <w:vAlign w:val="bottom"/>
            <w:shd w:val="clear" w:color="auto" w:fill="B2B2B2"/>
          </w:tcPr>
          <w:p>
            <w:pPr>
              <w:jc w:val="right"/>
              <w:ind w:right="50"/>
              <w:spacing w:after="0"/>
              <w:rPr>
                <w:sz w:val="20"/>
                <w:szCs w:val="20"/>
                <w:color w:val="auto"/>
              </w:rPr>
            </w:pPr>
            <w:r>
              <w:rPr>
                <w:rFonts w:ascii="Arial" w:cs="Arial" w:eastAsia="Arial" w:hAnsi="Arial"/>
                <w:sz w:val="18"/>
                <w:szCs w:val="18"/>
                <w:color w:val="auto"/>
              </w:rPr>
              <w:t>582,104</w:t>
            </w:r>
          </w:p>
        </w:tc>
        <w:tc>
          <w:tcPr>
            <w:tcW w:w="200" w:type="dxa"/>
            <w:vAlign w:val="bottom"/>
            <w:shd w:val="clear" w:color="auto" w:fill="B2B2B2"/>
          </w:tcPr>
          <w:p>
            <w:pPr>
              <w:spacing w:after="0"/>
              <w:rPr>
                <w:sz w:val="18"/>
                <w:szCs w:val="18"/>
                <w:color w:val="auto"/>
              </w:rPr>
            </w:pPr>
          </w:p>
        </w:tc>
        <w:tc>
          <w:tcPr>
            <w:tcW w:w="1000" w:type="dxa"/>
            <w:vAlign w:val="bottom"/>
            <w:shd w:val="clear" w:color="auto" w:fill="B2B2B2"/>
          </w:tcPr>
          <w:p>
            <w:pPr>
              <w:jc w:val="right"/>
              <w:ind w:right="150"/>
              <w:spacing w:after="0"/>
              <w:rPr>
                <w:sz w:val="20"/>
                <w:szCs w:val="20"/>
                <w:color w:val="auto"/>
              </w:rPr>
            </w:pPr>
            <w:r>
              <w:rPr>
                <w:rFonts w:ascii="Arial" w:cs="Arial" w:eastAsia="Arial" w:hAnsi="Arial"/>
                <w:sz w:val="18"/>
                <w:szCs w:val="18"/>
                <w:color w:val="auto"/>
              </w:rPr>
              <w:t>139</w:t>
            </w:r>
          </w:p>
        </w:tc>
        <w:tc>
          <w:tcPr>
            <w:tcW w:w="580" w:type="dxa"/>
            <w:vAlign w:val="bottom"/>
            <w:shd w:val="clear" w:color="auto" w:fill="B2B2B2"/>
          </w:tcPr>
          <w:p>
            <w:pPr>
              <w:jc w:val="right"/>
              <w:ind w:right="70"/>
              <w:spacing w:after="0"/>
              <w:rPr>
                <w:sz w:val="20"/>
                <w:szCs w:val="20"/>
                <w:color w:val="auto"/>
              </w:rPr>
            </w:pPr>
            <w:r>
              <w:rPr>
                <w:rFonts w:ascii="Arial" w:cs="Arial" w:eastAsia="Arial" w:hAnsi="Arial"/>
                <w:sz w:val="18"/>
                <w:szCs w:val="18"/>
                <w:color w:val="auto"/>
              </w:rPr>
              <w:t>0.10</w:t>
            </w:r>
          </w:p>
        </w:tc>
        <w:tc>
          <w:tcPr>
            <w:tcW w:w="6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02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130,611</w:t>
            </w:r>
          </w:p>
        </w:tc>
        <w:tc>
          <w:tcPr>
            <w:tcW w:w="220" w:type="dxa"/>
            <w:vAlign w:val="bottom"/>
            <w:shd w:val="clear" w:color="auto" w:fill="B2B2B2"/>
          </w:tcPr>
          <w:p>
            <w:pPr>
              <w:spacing w:after="0"/>
              <w:rPr>
                <w:sz w:val="18"/>
                <w:szCs w:val="18"/>
                <w:color w:val="auto"/>
              </w:rPr>
            </w:pPr>
          </w:p>
        </w:tc>
        <w:tc>
          <w:tcPr>
            <w:tcW w:w="90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382</w:t>
            </w:r>
          </w:p>
        </w:tc>
        <w:tc>
          <w:tcPr>
            <w:tcW w:w="700" w:type="dxa"/>
            <w:vAlign w:val="bottom"/>
            <w:shd w:val="clear" w:color="auto" w:fill="B2B2B2"/>
          </w:tcPr>
          <w:p>
            <w:pPr>
              <w:ind w:left="220"/>
              <w:spacing w:after="0"/>
              <w:rPr>
                <w:sz w:val="20"/>
                <w:szCs w:val="20"/>
                <w:color w:val="auto"/>
              </w:rPr>
            </w:pPr>
            <w:r>
              <w:rPr>
                <w:rFonts w:ascii="Arial" w:cs="Arial" w:eastAsia="Arial" w:hAnsi="Arial"/>
                <w:sz w:val="18"/>
                <w:szCs w:val="18"/>
                <w:color w:val="auto"/>
              </w:rPr>
              <w:t>1.18</w:t>
            </w:r>
          </w:p>
        </w:tc>
      </w:tr>
      <w:tr>
        <w:trPr>
          <w:trHeight w:val="215"/>
        </w:trPr>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Federal funds sold and other short-term investments</w:t>
            </w:r>
          </w:p>
        </w:tc>
        <w:tc>
          <w:tcPr>
            <w:tcW w:w="5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56,937</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13</w:t>
            </w:r>
          </w:p>
        </w:tc>
        <w:tc>
          <w:tcPr>
            <w:tcW w:w="5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0.09</w:t>
            </w: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164,525</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576</w:t>
            </w:r>
          </w:p>
        </w:tc>
        <w:tc>
          <w:tcPr>
            <w:tcW w:w="7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1.41</w:t>
            </w:r>
          </w:p>
        </w:tc>
      </w:tr>
      <w:tr>
        <w:trPr>
          <w:trHeight w:val="209"/>
        </w:trPr>
        <w:tc>
          <w:tcPr>
            <w:tcW w:w="4460" w:type="dxa"/>
            <w:vAlign w:val="bottom"/>
            <w:shd w:val="clear" w:color="auto" w:fill="B2B2B2"/>
          </w:tcPr>
          <w:p>
            <w:pPr>
              <w:spacing w:after="0"/>
              <w:rPr>
                <w:sz w:val="20"/>
                <w:szCs w:val="20"/>
                <w:color w:val="auto"/>
              </w:rPr>
            </w:pPr>
            <w:r>
              <w:rPr>
                <w:rFonts w:ascii="Arial" w:cs="Arial" w:eastAsia="Arial" w:hAnsi="Arial"/>
                <w:sz w:val="18"/>
                <w:szCs w:val="18"/>
                <w:color w:val="auto"/>
              </w:rPr>
              <w:t>Total earning assets</w:t>
            </w:r>
          </w:p>
        </w:tc>
        <w:tc>
          <w:tcPr>
            <w:tcW w:w="58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060" w:type="dxa"/>
            <w:vAlign w:val="bottom"/>
            <w:shd w:val="clear" w:color="auto" w:fill="B2B2B2"/>
          </w:tcPr>
          <w:p>
            <w:pPr>
              <w:jc w:val="right"/>
              <w:ind w:right="50"/>
              <w:spacing w:after="0"/>
              <w:rPr>
                <w:sz w:val="20"/>
                <w:szCs w:val="20"/>
                <w:color w:val="auto"/>
              </w:rPr>
            </w:pPr>
            <w:r>
              <w:rPr>
                <w:rFonts w:ascii="Arial" w:cs="Arial" w:eastAsia="Arial" w:hAnsi="Arial"/>
                <w:sz w:val="18"/>
                <w:szCs w:val="18"/>
                <w:color w:val="auto"/>
              </w:rPr>
              <w:t>1,891,395</w:t>
            </w:r>
          </w:p>
        </w:tc>
        <w:tc>
          <w:tcPr>
            <w:tcW w:w="200" w:type="dxa"/>
            <w:vAlign w:val="bottom"/>
            <w:shd w:val="clear" w:color="auto" w:fill="B2B2B2"/>
          </w:tcPr>
          <w:p>
            <w:pPr>
              <w:spacing w:after="0"/>
              <w:rPr>
                <w:sz w:val="18"/>
                <w:szCs w:val="18"/>
                <w:color w:val="auto"/>
              </w:rPr>
            </w:pPr>
          </w:p>
        </w:tc>
        <w:tc>
          <w:tcPr>
            <w:tcW w:w="1000" w:type="dxa"/>
            <w:vAlign w:val="bottom"/>
            <w:shd w:val="clear" w:color="auto" w:fill="B2B2B2"/>
          </w:tcPr>
          <w:p>
            <w:pPr>
              <w:jc w:val="right"/>
              <w:ind w:right="150"/>
              <w:spacing w:after="0"/>
              <w:rPr>
                <w:sz w:val="20"/>
                <w:szCs w:val="20"/>
                <w:color w:val="auto"/>
              </w:rPr>
            </w:pPr>
            <w:r>
              <w:rPr>
                <w:rFonts w:ascii="Arial" w:cs="Arial" w:eastAsia="Arial" w:hAnsi="Arial"/>
                <w:sz w:val="18"/>
                <w:szCs w:val="18"/>
                <w:color w:val="auto"/>
              </w:rPr>
              <w:t>11,138</w:t>
            </w:r>
          </w:p>
        </w:tc>
        <w:tc>
          <w:tcPr>
            <w:tcW w:w="580" w:type="dxa"/>
            <w:vAlign w:val="bottom"/>
            <w:shd w:val="clear" w:color="auto" w:fill="B2B2B2"/>
          </w:tcPr>
          <w:p>
            <w:pPr>
              <w:jc w:val="right"/>
              <w:ind w:right="70"/>
              <w:spacing w:after="0"/>
              <w:rPr>
                <w:sz w:val="20"/>
                <w:szCs w:val="20"/>
                <w:color w:val="auto"/>
              </w:rPr>
            </w:pPr>
            <w:r>
              <w:rPr>
                <w:rFonts w:ascii="Arial" w:cs="Arial" w:eastAsia="Arial" w:hAnsi="Arial"/>
                <w:sz w:val="18"/>
                <w:szCs w:val="18"/>
                <w:color w:val="auto"/>
              </w:rPr>
              <w:t>2.39</w:t>
            </w:r>
          </w:p>
        </w:tc>
        <w:tc>
          <w:tcPr>
            <w:tcW w:w="6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02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1,487,873</w:t>
            </w:r>
          </w:p>
        </w:tc>
        <w:tc>
          <w:tcPr>
            <w:tcW w:w="220" w:type="dxa"/>
            <w:vAlign w:val="bottom"/>
            <w:shd w:val="clear" w:color="auto" w:fill="B2B2B2"/>
          </w:tcPr>
          <w:p>
            <w:pPr>
              <w:spacing w:after="0"/>
              <w:rPr>
                <w:sz w:val="18"/>
                <w:szCs w:val="18"/>
                <w:color w:val="auto"/>
              </w:rPr>
            </w:pPr>
          </w:p>
        </w:tc>
        <w:tc>
          <w:tcPr>
            <w:tcW w:w="90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12,822</w:t>
            </w:r>
          </w:p>
        </w:tc>
        <w:tc>
          <w:tcPr>
            <w:tcW w:w="700" w:type="dxa"/>
            <w:vAlign w:val="bottom"/>
            <w:shd w:val="clear" w:color="auto" w:fill="B2B2B2"/>
          </w:tcPr>
          <w:p>
            <w:pPr>
              <w:ind w:left="220"/>
              <w:spacing w:after="0"/>
              <w:rPr>
                <w:sz w:val="20"/>
                <w:szCs w:val="20"/>
                <w:color w:val="auto"/>
              </w:rPr>
            </w:pPr>
            <w:r>
              <w:rPr>
                <w:rFonts w:ascii="Arial" w:cs="Arial" w:eastAsia="Arial" w:hAnsi="Arial"/>
                <w:sz w:val="18"/>
                <w:szCs w:val="18"/>
                <w:color w:val="auto"/>
              </w:rPr>
              <w:t>3.47</w:t>
            </w:r>
          </w:p>
        </w:tc>
      </w:tr>
      <w:tr>
        <w:trPr>
          <w:trHeight w:val="215"/>
        </w:trPr>
        <w:tc>
          <w:tcPr>
            <w:tcW w:w="4460" w:type="dxa"/>
            <w:vAlign w:val="bottom"/>
          </w:tcPr>
          <w:p>
            <w:pPr>
              <w:spacing w:after="0"/>
              <w:rPr>
                <w:sz w:val="20"/>
                <w:szCs w:val="20"/>
                <w:color w:val="auto"/>
              </w:rPr>
            </w:pPr>
            <w:r>
              <w:rPr>
                <w:rFonts w:ascii="Arial" w:cs="Arial" w:eastAsia="Arial" w:hAnsi="Arial"/>
                <w:sz w:val="18"/>
                <w:szCs w:val="18"/>
                <w:color w:val="auto"/>
              </w:rPr>
              <w:t>Non-earning assets</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5"/>
        </w:trPr>
        <w:tc>
          <w:tcPr>
            <w:tcW w:w="4460" w:type="dxa"/>
            <w:vAlign w:val="bottom"/>
            <w:shd w:val="clear" w:color="auto" w:fill="B2B2B2"/>
          </w:tcPr>
          <w:p>
            <w:pPr>
              <w:ind w:left="180"/>
              <w:spacing w:after="0"/>
              <w:rPr>
                <w:sz w:val="20"/>
                <w:szCs w:val="20"/>
                <w:color w:val="auto"/>
              </w:rPr>
            </w:pPr>
            <w:r>
              <w:rPr>
                <w:rFonts w:ascii="Arial" w:cs="Arial" w:eastAsia="Arial" w:hAnsi="Arial"/>
                <w:sz w:val="18"/>
                <w:szCs w:val="18"/>
                <w:color w:val="auto"/>
              </w:rPr>
              <w:t>Cash and due from banks</w:t>
            </w:r>
          </w:p>
        </w:tc>
        <w:tc>
          <w:tcPr>
            <w:tcW w:w="58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060" w:type="dxa"/>
            <w:vAlign w:val="bottom"/>
            <w:shd w:val="clear" w:color="auto" w:fill="B2B2B2"/>
          </w:tcPr>
          <w:p>
            <w:pPr>
              <w:jc w:val="right"/>
              <w:ind w:right="50"/>
              <w:spacing w:after="0"/>
              <w:rPr>
                <w:sz w:val="20"/>
                <w:szCs w:val="20"/>
                <w:color w:val="auto"/>
              </w:rPr>
            </w:pPr>
            <w:r>
              <w:rPr>
                <w:rFonts w:ascii="Arial" w:cs="Arial" w:eastAsia="Arial" w:hAnsi="Arial"/>
                <w:sz w:val="18"/>
                <w:szCs w:val="18"/>
                <w:color w:val="auto"/>
              </w:rPr>
              <w:t>20,344</w:t>
            </w:r>
          </w:p>
        </w:tc>
        <w:tc>
          <w:tcPr>
            <w:tcW w:w="200" w:type="dxa"/>
            <w:vAlign w:val="bottom"/>
            <w:shd w:val="clear" w:color="auto" w:fill="B2B2B2"/>
          </w:tcPr>
          <w:p>
            <w:pPr>
              <w:spacing w:after="0"/>
              <w:rPr>
                <w:sz w:val="18"/>
                <w:szCs w:val="18"/>
                <w:color w:val="auto"/>
              </w:rPr>
            </w:pPr>
          </w:p>
        </w:tc>
        <w:tc>
          <w:tcPr>
            <w:tcW w:w="1000" w:type="dxa"/>
            <w:vAlign w:val="bottom"/>
            <w:shd w:val="clear" w:color="auto" w:fill="B2B2B2"/>
          </w:tcPr>
          <w:p>
            <w:pPr>
              <w:spacing w:after="0"/>
              <w:rPr>
                <w:sz w:val="18"/>
                <w:szCs w:val="18"/>
                <w:color w:val="auto"/>
              </w:rPr>
            </w:pPr>
          </w:p>
        </w:tc>
        <w:tc>
          <w:tcPr>
            <w:tcW w:w="58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02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17,351</w:t>
            </w:r>
          </w:p>
        </w:tc>
        <w:tc>
          <w:tcPr>
            <w:tcW w:w="22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700" w:type="dxa"/>
            <w:vAlign w:val="bottom"/>
            <w:shd w:val="clear" w:color="auto" w:fill="B2B2B2"/>
          </w:tcPr>
          <w:p>
            <w:pPr>
              <w:spacing w:after="0"/>
              <w:rPr>
                <w:sz w:val="18"/>
                <w:szCs w:val="18"/>
                <w:color w:val="auto"/>
              </w:rPr>
            </w:pPr>
          </w:p>
        </w:tc>
      </w:tr>
      <w:tr>
        <w:trPr>
          <w:trHeight w:val="215"/>
        </w:trPr>
        <w:tc>
          <w:tcPr>
            <w:tcW w:w="4460" w:type="dxa"/>
            <w:vAlign w:val="bottom"/>
          </w:tcPr>
          <w:p>
            <w:pPr>
              <w:ind w:left="180"/>
              <w:spacing w:after="0"/>
              <w:rPr>
                <w:sz w:val="20"/>
                <w:szCs w:val="20"/>
                <w:color w:val="auto"/>
              </w:rPr>
            </w:pPr>
            <w:r>
              <w:rPr>
                <w:rFonts w:ascii="Arial" w:cs="Arial" w:eastAsia="Arial" w:hAnsi="Arial"/>
                <w:sz w:val="18"/>
                <w:szCs w:val="18"/>
                <w:color w:val="auto"/>
              </w:rPr>
              <w:t>Premises and equipment, net</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18,070</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20,295</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5"/>
        </w:trPr>
        <w:tc>
          <w:tcPr>
            <w:tcW w:w="4460" w:type="dxa"/>
            <w:vAlign w:val="bottom"/>
            <w:shd w:val="clear" w:color="auto" w:fill="B2B2B2"/>
          </w:tcPr>
          <w:p>
            <w:pPr>
              <w:ind w:left="180"/>
              <w:spacing w:after="0"/>
              <w:rPr>
                <w:sz w:val="20"/>
                <w:szCs w:val="20"/>
                <w:color w:val="auto"/>
              </w:rPr>
            </w:pPr>
            <w:r>
              <w:rPr>
                <w:rFonts w:ascii="Arial" w:cs="Arial" w:eastAsia="Arial" w:hAnsi="Arial"/>
                <w:sz w:val="18"/>
                <w:szCs w:val="18"/>
                <w:color w:val="auto"/>
              </w:rPr>
              <w:t>Bank-owned life insurance</w:t>
            </w:r>
          </w:p>
        </w:tc>
        <w:tc>
          <w:tcPr>
            <w:tcW w:w="58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060" w:type="dxa"/>
            <w:vAlign w:val="bottom"/>
            <w:shd w:val="clear" w:color="auto" w:fill="B2B2B2"/>
          </w:tcPr>
          <w:p>
            <w:pPr>
              <w:jc w:val="right"/>
              <w:ind w:right="50"/>
              <w:spacing w:after="0"/>
              <w:rPr>
                <w:sz w:val="20"/>
                <w:szCs w:val="20"/>
                <w:color w:val="auto"/>
              </w:rPr>
            </w:pPr>
            <w:r>
              <w:rPr>
                <w:rFonts w:ascii="Arial" w:cs="Arial" w:eastAsia="Arial" w:hAnsi="Arial"/>
                <w:sz w:val="18"/>
                <w:szCs w:val="18"/>
                <w:color w:val="auto"/>
              </w:rPr>
              <w:t>17,920</w:t>
            </w:r>
          </w:p>
        </w:tc>
        <w:tc>
          <w:tcPr>
            <w:tcW w:w="200" w:type="dxa"/>
            <w:vAlign w:val="bottom"/>
            <w:shd w:val="clear" w:color="auto" w:fill="B2B2B2"/>
          </w:tcPr>
          <w:p>
            <w:pPr>
              <w:spacing w:after="0"/>
              <w:rPr>
                <w:sz w:val="18"/>
                <w:szCs w:val="18"/>
                <w:color w:val="auto"/>
              </w:rPr>
            </w:pPr>
          </w:p>
        </w:tc>
        <w:tc>
          <w:tcPr>
            <w:tcW w:w="1000" w:type="dxa"/>
            <w:vAlign w:val="bottom"/>
            <w:shd w:val="clear" w:color="auto" w:fill="B2B2B2"/>
          </w:tcPr>
          <w:p>
            <w:pPr>
              <w:spacing w:after="0"/>
              <w:rPr>
                <w:sz w:val="18"/>
                <w:szCs w:val="18"/>
                <w:color w:val="auto"/>
              </w:rPr>
            </w:pPr>
          </w:p>
        </w:tc>
        <w:tc>
          <w:tcPr>
            <w:tcW w:w="58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02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17,646</w:t>
            </w:r>
          </w:p>
        </w:tc>
        <w:tc>
          <w:tcPr>
            <w:tcW w:w="22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700" w:type="dxa"/>
            <w:vAlign w:val="bottom"/>
            <w:shd w:val="clear" w:color="auto" w:fill="B2B2B2"/>
          </w:tcPr>
          <w:p>
            <w:pPr>
              <w:spacing w:after="0"/>
              <w:rPr>
                <w:sz w:val="18"/>
                <w:szCs w:val="18"/>
                <w:color w:val="auto"/>
              </w:rPr>
            </w:pPr>
          </w:p>
        </w:tc>
      </w:tr>
      <w:tr>
        <w:trPr>
          <w:trHeight w:val="215"/>
        </w:trPr>
        <w:tc>
          <w:tcPr>
            <w:tcW w:w="4460" w:type="dxa"/>
            <w:vAlign w:val="bottom"/>
          </w:tcPr>
          <w:p>
            <w:pPr>
              <w:ind w:left="180"/>
              <w:spacing w:after="0"/>
              <w:rPr>
                <w:sz w:val="20"/>
                <w:szCs w:val="20"/>
                <w:color w:val="auto"/>
              </w:rPr>
            </w:pPr>
            <w:r>
              <w:rPr>
                <w:rFonts w:ascii="Arial" w:cs="Arial" w:eastAsia="Arial" w:hAnsi="Arial"/>
                <w:sz w:val="18"/>
                <w:szCs w:val="18"/>
                <w:color w:val="auto"/>
              </w:rPr>
              <w:t>Goodwill and other intangibles</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17,598</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18,456</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5"/>
        </w:trPr>
        <w:tc>
          <w:tcPr>
            <w:tcW w:w="4460" w:type="dxa"/>
            <w:vAlign w:val="bottom"/>
            <w:shd w:val="clear" w:color="auto" w:fill="B2B2B2"/>
          </w:tcPr>
          <w:p>
            <w:pPr>
              <w:ind w:left="180"/>
              <w:spacing w:after="0"/>
              <w:rPr>
                <w:sz w:val="20"/>
                <w:szCs w:val="20"/>
                <w:color w:val="auto"/>
              </w:rPr>
            </w:pPr>
            <w:r>
              <w:rPr>
                <w:rFonts w:ascii="Arial" w:cs="Arial" w:eastAsia="Arial" w:hAnsi="Arial"/>
                <w:sz w:val="18"/>
                <w:szCs w:val="18"/>
                <w:color w:val="auto"/>
              </w:rPr>
              <w:t>Other assets</w:t>
            </w:r>
          </w:p>
        </w:tc>
        <w:tc>
          <w:tcPr>
            <w:tcW w:w="58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060" w:type="dxa"/>
            <w:vAlign w:val="bottom"/>
            <w:shd w:val="clear" w:color="auto" w:fill="B2B2B2"/>
          </w:tcPr>
          <w:p>
            <w:pPr>
              <w:jc w:val="right"/>
              <w:ind w:right="50"/>
              <w:spacing w:after="0"/>
              <w:rPr>
                <w:sz w:val="20"/>
                <w:szCs w:val="20"/>
                <w:color w:val="auto"/>
              </w:rPr>
            </w:pPr>
            <w:r>
              <w:rPr>
                <w:rFonts w:ascii="Arial" w:cs="Arial" w:eastAsia="Arial" w:hAnsi="Arial"/>
                <w:sz w:val="18"/>
                <w:szCs w:val="18"/>
                <w:color w:val="auto"/>
              </w:rPr>
              <w:t>231,196</w:t>
            </w:r>
          </w:p>
        </w:tc>
        <w:tc>
          <w:tcPr>
            <w:tcW w:w="200" w:type="dxa"/>
            <w:vAlign w:val="bottom"/>
            <w:shd w:val="clear" w:color="auto" w:fill="B2B2B2"/>
          </w:tcPr>
          <w:p>
            <w:pPr>
              <w:spacing w:after="0"/>
              <w:rPr>
                <w:sz w:val="18"/>
                <w:szCs w:val="18"/>
                <w:color w:val="auto"/>
              </w:rPr>
            </w:pPr>
          </w:p>
        </w:tc>
        <w:tc>
          <w:tcPr>
            <w:tcW w:w="1000" w:type="dxa"/>
            <w:vAlign w:val="bottom"/>
            <w:shd w:val="clear" w:color="auto" w:fill="B2B2B2"/>
          </w:tcPr>
          <w:p>
            <w:pPr>
              <w:spacing w:after="0"/>
              <w:rPr>
                <w:sz w:val="18"/>
                <w:szCs w:val="18"/>
                <w:color w:val="auto"/>
              </w:rPr>
            </w:pPr>
          </w:p>
        </w:tc>
        <w:tc>
          <w:tcPr>
            <w:tcW w:w="58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02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226,568</w:t>
            </w:r>
          </w:p>
        </w:tc>
        <w:tc>
          <w:tcPr>
            <w:tcW w:w="22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700" w:type="dxa"/>
            <w:vAlign w:val="bottom"/>
            <w:shd w:val="clear" w:color="auto" w:fill="B2B2B2"/>
          </w:tcPr>
          <w:p>
            <w:pPr>
              <w:spacing w:after="0"/>
              <w:rPr>
                <w:sz w:val="18"/>
                <w:szCs w:val="18"/>
                <w:color w:val="auto"/>
              </w:rPr>
            </w:pPr>
          </w:p>
        </w:tc>
      </w:tr>
      <w:tr>
        <w:trPr>
          <w:trHeight w:val="215"/>
        </w:trPr>
        <w:tc>
          <w:tcPr>
            <w:tcW w:w="44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Allowance for credit losses</w:t>
            </w:r>
          </w:p>
        </w:tc>
        <w:tc>
          <w:tcPr>
            <w:tcW w:w="5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(11,956)</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(10,562)</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r>
      <w:tr>
        <w:trPr>
          <w:trHeight w:val="209"/>
        </w:trPr>
        <w:tc>
          <w:tcPr>
            <w:tcW w:w="4460" w:type="dxa"/>
            <w:vAlign w:val="bottom"/>
            <w:tcBorders>
              <w:bottom w:val="single" w:sz="8" w:color="auto"/>
            </w:tcBorders>
            <w:shd w:val="clear" w:color="auto" w:fill="B2B2B2"/>
          </w:tcPr>
          <w:p>
            <w:pPr>
              <w:spacing w:after="0"/>
              <w:rPr>
                <w:sz w:val="20"/>
                <w:szCs w:val="20"/>
                <w:color w:val="auto"/>
              </w:rPr>
            </w:pPr>
            <w:r>
              <w:rPr>
                <w:rFonts w:ascii="Arial" w:cs="Arial" w:eastAsia="Arial" w:hAnsi="Arial"/>
                <w:sz w:val="18"/>
                <w:szCs w:val="18"/>
                <w:color w:val="auto"/>
              </w:rPr>
              <w:t>Total assets</w:t>
            </w:r>
          </w:p>
        </w:tc>
        <w:tc>
          <w:tcPr>
            <w:tcW w:w="780" w:type="dxa"/>
            <w:vAlign w:val="bottom"/>
            <w:tcBorders>
              <w:bottom w:val="single" w:sz="8" w:color="auto"/>
            </w:tcBorders>
            <w:gridSpan w:val="2"/>
            <w:shd w:val="clear" w:color="auto" w:fill="B2B2B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B2B2B2"/>
          </w:tcPr>
          <w:p>
            <w:pPr>
              <w:jc w:val="right"/>
              <w:ind w:right="50"/>
              <w:spacing w:after="0"/>
              <w:rPr>
                <w:sz w:val="20"/>
                <w:szCs w:val="20"/>
                <w:color w:val="auto"/>
              </w:rPr>
            </w:pPr>
            <w:r>
              <w:rPr>
                <w:rFonts w:ascii="Arial" w:cs="Arial" w:eastAsia="Arial" w:hAnsi="Arial"/>
                <w:sz w:val="18"/>
                <w:szCs w:val="18"/>
                <w:color w:val="auto"/>
              </w:rPr>
              <w:t>2,184,567</w:t>
            </w:r>
          </w:p>
        </w:tc>
        <w:tc>
          <w:tcPr>
            <w:tcW w:w="200" w:type="dxa"/>
            <w:vAlign w:val="bottom"/>
            <w:tcBorders>
              <w:bottom w:val="single" w:sz="8" w:color="auto"/>
            </w:tcBorders>
            <w:shd w:val="clear" w:color="auto" w:fill="B2B2B2"/>
          </w:tcPr>
          <w:p>
            <w:pPr>
              <w:spacing w:after="0"/>
              <w:rPr>
                <w:sz w:val="18"/>
                <w:szCs w:val="18"/>
                <w:color w:val="auto"/>
              </w:rPr>
            </w:pPr>
          </w:p>
        </w:tc>
        <w:tc>
          <w:tcPr>
            <w:tcW w:w="1000" w:type="dxa"/>
            <w:vAlign w:val="bottom"/>
            <w:tcBorders>
              <w:bottom w:val="single" w:sz="8" w:color="auto"/>
            </w:tcBorders>
            <w:shd w:val="clear" w:color="auto" w:fill="B2B2B2"/>
          </w:tcPr>
          <w:p>
            <w:pPr>
              <w:spacing w:after="0"/>
              <w:rPr>
                <w:sz w:val="18"/>
                <w:szCs w:val="18"/>
                <w:color w:val="auto"/>
              </w:rPr>
            </w:pPr>
          </w:p>
        </w:tc>
        <w:tc>
          <w:tcPr>
            <w:tcW w:w="580" w:type="dxa"/>
            <w:vAlign w:val="bottom"/>
            <w:tcBorders>
              <w:bottom w:val="single" w:sz="8" w:color="auto"/>
            </w:tcBorders>
            <w:shd w:val="clear" w:color="auto" w:fill="B2B2B2"/>
          </w:tcPr>
          <w:p>
            <w:pPr>
              <w:spacing w:after="0"/>
              <w:rPr>
                <w:sz w:val="18"/>
                <w:szCs w:val="18"/>
                <w:color w:val="auto"/>
              </w:rPr>
            </w:pPr>
          </w:p>
        </w:tc>
        <w:tc>
          <w:tcPr>
            <w:tcW w:w="60" w:type="dxa"/>
            <w:vAlign w:val="bottom"/>
            <w:tcBorders>
              <w:bottom w:val="single" w:sz="8" w:color="auto"/>
            </w:tcBorders>
            <w:shd w:val="clear" w:color="auto" w:fill="B2B2B2"/>
          </w:tcPr>
          <w:p>
            <w:pPr>
              <w:spacing w:after="0"/>
              <w:rPr>
                <w:sz w:val="18"/>
                <w:szCs w:val="18"/>
                <w:color w:val="auto"/>
              </w:rPr>
            </w:pPr>
          </w:p>
        </w:tc>
        <w:tc>
          <w:tcPr>
            <w:tcW w:w="260" w:type="dxa"/>
            <w:vAlign w:val="bottom"/>
            <w:tcBorders>
              <w:bottom w:val="single" w:sz="8" w:color="auto"/>
            </w:tcBorders>
            <w:gridSpan w:val="2"/>
            <w:shd w:val="clear" w:color="auto" w:fill="B2B2B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B2B2B2"/>
          </w:tcPr>
          <w:p>
            <w:pPr>
              <w:jc w:val="right"/>
              <w:ind w:right="10"/>
              <w:spacing w:after="0"/>
              <w:rPr>
                <w:sz w:val="20"/>
                <w:szCs w:val="20"/>
                <w:color w:val="auto"/>
              </w:rPr>
            </w:pPr>
            <w:r>
              <w:rPr>
                <w:rFonts w:ascii="Arial" w:cs="Arial" w:eastAsia="Arial" w:hAnsi="Arial"/>
                <w:sz w:val="18"/>
                <w:szCs w:val="18"/>
                <w:color w:val="auto"/>
              </w:rPr>
              <w:t>1,777,627</w:t>
            </w:r>
          </w:p>
        </w:tc>
        <w:tc>
          <w:tcPr>
            <w:tcW w:w="220" w:type="dxa"/>
            <w:vAlign w:val="bottom"/>
            <w:tcBorders>
              <w:bottom w:val="single" w:sz="8" w:color="auto"/>
            </w:tcBorders>
            <w:shd w:val="clear" w:color="auto" w:fill="B2B2B2"/>
          </w:tcPr>
          <w:p>
            <w:pPr>
              <w:spacing w:after="0"/>
              <w:rPr>
                <w:sz w:val="18"/>
                <w:szCs w:val="18"/>
                <w:color w:val="auto"/>
              </w:rPr>
            </w:pPr>
          </w:p>
        </w:tc>
        <w:tc>
          <w:tcPr>
            <w:tcW w:w="900" w:type="dxa"/>
            <w:vAlign w:val="bottom"/>
            <w:tcBorders>
              <w:bottom w:val="single" w:sz="8" w:color="auto"/>
            </w:tcBorders>
            <w:shd w:val="clear" w:color="auto" w:fill="B2B2B2"/>
          </w:tcPr>
          <w:p>
            <w:pPr>
              <w:spacing w:after="0"/>
              <w:rPr>
                <w:sz w:val="18"/>
                <w:szCs w:val="18"/>
                <w:color w:val="auto"/>
              </w:rPr>
            </w:pPr>
          </w:p>
        </w:tc>
        <w:tc>
          <w:tcPr>
            <w:tcW w:w="700" w:type="dxa"/>
            <w:vAlign w:val="bottom"/>
            <w:tcBorders>
              <w:bottom w:val="single" w:sz="8" w:color="auto"/>
            </w:tcBorders>
            <w:shd w:val="clear" w:color="auto" w:fill="B2B2B2"/>
          </w:tcPr>
          <w:p>
            <w:pPr>
              <w:spacing w:after="0"/>
              <w:rPr>
                <w:sz w:val="18"/>
                <w:szCs w:val="18"/>
                <w:color w:val="auto"/>
              </w:rPr>
            </w:pPr>
          </w:p>
        </w:tc>
      </w:tr>
      <w:tr>
        <w:trPr>
          <w:trHeight w:val="249"/>
        </w:trPr>
        <w:tc>
          <w:tcPr>
            <w:tcW w:w="4460" w:type="dxa"/>
            <w:vAlign w:val="bottom"/>
          </w:tcPr>
          <w:p>
            <w:pPr>
              <w:spacing w:after="0" w:line="249" w:lineRule="exact"/>
              <w:rPr>
                <w:sz w:val="20"/>
                <w:szCs w:val="20"/>
                <w:color w:val="auto"/>
              </w:rPr>
            </w:pPr>
            <w:r>
              <w:rPr>
                <w:rFonts w:ascii="Arial" w:cs="Arial" w:eastAsia="Arial" w:hAnsi="Arial"/>
                <w:sz w:val="17"/>
                <w:szCs w:val="17"/>
                <w:b w:val="1"/>
                <w:bCs w:val="1"/>
                <w:color w:val="auto"/>
              </w:rPr>
              <w:t>Liabilities and Shareholders’ Equity</w:t>
            </w:r>
            <w:r>
              <w:rPr>
                <w:rFonts w:ascii="Arial" w:cs="Arial" w:eastAsia="Arial" w:hAnsi="Arial"/>
                <w:sz w:val="28"/>
                <w:szCs w:val="28"/>
                <w:b w:val="1"/>
                <w:bCs w:val="1"/>
                <w:color w:val="auto"/>
                <w:vertAlign w:val="superscript"/>
              </w:rPr>
              <w:t>1</w:t>
            </w: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15"/>
        </w:trPr>
        <w:tc>
          <w:tcPr>
            <w:tcW w:w="4460" w:type="dxa"/>
            <w:vAlign w:val="bottom"/>
            <w:shd w:val="clear" w:color="auto" w:fill="B2B2B2"/>
          </w:tcPr>
          <w:p>
            <w:pPr>
              <w:spacing w:after="0"/>
              <w:rPr>
                <w:sz w:val="20"/>
                <w:szCs w:val="20"/>
                <w:color w:val="auto"/>
              </w:rPr>
            </w:pPr>
            <w:r>
              <w:rPr>
                <w:rFonts w:ascii="Arial" w:cs="Arial" w:eastAsia="Arial" w:hAnsi="Arial"/>
                <w:sz w:val="18"/>
                <w:szCs w:val="18"/>
                <w:color w:val="auto"/>
              </w:rPr>
              <w:t>Interest-bearing liabilities</w:t>
            </w:r>
          </w:p>
        </w:tc>
        <w:tc>
          <w:tcPr>
            <w:tcW w:w="58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06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000" w:type="dxa"/>
            <w:vAlign w:val="bottom"/>
            <w:shd w:val="clear" w:color="auto" w:fill="B2B2B2"/>
          </w:tcPr>
          <w:p>
            <w:pPr>
              <w:spacing w:after="0"/>
              <w:rPr>
                <w:sz w:val="18"/>
                <w:szCs w:val="18"/>
                <w:color w:val="auto"/>
              </w:rPr>
            </w:pPr>
          </w:p>
        </w:tc>
        <w:tc>
          <w:tcPr>
            <w:tcW w:w="58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02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700" w:type="dxa"/>
            <w:vAlign w:val="bottom"/>
            <w:shd w:val="clear" w:color="auto" w:fill="B2B2B2"/>
          </w:tcPr>
          <w:p>
            <w:pPr>
              <w:spacing w:after="0"/>
              <w:rPr>
                <w:sz w:val="18"/>
                <w:szCs w:val="18"/>
                <w:color w:val="auto"/>
              </w:rPr>
            </w:pPr>
          </w:p>
        </w:tc>
      </w:tr>
      <w:tr>
        <w:trPr>
          <w:trHeight w:val="215"/>
        </w:trPr>
        <w:tc>
          <w:tcPr>
            <w:tcW w:w="4460" w:type="dxa"/>
            <w:vAlign w:val="bottom"/>
          </w:tcPr>
          <w:p>
            <w:pPr>
              <w:ind w:left="180"/>
              <w:spacing w:after="0"/>
              <w:rPr>
                <w:sz w:val="20"/>
                <w:szCs w:val="20"/>
                <w:color w:val="auto"/>
              </w:rPr>
            </w:pPr>
            <w:r>
              <w:rPr>
                <w:rFonts w:ascii="Arial" w:cs="Arial" w:eastAsia="Arial" w:hAnsi="Arial"/>
                <w:sz w:val="18"/>
                <w:szCs w:val="18"/>
                <w:color w:val="auto"/>
              </w:rPr>
              <w:t>Interest-bearing demand Deposits</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475,212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151</w:t>
            </w:r>
          </w:p>
        </w:tc>
        <w:tc>
          <w:tcPr>
            <w:tcW w:w="580" w:type="dxa"/>
            <w:vAlign w:val="bottom"/>
          </w:tcPr>
          <w:p>
            <w:pPr>
              <w:jc w:val="right"/>
              <w:spacing w:after="0"/>
              <w:rPr>
                <w:sz w:val="20"/>
                <w:szCs w:val="20"/>
                <w:color w:val="auto"/>
              </w:rPr>
            </w:pPr>
            <w:r>
              <w:rPr>
                <w:rFonts w:ascii="Arial" w:cs="Arial" w:eastAsia="Arial" w:hAnsi="Arial"/>
                <w:sz w:val="18"/>
                <w:szCs w:val="18"/>
                <w:color w:val="auto"/>
              </w:rPr>
              <w:t>0.13%</w:t>
            </w:r>
          </w:p>
        </w:tc>
        <w:tc>
          <w:tcPr>
            <w:tcW w:w="60" w:type="dxa"/>
            <w:vAlign w:val="bottom"/>
          </w:tcPr>
          <w:p>
            <w:pPr>
              <w:spacing w:after="0"/>
              <w:rPr>
                <w:sz w:val="18"/>
                <w:szCs w:val="18"/>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326,852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633</w:t>
            </w:r>
          </w:p>
        </w:tc>
        <w:tc>
          <w:tcPr>
            <w:tcW w:w="700" w:type="dxa"/>
            <w:vAlign w:val="bottom"/>
          </w:tcPr>
          <w:p>
            <w:pPr>
              <w:ind w:left="220"/>
              <w:spacing w:after="0"/>
              <w:rPr>
                <w:sz w:val="20"/>
                <w:szCs w:val="20"/>
                <w:color w:val="auto"/>
              </w:rPr>
            </w:pPr>
            <w:r>
              <w:rPr>
                <w:rFonts w:ascii="Arial" w:cs="Arial" w:eastAsia="Arial" w:hAnsi="Arial"/>
                <w:sz w:val="18"/>
                <w:szCs w:val="18"/>
                <w:color w:val="auto"/>
                <w:w w:val="90"/>
              </w:rPr>
              <w:t>0.78%</w:t>
            </w:r>
          </w:p>
        </w:tc>
      </w:tr>
      <w:tr>
        <w:trPr>
          <w:trHeight w:val="215"/>
        </w:trPr>
        <w:tc>
          <w:tcPr>
            <w:tcW w:w="4460" w:type="dxa"/>
            <w:vAlign w:val="bottom"/>
            <w:shd w:val="clear" w:color="auto" w:fill="B2B2B2"/>
          </w:tcPr>
          <w:p>
            <w:pPr>
              <w:ind w:left="180"/>
              <w:spacing w:after="0"/>
              <w:rPr>
                <w:sz w:val="20"/>
                <w:szCs w:val="20"/>
                <w:color w:val="auto"/>
              </w:rPr>
            </w:pPr>
            <w:r>
              <w:rPr>
                <w:rFonts w:ascii="Arial" w:cs="Arial" w:eastAsia="Arial" w:hAnsi="Arial"/>
                <w:sz w:val="18"/>
                <w:szCs w:val="18"/>
                <w:color w:val="auto"/>
              </w:rPr>
              <w:t>Savings deposits</w:t>
            </w:r>
          </w:p>
        </w:tc>
        <w:tc>
          <w:tcPr>
            <w:tcW w:w="58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060" w:type="dxa"/>
            <w:vAlign w:val="bottom"/>
            <w:shd w:val="clear" w:color="auto" w:fill="B2B2B2"/>
          </w:tcPr>
          <w:p>
            <w:pPr>
              <w:jc w:val="right"/>
              <w:ind w:right="50"/>
              <w:spacing w:after="0"/>
              <w:rPr>
                <w:sz w:val="20"/>
                <w:szCs w:val="20"/>
                <w:color w:val="auto"/>
              </w:rPr>
            </w:pPr>
            <w:r>
              <w:rPr>
                <w:rFonts w:ascii="Arial" w:cs="Arial" w:eastAsia="Arial" w:hAnsi="Arial"/>
                <w:sz w:val="18"/>
                <w:szCs w:val="18"/>
                <w:color w:val="auto"/>
              </w:rPr>
              <w:t>21,800</w:t>
            </w:r>
          </w:p>
        </w:tc>
        <w:tc>
          <w:tcPr>
            <w:tcW w:w="200" w:type="dxa"/>
            <w:vAlign w:val="bottom"/>
            <w:shd w:val="clear" w:color="auto" w:fill="B2B2B2"/>
          </w:tcPr>
          <w:p>
            <w:pPr>
              <w:spacing w:after="0"/>
              <w:rPr>
                <w:sz w:val="18"/>
                <w:szCs w:val="18"/>
                <w:color w:val="auto"/>
              </w:rPr>
            </w:pPr>
          </w:p>
        </w:tc>
        <w:tc>
          <w:tcPr>
            <w:tcW w:w="1000" w:type="dxa"/>
            <w:vAlign w:val="bottom"/>
            <w:shd w:val="clear" w:color="auto" w:fill="B2B2B2"/>
          </w:tcPr>
          <w:p>
            <w:pPr>
              <w:jc w:val="right"/>
              <w:ind w:right="150"/>
              <w:spacing w:after="0"/>
              <w:rPr>
                <w:sz w:val="20"/>
                <w:szCs w:val="20"/>
                <w:color w:val="auto"/>
              </w:rPr>
            </w:pPr>
            <w:r>
              <w:rPr>
                <w:rFonts w:ascii="Arial" w:cs="Arial" w:eastAsia="Arial" w:hAnsi="Arial"/>
                <w:sz w:val="18"/>
                <w:szCs w:val="18"/>
                <w:color w:val="auto"/>
              </w:rPr>
              <w:t>3</w:t>
            </w:r>
          </w:p>
        </w:tc>
        <w:tc>
          <w:tcPr>
            <w:tcW w:w="580" w:type="dxa"/>
            <w:vAlign w:val="bottom"/>
            <w:shd w:val="clear" w:color="auto" w:fill="B2B2B2"/>
          </w:tcPr>
          <w:p>
            <w:pPr>
              <w:jc w:val="right"/>
              <w:ind w:right="70"/>
              <w:spacing w:after="0"/>
              <w:rPr>
                <w:sz w:val="20"/>
                <w:szCs w:val="20"/>
                <w:color w:val="auto"/>
              </w:rPr>
            </w:pPr>
            <w:r>
              <w:rPr>
                <w:rFonts w:ascii="Arial" w:cs="Arial" w:eastAsia="Arial" w:hAnsi="Arial"/>
                <w:sz w:val="18"/>
                <w:szCs w:val="18"/>
                <w:color w:val="auto"/>
              </w:rPr>
              <w:t>0.06</w:t>
            </w:r>
          </w:p>
        </w:tc>
        <w:tc>
          <w:tcPr>
            <w:tcW w:w="6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02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8,403</w:t>
            </w:r>
          </w:p>
        </w:tc>
        <w:tc>
          <w:tcPr>
            <w:tcW w:w="220" w:type="dxa"/>
            <w:vAlign w:val="bottom"/>
            <w:shd w:val="clear" w:color="auto" w:fill="B2B2B2"/>
          </w:tcPr>
          <w:p>
            <w:pPr>
              <w:spacing w:after="0"/>
              <w:rPr>
                <w:sz w:val="18"/>
                <w:szCs w:val="18"/>
                <w:color w:val="auto"/>
              </w:rPr>
            </w:pPr>
          </w:p>
        </w:tc>
        <w:tc>
          <w:tcPr>
            <w:tcW w:w="90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13</w:t>
            </w:r>
          </w:p>
        </w:tc>
        <w:tc>
          <w:tcPr>
            <w:tcW w:w="700" w:type="dxa"/>
            <w:vAlign w:val="bottom"/>
            <w:shd w:val="clear" w:color="auto" w:fill="B2B2B2"/>
          </w:tcPr>
          <w:p>
            <w:pPr>
              <w:ind w:left="220"/>
              <w:spacing w:after="0"/>
              <w:rPr>
                <w:sz w:val="20"/>
                <w:szCs w:val="20"/>
                <w:color w:val="auto"/>
              </w:rPr>
            </w:pPr>
            <w:r>
              <w:rPr>
                <w:rFonts w:ascii="Arial" w:cs="Arial" w:eastAsia="Arial" w:hAnsi="Arial"/>
                <w:sz w:val="18"/>
                <w:szCs w:val="18"/>
                <w:color w:val="auto"/>
              </w:rPr>
              <w:t>0.62</w:t>
            </w:r>
          </w:p>
        </w:tc>
      </w:tr>
      <w:tr>
        <w:trPr>
          <w:trHeight w:val="215"/>
        </w:trPr>
        <w:tc>
          <w:tcPr>
            <w:tcW w:w="4460" w:type="dxa"/>
            <w:vAlign w:val="bottom"/>
          </w:tcPr>
          <w:p>
            <w:pPr>
              <w:ind w:left="180"/>
              <w:spacing w:after="0"/>
              <w:rPr>
                <w:sz w:val="20"/>
                <w:szCs w:val="20"/>
                <w:color w:val="auto"/>
              </w:rPr>
            </w:pPr>
            <w:r>
              <w:rPr>
                <w:rFonts w:ascii="Arial" w:cs="Arial" w:eastAsia="Arial" w:hAnsi="Arial"/>
                <w:sz w:val="18"/>
                <w:szCs w:val="18"/>
                <w:color w:val="auto"/>
              </w:rPr>
              <w:t>Time deposits &gt;= $100</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24,505</w:t>
            </w:r>
          </w:p>
        </w:tc>
        <w:tc>
          <w:tcPr>
            <w:tcW w:w="200" w:type="dxa"/>
            <w:vAlign w:val="bottom"/>
          </w:tcPr>
          <w:p>
            <w:pPr>
              <w:spacing w:after="0"/>
              <w:rPr>
                <w:sz w:val="18"/>
                <w:szCs w:val="18"/>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83</w:t>
            </w: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1.37</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29,820</w:t>
            </w:r>
          </w:p>
        </w:tc>
        <w:tc>
          <w:tcPr>
            <w:tcW w:w="22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142</w:t>
            </w:r>
          </w:p>
        </w:tc>
        <w:tc>
          <w:tcPr>
            <w:tcW w:w="700" w:type="dxa"/>
            <w:vAlign w:val="bottom"/>
          </w:tcPr>
          <w:p>
            <w:pPr>
              <w:ind w:left="220"/>
              <w:spacing w:after="0"/>
              <w:rPr>
                <w:sz w:val="20"/>
                <w:szCs w:val="20"/>
                <w:color w:val="auto"/>
              </w:rPr>
            </w:pPr>
            <w:r>
              <w:rPr>
                <w:rFonts w:ascii="Arial" w:cs="Arial" w:eastAsia="Arial" w:hAnsi="Arial"/>
                <w:sz w:val="18"/>
                <w:szCs w:val="18"/>
                <w:color w:val="auto"/>
              </w:rPr>
              <w:t>1.92</w:t>
            </w:r>
          </w:p>
        </w:tc>
      </w:tr>
      <w:tr>
        <w:trPr>
          <w:trHeight w:val="215"/>
        </w:trPr>
        <w:tc>
          <w:tcPr>
            <w:tcW w:w="4460" w:type="dxa"/>
            <w:vAlign w:val="bottom"/>
            <w:tcBorders>
              <w:bottom w:val="single" w:sz="8" w:color="auto"/>
            </w:tcBorders>
            <w:shd w:val="clear" w:color="auto" w:fill="B2B2B2"/>
          </w:tcPr>
          <w:p>
            <w:pPr>
              <w:ind w:left="180"/>
              <w:spacing w:after="0"/>
              <w:rPr>
                <w:sz w:val="20"/>
                <w:szCs w:val="20"/>
                <w:color w:val="auto"/>
              </w:rPr>
            </w:pPr>
            <w:r>
              <w:rPr>
                <w:rFonts w:ascii="Arial" w:cs="Arial" w:eastAsia="Arial" w:hAnsi="Arial"/>
                <w:sz w:val="18"/>
                <w:szCs w:val="18"/>
                <w:color w:val="auto"/>
              </w:rPr>
              <w:t>Other time deposits</w:t>
            </w:r>
          </w:p>
        </w:tc>
        <w:tc>
          <w:tcPr>
            <w:tcW w:w="580" w:type="dxa"/>
            <w:vAlign w:val="bottom"/>
            <w:tcBorders>
              <w:bottom w:val="single" w:sz="8" w:color="auto"/>
            </w:tcBorders>
            <w:shd w:val="clear" w:color="auto" w:fill="B2B2B2"/>
          </w:tcPr>
          <w:p>
            <w:pPr>
              <w:spacing w:after="0"/>
              <w:rPr>
                <w:sz w:val="18"/>
                <w:szCs w:val="18"/>
                <w:color w:val="auto"/>
              </w:rPr>
            </w:pPr>
          </w:p>
        </w:tc>
        <w:tc>
          <w:tcPr>
            <w:tcW w:w="200" w:type="dxa"/>
            <w:vAlign w:val="bottom"/>
            <w:tcBorders>
              <w:bottom w:val="single" w:sz="8" w:color="auto"/>
            </w:tcBorders>
            <w:shd w:val="clear" w:color="auto" w:fill="B2B2B2"/>
          </w:tcPr>
          <w:p>
            <w:pPr>
              <w:spacing w:after="0"/>
              <w:rPr>
                <w:sz w:val="18"/>
                <w:szCs w:val="18"/>
                <w:color w:val="auto"/>
              </w:rPr>
            </w:pPr>
          </w:p>
        </w:tc>
        <w:tc>
          <w:tcPr>
            <w:tcW w:w="1060" w:type="dxa"/>
            <w:vAlign w:val="bottom"/>
            <w:tcBorders>
              <w:bottom w:val="single" w:sz="8" w:color="auto"/>
            </w:tcBorders>
            <w:shd w:val="clear" w:color="auto" w:fill="B2B2B2"/>
          </w:tcPr>
          <w:p>
            <w:pPr>
              <w:jc w:val="right"/>
              <w:ind w:right="50"/>
              <w:spacing w:after="0"/>
              <w:rPr>
                <w:sz w:val="20"/>
                <w:szCs w:val="20"/>
                <w:color w:val="auto"/>
              </w:rPr>
            </w:pPr>
            <w:r>
              <w:rPr>
                <w:rFonts w:ascii="Arial" w:cs="Arial" w:eastAsia="Arial" w:hAnsi="Arial"/>
                <w:sz w:val="18"/>
                <w:szCs w:val="18"/>
                <w:color w:val="auto"/>
              </w:rPr>
              <w:t>31,379</w:t>
            </w:r>
          </w:p>
        </w:tc>
        <w:tc>
          <w:tcPr>
            <w:tcW w:w="200" w:type="dxa"/>
            <w:vAlign w:val="bottom"/>
            <w:tcBorders>
              <w:bottom w:val="single" w:sz="8" w:color="auto"/>
            </w:tcBorders>
            <w:shd w:val="clear" w:color="auto" w:fill="B2B2B2"/>
          </w:tcPr>
          <w:p>
            <w:pPr>
              <w:spacing w:after="0"/>
              <w:rPr>
                <w:sz w:val="18"/>
                <w:szCs w:val="18"/>
                <w:color w:val="auto"/>
              </w:rPr>
            </w:pPr>
          </w:p>
        </w:tc>
        <w:tc>
          <w:tcPr>
            <w:tcW w:w="1000" w:type="dxa"/>
            <w:vAlign w:val="bottom"/>
            <w:tcBorders>
              <w:bottom w:val="single" w:sz="8" w:color="auto"/>
            </w:tcBorders>
            <w:shd w:val="clear" w:color="auto" w:fill="B2B2B2"/>
          </w:tcPr>
          <w:p>
            <w:pPr>
              <w:jc w:val="right"/>
              <w:ind w:right="150"/>
              <w:spacing w:after="0"/>
              <w:rPr>
                <w:sz w:val="20"/>
                <w:szCs w:val="20"/>
                <w:color w:val="auto"/>
              </w:rPr>
            </w:pPr>
            <w:r>
              <w:rPr>
                <w:rFonts w:ascii="Arial" w:cs="Arial" w:eastAsia="Arial" w:hAnsi="Arial"/>
                <w:sz w:val="18"/>
                <w:szCs w:val="18"/>
                <w:color w:val="auto"/>
              </w:rPr>
              <w:t>94</w:t>
            </w:r>
          </w:p>
        </w:tc>
        <w:tc>
          <w:tcPr>
            <w:tcW w:w="580" w:type="dxa"/>
            <w:vAlign w:val="bottom"/>
            <w:tcBorders>
              <w:bottom w:val="single" w:sz="8" w:color="auto"/>
            </w:tcBorders>
            <w:shd w:val="clear" w:color="auto" w:fill="B2B2B2"/>
          </w:tcPr>
          <w:p>
            <w:pPr>
              <w:jc w:val="right"/>
              <w:ind w:right="70"/>
              <w:spacing w:after="0"/>
              <w:rPr>
                <w:sz w:val="20"/>
                <w:szCs w:val="20"/>
                <w:color w:val="auto"/>
              </w:rPr>
            </w:pPr>
            <w:r>
              <w:rPr>
                <w:rFonts w:ascii="Arial" w:cs="Arial" w:eastAsia="Arial" w:hAnsi="Arial"/>
                <w:sz w:val="18"/>
                <w:szCs w:val="18"/>
                <w:color w:val="auto"/>
              </w:rPr>
              <w:t>1.21</w:t>
            </w:r>
          </w:p>
        </w:tc>
        <w:tc>
          <w:tcPr>
            <w:tcW w:w="60" w:type="dxa"/>
            <w:vAlign w:val="bottom"/>
            <w:tcBorders>
              <w:bottom w:val="single" w:sz="8" w:color="auto"/>
            </w:tcBorders>
            <w:shd w:val="clear" w:color="auto" w:fill="B2B2B2"/>
          </w:tcPr>
          <w:p>
            <w:pPr>
              <w:spacing w:after="0"/>
              <w:rPr>
                <w:sz w:val="18"/>
                <w:szCs w:val="18"/>
                <w:color w:val="auto"/>
              </w:rPr>
            </w:pPr>
          </w:p>
        </w:tc>
        <w:tc>
          <w:tcPr>
            <w:tcW w:w="60" w:type="dxa"/>
            <w:vAlign w:val="bottom"/>
            <w:tcBorders>
              <w:bottom w:val="single" w:sz="8" w:color="auto"/>
            </w:tcBorders>
            <w:shd w:val="clear" w:color="auto" w:fill="B2B2B2"/>
          </w:tcPr>
          <w:p>
            <w:pPr>
              <w:spacing w:after="0"/>
              <w:rPr>
                <w:sz w:val="18"/>
                <w:szCs w:val="18"/>
                <w:color w:val="auto"/>
              </w:rPr>
            </w:pPr>
          </w:p>
        </w:tc>
        <w:tc>
          <w:tcPr>
            <w:tcW w:w="200" w:type="dxa"/>
            <w:vAlign w:val="bottom"/>
            <w:tcBorders>
              <w:bottom w:val="single" w:sz="8" w:color="auto"/>
            </w:tcBorders>
            <w:shd w:val="clear" w:color="auto" w:fill="B2B2B2"/>
          </w:tcPr>
          <w:p>
            <w:pPr>
              <w:spacing w:after="0"/>
              <w:rPr>
                <w:sz w:val="18"/>
                <w:szCs w:val="18"/>
                <w:color w:val="auto"/>
              </w:rPr>
            </w:pPr>
          </w:p>
        </w:tc>
        <w:tc>
          <w:tcPr>
            <w:tcW w:w="1020" w:type="dxa"/>
            <w:vAlign w:val="bottom"/>
            <w:tcBorders>
              <w:bottom w:val="single" w:sz="8" w:color="auto"/>
            </w:tcBorders>
            <w:shd w:val="clear" w:color="auto" w:fill="B2B2B2"/>
          </w:tcPr>
          <w:p>
            <w:pPr>
              <w:jc w:val="right"/>
              <w:ind w:right="10"/>
              <w:spacing w:after="0"/>
              <w:rPr>
                <w:sz w:val="20"/>
                <w:szCs w:val="20"/>
                <w:color w:val="auto"/>
              </w:rPr>
            </w:pPr>
            <w:r>
              <w:rPr>
                <w:rFonts w:ascii="Arial" w:cs="Arial" w:eastAsia="Arial" w:hAnsi="Arial"/>
                <w:sz w:val="18"/>
                <w:szCs w:val="18"/>
                <w:color w:val="auto"/>
              </w:rPr>
              <w:t>44,092</w:t>
            </w:r>
          </w:p>
        </w:tc>
        <w:tc>
          <w:tcPr>
            <w:tcW w:w="220" w:type="dxa"/>
            <w:vAlign w:val="bottom"/>
            <w:tcBorders>
              <w:bottom w:val="single" w:sz="8" w:color="auto"/>
            </w:tcBorders>
            <w:shd w:val="clear" w:color="auto" w:fill="B2B2B2"/>
          </w:tcPr>
          <w:p>
            <w:pPr>
              <w:spacing w:after="0"/>
              <w:rPr>
                <w:sz w:val="18"/>
                <w:szCs w:val="18"/>
                <w:color w:val="auto"/>
              </w:rPr>
            </w:pPr>
          </w:p>
        </w:tc>
        <w:tc>
          <w:tcPr>
            <w:tcW w:w="900" w:type="dxa"/>
            <w:vAlign w:val="bottom"/>
            <w:tcBorders>
              <w:bottom w:val="single" w:sz="8" w:color="auto"/>
            </w:tcBorders>
            <w:shd w:val="clear" w:color="auto" w:fill="B2B2B2"/>
          </w:tcPr>
          <w:p>
            <w:pPr>
              <w:jc w:val="right"/>
              <w:ind w:right="30"/>
              <w:spacing w:after="0"/>
              <w:rPr>
                <w:sz w:val="20"/>
                <w:szCs w:val="20"/>
                <w:color w:val="auto"/>
              </w:rPr>
            </w:pPr>
            <w:r>
              <w:rPr>
                <w:rFonts w:ascii="Arial" w:cs="Arial" w:eastAsia="Arial" w:hAnsi="Arial"/>
                <w:sz w:val="18"/>
                <w:szCs w:val="18"/>
                <w:color w:val="auto"/>
              </w:rPr>
              <w:t>175</w:t>
            </w:r>
          </w:p>
        </w:tc>
        <w:tc>
          <w:tcPr>
            <w:tcW w:w="700" w:type="dxa"/>
            <w:vAlign w:val="bottom"/>
            <w:tcBorders>
              <w:bottom w:val="single" w:sz="8" w:color="auto"/>
            </w:tcBorders>
            <w:shd w:val="clear" w:color="auto" w:fill="B2B2B2"/>
          </w:tcPr>
          <w:p>
            <w:pPr>
              <w:ind w:left="220"/>
              <w:spacing w:after="0"/>
              <w:rPr>
                <w:sz w:val="20"/>
                <w:szCs w:val="20"/>
                <w:color w:val="auto"/>
              </w:rPr>
            </w:pPr>
            <w:r>
              <w:rPr>
                <w:rFonts w:ascii="Arial" w:cs="Arial" w:eastAsia="Arial" w:hAnsi="Arial"/>
                <w:sz w:val="18"/>
                <w:szCs w:val="18"/>
                <w:color w:val="auto"/>
              </w:rPr>
              <w:t>1.60</w:t>
            </w:r>
          </w:p>
        </w:tc>
      </w:tr>
      <w:tr>
        <w:trPr>
          <w:trHeight w:val="209"/>
        </w:trPr>
        <w:tc>
          <w:tcPr>
            <w:tcW w:w="4460" w:type="dxa"/>
            <w:vAlign w:val="bottom"/>
          </w:tcPr>
          <w:p>
            <w:pPr>
              <w:spacing w:after="0"/>
              <w:rPr>
                <w:sz w:val="20"/>
                <w:szCs w:val="20"/>
                <w:color w:val="auto"/>
              </w:rPr>
            </w:pPr>
            <w:r>
              <w:rPr>
                <w:rFonts w:ascii="Arial" w:cs="Arial" w:eastAsia="Arial" w:hAnsi="Arial"/>
                <w:sz w:val="18"/>
                <w:szCs w:val="18"/>
                <w:color w:val="auto"/>
              </w:rPr>
              <w:t>Total interest-bearing deposits</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552,896</w:t>
            </w:r>
          </w:p>
        </w:tc>
        <w:tc>
          <w:tcPr>
            <w:tcW w:w="200" w:type="dxa"/>
            <w:vAlign w:val="bottom"/>
          </w:tcPr>
          <w:p>
            <w:pPr>
              <w:spacing w:after="0"/>
              <w:rPr>
                <w:sz w:val="18"/>
                <w:szCs w:val="18"/>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331</w:t>
            </w: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0.24</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409,167</w:t>
            </w:r>
          </w:p>
        </w:tc>
        <w:tc>
          <w:tcPr>
            <w:tcW w:w="22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963</w:t>
            </w:r>
          </w:p>
        </w:tc>
        <w:tc>
          <w:tcPr>
            <w:tcW w:w="700" w:type="dxa"/>
            <w:vAlign w:val="bottom"/>
          </w:tcPr>
          <w:p>
            <w:pPr>
              <w:ind w:left="220"/>
              <w:spacing w:after="0"/>
              <w:rPr>
                <w:sz w:val="20"/>
                <w:szCs w:val="20"/>
                <w:color w:val="auto"/>
              </w:rPr>
            </w:pPr>
            <w:r>
              <w:rPr>
                <w:rFonts w:ascii="Arial" w:cs="Arial" w:eastAsia="Arial" w:hAnsi="Arial"/>
                <w:sz w:val="18"/>
                <w:szCs w:val="18"/>
                <w:color w:val="auto"/>
              </w:rPr>
              <w:t>0.95</w:t>
            </w:r>
          </w:p>
        </w:tc>
      </w:tr>
      <w:tr>
        <w:trPr>
          <w:trHeight w:val="215"/>
        </w:trPr>
        <w:tc>
          <w:tcPr>
            <w:tcW w:w="4460" w:type="dxa"/>
            <w:vAlign w:val="bottom"/>
            <w:tcBorders>
              <w:bottom w:val="single" w:sz="8" w:color="auto"/>
            </w:tcBorders>
            <w:shd w:val="clear" w:color="auto" w:fill="B2B2B2"/>
          </w:tcPr>
          <w:p>
            <w:pPr>
              <w:spacing w:after="0"/>
              <w:rPr>
                <w:sz w:val="20"/>
                <w:szCs w:val="20"/>
                <w:color w:val="auto"/>
              </w:rPr>
            </w:pPr>
            <w:r>
              <w:rPr>
                <w:rFonts w:ascii="Arial" w:cs="Arial" w:eastAsia="Arial" w:hAnsi="Arial"/>
                <w:sz w:val="18"/>
                <w:szCs w:val="18"/>
                <w:color w:val="auto"/>
              </w:rPr>
              <w:t>Short-term borrowings</w:t>
            </w:r>
          </w:p>
        </w:tc>
        <w:tc>
          <w:tcPr>
            <w:tcW w:w="580" w:type="dxa"/>
            <w:vAlign w:val="bottom"/>
            <w:tcBorders>
              <w:bottom w:val="single" w:sz="8" w:color="auto"/>
            </w:tcBorders>
            <w:shd w:val="clear" w:color="auto" w:fill="B2B2B2"/>
          </w:tcPr>
          <w:p>
            <w:pPr>
              <w:spacing w:after="0"/>
              <w:rPr>
                <w:sz w:val="18"/>
                <w:szCs w:val="18"/>
                <w:color w:val="auto"/>
              </w:rPr>
            </w:pPr>
          </w:p>
        </w:tc>
        <w:tc>
          <w:tcPr>
            <w:tcW w:w="200" w:type="dxa"/>
            <w:vAlign w:val="bottom"/>
            <w:tcBorders>
              <w:bottom w:val="single" w:sz="8" w:color="auto"/>
            </w:tcBorders>
            <w:shd w:val="clear" w:color="auto" w:fill="B2B2B2"/>
          </w:tcPr>
          <w:p>
            <w:pPr>
              <w:spacing w:after="0"/>
              <w:rPr>
                <w:sz w:val="18"/>
                <w:szCs w:val="18"/>
                <w:color w:val="auto"/>
              </w:rPr>
            </w:pPr>
          </w:p>
        </w:tc>
        <w:tc>
          <w:tcPr>
            <w:tcW w:w="1060" w:type="dxa"/>
            <w:vAlign w:val="bottom"/>
            <w:tcBorders>
              <w:bottom w:val="single" w:sz="8" w:color="auto"/>
            </w:tcBorders>
            <w:shd w:val="clear" w:color="auto" w:fill="B2B2B2"/>
          </w:tcPr>
          <w:p>
            <w:pPr>
              <w:jc w:val="right"/>
              <w:ind w:right="50"/>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auto"/>
            </w:tcBorders>
            <w:shd w:val="clear" w:color="auto" w:fill="B2B2B2"/>
          </w:tcPr>
          <w:p>
            <w:pPr>
              <w:spacing w:after="0"/>
              <w:rPr>
                <w:sz w:val="18"/>
                <w:szCs w:val="18"/>
                <w:color w:val="auto"/>
              </w:rPr>
            </w:pPr>
          </w:p>
        </w:tc>
        <w:tc>
          <w:tcPr>
            <w:tcW w:w="1000" w:type="dxa"/>
            <w:vAlign w:val="bottom"/>
            <w:tcBorders>
              <w:bottom w:val="single" w:sz="8" w:color="auto"/>
            </w:tcBorders>
            <w:shd w:val="clear" w:color="auto" w:fill="B2B2B2"/>
          </w:tcPr>
          <w:p>
            <w:pPr>
              <w:jc w:val="right"/>
              <w:ind w:right="15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gridSpan w:val="2"/>
            <w:shd w:val="clear" w:color="auto" w:fill="B2B2B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B2B2B2"/>
          </w:tcPr>
          <w:p>
            <w:pPr>
              <w:spacing w:after="0"/>
              <w:rPr>
                <w:sz w:val="18"/>
                <w:szCs w:val="18"/>
                <w:color w:val="auto"/>
              </w:rPr>
            </w:pPr>
          </w:p>
        </w:tc>
        <w:tc>
          <w:tcPr>
            <w:tcW w:w="200" w:type="dxa"/>
            <w:vAlign w:val="bottom"/>
            <w:tcBorders>
              <w:bottom w:val="single" w:sz="8" w:color="auto"/>
            </w:tcBorders>
            <w:shd w:val="clear" w:color="auto" w:fill="B2B2B2"/>
          </w:tcPr>
          <w:p>
            <w:pPr>
              <w:spacing w:after="0"/>
              <w:rPr>
                <w:sz w:val="18"/>
                <w:szCs w:val="18"/>
                <w:color w:val="auto"/>
              </w:rPr>
            </w:pPr>
          </w:p>
        </w:tc>
        <w:tc>
          <w:tcPr>
            <w:tcW w:w="1020" w:type="dxa"/>
            <w:vAlign w:val="bottom"/>
            <w:tcBorders>
              <w:bottom w:val="single" w:sz="8" w:color="auto"/>
            </w:tcBorders>
            <w:shd w:val="clear" w:color="auto" w:fill="B2B2B2"/>
          </w:tcPr>
          <w:p>
            <w:pPr>
              <w:jc w:val="right"/>
              <w:ind w:right="10"/>
              <w:spacing w:after="0"/>
              <w:rPr>
                <w:sz w:val="20"/>
                <w:szCs w:val="20"/>
                <w:color w:val="auto"/>
              </w:rPr>
            </w:pPr>
            <w:r>
              <w:rPr>
                <w:rFonts w:ascii="Arial" w:cs="Arial" w:eastAsia="Arial" w:hAnsi="Arial"/>
                <w:sz w:val="18"/>
                <w:szCs w:val="18"/>
                <w:color w:val="auto"/>
              </w:rPr>
              <w:t>209</w:t>
            </w:r>
          </w:p>
        </w:tc>
        <w:tc>
          <w:tcPr>
            <w:tcW w:w="220" w:type="dxa"/>
            <w:vAlign w:val="bottom"/>
            <w:tcBorders>
              <w:bottom w:val="single" w:sz="8" w:color="auto"/>
            </w:tcBorders>
            <w:shd w:val="clear" w:color="auto" w:fill="B2B2B2"/>
          </w:tcPr>
          <w:p>
            <w:pPr>
              <w:spacing w:after="0"/>
              <w:rPr>
                <w:sz w:val="18"/>
                <w:szCs w:val="18"/>
                <w:color w:val="auto"/>
              </w:rPr>
            </w:pPr>
          </w:p>
        </w:tc>
        <w:tc>
          <w:tcPr>
            <w:tcW w:w="900" w:type="dxa"/>
            <w:vAlign w:val="bottom"/>
            <w:tcBorders>
              <w:bottom w:val="single" w:sz="8" w:color="auto"/>
            </w:tcBorders>
            <w:shd w:val="clear" w:color="auto" w:fill="B2B2B2"/>
          </w:tcPr>
          <w:p>
            <w:pPr>
              <w:jc w:val="right"/>
              <w:ind w:right="30"/>
              <w:spacing w:after="0"/>
              <w:rPr>
                <w:sz w:val="20"/>
                <w:szCs w:val="20"/>
                <w:color w:val="auto"/>
              </w:rPr>
            </w:pPr>
            <w:r>
              <w:rPr>
                <w:rFonts w:ascii="Arial" w:cs="Arial" w:eastAsia="Arial" w:hAnsi="Arial"/>
                <w:sz w:val="18"/>
                <w:szCs w:val="18"/>
                <w:color w:val="auto"/>
              </w:rPr>
              <w:t>2</w:t>
            </w:r>
          </w:p>
        </w:tc>
        <w:tc>
          <w:tcPr>
            <w:tcW w:w="700" w:type="dxa"/>
            <w:vAlign w:val="bottom"/>
            <w:tcBorders>
              <w:bottom w:val="single" w:sz="8" w:color="auto"/>
            </w:tcBorders>
            <w:shd w:val="clear" w:color="auto" w:fill="B2B2B2"/>
          </w:tcPr>
          <w:p>
            <w:pPr>
              <w:ind w:left="220"/>
              <w:spacing w:after="0"/>
              <w:rPr>
                <w:sz w:val="20"/>
                <w:szCs w:val="20"/>
                <w:color w:val="auto"/>
              </w:rPr>
            </w:pPr>
            <w:r>
              <w:rPr>
                <w:rFonts w:ascii="Arial" w:cs="Arial" w:eastAsia="Arial" w:hAnsi="Arial"/>
                <w:sz w:val="18"/>
                <w:szCs w:val="18"/>
                <w:color w:val="auto"/>
              </w:rPr>
              <w:t>3.85</w:t>
            </w:r>
          </w:p>
        </w:tc>
      </w:tr>
      <w:tr>
        <w:trPr>
          <w:trHeight w:val="209"/>
        </w:trPr>
        <w:tc>
          <w:tcPr>
            <w:tcW w:w="4460" w:type="dxa"/>
            <w:vAlign w:val="bottom"/>
          </w:tcPr>
          <w:p>
            <w:pPr>
              <w:spacing w:after="0"/>
              <w:rPr>
                <w:sz w:val="20"/>
                <w:szCs w:val="20"/>
                <w:color w:val="auto"/>
              </w:rPr>
            </w:pPr>
            <w:r>
              <w:rPr>
                <w:rFonts w:ascii="Arial" w:cs="Arial" w:eastAsia="Arial" w:hAnsi="Arial"/>
                <w:sz w:val="18"/>
                <w:szCs w:val="18"/>
                <w:color w:val="auto"/>
              </w:rPr>
              <w:t>Total interest-bearing liabilities</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552,906</w:t>
            </w:r>
          </w:p>
        </w:tc>
        <w:tc>
          <w:tcPr>
            <w:tcW w:w="200" w:type="dxa"/>
            <w:vAlign w:val="bottom"/>
          </w:tcPr>
          <w:p>
            <w:pPr>
              <w:spacing w:after="0"/>
              <w:rPr>
                <w:sz w:val="18"/>
                <w:szCs w:val="18"/>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331</w:t>
            </w: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0.24</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409,376</w:t>
            </w:r>
          </w:p>
        </w:tc>
        <w:tc>
          <w:tcPr>
            <w:tcW w:w="22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965</w:t>
            </w:r>
          </w:p>
        </w:tc>
        <w:tc>
          <w:tcPr>
            <w:tcW w:w="700" w:type="dxa"/>
            <w:vAlign w:val="bottom"/>
          </w:tcPr>
          <w:p>
            <w:pPr>
              <w:ind w:left="220"/>
              <w:spacing w:after="0"/>
              <w:rPr>
                <w:sz w:val="20"/>
                <w:szCs w:val="20"/>
                <w:color w:val="auto"/>
              </w:rPr>
            </w:pPr>
            <w:r>
              <w:rPr>
                <w:rFonts w:ascii="Arial" w:cs="Arial" w:eastAsia="Arial" w:hAnsi="Arial"/>
                <w:sz w:val="18"/>
                <w:szCs w:val="18"/>
                <w:color w:val="auto"/>
              </w:rPr>
              <w:t>0.95</w:t>
            </w:r>
          </w:p>
        </w:tc>
      </w:tr>
      <w:tr>
        <w:trPr>
          <w:trHeight w:val="215"/>
        </w:trPr>
        <w:tc>
          <w:tcPr>
            <w:tcW w:w="4460" w:type="dxa"/>
            <w:vAlign w:val="bottom"/>
            <w:shd w:val="clear" w:color="auto" w:fill="B2B2B2"/>
          </w:tcPr>
          <w:p>
            <w:pPr>
              <w:spacing w:after="0"/>
              <w:rPr>
                <w:sz w:val="20"/>
                <w:szCs w:val="20"/>
                <w:color w:val="auto"/>
              </w:rPr>
            </w:pPr>
            <w:r>
              <w:rPr>
                <w:rFonts w:ascii="Arial" w:cs="Arial" w:eastAsia="Arial" w:hAnsi="Arial"/>
                <w:sz w:val="18"/>
                <w:szCs w:val="18"/>
                <w:color w:val="auto"/>
              </w:rPr>
              <w:t>Non-interest bearing liabilities</w:t>
            </w:r>
          </w:p>
        </w:tc>
        <w:tc>
          <w:tcPr>
            <w:tcW w:w="58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06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000" w:type="dxa"/>
            <w:vAlign w:val="bottom"/>
            <w:shd w:val="clear" w:color="auto" w:fill="B2B2B2"/>
          </w:tcPr>
          <w:p>
            <w:pPr>
              <w:spacing w:after="0"/>
              <w:rPr>
                <w:sz w:val="18"/>
                <w:szCs w:val="18"/>
                <w:color w:val="auto"/>
              </w:rPr>
            </w:pPr>
          </w:p>
        </w:tc>
        <w:tc>
          <w:tcPr>
            <w:tcW w:w="58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02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700" w:type="dxa"/>
            <w:vAlign w:val="bottom"/>
            <w:shd w:val="clear" w:color="auto" w:fill="B2B2B2"/>
          </w:tcPr>
          <w:p>
            <w:pPr>
              <w:spacing w:after="0"/>
              <w:rPr>
                <w:sz w:val="18"/>
                <w:szCs w:val="18"/>
                <w:color w:val="auto"/>
              </w:rPr>
            </w:pPr>
          </w:p>
        </w:tc>
      </w:tr>
      <w:tr>
        <w:trPr>
          <w:trHeight w:val="215"/>
        </w:trPr>
        <w:tc>
          <w:tcPr>
            <w:tcW w:w="4460" w:type="dxa"/>
            <w:vAlign w:val="bottom"/>
          </w:tcPr>
          <w:p>
            <w:pPr>
              <w:ind w:left="180"/>
              <w:spacing w:after="0"/>
              <w:rPr>
                <w:sz w:val="20"/>
                <w:szCs w:val="20"/>
                <w:color w:val="auto"/>
              </w:rPr>
            </w:pPr>
            <w:r>
              <w:rPr>
                <w:rFonts w:ascii="Arial" w:cs="Arial" w:eastAsia="Arial" w:hAnsi="Arial"/>
                <w:sz w:val="18"/>
                <w:szCs w:val="18"/>
                <w:color w:val="auto"/>
              </w:rPr>
              <w:t>Demand deposits</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417,942</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295,165</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5"/>
        </w:trPr>
        <w:tc>
          <w:tcPr>
            <w:tcW w:w="4460" w:type="dxa"/>
            <w:vAlign w:val="bottom"/>
            <w:shd w:val="clear" w:color="auto" w:fill="B2B2B2"/>
          </w:tcPr>
          <w:p>
            <w:pPr>
              <w:ind w:left="180"/>
              <w:spacing w:after="0"/>
              <w:rPr>
                <w:sz w:val="20"/>
                <w:szCs w:val="20"/>
                <w:color w:val="auto"/>
              </w:rPr>
            </w:pPr>
            <w:r>
              <w:rPr>
                <w:rFonts w:ascii="Arial" w:cs="Arial" w:eastAsia="Arial" w:hAnsi="Arial"/>
                <w:sz w:val="18"/>
                <w:szCs w:val="18"/>
                <w:color w:val="auto"/>
              </w:rPr>
              <w:t>Accounts and drafts payable</w:t>
            </w:r>
          </w:p>
        </w:tc>
        <w:tc>
          <w:tcPr>
            <w:tcW w:w="58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060" w:type="dxa"/>
            <w:vAlign w:val="bottom"/>
            <w:shd w:val="clear" w:color="auto" w:fill="B2B2B2"/>
          </w:tcPr>
          <w:p>
            <w:pPr>
              <w:jc w:val="right"/>
              <w:ind w:right="50"/>
              <w:spacing w:after="0"/>
              <w:rPr>
                <w:sz w:val="20"/>
                <w:szCs w:val="20"/>
                <w:color w:val="auto"/>
              </w:rPr>
            </w:pPr>
            <w:r>
              <w:rPr>
                <w:rFonts w:ascii="Arial" w:cs="Arial" w:eastAsia="Arial" w:hAnsi="Arial"/>
                <w:sz w:val="18"/>
                <w:szCs w:val="18"/>
                <w:color w:val="auto"/>
              </w:rPr>
              <w:t>898,378</w:t>
            </w:r>
          </w:p>
        </w:tc>
        <w:tc>
          <w:tcPr>
            <w:tcW w:w="200" w:type="dxa"/>
            <w:vAlign w:val="bottom"/>
            <w:shd w:val="clear" w:color="auto" w:fill="B2B2B2"/>
          </w:tcPr>
          <w:p>
            <w:pPr>
              <w:spacing w:after="0"/>
              <w:rPr>
                <w:sz w:val="18"/>
                <w:szCs w:val="18"/>
                <w:color w:val="auto"/>
              </w:rPr>
            </w:pPr>
          </w:p>
        </w:tc>
        <w:tc>
          <w:tcPr>
            <w:tcW w:w="1000" w:type="dxa"/>
            <w:vAlign w:val="bottom"/>
            <w:shd w:val="clear" w:color="auto" w:fill="B2B2B2"/>
          </w:tcPr>
          <w:p>
            <w:pPr>
              <w:spacing w:after="0"/>
              <w:rPr>
                <w:sz w:val="18"/>
                <w:szCs w:val="18"/>
                <w:color w:val="auto"/>
              </w:rPr>
            </w:pPr>
          </w:p>
        </w:tc>
        <w:tc>
          <w:tcPr>
            <w:tcW w:w="58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02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767,998</w:t>
            </w:r>
          </w:p>
        </w:tc>
        <w:tc>
          <w:tcPr>
            <w:tcW w:w="22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700" w:type="dxa"/>
            <w:vAlign w:val="bottom"/>
            <w:shd w:val="clear" w:color="auto" w:fill="B2B2B2"/>
          </w:tcPr>
          <w:p>
            <w:pPr>
              <w:spacing w:after="0"/>
              <w:rPr>
                <w:sz w:val="18"/>
                <w:szCs w:val="18"/>
                <w:color w:val="auto"/>
              </w:rPr>
            </w:pPr>
          </w:p>
        </w:tc>
      </w:tr>
      <w:tr>
        <w:trPr>
          <w:trHeight w:val="215"/>
        </w:trPr>
        <w:tc>
          <w:tcPr>
            <w:tcW w:w="44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Other liabilities</w:t>
            </w:r>
          </w:p>
        </w:tc>
        <w:tc>
          <w:tcPr>
            <w:tcW w:w="5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56,646</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62,228</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r>
      <w:tr>
        <w:trPr>
          <w:trHeight w:val="209"/>
        </w:trPr>
        <w:tc>
          <w:tcPr>
            <w:tcW w:w="4460" w:type="dxa"/>
            <w:vAlign w:val="bottom"/>
            <w:shd w:val="clear" w:color="auto" w:fill="B2B2B2"/>
          </w:tcPr>
          <w:p>
            <w:pPr>
              <w:spacing w:after="0"/>
              <w:rPr>
                <w:sz w:val="20"/>
                <w:szCs w:val="20"/>
                <w:color w:val="auto"/>
              </w:rPr>
            </w:pPr>
            <w:r>
              <w:rPr>
                <w:rFonts w:ascii="Arial" w:cs="Arial" w:eastAsia="Arial" w:hAnsi="Arial"/>
                <w:sz w:val="18"/>
                <w:szCs w:val="18"/>
                <w:color w:val="auto"/>
              </w:rPr>
              <w:t>Total liabilities</w:t>
            </w:r>
          </w:p>
        </w:tc>
        <w:tc>
          <w:tcPr>
            <w:tcW w:w="58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060" w:type="dxa"/>
            <w:vAlign w:val="bottom"/>
            <w:shd w:val="clear" w:color="auto" w:fill="B2B2B2"/>
          </w:tcPr>
          <w:p>
            <w:pPr>
              <w:jc w:val="right"/>
              <w:ind w:right="50"/>
              <w:spacing w:after="0"/>
              <w:rPr>
                <w:sz w:val="20"/>
                <w:szCs w:val="20"/>
                <w:color w:val="auto"/>
              </w:rPr>
            </w:pPr>
            <w:r>
              <w:rPr>
                <w:rFonts w:ascii="Arial" w:cs="Arial" w:eastAsia="Arial" w:hAnsi="Arial"/>
                <w:sz w:val="18"/>
                <w:szCs w:val="18"/>
                <w:color w:val="auto"/>
              </w:rPr>
              <w:t>1,925,872</w:t>
            </w:r>
          </w:p>
        </w:tc>
        <w:tc>
          <w:tcPr>
            <w:tcW w:w="200" w:type="dxa"/>
            <w:vAlign w:val="bottom"/>
            <w:shd w:val="clear" w:color="auto" w:fill="B2B2B2"/>
          </w:tcPr>
          <w:p>
            <w:pPr>
              <w:spacing w:after="0"/>
              <w:rPr>
                <w:sz w:val="18"/>
                <w:szCs w:val="18"/>
                <w:color w:val="auto"/>
              </w:rPr>
            </w:pPr>
          </w:p>
        </w:tc>
        <w:tc>
          <w:tcPr>
            <w:tcW w:w="1000" w:type="dxa"/>
            <w:vAlign w:val="bottom"/>
            <w:shd w:val="clear" w:color="auto" w:fill="B2B2B2"/>
          </w:tcPr>
          <w:p>
            <w:pPr>
              <w:spacing w:after="0"/>
              <w:rPr>
                <w:sz w:val="18"/>
                <w:szCs w:val="18"/>
                <w:color w:val="auto"/>
              </w:rPr>
            </w:pPr>
          </w:p>
        </w:tc>
        <w:tc>
          <w:tcPr>
            <w:tcW w:w="58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02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1,534,767</w:t>
            </w:r>
          </w:p>
        </w:tc>
        <w:tc>
          <w:tcPr>
            <w:tcW w:w="22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700" w:type="dxa"/>
            <w:vAlign w:val="bottom"/>
            <w:shd w:val="clear" w:color="auto" w:fill="B2B2B2"/>
          </w:tcPr>
          <w:p>
            <w:pPr>
              <w:spacing w:after="0"/>
              <w:rPr>
                <w:sz w:val="18"/>
                <w:szCs w:val="18"/>
                <w:color w:val="auto"/>
              </w:rPr>
            </w:pPr>
          </w:p>
        </w:tc>
      </w:tr>
      <w:tr>
        <w:trPr>
          <w:trHeight w:val="215"/>
        </w:trPr>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Shareholders’ equity</w:t>
            </w:r>
          </w:p>
        </w:tc>
        <w:tc>
          <w:tcPr>
            <w:tcW w:w="5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258,695</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242,860</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r>
      <w:tr>
        <w:trPr>
          <w:trHeight w:val="209"/>
        </w:trPr>
        <w:tc>
          <w:tcPr>
            <w:tcW w:w="4460" w:type="dxa"/>
            <w:vAlign w:val="bottom"/>
            <w:tcBorders>
              <w:bottom w:val="single" w:sz="8" w:color="auto"/>
            </w:tcBorders>
            <w:shd w:val="clear" w:color="auto" w:fill="B2B2B2"/>
          </w:tcPr>
          <w:p>
            <w:pPr>
              <w:spacing w:after="0"/>
              <w:rPr>
                <w:sz w:val="20"/>
                <w:szCs w:val="20"/>
                <w:color w:val="auto"/>
              </w:rPr>
            </w:pPr>
            <w:r>
              <w:rPr>
                <w:rFonts w:ascii="Arial" w:cs="Arial" w:eastAsia="Arial" w:hAnsi="Arial"/>
                <w:sz w:val="18"/>
                <w:szCs w:val="18"/>
                <w:color w:val="auto"/>
              </w:rPr>
              <w:t>Total liabilities and shareholders’ equity</w:t>
            </w:r>
          </w:p>
        </w:tc>
        <w:tc>
          <w:tcPr>
            <w:tcW w:w="780" w:type="dxa"/>
            <w:vAlign w:val="bottom"/>
            <w:tcBorders>
              <w:bottom w:val="single" w:sz="8" w:color="auto"/>
            </w:tcBorders>
            <w:gridSpan w:val="2"/>
            <w:shd w:val="clear" w:color="auto" w:fill="B2B2B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B2B2B2"/>
          </w:tcPr>
          <w:p>
            <w:pPr>
              <w:jc w:val="right"/>
              <w:ind w:right="50"/>
              <w:spacing w:after="0"/>
              <w:rPr>
                <w:sz w:val="20"/>
                <w:szCs w:val="20"/>
                <w:color w:val="auto"/>
              </w:rPr>
            </w:pPr>
            <w:r>
              <w:rPr>
                <w:rFonts w:ascii="Arial" w:cs="Arial" w:eastAsia="Arial" w:hAnsi="Arial"/>
                <w:sz w:val="18"/>
                <w:szCs w:val="18"/>
                <w:color w:val="auto"/>
              </w:rPr>
              <w:t>2,184,567</w:t>
            </w:r>
          </w:p>
        </w:tc>
        <w:tc>
          <w:tcPr>
            <w:tcW w:w="200" w:type="dxa"/>
            <w:vAlign w:val="bottom"/>
            <w:tcBorders>
              <w:bottom w:val="single" w:sz="8" w:color="auto"/>
            </w:tcBorders>
            <w:shd w:val="clear" w:color="auto" w:fill="B2B2B2"/>
          </w:tcPr>
          <w:p>
            <w:pPr>
              <w:spacing w:after="0"/>
              <w:rPr>
                <w:sz w:val="18"/>
                <w:szCs w:val="18"/>
                <w:color w:val="auto"/>
              </w:rPr>
            </w:pPr>
          </w:p>
        </w:tc>
        <w:tc>
          <w:tcPr>
            <w:tcW w:w="1000" w:type="dxa"/>
            <w:vAlign w:val="bottom"/>
            <w:tcBorders>
              <w:bottom w:val="single" w:sz="8" w:color="auto"/>
            </w:tcBorders>
            <w:shd w:val="clear" w:color="auto" w:fill="B2B2B2"/>
          </w:tcPr>
          <w:p>
            <w:pPr>
              <w:spacing w:after="0"/>
              <w:rPr>
                <w:sz w:val="18"/>
                <w:szCs w:val="18"/>
                <w:color w:val="auto"/>
              </w:rPr>
            </w:pPr>
          </w:p>
        </w:tc>
        <w:tc>
          <w:tcPr>
            <w:tcW w:w="580" w:type="dxa"/>
            <w:vAlign w:val="bottom"/>
            <w:tcBorders>
              <w:bottom w:val="single" w:sz="8" w:color="auto"/>
            </w:tcBorders>
            <w:shd w:val="clear" w:color="auto" w:fill="B2B2B2"/>
          </w:tcPr>
          <w:p>
            <w:pPr>
              <w:spacing w:after="0"/>
              <w:rPr>
                <w:sz w:val="18"/>
                <w:szCs w:val="18"/>
                <w:color w:val="auto"/>
              </w:rPr>
            </w:pPr>
          </w:p>
        </w:tc>
        <w:tc>
          <w:tcPr>
            <w:tcW w:w="60" w:type="dxa"/>
            <w:vAlign w:val="bottom"/>
            <w:tcBorders>
              <w:bottom w:val="single" w:sz="8" w:color="auto"/>
            </w:tcBorders>
            <w:shd w:val="clear" w:color="auto" w:fill="B2B2B2"/>
          </w:tcPr>
          <w:p>
            <w:pPr>
              <w:spacing w:after="0"/>
              <w:rPr>
                <w:sz w:val="18"/>
                <w:szCs w:val="18"/>
                <w:color w:val="auto"/>
              </w:rPr>
            </w:pPr>
          </w:p>
        </w:tc>
        <w:tc>
          <w:tcPr>
            <w:tcW w:w="260" w:type="dxa"/>
            <w:vAlign w:val="bottom"/>
            <w:tcBorders>
              <w:bottom w:val="single" w:sz="8" w:color="auto"/>
            </w:tcBorders>
            <w:gridSpan w:val="2"/>
            <w:shd w:val="clear" w:color="auto" w:fill="B2B2B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B2B2B2"/>
          </w:tcPr>
          <w:p>
            <w:pPr>
              <w:jc w:val="right"/>
              <w:ind w:right="10"/>
              <w:spacing w:after="0"/>
              <w:rPr>
                <w:sz w:val="20"/>
                <w:szCs w:val="20"/>
                <w:color w:val="auto"/>
              </w:rPr>
            </w:pPr>
            <w:r>
              <w:rPr>
                <w:rFonts w:ascii="Arial" w:cs="Arial" w:eastAsia="Arial" w:hAnsi="Arial"/>
                <w:sz w:val="18"/>
                <w:szCs w:val="18"/>
                <w:color w:val="auto"/>
              </w:rPr>
              <w:t>1,777,627</w:t>
            </w:r>
          </w:p>
        </w:tc>
        <w:tc>
          <w:tcPr>
            <w:tcW w:w="220" w:type="dxa"/>
            <w:vAlign w:val="bottom"/>
            <w:tcBorders>
              <w:bottom w:val="single" w:sz="8" w:color="auto"/>
            </w:tcBorders>
            <w:shd w:val="clear" w:color="auto" w:fill="B2B2B2"/>
          </w:tcPr>
          <w:p>
            <w:pPr>
              <w:spacing w:after="0"/>
              <w:rPr>
                <w:sz w:val="18"/>
                <w:szCs w:val="18"/>
                <w:color w:val="auto"/>
              </w:rPr>
            </w:pPr>
          </w:p>
        </w:tc>
        <w:tc>
          <w:tcPr>
            <w:tcW w:w="900" w:type="dxa"/>
            <w:vAlign w:val="bottom"/>
            <w:tcBorders>
              <w:bottom w:val="single" w:sz="8" w:color="auto"/>
            </w:tcBorders>
            <w:shd w:val="clear" w:color="auto" w:fill="B2B2B2"/>
          </w:tcPr>
          <w:p>
            <w:pPr>
              <w:spacing w:after="0"/>
              <w:rPr>
                <w:sz w:val="18"/>
                <w:szCs w:val="18"/>
                <w:color w:val="auto"/>
              </w:rPr>
            </w:pPr>
          </w:p>
        </w:tc>
        <w:tc>
          <w:tcPr>
            <w:tcW w:w="700" w:type="dxa"/>
            <w:vAlign w:val="bottom"/>
            <w:tcBorders>
              <w:bottom w:val="single" w:sz="8" w:color="auto"/>
            </w:tcBorders>
            <w:shd w:val="clear" w:color="auto" w:fill="B2B2B2"/>
          </w:tcPr>
          <w:p>
            <w:pPr>
              <w:spacing w:after="0"/>
              <w:rPr>
                <w:sz w:val="18"/>
                <w:szCs w:val="18"/>
                <w:color w:val="auto"/>
              </w:rPr>
            </w:pPr>
          </w:p>
        </w:tc>
      </w:tr>
      <w:tr>
        <w:trPr>
          <w:trHeight w:val="209"/>
        </w:trPr>
        <w:tc>
          <w:tcPr>
            <w:tcW w:w="4460" w:type="dxa"/>
            <w:vAlign w:val="bottom"/>
          </w:tcPr>
          <w:p>
            <w:pPr>
              <w:spacing w:after="0"/>
              <w:rPr>
                <w:sz w:val="20"/>
                <w:szCs w:val="20"/>
                <w:color w:val="auto"/>
              </w:rPr>
            </w:pPr>
            <w:r>
              <w:rPr>
                <w:rFonts w:ascii="Arial" w:cs="Arial" w:eastAsia="Arial" w:hAnsi="Arial"/>
                <w:sz w:val="18"/>
                <w:szCs w:val="18"/>
                <w:color w:val="auto"/>
              </w:rPr>
              <w:t>Net interest income</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10,807</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11,857</w:t>
            </w:r>
          </w:p>
        </w:tc>
        <w:tc>
          <w:tcPr>
            <w:tcW w:w="700" w:type="dxa"/>
            <w:vAlign w:val="bottom"/>
          </w:tcPr>
          <w:p>
            <w:pPr>
              <w:spacing w:after="0"/>
              <w:rPr>
                <w:sz w:val="18"/>
                <w:szCs w:val="18"/>
                <w:color w:val="auto"/>
              </w:rPr>
            </w:pPr>
          </w:p>
        </w:tc>
      </w:tr>
      <w:tr>
        <w:trPr>
          <w:trHeight w:val="215"/>
        </w:trPr>
        <w:tc>
          <w:tcPr>
            <w:tcW w:w="4460" w:type="dxa"/>
            <w:vAlign w:val="bottom"/>
            <w:shd w:val="clear" w:color="auto" w:fill="B2B2B2"/>
          </w:tcPr>
          <w:p>
            <w:pPr>
              <w:spacing w:after="0"/>
              <w:rPr>
                <w:sz w:val="20"/>
                <w:szCs w:val="20"/>
                <w:color w:val="auto"/>
              </w:rPr>
            </w:pPr>
            <w:r>
              <w:rPr>
                <w:rFonts w:ascii="Arial" w:cs="Arial" w:eastAsia="Arial" w:hAnsi="Arial"/>
                <w:sz w:val="18"/>
                <w:szCs w:val="18"/>
                <w:color w:val="auto"/>
              </w:rPr>
              <w:t>Net interest margin</w:t>
            </w:r>
          </w:p>
        </w:tc>
        <w:tc>
          <w:tcPr>
            <w:tcW w:w="58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06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000" w:type="dxa"/>
            <w:vAlign w:val="bottom"/>
            <w:shd w:val="clear" w:color="auto" w:fill="B2B2B2"/>
          </w:tcPr>
          <w:p>
            <w:pPr>
              <w:spacing w:after="0"/>
              <w:rPr>
                <w:sz w:val="18"/>
                <w:szCs w:val="18"/>
                <w:color w:val="auto"/>
              </w:rPr>
            </w:pPr>
          </w:p>
        </w:tc>
        <w:tc>
          <w:tcPr>
            <w:tcW w:w="5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2.32%</w:t>
            </w:r>
          </w:p>
        </w:tc>
        <w:tc>
          <w:tcPr>
            <w:tcW w:w="6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02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700" w:type="dxa"/>
            <w:vAlign w:val="bottom"/>
            <w:shd w:val="clear" w:color="auto" w:fill="B2B2B2"/>
          </w:tcPr>
          <w:p>
            <w:pPr>
              <w:ind w:left="220"/>
              <w:spacing w:after="0"/>
              <w:rPr>
                <w:sz w:val="20"/>
                <w:szCs w:val="20"/>
                <w:color w:val="auto"/>
              </w:rPr>
            </w:pPr>
            <w:r>
              <w:rPr>
                <w:rFonts w:ascii="Arial" w:cs="Arial" w:eastAsia="Arial" w:hAnsi="Arial"/>
                <w:sz w:val="18"/>
                <w:szCs w:val="18"/>
                <w:color w:val="auto"/>
                <w:w w:val="90"/>
              </w:rPr>
              <w:t>3.21%</w:t>
            </w: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Interest spread</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2.15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0" w:type="dxa"/>
            <w:vAlign w:val="bottom"/>
          </w:tcPr>
          <w:p>
            <w:pPr>
              <w:ind w:left="220"/>
              <w:spacing w:after="0"/>
              <w:rPr>
                <w:sz w:val="20"/>
                <w:szCs w:val="20"/>
                <w:color w:val="auto"/>
              </w:rPr>
            </w:pPr>
            <w:r>
              <w:rPr>
                <w:rFonts w:ascii="Arial" w:cs="Arial" w:eastAsia="Arial" w:hAnsi="Arial"/>
                <w:sz w:val="18"/>
                <w:szCs w:val="18"/>
                <w:color w:val="auto"/>
              </w:rPr>
              <w:t>2.52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955" cy="25400"/>
                    </a:xfrm>
                    <a:prstGeom prst="rect">
                      <a:avLst/>
                    </a:prstGeom>
                    <a:noFill/>
                  </pic:spPr>
                </pic:pic>
              </a:graphicData>
            </a:graphic>
          </wp:anchor>
        </w:drawing>
      </w:r>
    </w:p>
    <w:p>
      <w:pPr>
        <w:ind w:left="220" w:hanging="212"/>
        <w:spacing w:after="0" w:line="229" w:lineRule="auto"/>
        <w:tabs>
          <w:tab w:leader="none" w:pos="220" w:val="left"/>
        </w:tabs>
        <w:numPr>
          <w:ilvl w:val="0"/>
          <w:numId w:val="7"/>
        </w:numPr>
        <w:rPr>
          <w:rFonts w:ascii="Arial" w:cs="Arial" w:eastAsia="Arial" w:hAnsi="Arial"/>
          <w:sz w:val="14"/>
          <w:szCs w:val="14"/>
          <w:color w:val="auto"/>
        </w:rPr>
      </w:pPr>
      <w:r>
        <w:rPr>
          <w:rFonts w:ascii="Arial" w:cs="Arial" w:eastAsia="Arial" w:hAnsi="Arial"/>
          <w:sz w:val="14"/>
          <w:szCs w:val="14"/>
          <w:color w:val="auto"/>
        </w:rPr>
        <w:t>Balances shown are daily averages.</w:t>
      </w:r>
    </w:p>
    <w:p>
      <w:pPr>
        <w:ind w:left="220" w:hanging="212"/>
        <w:spacing w:after="0" w:line="220" w:lineRule="auto"/>
        <w:tabs>
          <w:tab w:leader="none" w:pos="22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Interest income on loans includes net loan fees of $901,000 and $156,000 for the First Quarter of 2021 and 2020, respectively due to higher PPP fees.</w:t>
      </w:r>
    </w:p>
    <w:p>
      <w:pPr>
        <w:ind w:left="220" w:hanging="212"/>
        <w:spacing w:after="0" w:line="220" w:lineRule="auto"/>
        <w:tabs>
          <w:tab w:leader="none" w:pos="22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Interest income is presented on a tax-equivalent basis assuming a tax rate of 21%. The tax-equivalent adjustment was approximately $462,000 and $484,000 for the First Quarter of 2021 and 2020, respectively.</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7"/>
        </w:numPr>
        <w:rPr>
          <w:rFonts w:ascii="Arial" w:cs="Arial" w:eastAsia="Arial" w:hAnsi="Arial"/>
          <w:sz w:val="14"/>
          <w:szCs w:val="14"/>
          <w:color w:val="auto"/>
        </w:rPr>
      </w:pPr>
      <w:r>
        <w:rPr>
          <w:rFonts w:ascii="Arial" w:cs="Arial" w:eastAsia="Arial" w:hAnsi="Arial"/>
          <w:sz w:val="14"/>
          <w:szCs w:val="14"/>
          <w:color w:val="auto"/>
        </w:rPr>
        <w:t>For purposes of these computations, yields on investment securities are computed as interest income divided by the average amortized cost of the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95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8355" cy="596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8355" cy="5969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Net Interest Income Changes</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tables present the changes in interest income and expense between periods due to changes in volume and interest rates. That portion of the change in interest attributable to the combined rate/volume variance has been allocated to rate and volume changes in proportion to the absolute dollar amounts of the change in each.</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40" w:type="dxa"/>
            <w:vAlign w:val="bottom"/>
            <w:gridSpan w:val="4"/>
          </w:tcPr>
          <w:p>
            <w:pPr>
              <w:jc w:val="center"/>
              <w:ind w:left="650"/>
              <w:spacing w:after="0"/>
              <w:rPr>
                <w:sz w:val="20"/>
                <w:szCs w:val="20"/>
                <w:color w:val="auto"/>
              </w:rPr>
            </w:pPr>
            <w:r>
              <w:rPr>
                <w:rFonts w:ascii="Arial" w:cs="Arial" w:eastAsia="Arial" w:hAnsi="Arial"/>
                <w:sz w:val="18"/>
                <w:szCs w:val="18"/>
                <w:b w:val="1"/>
                <w:bCs w:val="1"/>
                <w:color w:val="auto"/>
                <w:w w:val="92"/>
              </w:rPr>
              <w:t>First Quarter of 2021 Over</w:t>
            </w:r>
          </w:p>
        </w:tc>
        <w:tc>
          <w:tcPr>
            <w:tcW w:w="980" w:type="dxa"/>
            <w:vAlign w:val="bottom"/>
          </w:tcPr>
          <w:p>
            <w:pPr>
              <w:spacing w:after="0"/>
              <w:rPr>
                <w:sz w:val="18"/>
                <w:szCs w:val="18"/>
                <w:color w:val="auto"/>
              </w:rPr>
            </w:pPr>
          </w:p>
        </w:tc>
      </w:tr>
      <w:tr>
        <w:trPr>
          <w:trHeight w:val="241"/>
        </w:trPr>
        <w:tc>
          <w:tcPr>
            <w:tcW w:w="55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4"/>
          </w:tcPr>
          <w:p>
            <w:pPr>
              <w:jc w:val="center"/>
              <w:ind w:left="670"/>
              <w:spacing w:after="0"/>
              <w:rPr>
                <w:sz w:val="20"/>
                <w:szCs w:val="20"/>
                <w:color w:val="auto"/>
              </w:rPr>
            </w:pPr>
            <w:r>
              <w:rPr>
                <w:rFonts w:ascii="Arial" w:cs="Arial" w:eastAsia="Arial" w:hAnsi="Arial"/>
                <w:sz w:val="18"/>
                <w:szCs w:val="18"/>
                <w:b w:val="1"/>
                <w:bCs w:val="1"/>
                <w:color w:val="auto"/>
                <w:w w:val="93"/>
              </w:rPr>
              <w:t>First Quarter of 2020</w:t>
            </w:r>
          </w:p>
        </w:tc>
        <w:tc>
          <w:tcPr>
            <w:tcW w:w="980" w:type="dxa"/>
            <w:vAlign w:val="bottom"/>
            <w:tcBorders>
              <w:bottom w:val="single" w:sz="8" w:color="auto"/>
            </w:tcBorders>
          </w:tcPr>
          <w:p>
            <w:pPr>
              <w:spacing w:after="0"/>
              <w:rPr>
                <w:sz w:val="20"/>
                <w:szCs w:val="20"/>
                <w:color w:val="auto"/>
              </w:rPr>
            </w:pPr>
          </w:p>
        </w:tc>
      </w:tr>
      <w:tr>
        <w:trPr>
          <w:trHeight w:val="222"/>
        </w:trPr>
        <w:tc>
          <w:tcPr>
            <w:tcW w:w="5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4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Volume</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2"/>
              </w:rPr>
              <w:t>Rate</w:t>
            </w: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15"/>
        </w:trPr>
        <w:tc>
          <w:tcPr>
            <w:tcW w:w="5520" w:type="dxa"/>
            <w:vAlign w:val="bottom"/>
            <w:shd w:val="clear" w:color="auto" w:fill="B2B2B2"/>
          </w:tcPr>
          <w:p>
            <w:pPr>
              <w:spacing w:after="0"/>
              <w:rPr>
                <w:sz w:val="20"/>
                <w:szCs w:val="20"/>
                <w:color w:val="auto"/>
              </w:rPr>
            </w:pPr>
            <w:r>
              <w:rPr>
                <w:rFonts w:ascii="Arial" w:cs="Arial" w:eastAsia="Arial" w:hAnsi="Arial"/>
                <w:sz w:val="18"/>
                <w:szCs w:val="18"/>
                <w:color w:val="auto"/>
              </w:rPr>
              <w:t>Increase (decrease) in interest income:</w:t>
            </w:r>
          </w:p>
        </w:tc>
        <w:tc>
          <w:tcPr>
            <w:tcW w:w="146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1160" w:type="dxa"/>
            <w:vAlign w:val="bottom"/>
            <w:shd w:val="clear" w:color="auto" w:fill="B2B2B2"/>
          </w:tcPr>
          <w:p>
            <w:pPr>
              <w:spacing w:after="0"/>
              <w:rPr>
                <w:sz w:val="18"/>
                <w:szCs w:val="18"/>
                <w:color w:val="auto"/>
              </w:rPr>
            </w:pPr>
          </w:p>
        </w:tc>
        <w:tc>
          <w:tcPr>
            <w:tcW w:w="380" w:type="dxa"/>
            <w:vAlign w:val="bottom"/>
            <w:shd w:val="clear" w:color="auto" w:fill="B2B2B2"/>
          </w:tcPr>
          <w:p>
            <w:pPr>
              <w:spacing w:after="0"/>
              <w:rPr>
                <w:sz w:val="18"/>
                <w:szCs w:val="18"/>
                <w:color w:val="auto"/>
              </w:rPr>
            </w:pPr>
          </w:p>
        </w:tc>
        <w:tc>
          <w:tcPr>
            <w:tcW w:w="1060" w:type="dxa"/>
            <w:vAlign w:val="bottom"/>
            <w:shd w:val="clear" w:color="auto" w:fill="B2B2B2"/>
          </w:tcPr>
          <w:p>
            <w:pPr>
              <w:spacing w:after="0"/>
              <w:rPr>
                <w:sz w:val="18"/>
                <w:szCs w:val="18"/>
                <w:color w:val="auto"/>
              </w:rPr>
            </w:pPr>
          </w:p>
        </w:tc>
        <w:tc>
          <w:tcPr>
            <w:tcW w:w="440" w:type="dxa"/>
            <w:vAlign w:val="bottom"/>
            <w:shd w:val="clear" w:color="auto" w:fill="B2B2B2"/>
          </w:tcPr>
          <w:p>
            <w:pPr>
              <w:spacing w:after="0"/>
              <w:rPr>
                <w:sz w:val="18"/>
                <w:szCs w:val="18"/>
                <w:color w:val="auto"/>
              </w:rPr>
            </w:pPr>
          </w:p>
        </w:tc>
        <w:tc>
          <w:tcPr>
            <w:tcW w:w="980" w:type="dxa"/>
            <w:vAlign w:val="bottom"/>
            <w:shd w:val="clear" w:color="auto" w:fill="B2B2B2"/>
          </w:tcPr>
          <w:p>
            <w:pPr>
              <w:spacing w:after="0"/>
              <w:rPr>
                <w:sz w:val="18"/>
                <w:szCs w:val="18"/>
                <w:color w:val="auto"/>
              </w:rPr>
            </w:pPr>
          </w:p>
        </w:tc>
      </w:tr>
      <w:tr>
        <w:trPr>
          <w:trHeight w:val="256"/>
        </w:trPr>
        <w:tc>
          <w:tcPr>
            <w:tcW w:w="5520" w:type="dxa"/>
            <w:vAlign w:val="bottom"/>
          </w:tcPr>
          <w:p>
            <w:pPr>
              <w:ind w:left="180"/>
              <w:spacing w:after="0" w:line="256" w:lineRule="exact"/>
              <w:rPr>
                <w:sz w:val="20"/>
                <w:szCs w:val="20"/>
                <w:color w:val="auto"/>
              </w:rPr>
            </w:pPr>
            <w:r>
              <w:rPr>
                <w:rFonts w:ascii="Arial" w:cs="Arial" w:eastAsia="Arial" w:hAnsi="Arial"/>
                <w:sz w:val="18"/>
                <w:szCs w:val="18"/>
                <w:color w:val="auto"/>
              </w:rPr>
              <w:t>Loans</w:t>
            </w:r>
            <w:r>
              <w:rPr>
                <w:rFonts w:ascii="Arial" w:cs="Arial" w:eastAsia="Arial" w:hAnsi="Arial"/>
                <w:sz w:val="29"/>
                <w:szCs w:val="29"/>
                <w:color w:val="auto"/>
                <w:vertAlign w:val="superscript"/>
              </w:rPr>
              <w:t>1</w:t>
            </w:r>
            <w:r>
              <w:rPr>
                <w:rFonts w:ascii="Arial" w:cs="Arial" w:eastAsia="Arial" w:hAnsi="Arial"/>
                <w:sz w:val="18"/>
                <w:szCs w:val="18"/>
                <w:color w:val="auto"/>
              </w:rPr>
              <w:t>:</w:t>
            </w:r>
          </w:p>
        </w:tc>
        <w:tc>
          <w:tcPr>
            <w:tcW w:w="1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15"/>
        </w:trPr>
        <w:tc>
          <w:tcPr>
            <w:tcW w:w="5520" w:type="dxa"/>
            <w:vAlign w:val="bottom"/>
            <w:shd w:val="clear" w:color="auto" w:fill="B2B2B2"/>
          </w:tcPr>
          <w:p>
            <w:pPr>
              <w:ind w:left="360"/>
              <w:spacing w:after="0"/>
              <w:rPr>
                <w:sz w:val="20"/>
                <w:szCs w:val="20"/>
                <w:color w:val="auto"/>
              </w:rPr>
            </w:pPr>
            <w:r>
              <w:rPr>
                <w:rFonts w:ascii="Arial" w:cs="Arial" w:eastAsia="Arial" w:hAnsi="Arial"/>
                <w:sz w:val="18"/>
                <w:szCs w:val="18"/>
                <w:color w:val="auto"/>
              </w:rPr>
              <w:t>Taxable</w:t>
            </w:r>
          </w:p>
        </w:tc>
        <w:tc>
          <w:tcPr>
            <w:tcW w:w="1700" w:type="dxa"/>
            <w:vAlign w:val="bottom"/>
            <w:gridSpan w:val="2"/>
            <w:shd w:val="clear" w:color="auto" w:fill="B2B2B2"/>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B2B2B2"/>
          </w:tcPr>
          <w:p>
            <w:pPr>
              <w:jc w:val="right"/>
              <w:ind w:right="50"/>
              <w:spacing w:after="0"/>
              <w:rPr>
                <w:sz w:val="20"/>
                <w:szCs w:val="20"/>
                <w:color w:val="auto"/>
              </w:rPr>
            </w:pPr>
            <w:r>
              <w:rPr>
                <w:rFonts w:ascii="Arial" w:cs="Arial" w:eastAsia="Arial" w:hAnsi="Arial"/>
                <w:sz w:val="18"/>
                <w:szCs w:val="18"/>
                <w:color w:val="auto"/>
              </w:rPr>
              <w:t>825</w:t>
            </w:r>
          </w:p>
        </w:tc>
        <w:tc>
          <w:tcPr>
            <w:tcW w:w="380" w:type="dxa"/>
            <w:vAlign w:val="bottom"/>
            <w:shd w:val="clear" w:color="auto" w:fill="B2B2B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(1,239)</w:t>
            </w:r>
          </w:p>
        </w:tc>
        <w:tc>
          <w:tcPr>
            <w:tcW w:w="440" w:type="dxa"/>
            <w:vAlign w:val="bottom"/>
            <w:shd w:val="clear" w:color="auto" w:fill="B2B2B2"/>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(414 )</w:t>
            </w:r>
          </w:p>
        </w:tc>
      </w:tr>
      <w:tr>
        <w:trPr>
          <w:trHeight w:val="215"/>
        </w:trPr>
        <w:tc>
          <w:tcPr>
            <w:tcW w:w="5520" w:type="dxa"/>
            <w:vAlign w:val="bottom"/>
          </w:tcPr>
          <w:p>
            <w:pPr>
              <w:ind w:left="180"/>
              <w:spacing w:after="0"/>
              <w:rPr>
                <w:sz w:val="20"/>
                <w:szCs w:val="20"/>
                <w:color w:val="auto"/>
              </w:rPr>
            </w:pPr>
            <w:r>
              <w:rPr>
                <w:rFonts w:ascii="Arial" w:cs="Arial" w:eastAsia="Arial" w:hAnsi="Arial"/>
                <w:sz w:val="18"/>
                <w:szCs w:val="18"/>
                <w:color w:val="auto"/>
              </w:rPr>
              <w:t>Investment securities:</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5"/>
        </w:trPr>
        <w:tc>
          <w:tcPr>
            <w:tcW w:w="5520" w:type="dxa"/>
            <w:vAlign w:val="bottom"/>
            <w:shd w:val="clear" w:color="auto" w:fill="B2B2B2"/>
          </w:tcPr>
          <w:p>
            <w:pPr>
              <w:ind w:left="360"/>
              <w:spacing w:after="0"/>
              <w:rPr>
                <w:sz w:val="20"/>
                <w:szCs w:val="20"/>
                <w:color w:val="auto"/>
              </w:rPr>
            </w:pPr>
            <w:r>
              <w:rPr>
                <w:rFonts w:ascii="Arial" w:cs="Arial" w:eastAsia="Arial" w:hAnsi="Arial"/>
                <w:sz w:val="18"/>
                <w:szCs w:val="18"/>
                <w:color w:val="auto"/>
              </w:rPr>
              <w:t>Taxable</w:t>
            </w:r>
          </w:p>
        </w:tc>
        <w:tc>
          <w:tcPr>
            <w:tcW w:w="146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11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(67)</w:t>
            </w:r>
          </w:p>
        </w:tc>
        <w:tc>
          <w:tcPr>
            <w:tcW w:w="380" w:type="dxa"/>
            <w:vAlign w:val="bottom"/>
            <w:shd w:val="clear" w:color="auto" w:fill="B2B2B2"/>
          </w:tcPr>
          <w:p>
            <w:pPr>
              <w:spacing w:after="0"/>
              <w:rPr>
                <w:sz w:val="18"/>
                <w:szCs w:val="18"/>
                <w:color w:val="auto"/>
              </w:rPr>
            </w:pPr>
          </w:p>
        </w:tc>
        <w:tc>
          <w:tcPr>
            <w:tcW w:w="10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(292)</w:t>
            </w:r>
          </w:p>
        </w:tc>
        <w:tc>
          <w:tcPr>
            <w:tcW w:w="44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(359)</w:t>
            </w:r>
          </w:p>
        </w:tc>
      </w:tr>
      <w:tr>
        <w:trPr>
          <w:trHeight w:val="256"/>
        </w:trPr>
        <w:tc>
          <w:tcPr>
            <w:tcW w:w="5520" w:type="dxa"/>
            <w:vAlign w:val="bottom"/>
          </w:tcPr>
          <w:p>
            <w:pPr>
              <w:ind w:left="360"/>
              <w:spacing w:after="0" w:line="256" w:lineRule="exact"/>
              <w:rPr>
                <w:sz w:val="20"/>
                <w:szCs w:val="20"/>
                <w:color w:val="auto"/>
              </w:rPr>
            </w:pPr>
            <w:r>
              <w:rPr>
                <w:rFonts w:ascii="Arial" w:cs="Arial" w:eastAsia="Arial" w:hAnsi="Arial"/>
                <w:sz w:val="18"/>
                <w:szCs w:val="18"/>
                <w:color w:val="auto"/>
              </w:rPr>
              <w:t>Tax-exempt</w:t>
            </w:r>
            <w:r>
              <w:rPr>
                <w:rFonts w:ascii="Arial" w:cs="Arial" w:eastAsia="Arial" w:hAnsi="Arial"/>
                <w:sz w:val="29"/>
                <w:szCs w:val="29"/>
                <w:color w:val="auto"/>
                <w:vertAlign w:val="superscript"/>
              </w:rPr>
              <w:t>2</w:t>
            </w:r>
          </w:p>
        </w:tc>
        <w:tc>
          <w:tcPr>
            <w:tcW w:w="1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(81)</w:t>
            </w:r>
          </w:p>
        </w:tc>
        <w:tc>
          <w:tcPr>
            <w:tcW w:w="3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w:t>
            </w:r>
          </w:p>
        </w:tc>
        <w:tc>
          <w:tcPr>
            <w:tcW w:w="4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5"/>
        </w:trPr>
        <w:tc>
          <w:tcPr>
            <w:tcW w:w="5520" w:type="dxa"/>
            <w:vAlign w:val="bottom"/>
            <w:shd w:val="clear" w:color="auto" w:fill="B2B2B2"/>
          </w:tcPr>
          <w:p>
            <w:pPr>
              <w:ind w:left="180"/>
              <w:spacing w:after="0"/>
              <w:rPr>
                <w:sz w:val="20"/>
                <w:szCs w:val="20"/>
                <w:color w:val="auto"/>
              </w:rPr>
            </w:pPr>
            <w:r>
              <w:rPr>
                <w:rFonts w:ascii="Arial" w:cs="Arial" w:eastAsia="Arial" w:hAnsi="Arial"/>
                <w:sz w:val="18"/>
                <w:szCs w:val="18"/>
                <w:color w:val="auto"/>
              </w:rPr>
              <w:t>Certificates of deposit</w:t>
            </w:r>
          </w:p>
        </w:tc>
        <w:tc>
          <w:tcPr>
            <w:tcW w:w="146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11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w:t>
            </w:r>
          </w:p>
        </w:tc>
        <w:tc>
          <w:tcPr>
            <w:tcW w:w="380" w:type="dxa"/>
            <w:vAlign w:val="bottom"/>
            <w:shd w:val="clear" w:color="auto" w:fill="B2B2B2"/>
          </w:tcPr>
          <w:p>
            <w:pPr>
              <w:spacing w:after="0"/>
              <w:rPr>
                <w:sz w:val="18"/>
                <w:szCs w:val="18"/>
                <w:color w:val="auto"/>
              </w:rPr>
            </w:pPr>
          </w:p>
        </w:tc>
        <w:tc>
          <w:tcPr>
            <w:tcW w:w="106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w:t>
            </w:r>
          </w:p>
        </w:tc>
      </w:tr>
      <w:tr>
        <w:trPr>
          <w:trHeight w:val="215"/>
        </w:trPr>
        <w:tc>
          <w:tcPr>
            <w:tcW w:w="5520" w:type="dxa"/>
            <w:vAlign w:val="bottom"/>
          </w:tcPr>
          <w:p>
            <w:pPr>
              <w:ind w:left="180"/>
              <w:spacing w:after="0"/>
              <w:rPr>
                <w:sz w:val="20"/>
                <w:szCs w:val="20"/>
                <w:color w:val="auto"/>
              </w:rPr>
            </w:pPr>
            <w:r>
              <w:rPr>
                <w:rFonts w:ascii="Arial" w:cs="Arial" w:eastAsia="Arial" w:hAnsi="Arial"/>
                <w:sz w:val="18"/>
                <w:szCs w:val="18"/>
                <w:color w:val="auto"/>
              </w:rPr>
              <w:t>Interest-bearing deposits in other financial institutions</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356</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(599)</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(243)</w:t>
            </w:r>
          </w:p>
        </w:tc>
      </w:tr>
      <w:tr>
        <w:trPr>
          <w:trHeight w:val="215"/>
        </w:trPr>
        <w:tc>
          <w:tcPr>
            <w:tcW w:w="5520" w:type="dxa"/>
            <w:vAlign w:val="bottom"/>
            <w:tcBorders>
              <w:bottom w:val="single" w:sz="8" w:color="B2B2B2"/>
            </w:tcBorders>
            <w:shd w:val="clear" w:color="auto" w:fill="B2B2B2"/>
          </w:tcPr>
          <w:p>
            <w:pPr>
              <w:ind w:left="180"/>
              <w:spacing w:after="0"/>
              <w:rPr>
                <w:sz w:val="20"/>
                <w:szCs w:val="20"/>
                <w:color w:val="auto"/>
              </w:rPr>
            </w:pPr>
            <w:r>
              <w:rPr>
                <w:rFonts w:ascii="Arial" w:cs="Arial" w:eastAsia="Arial" w:hAnsi="Arial"/>
                <w:sz w:val="18"/>
                <w:szCs w:val="18"/>
                <w:color w:val="auto"/>
              </w:rPr>
              <w:t>Federal funds sold and other short-term investments</w:t>
            </w:r>
          </w:p>
        </w:tc>
        <w:tc>
          <w:tcPr>
            <w:tcW w:w="1460" w:type="dxa"/>
            <w:vAlign w:val="bottom"/>
            <w:tcBorders>
              <w:bottom w:val="single" w:sz="8" w:color="B2B2B2"/>
            </w:tcBorders>
            <w:shd w:val="clear" w:color="auto" w:fill="B2B2B2"/>
          </w:tcPr>
          <w:p>
            <w:pPr>
              <w:spacing w:after="0"/>
              <w:rPr>
                <w:sz w:val="18"/>
                <w:szCs w:val="18"/>
                <w:color w:val="auto"/>
              </w:rPr>
            </w:pPr>
          </w:p>
        </w:tc>
        <w:tc>
          <w:tcPr>
            <w:tcW w:w="240" w:type="dxa"/>
            <w:vAlign w:val="bottom"/>
            <w:tcBorders>
              <w:bottom w:val="single" w:sz="8" w:color="auto"/>
            </w:tcBorders>
            <w:shd w:val="clear" w:color="auto" w:fill="B2B2B2"/>
          </w:tcPr>
          <w:p>
            <w:pPr>
              <w:spacing w:after="0"/>
              <w:rPr>
                <w:sz w:val="18"/>
                <w:szCs w:val="18"/>
                <w:color w:val="auto"/>
              </w:rPr>
            </w:pPr>
          </w:p>
        </w:tc>
        <w:tc>
          <w:tcPr>
            <w:tcW w:w="116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(232)</w:t>
            </w:r>
          </w:p>
        </w:tc>
        <w:tc>
          <w:tcPr>
            <w:tcW w:w="380" w:type="dxa"/>
            <w:vAlign w:val="bottom"/>
            <w:tcBorders>
              <w:bottom w:val="single" w:sz="8" w:color="auto"/>
            </w:tcBorders>
            <w:shd w:val="clear" w:color="auto" w:fill="B2B2B2"/>
          </w:tcPr>
          <w:p>
            <w:pPr>
              <w:spacing w:after="0"/>
              <w:rPr>
                <w:sz w:val="18"/>
                <w:szCs w:val="18"/>
                <w:color w:val="auto"/>
              </w:rPr>
            </w:pPr>
          </w:p>
        </w:tc>
        <w:tc>
          <w:tcPr>
            <w:tcW w:w="106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(331)</w:t>
            </w:r>
          </w:p>
        </w:tc>
        <w:tc>
          <w:tcPr>
            <w:tcW w:w="440" w:type="dxa"/>
            <w:vAlign w:val="bottom"/>
            <w:tcBorders>
              <w:bottom w:val="single" w:sz="8" w:color="auto"/>
            </w:tcBorders>
            <w:shd w:val="clear" w:color="auto" w:fill="B2B2B2"/>
          </w:tcPr>
          <w:p>
            <w:pPr>
              <w:spacing w:after="0"/>
              <w:rPr>
                <w:sz w:val="18"/>
                <w:szCs w:val="18"/>
                <w:color w:val="auto"/>
              </w:rPr>
            </w:pPr>
          </w:p>
        </w:tc>
        <w:tc>
          <w:tcPr>
            <w:tcW w:w="9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(563)</w:t>
            </w:r>
          </w:p>
        </w:tc>
      </w:tr>
      <w:tr>
        <w:trPr>
          <w:trHeight w:val="209"/>
        </w:trPr>
        <w:tc>
          <w:tcPr>
            <w:tcW w:w="5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interest income</w:t>
            </w:r>
          </w:p>
        </w:tc>
        <w:tc>
          <w:tcPr>
            <w:tcW w:w="14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798</w:t>
            </w: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(2,482)</w:t>
            </w:r>
          </w:p>
        </w:tc>
        <w:tc>
          <w:tcPr>
            <w:tcW w:w="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(1,684)</w:t>
            </w:r>
          </w:p>
        </w:tc>
      </w:tr>
      <w:tr>
        <w:trPr>
          <w:trHeight w:val="209"/>
        </w:trPr>
        <w:tc>
          <w:tcPr>
            <w:tcW w:w="5520" w:type="dxa"/>
            <w:vAlign w:val="bottom"/>
            <w:shd w:val="clear" w:color="auto" w:fill="B2B2B2"/>
          </w:tcPr>
          <w:p>
            <w:pPr>
              <w:spacing w:after="0"/>
              <w:rPr>
                <w:sz w:val="20"/>
                <w:szCs w:val="20"/>
                <w:color w:val="auto"/>
              </w:rPr>
            </w:pPr>
            <w:r>
              <w:rPr>
                <w:rFonts w:ascii="Arial" w:cs="Arial" w:eastAsia="Arial" w:hAnsi="Arial"/>
                <w:sz w:val="18"/>
                <w:szCs w:val="18"/>
                <w:color w:val="auto"/>
              </w:rPr>
              <w:t>Interest expense on:</w:t>
            </w:r>
          </w:p>
        </w:tc>
        <w:tc>
          <w:tcPr>
            <w:tcW w:w="146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1160" w:type="dxa"/>
            <w:vAlign w:val="bottom"/>
            <w:shd w:val="clear" w:color="auto" w:fill="B2B2B2"/>
          </w:tcPr>
          <w:p>
            <w:pPr>
              <w:spacing w:after="0"/>
              <w:rPr>
                <w:sz w:val="18"/>
                <w:szCs w:val="18"/>
                <w:color w:val="auto"/>
              </w:rPr>
            </w:pPr>
          </w:p>
        </w:tc>
        <w:tc>
          <w:tcPr>
            <w:tcW w:w="380" w:type="dxa"/>
            <w:vAlign w:val="bottom"/>
            <w:shd w:val="clear" w:color="auto" w:fill="B2B2B2"/>
          </w:tcPr>
          <w:p>
            <w:pPr>
              <w:spacing w:after="0"/>
              <w:rPr>
                <w:sz w:val="18"/>
                <w:szCs w:val="18"/>
                <w:color w:val="auto"/>
              </w:rPr>
            </w:pPr>
          </w:p>
        </w:tc>
        <w:tc>
          <w:tcPr>
            <w:tcW w:w="1060" w:type="dxa"/>
            <w:vAlign w:val="bottom"/>
            <w:shd w:val="clear" w:color="auto" w:fill="B2B2B2"/>
          </w:tcPr>
          <w:p>
            <w:pPr>
              <w:spacing w:after="0"/>
              <w:rPr>
                <w:sz w:val="18"/>
                <w:szCs w:val="18"/>
                <w:color w:val="auto"/>
              </w:rPr>
            </w:pPr>
          </w:p>
        </w:tc>
        <w:tc>
          <w:tcPr>
            <w:tcW w:w="440" w:type="dxa"/>
            <w:vAlign w:val="bottom"/>
            <w:shd w:val="clear" w:color="auto" w:fill="B2B2B2"/>
          </w:tcPr>
          <w:p>
            <w:pPr>
              <w:spacing w:after="0"/>
              <w:rPr>
                <w:sz w:val="18"/>
                <w:szCs w:val="18"/>
                <w:color w:val="auto"/>
              </w:rPr>
            </w:pPr>
          </w:p>
        </w:tc>
        <w:tc>
          <w:tcPr>
            <w:tcW w:w="980" w:type="dxa"/>
            <w:vAlign w:val="bottom"/>
            <w:shd w:val="clear" w:color="auto" w:fill="B2B2B2"/>
          </w:tcPr>
          <w:p>
            <w:pPr>
              <w:spacing w:after="0"/>
              <w:rPr>
                <w:sz w:val="18"/>
                <w:szCs w:val="18"/>
                <w:color w:val="auto"/>
              </w:rPr>
            </w:pPr>
          </w:p>
        </w:tc>
      </w:tr>
      <w:tr>
        <w:trPr>
          <w:trHeight w:val="215"/>
        </w:trPr>
        <w:tc>
          <w:tcPr>
            <w:tcW w:w="5520" w:type="dxa"/>
            <w:vAlign w:val="bottom"/>
          </w:tcPr>
          <w:p>
            <w:pPr>
              <w:ind w:left="180"/>
              <w:spacing w:after="0"/>
              <w:rPr>
                <w:sz w:val="20"/>
                <w:szCs w:val="20"/>
                <w:color w:val="auto"/>
              </w:rPr>
            </w:pPr>
            <w:r>
              <w:rPr>
                <w:rFonts w:ascii="Arial" w:cs="Arial" w:eastAsia="Arial" w:hAnsi="Arial"/>
                <w:sz w:val="18"/>
                <w:szCs w:val="18"/>
                <w:color w:val="auto"/>
              </w:rPr>
              <w:t>Interest-bearing demand deposits</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198</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(680)</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(482)</w:t>
            </w:r>
          </w:p>
        </w:tc>
      </w:tr>
      <w:tr>
        <w:trPr>
          <w:trHeight w:val="215"/>
        </w:trPr>
        <w:tc>
          <w:tcPr>
            <w:tcW w:w="5520" w:type="dxa"/>
            <w:vAlign w:val="bottom"/>
            <w:shd w:val="clear" w:color="auto" w:fill="B2B2B2"/>
          </w:tcPr>
          <w:p>
            <w:pPr>
              <w:ind w:left="180"/>
              <w:spacing w:after="0"/>
              <w:rPr>
                <w:sz w:val="20"/>
                <w:szCs w:val="20"/>
                <w:color w:val="auto"/>
              </w:rPr>
            </w:pPr>
            <w:r>
              <w:rPr>
                <w:rFonts w:ascii="Arial" w:cs="Arial" w:eastAsia="Arial" w:hAnsi="Arial"/>
                <w:sz w:val="18"/>
                <w:szCs w:val="18"/>
                <w:color w:val="auto"/>
              </w:rPr>
              <w:t>Savings deposits</w:t>
            </w:r>
          </w:p>
        </w:tc>
        <w:tc>
          <w:tcPr>
            <w:tcW w:w="146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1160" w:type="dxa"/>
            <w:vAlign w:val="bottom"/>
            <w:shd w:val="clear" w:color="auto" w:fill="B2B2B2"/>
          </w:tcPr>
          <w:p>
            <w:pPr>
              <w:jc w:val="right"/>
              <w:ind w:right="50"/>
              <w:spacing w:after="0"/>
              <w:rPr>
                <w:sz w:val="20"/>
                <w:szCs w:val="20"/>
                <w:color w:val="auto"/>
              </w:rPr>
            </w:pPr>
            <w:r>
              <w:rPr>
                <w:rFonts w:ascii="Arial" w:cs="Arial" w:eastAsia="Arial" w:hAnsi="Arial"/>
                <w:sz w:val="18"/>
                <w:szCs w:val="18"/>
                <w:color w:val="auto"/>
              </w:rPr>
              <w:t>9</w:t>
            </w:r>
          </w:p>
        </w:tc>
        <w:tc>
          <w:tcPr>
            <w:tcW w:w="380" w:type="dxa"/>
            <w:vAlign w:val="bottom"/>
            <w:shd w:val="clear" w:color="auto" w:fill="B2B2B2"/>
          </w:tcPr>
          <w:p>
            <w:pPr>
              <w:spacing w:after="0"/>
              <w:rPr>
                <w:sz w:val="18"/>
                <w:szCs w:val="18"/>
                <w:color w:val="auto"/>
              </w:rPr>
            </w:pPr>
          </w:p>
        </w:tc>
        <w:tc>
          <w:tcPr>
            <w:tcW w:w="10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(19)</w:t>
            </w:r>
          </w:p>
        </w:tc>
        <w:tc>
          <w:tcPr>
            <w:tcW w:w="44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(10)</w:t>
            </w:r>
          </w:p>
        </w:tc>
      </w:tr>
      <w:tr>
        <w:trPr>
          <w:trHeight w:val="215"/>
        </w:trPr>
        <w:tc>
          <w:tcPr>
            <w:tcW w:w="5520" w:type="dxa"/>
            <w:vAlign w:val="bottom"/>
          </w:tcPr>
          <w:p>
            <w:pPr>
              <w:ind w:left="180"/>
              <w:spacing w:after="0"/>
              <w:rPr>
                <w:sz w:val="20"/>
                <w:szCs w:val="20"/>
                <w:color w:val="auto"/>
              </w:rPr>
            </w:pPr>
            <w:r>
              <w:rPr>
                <w:rFonts w:ascii="Arial" w:cs="Arial" w:eastAsia="Arial" w:hAnsi="Arial"/>
                <w:sz w:val="18"/>
                <w:szCs w:val="18"/>
                <w:color w:val="auto"/>
              </w:rPr>
              <w:t>Time deposits of &gt;=$100</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5"/>
        </w:trPr>
        <w:tc>
          <w:tcPr>
            <w:tcW w:w="5520" w:type="dxa"/>
            <w:vAlign w:val="bottom"/>
            <w:shd w:val="clear" w:color="auto" w:fill="B2B2B2"/>
          </w:tcPr>
          <w:p>
            <w:pPr>
              <w:ind w:left="180"/>
              <w:spacing w:after="0"/>
              <w:rPr>
                <w:sz w:val="20"/>
                <w:szCs w:val="20"/>
                <w:color w:val="auto"/>
              </w:rPr>
            </w:pPr>
            <w:r>
              <w:rPr>
                <w:rFonts w:ascii="Arial" w:cs="Arial" w:eastAsia="Arial" w:hAnsi="Arial"/>
                <w:sz w:val="18"/>
                <w:szCs w:val="18"/>
                <w:color w:val="auto"/>
              </w:rPr>
              <w:t>Other time deposits</w:t>
            </w:r>
          </w:p>
        </w:tc>
        <w:tc>
          <w:tcPr>
            <w:tcW w:w="146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11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(44)</w:t>
            </w:r>
          </w:p>
        </w:tc>
        <w:tc>
          <w:tcPr>
            <w:tcW w:w="380" w:type="dxa"/>
            <w:vAlign w:val="bottom"/>
            <w:shd w:val="clear" w:color="auto" w:fill="B2B2B2"/>
          </w:tcPr>
          <w:p>
            <w:pPr>
              <w:spacing w:after="0"/>
              <w:rPr>
                <w:sz w:val="18"/>
                <w:szCs w:val="18"/>
                <w:color w:val="auto"/>
              </w:rPr>
            </w:pPr>
          </w:p>
        </w:tc>
        <w:tc>
          <w:tcPr>
            <w:tcW w:w="10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(37)</w:t>
            </w:r>
          </w:p>
        </w:tc>
        <w:tc>
          <w:tcPr>
            <w:tcW w:w="44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(81)</w:t>
            </w:r>
          </w:p>
        </w:tc>
      </w:tr>
      <w:tr>
        <w:trPr>
          <w:trHeight w:val="215"/>
        </w:trPr>
        <w:tc>
          <w:tcPr>
            <w:tcW w:w="5520" w:type="dxa"/>
            <w:vAlign w:val="bottom"/>
          </w:tcPr>
          <w:p>
            <w:pPr>
              <w:ind w:left="180"/>
              <w:spacing w:after="0"/>
              <w:rPr>
                <w:sz w:val="20"/>
                <w:szCs w:val="20"/>
                <w:color w:val="auto"/>
              </w:rPr>
            </w:pPr>
            <w:r>
              <w:rPr>
                <w:rFonts w:ascii="Arial" w:cs="Arial" w:eastAsia="Arial" w:hAnsi="Arial"/>
                <w:sz w:val="18"/>
                <w:szCs w:val="18"/>
                <w:color w:val="auto"/>
              </w:rPr>
              <w:t>Short-term borrowings</w:t>
            </w:r>
          </w:p>
        </w:tc>
        <w:tc>
          <w:tcPr>
            <w:tcW w:w="14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09"/>
        </w:trPr>
        <w:tc>
          <w:tcPr>
            <w:tcW w:w="5520" w:type="dxa"/>
            <w:vAlign w:val="bottom"/>
            <w:tcBorders>
              <w:bottom w:val="single" w:sz="8" w:color="auto"/>
            </w:tcBorders>
            <w:shd w:val="clear" w:color="auto" w:fill="B2B2B2"/>
          </w:tcPr>
          <w:p>
            <w:pPr>
              <w:spacing w:after="0"/>
              <w:rPr>
                <w:sz w:val="20"/>
                <w:szCs w:val="20"/>
                <w:color w:val="auto"/>
              </w:rPr>
            </w:pPr>
            <w:r>
              <w:rPr>
                <w:rFonts w:ascii="Arial" w:cs="Arial" w:eastAsia="Arial" w:hAnsi="Arial"/>
                <w:sz w:val="18"/>
                <w:szCs w:val="18"/>
                <w:color w:val="auto"/>
              </w:rPr>
              <w:t>Total interest expense</w:t>
            </w:r>
          </w:p>
        </w:tc>
        <w:tc>
          <w:tcPr>
            <w:tcW w:w="1460" w:type="dxa"/>
            <w:vAlign w:val="bottom"/>
            <w:tcBorders>
              <w:bottom w:val="single" w:sz="8" w:color="auto"/>
            </w:tcBorders>
            <w:shd w:val="clear" w:color="auto" w:fill="B2B2B2"/>
          </w:tcPr>
          <w:p>
            <w:pPr>
              <w:spacing w:after="0"/>
              <w:rPr>
                <w:sz w:val="18"/>
                <w:szCs w:val="18"/>
                <w:color w:val="auto"/>
              </w:rPr>
            </w:pPr>
          </w:p>
        </w:tc>
        <w:tc>
          <w:tcPr>
            <w:tcW w:w="240" w:type="dxa"/>
            <w:vAlign w:val="bottom"/>
            <w:tcBorders>
              <w:bottom w:val="single" w:sz="8" w:color="auto"/>
            </w:tcBorders>
            <w:shd w:val="clear" w:color="auto" w:fill="B2B2B2"/>
          </w:tcPr>
          <w:p>
            <w:pPr>
              <w:spacing w:after="0"/>
              <w:rPr>
                <w:sz w:val="18"/>
                <w:szCs w:val="18"/>
                <w:color w:val="auto"/>
              </w:rPr>
            </w:pPr>
          </w:p>
        </w:tc>
        <w:tc>
          <w:tcPr>
            <w:tcW w:w="1160" w:type="dxa"/>
            <w:vAlign w:val="bottom"/>
            <w:tcBorders>
              <w:bottom w:val="single" w:sz="8" w:color="auto"/>
            </w:tcBorders>
            <w:shd w:val="clear" w:color="auto" w:fill="B2B2B2"/>
          </w:tcPr>
          <w:p>
            <w:pPr>
              <w:jc w:val="right"/>
              <w:ind w:right="50"/>
              <w:spacing w:after="0"/>
              <w:rPr>
                <w:sz w:val="20"/>
                <w:szCs w:val="20"/>
                <w:color w:val="auto"/>
              </w:rPr>
            </w:pPr>
            <w:r>
              <w:rPr>
                <w:rFonts w:ascii="Arial" w:cs="Arial" w:eastAsia="Arial" w:hAnsi="Arial"/>
                <w:sz w:val="18"/>
                <w:szCs w:val="18"/>
                <w:color w:val="auto"/>
              </w:rPr>
              <w:t>139</w:t>
            </w:r>
          </w:p>
        </w:tc>
        <w:tc>
          <w:tcPr>
            <w:tcW w:w="380" w:type="dxa"/>
            <w:vAlign w:val="bottom"/>
            <w:tcBorders>
              <w:bottom w:val="single" w:sz="8" w:color="auto"/>
            </w:tcBorders>
            <w:shd w:val="clear" w:color="auto" w:fill="B2B2B2"/>
          </w:tcPr>
          <w:p>
            <w:pPr>
              <w:spacing w:after="0"/>
              <w:rPr>
                <w:sz w:val="18"/>
                <w:szCs w:val="18"/>
                <w:color w:val="auto"/>
              </w:rPr>
            </w:pPr>
          </w:p>
        </w:tc>
        <w:tc>
          <w:tcPr>
            <w:tcW w:w="106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(773)</w:t>
            </w:r>
          </w:p>
        </w:tc>
        <w:tc>
          <w:tcPr>
            <w:tcW w:w="440" w:type="dxa"/>
            <w:vAlign w:val="bottom"/>
            <w:tcBorders>
              <w:bottom w:val="single" w:sz="8" w:color="auto"/>
            </w:tcBorders>
            <w:shd w:val="clear" w:color="auto" w:fill="B2B2B2"/>
          </w:tcPr>
          <w:p>
            <w:pPr>
              <w:spacing w:after="0"/>
              <w:rPr>
                <w:sz w:val="18"/>
                <w:szCs w:val="18"/>
                <w:color w:val="auto"/>
              </w:rPr>
            </w:pPr>
          </w:p>
        </w:tc>
        <w:tc>
          <w:tcPr>
            <w:tcW w:w="9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(634)</w:t>
            </w:r>
          </w:p>
        </w:tc>
      </w:tr>
      <w:tr>
        <w:trPr>
          <w:trHeight w:val="223"/>
        </w:trPr>
        <w:tc>
          <w:tcPr>
            <w:tcW w:w="5520" w:type="dxa"/>
            <w:vAlign w:val="bottom"/>
          </w:tcPr>
          <w:p>
            <w:pPr>
              <w:spacing w:after="0"/>
              <w:rPr>
                <w:sz w:val="20"/>
                <w:szCs w:val="20"/>
                <w:color w:val="auto"/>
              </w:rPr>
            </w:pPr>
            <w:r>
              <w:rPr>
                <w:rFonts w:ascii="Arial" w:cs="Arial" w:eastAsia="Arial" w:hAnsi="Arial"/>
                <w:sz w:val="18"/>
                <w:szCs w:val="18"/>
                <w:color w:val="auto"/>
              </w:rPr>
              <w:t>Net interest income</w:t>
            </w:r>
          </w:p>
        </w:tc>
        <w:tc>
          <w:tcPr>
            <w:tcW w:w="1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659</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(1,709)</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955" cy="25400"/>
                    </a:xfrm>
                    <a:prstGeom prst="rect">
                      <a:avLst/>
                    </a:prstGeom>
                    <a:noFill/>
                  </pic:spPr>
                </pic:pic>
              </a:graphicData>
            </a:graphic>
          </wp:anchor>
        </w:drawing>
      </w:r>
    </w:p>
    <w:p>
      <w:pPr>
        <w:ind w:left="220" w:hanging="212"/>
        <w:spacing w:after="0" w:line="229" w:lineRule="auto"/>
        <w:tabs>
          <w:tab w:leader="none" w:pos="22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Interest income includes net loan fees.</w:t>
      </w:r>
    </w:p>
    <w:p>
      <w:pPr>
        <w:ind w:left="220" w:hanging="212"/>
        <w:spacing w:after="0"/>
        <w:tabs>
          <w:tab w:leader="none" w:pos="22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Interest income is presented on a tax-equivalent basis assuming a tax rate of 21%.</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and Allowance for Credit Losses and Allowance for Unfunded Commitments</w:t>
      </w:r>
    </w:p>
    <w:p>
      <w:pPr>
        <w:spacing w:after="0" w:line="21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recorded a release of credit losses and off-balance sheet credit exposures of $600,000 in the First Quarter of 2021 and a provision for credit losses of $325,000 in the First Quarter of 2020. The amount of the (release of) provision for credit losses was derived from the Company’s quarterly Current Expected Credit Loss (“CECL”) model. The amount of the (release of) provision for credit losses will fluctuate as determined by these quarterly analyses. The Company had net loan recoveries of $17,000 and $8,000 in the First Quarter of 2021 and First Quarter of 2020, respectively.</w:t>
      </w:r>
    </w:p>
    <w:p>
      <w:pPr>
        <w:spacing w:after="0" w:line="14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ACL was $11,721,000 at March 31, 2021 compared to $11,944,000 at December 31, 2020. The ACL represented 1.32% of outstanding loans at March 31, 2021 and 1.34% of outstanding loans at year-end 2020. Excluding PPP loans, the ACL represented 1.51% of total loans at March 31, 2021 and 1.53% of total loans at December 31, 2020. The allowance for unfunded commitments was $207,000 at March 31, 2021 and $567,000 at December 31, 2020. There were no nonperforming loans outstanding at March 31, 2021 or December 31, 2020.</w:t>
      </w:r>
    </w:p>
    <w:p>
      <w:pPr>
        <w:spacing w:after="0" w:line="16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ACL has been established and is maintained to estimate the lifetime credit losses inherent in the loan portfolio. An ongoing assessment is performed to determine if the balance is adequate. Charges or credits are made to expense based on changes in the economic forecast, qualitative risk factors, loan volume, and individual loans. For loans that are individually evaluated, the Company uses two impairment measurement methods: 1) the present value of expected future cash flows and 2) collateral value.</w:t>
      </w:r>
    </w:p>
    <w:p>
      <w:pPr>
        <w:spacing w:after="0" w:line="174"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The Company also utilizes ratio analysis to evaluate the overall reasonableness of the ACL compared to its peers and required levels of regulatory capital. Federal and state regulatory agencies review the Company’s methodology for maintaining the ACL. These agencies may require the Company to adjust the ACL based on their judgments and interpretations about information available to them at the time of their examinations.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8355" cy="596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8355" cy="5969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Credit Loss Experience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on the Company's (release of) provision for credit losses and analysis of the ACL:</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9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3"/>
          </w:tcPr>
          <w:p>
            <w:pPr>
              <w:jc w:val="right"/>
              <w:ind w:right="870"/>
              <w:spacing w:after="0"/>
              <w:rPr>
                <w:sz w:val="20"/>
                <w:szCs w:val="20"/>
                <w:color w:val="auto"/>
              </w:rPr>
            </w:pPr>
            <w:r>
              <w:rPr>
                <w:rFonts w:ascii="Arial" w:cs="Arial" w:eastAsia="Arial" w:hAnsi="Arial"/>
                <w:sz w:val="18"/>
                <w:szCs w:val="18"/>
                <w:b w:val="1"/>
                <w:bCs w:val="1"/>
                <w:color w:val="auto"/>
              </w:rPr>
              <w:t>First Quarter of</w:t>
            </w:r>
          </w:p>
        </w:tc>
      </w:tr>
      <w:tr>
        <w:trPr>
          <w:trHeight w:val="222"/>
        </w:trPr>
        <w:tc>
          <w:tcPr>
            <w:tcW w:w="6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r>
      <w:tr>
        <w:trPr>
          <w:trHeight w:val="215"/>
        </w:trPr>
        <w:tc>
          <w:tcPr>
            <w:tcW w:w="6900" w:type="dxa"/>
            <w:vAlign w:val="bottom"/>
            <w:shd w:val="clear" w:color="auto" w:fill="B2B2B2"/>
          </w:tcPr>
          <w:p>
            <w:pPr>
              <w:spacing w:after="0"/>
              <w:rPr>
                <w:sz w:val="20"/>
                <w:szCs w:val="20"/>
                <w:color w:val="auto"/>
              </w:rPr>
            </w:pPr>
            <w:r>
              <w:rPr>
                <w:rFonts w:ascii="Arial" w:cs="Arial" w:eastAsia="Arial" w:hAnsi="Arial"/>
                <w:sz w:val="18"/>
                <w:szCs w:val="18"/>
                <w:color w:val="auto"/>
              </w:rPr>
              <w:t>Allowance for credit losses at beginning of period</w:t>
            </w:r>
          </w:p>
        </w:tc>
        <w:tc>
          <w:tcPr>
            <w:tcW w:w="380" w:type="dxa"/>
            <w:vAlign w:val="bottom"/>
            <w:shd w:val="clear" w:color="auto" w:fill="B2B2B2"/>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B2B2B2"/>
          </w:tcPr>
          <w:p>
            <w:pPr>
              <w:jc w:val="right"/>
              <w:ind w:right="110"/>
              <w:spacing w:after="0"/>
              <w:rPr>
                <w:sz w:val="20"/>
                <w:szCs w:val="20"/>
                <w:color w:val="auto"/>
              </w:rPr>
            </w:pPr>
            <w:r>
              <w:rPr>
                <w:rFonts w:ascii="Arial" w:cs="Arial" w:eastAsia="Arial" w:hAnsi="Arial"/>
                <w:sz w:val="18"/>
                <w:szCs w:val="18"/>
                <w:color w:val="auto"/>
              </w:rPr>
              <w:t>11,944</w:t>
            </w:r>
          </w:p>
        </w:tc>
        <w:tc>
          <w:tcPr>
            <w:tcW w:w="320" w:type="dxa"/>
            <w:vAlign w:val="bottom"/>
            <w:shd w:val="clear" w:color="auto" w:fill="B2B2B2"/>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B2B2B2"/>
          </w:tcPr>
          <w:p>
            <w:pPr>
              <w:jc w:val="right"/>
              <w:ind w:right="70"/>
              <w:spacing w:after="0"/>
              <w:rPr>
                <w:sz w:val="20"/>
                <w:szCs w:val="20"/>
                <w:color w:val="auto"/>
              </w:rPr>
            </w:pPr>
            <w:r>
              <w:rPr>
                <w:rFonts w:ascii="Arial" w:cs="Arial" w:eastAsia="Arial" w:hAnsi="Arial"/>
                <w:sz w:val="18"/>
                <w:szCs w:val="18"/>
                <w:color w:val="auto"/>
              </w:rPr>
              <w:t>10,556</w:t>
            </w:r>
          </w:p>
        </w:tc>
      </w:tr>
      <w:tr>
        <w:trPr>
          <w:trHeight w:val="215"/>
        </w:trPr>
        <w:tc>
          <w:tcPr>
            <w:tcW w:w="6900" w:type="dxa"/>
            <w:vAlign w:val="bottom"/>
          </w:tcPr>
          <w:p>
            <w:pPr>
              <w:spacing w:after="0"/>
              <w:rPr>
                <w:sz w:val="20"/>
                <w:szCs w:val="20"/>
                <w:color w:val="auto"/>
              </w:rPr>
            </w:pPr>
            <w:r>
              <w:rPr>
                <w:rFonts w:ascii="Arial" w:cs="Arial" w:eastAsia="Arial" w:hAnsi="Arial"/>
                <w:sz w:val="18"/>
                <w:szCs w:val="18"/>
                <w:color w:val="auto"/>
              </w:rPr>
              <w:t>(Release of) provision for credit losses</w:t>
            </w:r>
          </w:p>
        </w:tc>
        <w:tc>
          <w:tcPr>
            <w:tcW w:w="38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(240)</w:t>
            </w:r>
          </w:p>
        </w:tc>
        <w:tc>
          <w:tcPr>
            <w:tcW w:w="320" w:type="dxa"/>
            <w:vAlign w:val="bottom"/>
          </w:tcPr>
          <w:p>
            <w:pPr>
              <w:spacing w:after="0"/>
              <w:rPr>
                <w:sz w:val="18"/>
                <w:szCs w:val="18"/>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325</w:t>
            </w:r>
          </w:p>
        </w:tc>
      </w:tr>
      <w:tr>
        <w:trPr>
          <w:trHeight w:val="215"/>
        </w:trPr>
        <w:tc>
          <w:tcPr>
            <w:tcW w:w="6900" w:type="dxa"/>
            <w:vAlign w:val="bottom"/>
            <w:shd w:val="clear" w:color="auto" w:fill="B2B2B2"/>
          </w:tcPr>
          <w:p>
            <w:pPr>
              <w:ind w:left="180"/>
              <w:spacing w:after="0"/>
              <w:rPr>
                <w:sz w:val="20"/>
                <w:szCs w:val="20"/>
                <w:color w:val="auto"/>
              </w:rPr>
            </w:pPr>
            <w:r>
              <w:rPr>
                <w:rFonts w:ascii="Arial" w:cs="Arial" w:eastAsia="Arial" w:hAnsi="Arial"/>
                <w:sz w:val="18"/>
                <w:szCs w:val="18"/>
                <w:color w:val="auto"/>
              </w:rPr>
              <w:t>Loans charged off</w:t>
            </w:r>
          </w:p>
        </w:tc>
        <w:tc>
          <w:tcPr>
            <w:tcW w:w="380" w:type="dxa"/>
            <w:vAlign w:val="bottom"/>
            <w:shd w:val="clear" w:color="auto" w:fill="B2B2B2"/>
          </w:tcPr>
          <w:p>
            <w:pPr>
              <w:spacing w:after="0"/>
              <w:rPr>
                <w:sz w:val="18"/>
                <w:szCs w:val="18"/>
                <w:color w:val="auto"/>
              </w:rPr>
            </w:pPr>
          </w:p>
        </w:tc>
        <w:tc>
          <w:tcPr>
            <w:tcW w:w="1200" w:type="dxa"/>
            <w:vAlign w:val="bottom"/>
            <w:shd w:val="clear" w:color="auto" w:fill="B2B2B2"/>
          </w:tcPr>
          <w:p>
            <w:pPr>
              <w:jc w:val="right"/>
              <w:ind w:right="110"/>
              <w:spacing w:after="0"/>
              <w:rPr>
                <w:sz w:val="20"/>
                <w:szCs w:val="20"/>
                <w:color w:val="auto"/>
              </w:rPr>
            </w:pPr>
            <w:r>
              <w:rPr>
                <w:rFonts w:ascii="Arial" w:cs="Arial" w:eastAsia="Arial" w:hAnsi="Arial"/>
                <w:sz w:val="18"/>
                <w:szCs w:val="18"/>
                <w:color w:val="auto"/>
              </w:rPr>
              <w:t>—</w:t>
            </w:r>
          </w:p>
        </w:tc>
        <w:tc>
          <w:tcPr>
            <w:tcW w:w="320" w:type="dxa"/>
            <w:vAlign w:val="bottom"/>
            <w:shd w:val="clear" w:color="auto" w:fill="B2B2B2"/>
          </w:tcPr>
          <w:p>
            <w:pPr>
              <w:spacing w:after="0"/>
              <w:rPr>
                <w:sz w:val="18"/>
                <w:szCs w:val="18"/>
                <w:color w:val="auto"/>
              </w:rPr>
            </w:pPr>
          </w:p>
        </w:tc>
        <w:tc>
          <w:tcPr>
            <w:tcW w:w="1180" w:type="dxa"/>
            <w:vAlign w:val="bottom"/>
            <w:shd w:val="clear" w:color="auto" w:fill="B2B2B2"/>
          </w:tcPr>
          <w:p>
            <w:pPr>
              <w:jc w:val="right"/>
              <w:ind w:right="70"/>
              <w:spacing w:after="0"/>
              <w:rPr>
                <w:sz w:val="20"/>
                <w:szCs w:val="20"/>
                <w:color w:val="auto"/>
              </w:rPr>
            </w:pPr>
            <w:r>
              <w:rPr>
                <w:rFonts w:ascii="Arial" w:cs="Arial" w:eastAsia="Arial" w:hAnsi="Arial"/>
                <w:sz w:val="18"/>
                <w:szCs w:val="18"/>
                <w:color w:val="auto"/>
              </w:rPr>
              <w:t>—</w:t>
            </w:r>
          </w:p>
        </w:tc>
      </w:tr>
      <w:tr>
        <w:trPr>
          <w:trHeight w:val="215"/>
        </w:trPr>
        <w:tc>
          <w:tcPr>
            <w:tcW w:w="69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Recoveries on loans previously charged off</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17</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w:t>
            </w:r>
          </w:p>
        </w:tc>
      </w:tr>
      <w:tr>
        <w:trPr>
          <w:trHeight w:val="209"/>
        </w:trPr>
        <w:tc>
          <w:tcPr>
            <w:tcW w:w="6900" w:type="dxa"/>
            <w:vAlign w:val="bottom"/>
            <w:shd w:val="clear" w:color="auto" w:fill="B2B2B2"/>
          </w:tcPr>
          <w:p>
            <w:pPr>
              <w:spacing w:after="0"/>
              <w:rPr>
                <w:sz w:val="20"/>
                <w:szCs w:val="20"/>
                <w:color w:val="auto"/>
              </w:rPr>
            </w:pPr>
            <w:r>
              <w:rPr>
                <w:rFonts w:ascii="Arial" w:cs="Arial" w:eastAsia="Arial" w:hAnsi="Arial"/>
                <w:sz w:val="18"/>
                <w:szCs w:val="18"/>
                <w:color w:val="auto"/>
              </w:rPr>
              <w:t>Net recoveries</w:t>
            </w:r>
          </w:p>
        </w:tc>
        <w:tc>
          <w:tcPr>
            <w:tcW w:w="380" w:type="dxa"/>
            <w:vAlign w:val="bottom"/>
            <w:shd w:val="clear" w:color="auto" w:fill="B2B2B2"/>
          </w:tcPr>
          <w:p>
            <w:pPr>
              <w:spacing w:after="0"/>
              <w:rPr>
                <w:sz w:val="18"/>
                <w:szCs w:val="18"/>
                <w:color w:val="auto"/>
              </w:rPr>
            </w:pPr>
          </w:p>
        </w:tc>
        <w:tc>
          <w:tcPr>
            <w:tcW w:w="1200" w:type="dxa"/>
            <w:vAlign w:val="bottom"/>
            <w:shd w:val="clear" w:color="auto" w:fill="B2B2B2"/>
          </w:tcPr>
          <w:p>
            <w:pPr>
              <w:jc w:val="right"/>
              <w:ind w:right="110"/>
              <w:spacing w:after="0"/>
              <w:rPr>
                <w:sz w:val="20"/>
                <w:szCs w:val="20"/>
                <w:color w:val="auto"/>
              </w:rPr>
            </w:pPr>
            <w:r>
              <w:rPr>
                <w:rFonts w:ascii="Arial" w:cs="Arial" w:eastAsia="Arial" w:hAnsi="Arial"/>
                <w:sz w:val="18"/>
                <w:szCs w:val="18"/>
                <w:color w:val="auto"/>
              </w:rPr>
              <w:t>17</w:t>
            </w:r>
          </w:p>
        </w:tc>
        <w:tc>
          <w:tcPr>
            <w:tcW w:w="320" w:type="dxa"/>
            <w:vAlign w:val="bottom"/>
            <w:shd w:val="clear" w:color="auto" w:fill="B2B2B2"/>
          </w:tcPr>
          <w:p>
            <w:pPr>
              <w:spacing w:after="0"/>
              <w:rPr>
                <w:sz w:val="18"/>
                <w:szCs w:val="18"/>
                <w:color w:val="auto"/>
              </w:rPr>
            </w:pPr>
          </w:p>
        </w:tc>
        <w:tc>
          <w:tcPr>
            <w:tcW w:w="1180" w:type="dxa"/>
            <w:vAlign w:val="bottom"/>
            <w:shd w:val="clear" w:color="auto" w:fill="B2B2B2"/>
          </w:tcPr>
          <w:p>
            <w:pPr>
              <w:jc w:val="right"/>
              <w:ind w:right="70"/>
              <w:spacing w:after="0"/>
              <w:rPr>
                <w:sz w:val="20"/>
                <w:szCs w:val="20"/>
                <w:color w:val="auto"/>
              </w:rPr>
            </w:pPr>
            <w:r>
              <w:rPr>
                <w:rFonts w:ascii="Arial" w:cs="Arial" w:eastAsia="Arial" w:hAnsi="Arial"/>
                <w:sz w:val="18"/>
                <w:szCs w:val="18"/>
                <w:color w:val="auto"/>
              </w:rPr>
              <w:t>8</w:t>
            </w:r>
          </w:p>
        </w:tc>
      </w:tr>
      <w:tr>
        <w:trPr>
          <w:trHeight w:val="222"/>
        </w:trPr>
        <w:tc>
          <w:tcPr>
            <w:tcW w:w="6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Allowance for credit losses at end of period</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11,721</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10,889</w:t>
            </w:r>
          </w:p>
        </w:tc>
      </w:tr>
      <w:tr>
        <w:trPr>
          <w:trHeight w:val="215"/>
        </w:trPr>
        <w:tc>
          <w:tcPr>
            <w:tcW w:w="6900" w:type="dxa"/>
            <w:vAlign w:val="bottom"/>
            <w:shd w:val="clear" w:color="auto" w:fill="B2B2B2"/>
          </w:tcPr>
          <w:p>
            <w:pPr>
              <w:spacing w:after="0"/>
              <w:rPr>
                <w:sz w:val="20"/>
                <w:szCs w:val="20"/>
                <w:color w:val="auto"/>
              </w:rPr>
            </w:pPr>
            <w:r>
              <w:rPr>
                <w:rFonts w:ascii="Arial" w:cs="Arial" w:eastAsia="Arial" w:hAnsi="Arial"/>
                <w:sz w:val="18"/>
                <w:szCs w:val="18"/>
                <w:color w:val="auto"/>
              </w:rPr>
              <w:t>Allowance for unfunded commitments at beginning of Period</w:t>
            </w:r>
          </w:p>
        </w:tc>
        <w:tc>
          <w:tcPr>
            <w:tcW w:w="380" w:type="dxa"/>
            <w:vAlign w:val="bottom"/>
            <w:shd w:val="clear" w:color="auto" w:fill="B2B2B2"/>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B2B2B2"/>
          </w:tcPr>
          <w:p>
            <w:pPr>
              <w:jc w:val="right"/>
              <w:ind w:right="110"/>
              <w:spacing w:after="0"/>
              <w:rPr>
                <w:sz w:val="20"/>
                <w:szCs w:val="20"/>
                <w:color w:val="auto"/>
              </w:rPr>
            </w:pPr>
            <w:r>
              <w:rPr>
                <w:rFonts w:ascii="Arial" w:cs="Arial" w:eastAsia="Arial" w:hAnsi="Arial"/>
                <w:sz w:val="18"/>
                <w:szCs w:val="18"/>
                <w:color w:val="auto"/>
              </w:rPr>
              <w:t>567</w:t>
            </w:r>
          </w:p>
        </w:tc>
        <w:tc>
          <w:tcPr>
            <w:tcW w:w="320" w:type="dxa"/>
            <w:vAlign w:val="bottom"/>
            <w:shd w:val="clear" w:color="auto" w:fill="B2B2B2"/>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B2B2B2"/>
          </w:tcPr>
          <w:p>
            <w:pPr>
              <w:jc w:val="right"/>
              <w:ind w:right="70"/>
              <w:spacing w:after="0"/>
              <w:rPr>
                <w:sz w:val="20"/>
                <w:szCs w:val="20"/>
                <w:color w:val="auto"/>
              </w:rPr>
            </w:pPr>
            <w:r>
              <w:rPr>
                <w:rFonts w:ascii="Arial" w:cs="Arial" w:eastAsia="Arial" w:hAnsi="Arial"/>
                <w:sz w:val="18"/>
                <w:szCs w:val="18"/>
                <w:color w:val="auto"/>
              </w:rPr>
              <w:t>—</w:t>
            </w:r>
          </w:p>
        </w:tc>
      </w:tr>
      <w:tr>
        <w:trPr>
          <w:trHeight w:val="215"/>
        </w:trPr>
        <w:tc>
          <w:tcPr>
            <w:tcW w:w="6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(Release of) provision for credit losses</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(360)</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6900" w:type="dxa"/>
            <w:vAlign w:val="bottom"/>
            <w:tcBorders>
              <w:bottom w:val="single" w:sz="8" w:color="auto"/>
            </w:tcBorders>
            <w:shd w:val="clear" w:color="auto" w:fill="B2B2B2"/>
          </w:tcPr>
          <w:p>
            <w:pPr>
              <w:spacing w:after="0"/>
              <w:rPr>
                <w:sz w:val="20"/>
                <w:szCs w:val="20"/>
                <w:color w:val="auto"/>
              </w:rPr>
            </w:pPr>
            <w:r>
              <w:rPr>
                <w:rFonts w:ascii="Arial" w:cs="Arial" w:eastAsia="Arial" w:hAnsi="Arial"/>
                <w:sz w:val="18"/>
                <w:szCs w:val="18"/>
                <w:color w:val="auto"/>
              </w:rPr>
              <w:t>Allowance for unfunded commitments at end of period</w:t>
            </w:r>
          </w:p>
        </w:tc>
        <w:tc>
          <w:tcPr>
            <w:tcW w:w="380" w:type="dxa"/>
            <w:vAlign w:val="bottom"/>
            <w:tcBorders>
              <w:bottom w:val="single" w:sz="8" w:color="auto"/>
            </w:tcBorders>
            <w:shd w:val="clear" w:color="auto" w:fill="B2B2B2"/>
          </w:tcPr>
          <w:p>
            <w:pPr>
              <w:spacing w:after="0"/>
              <w:rPr>
                <w:sz w:val="18"/>
                <w:szCs w:val="18"/>
                <w:color w:val="auto"/>
              </w:rPr>
            </w:pPr>
          </w:p>
        </w:tc>
        <w:tc>
          <w:tcPr>
            <w:tcW w:w="1200" w:type="dxa"/>
            <w:vAlign w:val="bottom"/>
            <w:tcBorders>
              <w:bottom w:val="single" w:sz="8" w:color="auto"/>
            </w:tcBorders>
            <w:shd w:val="clear" w:color="auto" w:fill="B2B2B2"/>
          </w:tcPr>
          <w:p>
            <w:pPr>
              <w:jc w:val="right"/>
              <w:ind w:right="110"/>
              <w:spacing w:after="0"/>
              <w:rPr>
                <w:sz w:val="20"/>
                <w:szCs w:val="20"/>
                <w:color w:val="auto"/>
              </w:rPr>
            </w:pPr>
            <w:r>
              <w:rPr>
                <w:rFonts w:ascii="Arial" w:cs="Arial" w:eastAsia="Arial" w:hAnsi="Arial"/>
                <w:sz w:val="18"/>
                <w:szCs w:val="18"/>
                <w:color w:val="auto"/>
              </w:rPr>
              <w:t>207</w:t>
            </w:r>
          </w:p>
        </w:tc>
        <w:tc>
          <w:tcPr>
            <w:tcW w:w="320" w:type="dxa"/>
            <w:vAlign w:val="bottom"/>
            <w:tcBorders>
              <w:bottom w:val="single" w:sz="8" w:color="auto"/>
            </w:tcBorders>
            <w:shd w:val="clear" w:color="auto" w:fill="B2B2B2"/>
          </w:tcPr>
          <w:p>
            <w:pPr>
              <w:spacing w:after="0"/>
              <w:rPr>
                <w:sz w:val="18"/>
                <w:szCs w:val="18"/>
                <w:color w:val="auto"/>
              </w:rPr>
            </w:pPr>
          </w:p>
        </w:tc>
        <w:tc>
          <w:tcPr>
            <w:tcW w:w="1180" w:type="dxa"/>
            <w:vAlign w:val="bottom"/>
            <w:tcBorders>
              <w:bottom w:val="single" w:sz="8" w:color="auto"/>
            </w:tcBorders>
            <w:shd w:val="clear" w:color="auto" w:fill="B2B2B2"/>
          </w:tcPr>
          <w:p>
            <w:pPr>
              <w:jc w:val="right"/>
              <w:ind w:right="70"/>
              <w:spacing w:after="0"/>
              <w:rPr>
                <w:sz w:val="20"/>
                <w:szCs w:val="20"/>
                <w:color w:val="auto"/>
              </w:rPr>
            </w:pPr>
            <w:r>
              <w:rPr>
                <w:rFonts w:ascii="Arial" w:cs="Arial" w:eastAsia="Arial" w:hAnsi="Arial"/>
                <w:sz w:val="18"/>
                <w:szCs w:val="18"/>
                <w:color w:val="auto"/>
              </w:rPr>
              <w:t>—</w:t>
            </w:r>
          </w:p>
        </w:tc>
      </w:tr>
      <w:tr>
        <w:trPr>
          <w:trHeight w:val="215"/>
        </w:trPr>
        <w:tc>
          <w:tcPr>
            <w:tcW w:w="6900" w:type="dxa"/>
            <w:vAlign w:val="bottom"/>
          </w:tcPr>
          <w:p>
            <w:pPr>
              <w:spacing w:after="0"/>
              <w:rPr>
                <w:sz w:val="20"/>
                <w:szCs w:val="20"/>
                <w:color w:val="auto"/>
              </w:rPr>
            </w:pPr>
            <w:r>
              <w:rPr>
                <w:rFonts w:ascii="Arial" w:cs="Arial" w:eastAsia="Arial" w:hAnsi="Arial"/>
                <w:sz w:val="18"/>
                <w:szCs w:val="18"/>
                <w:color w:val="auto"/>
              </w:rPr>
              <w:t>Loans outstanding:</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5"/>
        </w:trPr>
        <w:tc>
          <w:tcPr>
            <w:tcW w:w="6900" w:type="dxa"/>
            <w:vAlign w:val="bottom"/>
            <w:shd w:val="clear" w:color="auto" w:fill="B2B2B2"/>
          </w:tcPr>
          <w:p>
            <w:pPr>
              <w:ind w:left="180"/>
              <w:spacing w:after="0"/>
              <w:rPr>
                <w:sz w:val="20"/>
                <w:szCs w:val="20"/>
                <w:color w:val="auto"/>
              </w:rPr>
            </w:pPr>
            <w:r>
              <w:rPr>
                <w:rFonts w:ascii="Arial" w:cs="Arial" w:eastAsia="Arial" w:hAnsi="Arial"/>
                <w:sz w:val="18"/>
                <w:szCs w:val="18"/>
                <w:color w:val="auto"/>
              </w:rPr>
              <w:t>Average</w:t>
            </w:r>
          </w:p>
        </w:tc>
        <w:tc>
          <w:tcPr>
            <w:tcW w:w="380" w:type="dxa"/>
            <w:vAlign w:val="bottom"/>
            <w:shd w:val="clear" w:color="auto" w:fill="B2B2B2"/>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B2B2B2"/>
          </w:tcPr>
          <w:p>
            <w:pPr>
              <w:jc w:val="right"/>
              <w:ind w:right="110"/>
              <w:spacing w:after="0"/>
              <w:rPr>
                <w:sz w:val="20"/>
                <w:szCs w:val="20"/>
                <w:color w:val="auto"/>
              </w:rPr>
            </w:pPr>
            <w:r>
              <w:rPr>
                <w:rFonts w:ascii="Arial" w:cs="Arial" w:eastAsia="Arial" w:hAnsi="Arial"/>
                <w:sz w:val="18"/>
                <w:szCs w:val="18"/>
                <w:color w:val="auto"/>
              </w:rPr>
              <w:t>881,222</w:t>
            </w:r>
          </w:p>
        </w:tc>
        <w:tc>
          <w:tcPr>
            <w:tcW w:w="320" w:type="dxa"/>
            <w:vAlign w:val="bottom"/>
            <w:shd w:val="clear" w:color="auto" w:fill="B2B2B2"/>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B2B2B2"/>
          </w:tcPr>
          <w:p>
            <w:pPr>
              <w:jc w:val="right"/>
              <w:ind w:right="70"/>
              <w:spacing w:after="0"/>
              <w:rPr>
                <w:sz w:val="20"/>
                <w:szCs w:val="20"/>
                <w:color w:val="auto"/>
              </w:rPr>
            </w:pPr>
            <w:r>
              <w:rPr>
                <w:rFonts w:ascii="Arial" w:cs="Arial" w:eastAsia="Arial" w:hAnsi="Arial"/>
                <w:sz w:val="18"/>
                <w:szCs w:val="18"/>
                <w:color w:val="auto"/>
              </w:rPr>
              <w:t>799,502</w:t>
            </w:r>
          </w:p>
        </w:tc>
      </w:tr>
      <w:tr>
        <w:trPr>
          <w:trHeight w:val="215"/>
        </w:trPr>
        <w:tc>
          <w:tcPr>
            <w:tcW w:w="6900" w:type="dxa"/>
            <w:vAlign w:val="bottom"/>
          </w:tcPr>
          <w:p>
            <w:pPr>
              <w:ind w:left="180"/>
              <w:spacing w:after="0"/>
              <w:rPr>
                <w:sz w:val="20"/>
                <w:szCs w:val="20"/>
                <w:color w:val="auto"/>
              </w:rPr>
            </w:pPr>
            <w:r>
              <w:rPr>
                <w:rFonts w:ascii="Arial" w:cs="Arial" w:eastAsia="Arial" w:hAnsi="Arial"/>
                <w:sz w:val="18"/>
                <w:szCs w:val="18"/>
                <w:color w:val="auto"/>
              </w:rPr>
              <w:t>March 31</w:t>
            </w:r>
          </w:p>
        </w:tc>
        <w:tc>
          <w:tcPr>
            <w:tcW w:w="380" w:type="dxa"/>
            <w:vAlign w:val="bottom"/>
          </w:tcPr>
          <w:p>
            <w:pPr>
              <w:spacing w:after="0"/>
              <w:rPr>
                <w:sz w:val="18"/>
                <w:szCs w:val="18"/>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888,575</w:t>
            </w:r>
          </w:p>
        </w:tc>
        <w:tc>
          <w:tcPr>
            <w:tcW w:w="320" w:type="dxa"/>
            <w:vAlign w:val="bottom"/>
          </w:tcPr>
          <w:p>
            <w:pPr>
              <w:spacing w:after="0"/>
              <w:rPr>
                <w:sz w:val="18"/>
                <w:szCs w:val="18"/>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854,780</w:t>
            </w:r>
          </w:p>
        </w:tc>
      </w:tr>
      <w:tr>
        <w:trPr>
          <w:trHeight w:val="215"/>
        </w:trPr>
        <w:tc>
          <w:tcPr>
            <w:tcW w:w="6900" w:type="dxa"/>
            <w:vAlign w:val="bottom"/>
            <w:shd w:val="clear" w:color="auto" w:fill="B2B2B2"/>
          </w:tcPr>
          <w:p>
            <w:pPr>
              <w:spacing w:after="0"/>
              <w:rPr>
                <w:sz w:val="20"/>
                <w:szCs w:val="20"/>
                <w:color w:val="auto"/>
              </w:rPr>
            </w:pPr>
            <w:r>
              <w:rPr>
                <w:rFonts w:ascii="Arial" w:cs="Arial" w:eastAsia="Arial" w:hAnsi="Arial"/>
                <w:sz w:val="18"/>
                <w:szCs w:val="18"/>
                <w:color w:val="auto"/>
              </w:rPr>
              <w:t>Ratio of ACL to loans outstanding:</w:t>
            </w:r>
          </w:p>
        </w:tc>
        <w:tc>
          <w:tcPr>
            <w:tcW w:w="380" w:type="dxa"/>
            <w:vAlign w:val="bottom"/>
            <w:shd w:val="clear" w:color="auto" w:fill="B2B2B2"/>
          </w:tcPr>
          <w:p>
            <w:pPr>
              <w:spacing w:after="0"/>
              <w:rPr>
                <w:sz w:val="18"/>
                <w:szCs w:val="18"/>
                <w:color w:val="auto"/>
              </w:rPr>
            </w:pPr>
          </w:p>
        </w:tc>
        <w:tc>
          <w:tcPr>
            <w:tcW w:w="1200" w:type="dxa"/>
            <w:vAlign w:val="bottom"/>
            <w:shd w:val="clear" w:color="auto" w:fill="B2B2B2"/>
          </w:tcPr>
          <w:p>
            <w:pPr>
              <w:spacing w:after="0"/>
              <w:rPr>
                <w:sz w:val="18"/>
                <w:szCs w:val="18"/>
                <w:color w:val="auto"/>
              </w:rPr>
            </w:pPr>
          </w:p>
        </w:tc>
        <w:tc>
          <w:tcPr>
            <w:tcW w:w="320" w:type="dxa"/>
            <w:vAlign w:val="bottom"/>
            <w:shd w:val="clear" w:color="auto" w:fill="B2B2B2"/>
          </w:tcPr>
          <w:p>
            <w:pPr>
              <w:spacing w:after="0"/>
              <w:rPr>
                <w:sz w:val="18"/>
                <w:szCs w:val="18"/>
                <w:color w:val="auto"/>
              </w:rPr>
            </w:pPr>
          </w:p>
        </w:tc>
        <w:tc>
          <w:tcPr>
            <w:tcW w:w="1180" w:type="dxa"/>
            <w:vAlign w:val="bottom"/>
            <w:shd w:val="clear" w:color="auto" w:fill="B2B2B2"/>
          </w:tcPr>
          <w:p>
            <w:pPr>
              <w:spacing w:after="0"/>
              <w:rPr>
                <w:sz w:val="18"/>
                <w:szCs w:val="18"/>
                <w:color w:val="auto"/>
              </w:rPr>
            </w:pPr>
          </w:p>
        </w:tc>
      </w:tr>
      <w:tr>
        <w:trPr>
          <w:trHeight w:val="215"/>
        </w:trPr>
        <w:tc>
          <w:tcPr>
            <w:tcW w:w="6900" w:type="dxa"/>
            <w:vAlign w:val="bottom"/>
          </w:tcPr>
          <w:p>
            <w:pPr>
              <w:ind w:left="180"/>
              <w:spacing w:after="0"/>
              <w:rPr>
                <w:sz w:val="20"/>
                <w:szCs w:val="20"/>
                <w:color w:val="auto"/>
              </w:rPr>
            </w:pPr>
            <w:r>
              <w:rPr>
                <w:rFonts w:ascii="Arial" w:cs="Arial" w:eastAsia="Arial" w:hAnsi="Arial"/>
                <w:sz w:val="18"/>
                <w:szCs w:val="18"/>
                <w:color w:val="auto"/>
              </w:rPr>
              <w:t>Average</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1.33%</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22"/>
        </w:trPr>
        <w:tc>
          <w:tcPr>
            <w:tcW w:w="6900" w:type="dxa"/>
            <w:vAlign w:val="bottom"/>
            <w:tcBorders>
              <w:bottom w:val="single" w:sz="8" w:color="auto"/>
            </w:tcBorders>
            <w:shd w:val="clear" w:color="auto" w:fill="B2B2B2"/>
          </w:tcPr>
          <w:p>
            <w:pPr>
              <w:ind w:left="180"/>
              <w:spacing w:after="0" w:line="202" w:lineRule="exact"/>
              <w:rPr>
                <w:sz w:val="20"/>
                <w:szCs w:val="20"/>
                <w:color w:val="auto"/>
              </w:rPr>
            </w:pPr>
            <w:r>
              <w:rPr>
                <w:rFonts w:ascii="Arial" w:cs="Arial" w:eastAsia="Arial" w:hAnsi="Arial"/>
                <w:sz w:val="18"/>
                <w:szCs w:val="18"/>
                <w:color w:val="auto"/>
              </w:rPr>
              <w:t>March 31</w:t>
            </w:r>
          </w:p>
        </w:tc>
        <w:tc>
          <w:tcPr>
            <w:tcW w:w="380" w:type="dxa"/>
            <w:vAlign w:val="bottom"/>
            <w:tcBorders>
              <w:bottom w:val="single" w:sz="8" w:color="auto"/>
            </w:tcBorders>
            <w:shd w:val="clear" w:color="auto" w:fill="B2B2B2"/>
          </w:tcPr>
          <w:p>
            <w:pPr>
              <w:spacing w:after="0"/>
              <w:rPr>
                <w:sz w:val="19"/>
                <w:szCs w:val="19"/>
                <w:color w:val="auto"/>
              </w:rPr>
            </w:pPr>
          </w:p>
        </w:tc>
        <w:tc>
          <w:tcPr>
            <w:tcW w:w="1200" w:type="dxa"/>
            <w:vAlign w:val="bottom"/>
            <w:tcBorders>
              <w:bottom w:val="single" w:sz="8" w:color="auto"/>
            </w:tcBorders>
            <w:shd w:val="clear" w:color="auto" w:fill="B2B2B2"/>
          </w:tcPr>
          <w:p>
            <w:pPr>
              <w:jc w:val="right"/>
              <w:spacing w:after="0" w:line="202" w:lineRule="exact"/>
              <w:rPr>
                <w:sz w:val="20"/>
                <w:szCs w:val="20"/>
                <w:color w:val="auto"/>
              </w:rPr>
            </w:pPr>
            <w:r>
              <w:rPr>
                <w:rFonts w:ascii="Arial" w:cs="Arial" w:eastAsia="Arial" w:hAnsi="Arial"/>
                <w:sz w:val="18"/>
                <w:szCs w:val="18"/>
                <w:color w:val="auto"/>
              </w:rPr>
              <w:t>1.32%</w:t>
            </w:r>
          </w:p>
        </w:tc>
        <w:tc>
          <w:tcPr>
            <w:tcW w:w="320" w:type="dxa"/>
            <w:vAlign w:val="bottom"/>
            <w:tcBorders>
              <w:bottom w:val="single" w:sz="8" w:color="auto"/>
            </w:tcBorders>
            <w:shd w:val="clear" w:color="auto" w:fill="B2B2B2"/>
          </w:tcPr>
          <w:p>
            <w:pPr>
              <w:spacing w:after="0"/>
              <w:rPr>
                <w:sz w:val="19"/>
                <w:szCs w:val="19"/>
                <w:color w:val="auto"/>
              </w:rPr>
            </w:pPr>
          </w:p>
        </w:tc>
        <w:tc>
          <w:tcPr>
            <w:tcW w:w="1180" w:type="dxa"/>
            <w:vAlign w:val="bottom"/>
            <w:tcBorders>
              <w:bottom w:val="single" w:sz="8" w:color="auto"/>
            </w:tcBorders>
            <w:shd w:val="clear" w:color="auto" w:fill="B2B2B2"/>
          </w:tcPr>
          <w:p>
            <w:pPr>
              <w:jc w:val="right"/>
              <w:spacing w:after="0" w:line="202" w:lineRule="exact"/>
              <w:rPr>
                <w:sz w:val="20"/>
                <w:szCs w:val="20"/>
                <w:color w:val="auto"/>
              </w:rPr>
            </w:pPr>
            <w:r>
              <w:rPr>
                <w:rFonts w:ascii="Arial" w:cs="Arial" w:eastAsia="Arial" w:hAnsi="Arial"/>
                <w:sz w:val="18"/>
                <w:szCs w:val="18"/>
                <w:color w:val="auto"/>
              </w:rPr>
              <w:t>1.27%</w:t>
            </w:r>
          </w:p>
        </w:tc>
      </w:tr>
    </w:tbl>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The Bank had no property carried as other real estate owned as of March 31, 2021 and March 31,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0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Total operating expenses for the First Quarter of 2021 were down 1.4%, or $404,000, as compared to the First Quarter of 2020, primarily as a result of the pandemic-related decline in travel and other business development activities.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Total assets at March 31, 2021 were $2,216,573,000, an increase of $13,338,000, or 0.6%, from December 31, 2020. The most significant changes in asset balances during this period were increases in securities of $69,518,000 and payments in excess of funding of $21,912,000. The increase in securities was driven by purchases in an effort to obtain a higher yield on our interest-earning assets. The increase in payments in excess of funding was driven by an increase in transportation dollar volumes and strategic efforts to increase these balances. These increases were partially offset by a decrease in cash and cash equivalents of $70,869,000. Changes in cash and cash equivalents reflect the Company’s daily liquidity position and are influenced by funding inflows and outflows.</w:t>
      </w:r>
    </w:p>
    <w:p>
      <w:pPr>
        <w:spacing w:after="0" w:line="162"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Total liabilities at March 31, 2021 were $1,957,086,000, an increase of $15,011,000, or 0.8%, from December 31, 2020. Total deposits at March 31, 2021 were $1,003,135,000, a decrease of $47,721,000, or 4.5%, from December 31, 2020. Accounts and drafts payable at March 31, 2021 were $897,508,000, an increase of $62,122,000, or 7.4%, from December 31, 2020, reflecting an increase in transportation dollar volumes.</w:t>
      </w:r>
    </w:p>
    <w:p>
      <w:pPr>
        <w:spacing w:after="0" w:line="1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Total shareholders’ equity at March 31, 2020 was $259,487,000, a $1,673,000, or 0.6%, decrease from December 31, 2020. Total shareholders’ equity decreased as a result of share repurchases of $1,228,000, dividends paid of $3,886,000 and an increase in accumulated other comprehensive loss of $3,377,000. These were partially offset by net income of $7,071,000.</w:t>
      </w:r>
    </w:p>
    <w:p>
      <w:pPr>
        <w:spacing w:after="0" w:line="16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Accounts and drafts payable will fluctuate from period-end to period-end due to the payment processing cycle, which results in lower balances on days when payments clear and higher balances on days when payments are issued. For this reason, average balances are a more meaningful measure of accounts and drafts payable. For average balances refer to the tables under the “Distribution of Assets, Liabilities and Shareholders’ Equity; Interest Rate and Interest Differential” section of this report.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8355" cy="596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8355" cy="5969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1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balance of cash and cash equivalents, which include cash and due from banks, interest-bearing deposits in other financial institutions, federal funds sold and money market funds was $599,659,000 at March 31, 2021, a decrease of $70,869,000, or 10.6%, from December 31, 2020. At March 31, 2021, these assets represented 27.1% of total assets. These funds are the Company’s and its subsidiaries’ primary source of liquidity to meet future expected and unexpected loan demand, depositor withdrawals or reductions in accounts and drafts payable.</w:t>
      </w:r>
    </w:p>
    <w:p>
      <w:pPr>
        <w:spacing w:after="0" w:line="16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Secondary sources of liquidity include the investment portfolio and borrowing lines. Total investment in securities was $427,244,000 at March 31, 2021, an increase of $69,518,000 from December 31, 2020. These assets represented 19.3% of total assets at March 31, 2021. Of this total, 77% were state and political subdivision securities. Of the total portfolio, 16.5% mature in one year, 21.9% mature in one to five years, and 61.6% mature in five or more years.</w:t>
      </w:r>
    </w:p>
    <w:p>
      <w:pPr>
        <w:spacing w:after="0" w:line="13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Bank has unsecured lines of credit at correspondent banks to purchase federal funds up to a maximum of $83,000,000 at the following banks: US Bank, $20,000,000; UMB Bank, $20,000,000; Wells Fargo Bank, $15,000,000; PNC Bank, $12,000,000; Frost National Bank, $10,000,000; and JPM Chase Bank, $6,000,000. The Bank also has secured lines of credit with the Federal Home Loan Bank of $197,258,000 collateralized by commercial mortgage loans. The Company also has secured lines of credit with UMB Bank of $75,000,000 and First Horizon Bank of $75,000,000 collateralized by state and political subdivision securities. There were no amounts outstanding under any line of credit as of March 31, 2021 or December 21, 2020.</w:t>
      </w:r>
    </w:p>
    <w:p>
      <w:pPr>
        <w:spacing w:after="0" w:line="14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the lines of credit discussed above, as of April 21, 2020 the Bank was approved for the Federal Reserve’s Paycheck Protection Program Lending Facility. The Bank can receive non-recourse loans with the previously mentioned PPP loans pledged as collateral. The Bank can borrow an amount up to 100% of the amount of the PPP loans, which was approximately $113,000,000 as of March 31, 2021.</w:t>
      </w:r>
    </w:p>
    <w:p>
      <w:pPr>
        <w:spacing w:after="0" w:line="15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deposits of the Company's banking subsidiary have historically been stable, consisting of a sizable volume of core deposits related to customers that utilize other commercial products of the Bank. The accounts and drafts payable generated by the Company has also historically been a stable source of funds. The Company is part of the Certificate of Deposit Account Registry Service (“CDARS”) and Insured Cash Sweep (“ICS”) deposit placement programs. Time deposits include $32,160,000 of CDARS deposits and interest-bearing demand deposits include $157,841,000 of ICS deposits. These programs offer the Bank’s customers the ability to maximize Federal Deposit Insurance Corporation (“FDIC”) insurance coverage. The Company uses these programs to retain or attract deposits from existing customers.</w:t>
      </w:r>
    </w:p>
    <w:p>
      <w:pPr>
        <w:spacing w:after="0" w:line="16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Net cash flows provided by operating activities were $16,704,000 for the three months ended March 31, 2021, compared to $18,160,000 for the three months ended March 31, 2020, a decrease of $1,456,000. Net cash flows from investing and financing activities fluctuate greatly as the Company actively manages its investment and loan portfolios and customer activity influences changes in deposit and accounts and drafts payable balances. Other causes for the changes in these account balances are discussed earlier in this report. Due to the daily fluctuations in these account balances, the analysis of changes in average balances, also discussed earlier in this report, can be more indicative of underlying activity than the period-end balances used in the statements of cash flows. Management anticipates that cash and cash equivalents, maturing investments and cash from operations will continue to be sufficient to fund the Company’s operations and capital expenditures in 2021, which are estimated to range from $4 million to $6 million.</w:t>
      </w:r>
    </w:p>
    <w:p>
      <w:pPr>
        <w:spacing w:after="0" w:line="149" w:lineRule="exact"/>
        <w:rPr>
          <w:sz w:val="20"/>
          <w:szCs w:val="20"/>
          <w:color w:val="auto"/>
        </w:rPr>
      </w:pPr>
    </w:p>
    <w:p>
      <w:pPr>
        <w:jc w:val="both"/>
        <w:spacing w:after="0" w:line="341" w:lineRule="auto"/>
        <w:rPr>
          <w:sz w:val="20"/>
          <w:szCs w:val="20"/>
          <w:color w:val="auto"/>
        </w:rPr>
      </w:pPr>
      <w:r>
        <w:rPr>
          <w:rFonts w:ascii="Arial" w:cs="Arial" w:eastAsia="Arial" w:hAnsi="Arial"/>
          <w:sz w:val="16"/>
          <w:szCs w:val="16"/>
          <w:color w:val="auto"/>
        </w:rPr>
        <w:t>The Company faces market risk to the extent that its net interest income and fair market value of equity are affected by changes in market interest rates. For information regarding the market risk of the Company’s financial instruments, see Item 3, “Quantitative and Qualitative Disclosures about Market Risk.”</w:t>
      </w:r>
    </w:p>
    <w:p>
      <w:pPr>
        <w:spacing w:after="0" w:line="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are several trends and uncertainties that may impact the Company’s ability to generate revenues and income at the levels that it has in the past. In addition, these trends and uncertainties may impact available liquidity. Those that could significantly impact the Company include the general levels of interest rates, business activity, and energy costs as well as new business opportunities available to the Company.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121285</wp:posOffset>
            </wp:positionV>
            <wp:extent cx="7158355" cy="508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8355" cy="5080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1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a financial institution, a significant source of the Company’s earnings is generated from net interest income. Therefore, the prevailing interest rate environment is important to the Company’s performance. A major portion of the Company’s funding sources are the non-interest bearing accounts and drafts payable generated from its payment and information processing services. Accordingly, higher levels of interest rates will generally allow the Company to earn more net interest income. Conversely, a lower interest rate environment will generally tend to depress net interest income. The Company actively manages its balance sheet in an effort to maximize net interest income as the interest rate environment changes. This balance sheet management impacts the mix of earning assets maintained by the Company at any point in time. For example, in a low interest rate environment, short-term relatively lower rate liquid investments may be reduced in favor of longer term relatively higher yielding investments and loans. If the primary source of liquidity is reduced in a low interest rate environment, a greater reliance would be placed on secondary sources of liquidity including borrowing lines, the ability of the Bank to generate deposits, and the investment portfolio to ensure overall liquidity remains at acceptable levels. For further discussion on COVID-19, refer to Note 1 “Basis of Presentation.”</w:t>
      </w:r>
    </w:p>
    <w:p>
      <w:pPr>
        <w:spacing w:after="0" w:line="16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overall level of economic activity can have a significant impact on the Company’s ability to generate revenues and income, as the volume and size of customer invoices processed may increase or decrease. Higher levels of economic activity increase both fee income (as more invoices are processed) and balances of accounts and drafts payable. For further discussion on COVID-19, refer to Note 1 “Basis of Presentation.” Lower levels of economic activity, such as those experienced by the Company as a result of COVID-19 and governmental actions related thereto, decrease both fee income and balances of accounts and drafts payable.</w:t>
      </w:r>
    </w:p>
    <w:p>
      <w:pPr>
        <w:spacing w:after="0" w:line="1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relative level of energy costs can impact the Company’s earnings and available liquidity. Lower levels of energy costs will tend to decrease transportation and energy invoice amounts resulting in a corresponding decrease in accounts and drafts payable. Decreases in accounts and drafts payable generate lower interest income. For further discussion on COVID-19, refer to Note 1 “Basis of Presentation.”</w:t>
      </w:r>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New business opportunities are an important component of the Company’s strategy to grow earnings and improve performance. Generating new customers allows the Company to leverage existing systems and facilities and grow revenues faster than expenses.</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Basel III Capital Rules require FDIC insured depository institutions to meet and maintain several minimum capital standards: a common equity Tier 1 capital to risk-based assets ratio of 4.5%, a Tier 1 capital to risk-based assets ratio of 6.0%, a total capital to risk-based assets of 8.0%, and a 4.0% Tier 1 capital to total assets leverage ratio.</w:t>
      </w:r>
    </w:p>
    <w:p>
      <w:pPr>
        <w:spacing w:after="0" w:line="15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Common equity Tier 1 capital is generally defined as common stockholders’ equity and retained earnings. Tier 1 capital is generally defined as common equity Tier 1 and Additional Tier 1 capital. Additional Tier 1 capital generally includes certain noncumulative perpetual preferred stock and related surplus and minority interests in equity accounts of consolidated subsidiaries. Total capital includes Tier 1 capital (common equity Tier 1 capital plus Additional Tier 1 capital) and Tier 2 capital. Tier 2 capital is comprised of capital instruments and related surplus meeting specified requirements. Also included in Tier 2 capital is the allowance for loan losses limited to a maximum of 1.25% of risk-weighted assets and, for non-advanced approaches institutions like Cass that have exercised a one-time opt-out election regarding the treatment of Accumulated Other Comprehensive Income, up to 45% of net unrealized gains on available-for-sale equity securities with readily determinable fair market values. The calculation of all types of regulatory capital is subject to deductions and adjustments specified in applicable regulations.</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determining the amount of risk-weighted assets for purposes of calculating risk-based capital ratios, all assets, including certain off-balance sheet assets are multiplied by a risk weight factor assigned by the regulations based on the risks believed inherent in the type of asset. Higher levels of capital are required for asset categories believed to present greater risk. For example, a risk weight of 0% is assigned to cash and U.S. government securities, a risk weight of 50% is generally assigned to prudently underwritten first lien one to four-family residential mortgages, a risk weight of 100% is assigned to commercial and consumer loans, a risk weight of 150% is assigned to certain past due loans, and a risk weight of between 0% to 600% is assigned to permissible equity interests, depending on certain specified factors.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Basel III Capital Rules require banking organizations, like Cass, to maintain:</w:t>
      </w:r>
    </w:p>
    <w:p>
      <w:pPr>
        <w:spacing w:after="0" w:line="32" w:lineRule="exact"/>
        <w:rPr>
          <w:sz w:val="20"/>
          <w:szCs w:val="20"/>
          <w:color w:val="auto"/>
        </w:rPr>
      </w:pPr>
    </w:p>
    <w:p>
      <w:pPr>
        <w:ind w:left="640" w:hanging="309"/>
        <w:spacing w:after="0"/>
        <w:tabs>
          <w:tab w:leader="none" w:pos="640" w:val="left"/>
        </w:tabs>
        <w:numPr>
          <w:ilvl w:val="0"/>
          <w:numId w:val="9"/>
        </w:numPr>
        <w:rPr>
          <w:rFonts w:ascii="Arial" w:cs="Arial" w:eastAsia="Arial" w:hAnsi="Arial"/>
          <w:sz w:val="32"/>
          <w:szCs w:val="32"/>
          <w:color w:val="auto"/>
        </w:rPr>
      </w:pPr>
      <w:r>
        <w:rPr>
          <w:rFonts w:ascii="Arial" w:cs="Arial" w:eastAsia="Arial" w:hAnsi="Arial"/>
          <w:sz w:val="18"/>
          <w:szCs w:val="18"/>
          <w:color w:val="auto"/>
        </w:rPr>
        <w:t>a minimum ratio of common equity Tier 1 capital to risk-weighted assets of at least 4.5%, plus a 2.5% capital conservation buffer;</w:t>
      </w:r>
    </w:p>
    <w:p>
      <w:pPr>
        <w:spacing w:after="0" w:line="55" w:lineRule="exact"/>
        <w:rPr>
          <w:rFonts w:ascii="Arial" w:cs="Arial" w:eastAsia="Arial" w:hAnsi="Arial"/>
          <w:sz w:val="32"/>
          <w:szCs w:val="32"/>
          <w:color w:val="auto"/>
        </w:rPr>
      </w:pPr>
    </w:p>
    <w:p>
      <w:pPr>
        <w:ind w:left="640" w:hanging="309"/>
        <w:spacing w:after="0" w:line="186" w:lineRule="auto"/>
        <w:tabs>
          <w:tab w:leader="none" w:pos="640" w:val="left"/>
        </w:tabs>
        <w:numPr>
          <w:ilvl w:val="0"/>
          <w:numId w:val="9"/>
        </w:numPr>
        <w:rPr>
          <w:rFonts w:ascii="Arial" w:cs="Arial" w:eastAsia="Arial" w:hAnsi="Arial"/>
          <w:sz w:val="24"/>
          <w:szCs w:val="24"/>
          <w:color w:val="auto"/>
        </w:rPr>
      </w:pPr>
      <w:r>
        <w:rPr>
          <w:rFonts w:ascii="Arial" w:cs="Arial" w:eastAsia="Arial" w:hAnsi="Arial"/>
          <w:sz w:val="15"/>
          <w:szCs w:val="15"/>
          <w:color w:val="auto"/>
        </w:rPr>
        <w:t>a minimum ratio of Tier 1 capital to risk-weighted assets of at least 6.0%, plus a 2.5% capital conservation buffer;</w:t>
      </w:r>
    </w:p>
    <w:p>
      <w:pPr>
        <w:spacing w:after="0" w:line="68" w:lineRule="exact"/>
        <w:rPr>
          <w:rFonts w:ascii="Arial" w:cs="Arial" w:eastAsia="Arial" w:hAnsi="Arial"/>
          <w:sz w:val="24"/>
          <w:szCs w:val="24"/>
          <w:color w:val="auto"/>
        </w:rPr>
      </w:pPr>
    </w:p>
    <w:p>
      <w:pPr>
        <w:ind w:left="640" w:hanging="309"/>
        <w:spacing w:after="0" w:line="182" w:lineRule="auto"/>
        <w:tabs>
          <w:tab w:leader="none" w:pos="640" w:val="left"/>
        </w:tabs>
        <w:numPr>
          <w:ilvl w:val="0"/>
          <w:numId w:val="9"/>
        </w:numPr>
        <w:rPr>
          <w:rFonts w:ascii="Arial" w:cs="Arial" w:eastAsia="Arial" w:hAnsi="Arial"/>
          <w:sz w:val="31"/>
          <w:szCs w:val="31"/>
          <w:color w:val="auto"/>
        </w:rPr>
      </w:pPr>
      <w:r>
        <w:rPr>
          <w:rFonts w:ascii="Arial" w:cs="Arial" w:eastAsia="Arial" w:hAnsi="Arial"/>
          <w:sz w:val="18"/>
          <w:szCs w:val="18"/>
          <w:color w:val="auto"/>
        </w:rPr>
        <w:t>a minimum ratio of total capital (that is, Tier 1 plus Tier 2 capital) to risk-weighted assets of at least 8.0%, plus the 2.5% capital conservation buffer; and</w:t>
      </w:r>
    </w:p>
    <w:p>
      <w:pPr>
        <w:spacing w:after="0" w:line="2" w:lineRule="exact"/>
        <w:rPr>
          <w:rFonts w:ascii="Arial" w:cs="Arial" w:eastAsia="Arial" w:hAnsi="Arial"/>
          <w:sz w:val="31"/>
          <w:szCs w:val="31"/>
          <w:color w:val="auto"/>
        </w:rPr>
      </w:pPr>
    </w:p>
    <w:p>
      <w:pPr>
        <w:ind w:left="640" w:hanging="309"/>
        <w:spacing w:after="0" w:line="181" w:lineRule="auto"/>
        <w:tabs>
          <w:tab w:leader="none" w:pos="640" w:val="left"/>
        </w:tabs>
        <w:numPr>
          <w:ilvl w:val="0"/>
          <w:numId w:val="9"/>
        </w:numPr>
        <w:rPr>
          <w:rFonts w:ascii="Arial" w:cs="Arial" w:eastAsia="Arial" w:hAnsi="Arial"/>
          <w:sz w:val="31"/>
          <w:szCs w:val="31"/>
          <w:color w:val="auto"/>
        </w:rPr>
      </w:pPr>
      <w:r>
        <w:rPr>
          <w:rFonts w:ascii="Arial" w:cs="Arial" w:eastAsia="Arial" w:hAnsi="Arial"/>
          <w:sz w:val="18"/>
          <w:szCs w:val="18"/>
          <w:color w:val="auto"/>
        </w:rPr>
        <w:t>a minimum leverage ratio of 4.0%, calculated as the ratio of Tier 1 capital to adjusted average consolidated assets.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8355" cy="596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8355" cy="5969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capital conservation buffer is designed to absorb losses during periods of economic stress. Banking institutions with a ratio of common equity Tier 1 capital to risk-weighted assets above the minimum but below the conservation buffer will face limitations on the payment of dividends, common stock repurchases and discretionary cash payments to executive officers based on the amount of the shortfall.</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The Company and the Bank continue to exceed all regulatory capital requirements, as evidenced by the following capital amounts and ratios: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20" w:type="dxa"/>
            <w:vAlign w:val="bottom"/>
            <w:gridSpan w:val="3"/>
          </w:tcPr>
          <w:p>
            <w:pPr>
              <w:ind w:left="340"/>
              <w:spacing w:after="0"/>
              <w:rPr>
                <w:sz w:val="20"/>
                <w:szCs w:val="20"/>
                <w:color w:val="auto"/>
              </w:rPr>
            </w:pPr>
            <w:r>
              <w:rPr>
                <w:rFonts w:ascii="Arial" w:cs="Arial" w:eastAsia="Arial" w:hAnsi="Arial"/>
                <w:sz w:val="18"/>
                <w:szCs w:val="18"/>
                <w:b w:val="1"/>
                <w:bCs w:val="1"/>
                <w:color w:val="auto"/>
              </w:rPr>
              <w:t>March 31, 2021</w:t>
            </w:r>
          </w:p>
        </w:tc>
        <w:tc>
          <w:tcPr>
            <w:tcW w:w="140" w:type="dxa"/>
            <w:vAlign w:val="bottom"/>
          </w:tcPr>
          <w:p>
            <w:pPr>
              <w:spacing w:after="0"/>
              <w:rPr>
                <w:sz w:val="20"/>
                <w:szCs w:val="20"/>
                <w:color w:val="auto"/>
              </w:rPr>
            </w:pPr>
          </w:p>
        </w:tc>
        <w:tc>
          <w:tcPr>
            <w:tcW w:w="1980" w:type="dxa"/>
            <w:vAlign w:val="bottom"/>
            <w:gridSpan w:val="3"/>
          </w:tcPr>
          <w:p>
            <w:pPr>
              <w:ind w:left="180"/>
              <w:spacing w:after="0"/>
              <w:rPr>
                <w:sz w:val="20"/>
                <w:szCs w:val="20"/>
                <w:color w:val="auto"/>
              </w:rPr>
            </w:pPr>
            <w:r>
              <w:rPr>
                <w:rFonts w:ascii="Arial" w:cs="Arial" w:eastAsia="Arial" w:hAnsi="Arial"/>
                <w:sz w:val="18"/>
                <w:szCs w:val="18"/>
                <w:b w:val="1"/>
                <w:bCs w:val="1"/>
                <w:color w:val="auto"/>
              </w:rPr>
              <w:t>December 31, 2020</w:t>
            </w:r>
          </w:p>
        </w:tc>
      </w:tr>
      <w:tr>
        <w:trPr>
          <w:trHeight w:val="222"/>
        </w:trPr>
        <w:tc>
          <w:tcPr>
            <w:tcW w:w="6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(Dollars in thousands)</w:t>
            </w: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4"/>
              </w:rPr>
              <w:t>Amount</w:t>
            </w:r>
          </w:p>
        </w:tc>
        <w:tc>
          <w:tcPr>
            <w:tcW w:w="9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Ratio</w:t>
            </w:r>
          </w:p>
        </w:tc>
        <w:tc>
          <w:tcPr>
            <w:tcW w:w="10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7"/>
              </w:rPr>
              <w:t>Amount</w:t>
            </w:r>
          </w:p>
        </w:tc>
        <w:tc>
          <w:tcPr>
            <w:tcW w:w="9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Ratio</w:t>
            </w:r>
          </w:p>
        </w:tc>
        <w:tc>
          <w:tcPr>
            <w:tcW w:w="20" w:type="dxa"/>
            <w:vAlign w:val="bottom"/>
          </w:tcPr>
          <w:p>
            <w:pPr>
              <w:spacing w:after="0"/>
              <w:rPr>
                <w:sz w:val="19"/>
                <w:szCs w:val="19"/>
                <w:color w:val="auto"/>
              </w:rPr>
            </w:pPr>
          </w:p>
        </w:tc>
      </w:tr>
      <w:tr>
        <w:trPr>
          <w:trHeight w:val="215"/>
        </w:trPr>
        <w:tc>
          <w:tcPr>
            <w:tcW w:w="6860" w:type="dxa"/>
            <w:vAlign w:val="bottom"/>
            <w:shd w:val="clear" w:color="auto" w:fill="B2B2B2"/>
          </w:tcPr>
          <w:p>
            <w:pPr>
              <w:spacing w:after="0"/>
              <w:rPr>
                <w:sz w:val="20"/>
                <w:szCs w:val="20"/>
                <w:color w:val="auto"/>
              </w:rPr>
            </w:pPr>
            <w:r>
              <w:rPr>
                <w:rFonts w:ascii="Arial" w:cs="Arial" w:eastAsia="Arial" w:hAnsi="Arial"/>
                <w:sz w:val="18"/>
                <w:szCs w:val="18"/>
                <w:color w:val="auto"/>
              </w:rPr>
              <w:t>Total capital (to risk-weighted assets)</w:t>
            </w:r>
          </w:p>
        </w:tc>
        <w:tc>
          <w:tcPr>
            <w:tcW w:w="160" w:type="dxa"/>
            <w:vAlign w:val="bottom"/>
            <w:shd w:val="clear" w:color="auto" w:fill="B2B2B2"/>
          </w:tcPr>
          <w:p>
            <w:pPr>
              <w:spacing w:after="0"/>
              <w:rPr>
                <w:sz w:val="18"/>
                <w:szCs w:val="18"/>
                <w:color w:val="auto"/>
              </w:rPr>
            </w:pPr>
          </w:p>
        </w:tc>
        <w:tc>
          <w:tcPr>
            <w:tcW w:w="1080" w:type="dxa"/>
            <w:vAlign w:val="bottom"/>
            <w:shd w:val="clear" w:color="auto" w:fill="B2B2B2"/>
          </w:tcPr>
          <w:p>
            <w:pPr>
              <w:spacing w:after="0"/>
              <w:rPr>
                <w:sz w:val="18"/>
                <w:szCs w:val="18"/>
                <w:color w:val="auto"/>
              </w:rPr>
            </w:pPr>
          </w:p>
        </w:tc>
        <w:tc>
          <w:tcPr>
            <w:tcW w:w="94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106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6860" w:type="dxa"/>
            <w:vAlign w:val="bottom"/>
          </w:tcPr>
          <w:p>
            <w:pPr>
              <w:ind w:left="180"/>
              <w:spacing w:after="0"/>
              <w:rPr>
                <w:sz w:val="20"/>
                <w:szCs w:val="20"/>
                <w:color w:val="auto"/>
              </w:rPr>
            </w:pPr>
            <w:r>
              <w:rPr>
                <w:rFonts w:ascii="Arial" w:cs="Arial" w:eastAsia="Arial" w:hAnsi="Arial"/>
                <w:sz w:val="18"/>
                <w:szCs w:val="18"/>
                <w:color w:val="auto"/>
              </w:rPr>
              <w:t>Cass Information Systems, Inc.</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256,899</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21.13%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255,332</w:t>
            </w:r>
          </w:p>
        </w:tc>
        <w:tc>
          <w:tcPr>
            <w:tcW w:w="900" w:type="dxa"/>
            <w:vAlign w:val="bottom"/>
          </w:tcPr>
          <w:p>
            <w:pPr>
              <w:jc w:val="right"/>
              <w:spacing w:after="0"/>
              <w:rPr>
                <w:sz w:val="20"/>
                <w:szCs w:val="20"/>
                <w:color w:val="auto"/>
              </w:rPr>
            </w:pPr>
            <w:r>
              <w:rPr>
                <w:rFonts w:ascii="Arial" w:cs="Arial" w:eastAsia="Arial" w:hAnsi="Arial"/>
                <w:sz w:val="18"/>
                <w:szCs w:val="18"/>
                <w:color w:val="auto"/>
              </w:rPr>
              <w:t>21.41%</w:t>
            </w:r>
          </w:p>
        </w:tc>
        <w:tc>
          <w:tcPr>
            <w:tcW w:w="20" w:type="dxa"/>
            <w:vAlign w:val="bottom"/>
          </w:tcPr>
          <w:p>
            <w:pPr>
              <w:spacing w:after="0"/>
              <w:rPr>
                <w:sz w:val="18"/>
                <w:szCs w:val="18"/>
                <w:color w:val="auto"/>
              </w:rPr>
            </w:pPr>
          </w:p>
        </w:tc>
      </w:tr>
      <w:tr>
        <w:trPr>
          <w:trHeight w:val="215"/>
        </w:trPr>
        <w:tc>
          <w:tcPr>
            <w:tcW w:w="6860" w:type="dxa"/>
            <w:vAlign w:val="bottom"/>
            <w:shd w:val="clear" w:color="auto" w:fill="B2B2B2"/>
          </w:tcPr>
          <w:p>
            <w:pPr>
              <w:ind w:left="180"/>
              <w:spacing w:after="0"/>
              <w:rPr>
                <w:sz w:val="20"/>
                <w:szCs w:val="20"/>
                <w:color w:val="auto"/>
              </w:rPr>
            </w:pPr>
            <w:r>
              <w:rPr>
                <w:rFonts w:ascii="Arial" w:cs="Arial" w:eastAsia="Arial" w:hAnsi="Arial"/>
                <w:sz w:val="18"/>
                <w:szCs w:val="18"/>
                <w:color w:val="auto"/>
              </w:rPr>
              <w:t>Cass Commercial Bank</w:t>
            </w:r>
          </w:p>
        </w:tc>
        <w:tc>
          <w:tcPr>
            <w:tcW w:w="160" w:type="dxa"/>
            <w:vAlign w:val="bottom"/>
            <w:shd w:val="clear" w:color="auto" w:fill="B2B2B2"/>
          </w:tcPr>
          <w:p>
            <w:pPr>
              <w:spacing w:after="0"/>
              <w:rPr>
                <w:sz w:val="18"/>
                <w:szCs w:val="18"/>
                <w:color w:val="auto"/>
              </w:rPr>
            </w:pPr>
          </w:p>
        </w:tc>
        <w:tc>
          <w:tcPr>
            <w:tcW w:w="1080" w:type="dxa"/>
            <w:vAlign w:val="bottom"/>
            <w:shd w:val="clear" w:color="auto" w:fill="B2B2B2"/>
          </w:tcPr>
          <w:p>
            <w:pPr>
              <w:jc w:val="right"/>
              <w:ind w:right="130"/>
              <w:spacing w:after="0"/>
              <w:rPr>
                <w:sz w:val="20"/>
                <w:szCs w:val="20"/>
                <w:color w:val="auto"/>
              </w:rPr>
            </w:pPr>
            <w:r>
              <w:rPr>
                <w:rFonts w:ascii="Arial" w:cs="Arial" w:eastAsia="Arial" w:hAnsi="Arial"/>
                <w:sz w:val="18"/>
                <w:szCs w:val="18"/>
                <w:color w:val="auto"/>
              </w:rPr>
              <w:t>175,574</w:t>
            </w:r>
          </w:p>
        </w:tc>
        <w:tc>
          <w:tcPr>
            <w:tcW w:w="1040" w:type="dxa"/>
            <w:vAlign w:val="bottom"/>
            <w:gridSpan w:val="2"/>
            <w:shd w:val="clear" w:color="auto" w:fill="B2B2B2"/>
          </w:tcPr>
          <w:p>
            <w:pPr>
              <w:jc w:val="right"/>
              <w:ind w:right="100"/>
              <w:spacing w:after="0"/>
              <w:rPr>
                <w:sz w:val="20"/>
                <w:szCs w:val="20"/>
                <w:color w:val="auto"/>
              </w:rPr>
            </w:pPr>
            <w:r>
              <w:rPr>
                <w:rFonts w:ascii="Arial" w:cs="Arial" w:eastAsia="Arial" w:hAnsi="Arial"/>
                <w:sz w:val="18"/>
                <w:szCs w:val="18"/>
                <w:color w:val="auto"/>
              </w:rPr>
              <w:t>22.48%</w:t>
            </w:r>
          </w:p>
        </w:tc>
        <w:tc>
          <w:tcPr>
            <w:tcW w:w="140" w:type="dxa"/>
            <w:vAlign w:val="bottom"/>
            <w:shd w:val="clear" w:color="auto" w:fill="B2B2B2"/>
          </w:tcPr>
          <w:p>
            <w:pPr>
              <w:spacing w:after="0"/>
              <w:rPr>
                <w:sz w:val="18"/>
                <w:szCs w:val="18"/>
                <w:color w:val="auto"/>
              </w:rPr>
            </w:pPr>
          </w:p>
        </w:tc>
        <w:tc>
          <w:tcPr>
            <w:tcW w:w="1060" w:type="dxa"/>
            <w:vAlign w:val="bottom"/>
            <w:shd w:val="clear" w:color="auto" w:fill="B2B2B2"/>
          </w:tcPr>
          <w:p>
            <w:pPr>
              <w:jc w:val="right"/>
              <w:ind w:right="110"/>
              <w:spacing w:after="0"/>
              <w:rPr>
                <w:sz w:val="20"/>
                <w:szCs w:val="20"/>
                <w:color w:val="auto"/>
              </w:rPr>
            </w:pPr>
            <w:r>
              <w:rPr>
                <w:rFonts w:ascii="Arial" w:cs="Arial" w:eastAsia="Arial" w:hAnsi="Arial"/>
                <w:sz w:val="18"/>
                <w:szCs w:val="18"/>
                <w:color w:val="auto"/>
              </w:rPr>
              <w:t>171,298</w:t>
            </w:r>
          </w:p>
        </w:tc>
        <w:tc>
          <w:tcPr>
            <w:tcW w:w="9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21.46%</w:t>
            </w:r>
          </w:p>
        </w:tc>
        <w:tc>
          <w:tcPr>
            <w:tcW w:w="20" w:type="dxa"/>
            <w:vAlign w:val="bottom"/>
          </w:tcPr>
          <w:p>
            <w:pPr>
              <w:spacing w:after="0"/>
              <w:rPr>
                <w:sz w:val="18"/>
                <w:szCs w:val="18"/>
                <w:color w:val="auto"/>
              </w:rPr>
            </w:pPr>
          </w:p>
        </w:tc>
      </w:tr>
      <w:tr>
        <w:trPr>
          <w:trHeight w:val="215"/>
        </w:trPr>
        <w:tc>
          <w:tcPr>
            <w:tcW w:w="6860" w:type="dxa"/>
            <w:vAlign w:val="bottom"/>
          </w:tcPr>
          <w:p>
            <w:pPr>
              <w:spacing w:after="0"/>
              <w:rPr>
                <w:sz w:val="20"/>
                <w:szCs w:val="20"/>
                <w:color w:val="auto"/>
              </w:rPr>
            </w:pPr>
            <w:r>
              <w:rPr>
                <w:rFonts w:ascii="Arial" w:cs="Arial" w:eastAsia="Arial" w:hAnsi="Arial"/>
                <w:sz w:val="18"/>
                <w:szCs w:val="18"/>
                <w:color w:val="auto"/>
              </w:rPr>
              <w:t>Common equity tier I capital (to risk-weighted assets)</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6860" w:type="dxa"/>
            <w:vAlign w:val="bottom"/>
            <w:shd w:val="clear" w:color="auto" w:fill="B2B2B2"/>
          </w:tcPr>
          <w:p>
            <w:pPr>
              <w:ind w:left="180"/>
              <w:spacing w:after="0"/>
              <w:rPr>
                <w:sz w:val="20"/>
                <w:szCs w:val="20"/>
                <w:color w:val="auto"/>
              </w:rPr>
            </w:pPr>
            <w:r>
              <w:rPr>
                <w:rFonts w:ascii="Arial" w:cs="Arial" w:eastAsia="Arial" w:hAnsi="Arial"/>
                <w:sz w:val="18"/>
                <w:szCs w:val="18"/>
                <w:color w:val="auto"/>
              </w:rPr>
              <w:t>Cass Information Systems, Inc.</w:t>
            </w:r>
          </w:p>
        </w:tc>
        <w:tc>
          <w:tcPr>
            <w:tcW w:w="160" w:type="dxa"/>
            <w:vAlign w:val="bottom"/>
            <w:shd w:val="clear" w:color="auto" w:fill="B2B2B2"/>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B2B2B2"/>
          </w:tcPr>
          <w:p>
            <w:pPr>
              <w:jc w:val="right"/>
              <w:ind w:right="130"/>
              <w:spacing w:after="0"/>
              <w:rPr>
                <w:sz w:val="20"/>
                <w:szCs w:val="20"/>
                <w:color w:val="auto"/>
              </w:rPr>
            </w:pPr>
            <w:r>
              <w:rPr>
                <w:rFonts w:ascii="Arial" w:cs="Arial" w:eastAsia="Arial" w:hAnsi="Arial"/>
                <w:sz w:val="18"/>
                <w:szCs w:val="18"/>
                <w:color w:val="auto"/>
              </w:rPr>
              <w:t>245,178</w:t>
            </w:r>
          </w:p>
        </w:tc>
        <w:tc>
          <w:tcPr>
            <w:tcW w:w="1040" w:type="dxa"/>
            <w:vAlign w:val="bottom"/>
            <w:gridSpan w:val="2"/>
            <w:shd w:val="clear" w:color="auto" w:fill="B2B2B2"/>
          </w:tcPr>
          <w:p>
            <w:pPr>
              <w:jc w:val="right"/>
              <w:ind w:right="100"/>
              <w:spacing w:after="0"/>
              <w:rPr>
                <w:sz w:val="20"/>
                <w:szCs w:val="20"/>
                <w:color w:val="auto"/>
              </w:rPr>
            </w:pPr>
            <w:r>
              <w:rPr>
                <w:rFonts w:ascii="Arial" w:cs="Arial" w:eastAsia="Arial" w:hAnsi="Arial"/>
                <w:sz w:val="18"/>
                <w:szCs w:val="18"/>
                <w:color w:val="auto"/>
              </w:rPr>
              <w:t>20.17%</w:t>
            </w:r>
          </w:p>
        </w:tc>
        <w:tc>
          <w:tcPr>
            <w:tcW w:w="140" w:type="dxa"/>
            <w:vAlign w:val="bottom"/>
            <w:shd w:val="clear" w:color="auto" w:fill="B2B2B2"/>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B2B2B2"/>
          </w:tcPr>
          <w:p>
            <w:pPr>
              <w:jc w:val="right"/>
              <w:ind w:right="110"/>
              <w:spacing w:after="0"/>
              <w:rPr>
                <w:sz w:val="20"/>
                <w:szCs w:val="20"/>
                <w:color w:val="auto"/>
              </w:rPr>
            </w:pPr>
            <w:r>
              <w:rPr>
                <w:rFonts w:ascii="Arial" w:cs="Arial" w:eastAsia="Arial" w:hAnsi="Arial"/>
                <w:sz w:val="18"/>
                <w:szCs w:val="18"/>
                <w:color w:val="auto"/>
              </w:rPr>
              <w:t>243,388</w:t>
            </w:r>
          </w:p>
        </w:tc>
        <w:tc>
          <w:tcPr>
            <w:tcW w:w="9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20.41%</w:t>
            </w:r>
          </w:p>
        </w:tc>
        <w:tc>
          <w:tcPr>
            <w:tcW w:w="20" w:type="dxa"/>
            <w:vAlign w:val="bottom"/>
          </w:tcPr>
          <w:p>
            <w:pPr>
              <w:spacing w:after="0"/>
              <w:rPr>
                <w:sz w:val="18"/>
                <w:szCs w:val="18"/>
                <w:color w:val="auto"/>
              </w:rPr>
            </w:pPr>
          </w:p>
        </w:tc>
      </w:tr>
      <w:tr>
        <w:trPr>
          <w:trHeight w:val="215"/>
        </w:trPr>
        <w:tc>
          <w:tcPr>
            <w:tcW w:w="6860" w:type="dxa"/>
            <w:vAlign w:val="bottom"/>
          </w:tcPr>
          <w:p>
            <w:pPr>
              <w:ind w:left="180"/>
              <w:spacing w:after="0"/>
              <w:rPr>
                <w:sz w:val="20"/>
                <w:szCs w:val="20"/>
                <w:color w:val="auto"/>
              </w:rPr>
            </w:pPr>
            <w:r>
              <w:rPr>
                <w:rFonts w:ascii="Arial" w:cs="Arial" w:eastAsia="Arial" w:hAnsi="Arial"/>
                <w:sz w:val="18"/>
                <w:szCs w:val="18"/>
                <w:color w:val="auto"/>
              </w:rPr>
              <w:t>Cass Commercial Bank</w:t>
            </w:r>
          </w:p>
        </w:tc>
        <w:tc>
          <w:tcPr>
            <w:tcW w:w="16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165,791</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21.22%</w:t>
            </w:r>
          </w:p>
        </w:tc>
        <w:tc>
          <w:tcPr>
            <w:tcW w:w="140" w:type="dxa"/>
            <w:vAlign w:val="bottom"/>
          </w:tcPr>
          <w:p>
            <w:pPr>
              <w:spacing w:after="0"/>
              <w:rPr>
                <w:sz w:val="18"/>
                <w:szCs w:val="18"/>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161,300</w:t>
            </w:r>
          </w:p>
        </w:tc>
        <w:tc>
          <w:tcPr>
            <w:tcW w:w="900" w:type="dxa"/>
            <w:vAlign w:val="bottom"/>
          </w:tcPr>
          <w:p>
            <w:pPr>
              <w:jc w:val="right"/>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18"/>
                <w:szCs w:val="18"/>
                <w:color w:val="auto"/>
              </w:rPr>
            </w:pPr>
          </w:p>
        </w:tc>
      </w:tr>
      <w:tr>
        <w:trPr>
          <w:trHeight w:val="215"/>
        </w:trPr>
        <w:tc>
          <w:tcPr>
            <w:tcW w:w="6860" w:type="dxa"/>
            <w:vAlign w:val="bottom"/>
            <w:shd w:val="clear" w:color="auto" w:fill="B2B2B2"/>
          </w:tcPr>
          <w:p>
            <w:pPr>
              <w:spacing w:after="0"/>
              <w:rPr>
                <w:sz w:val="20"/>
                <w:szCs w:val="20"/>
                <w:color w:val="auto"/>
              </w:rPr>
            </w:pPr>
            <w:r>
              <w:rPr>
                <w:rFonts w:ascii="Arial" w:cs="Arial" w:eastAsia="Arial" w:hAnsi="Arial"/>
                <w:sz w:val="18"/>
                <w:szCs w:val="18"/>
                <w:color w:val="auto"/>
              </w:rPr>
              <w:t>Tier I capital (to risk-weighted assets)</w:t>
            </w:r>
          </w:p>
        </w:tc>
        <w:tc>
          <w:tcPr>
            <w:tcW w:w="160" w:type="dxa"/>
            <w:vAlign w:val="bottom"/>
            <w:shd w:val="clear" w:color="auto" w:fill="B2B2B2"/>
          </w:tcPr>
          <w:p>
            <w:pPr>
              <w:spacing w:after="0"/>
              <w:rPr>
                <w:sz w:val="18"/>
                <w:szCs w:val="18"/>
                <w:color w:val="auto"/>
              </w:rPr>
            </w:pPr>
          </w:p>
        </w:tc>
        <w:tc>
          <w:tcPr>
            <w:tcW w:w="1080" w:type="dxa"/>
            <w:vAlign w:val="bottom"/>
            <w:shd w:val="clear" w:color="auto" w:fill="B2B2B2"/>
          </w:tcPr>
          <w:p>
            <w:pPr>
              <w:spacing w:after="0"/>
              <w:rPr>
                <w:sz w:val="18"/>
                <w:szCs w:val="18"/>
                <w:color w:val="auto"/>
              </w:rPr>
            </w:pPr>
          </w:p>
        </w:tc>
        <w:tc>
          <w:tcPr>
            <w:tcW w:w="94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106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6860" w:type="dxa"/>
            <w:vAlign w:val="bottom"/>
          </w:tcPr>
          <w:p>
            <w:pPr>
              <w:ind w:left="180"/>
              <w:spacing w:after="0"/>
              <w:rPr>
                <w:sz w:val="20"/>
                <w:szCs w:val="20"/>
                <w:color w:val="auto"/>
              </w:rPr>
            </w:pPr>
            <w:r>
              <w:rPr>
                <w:rFonts w:ascii="Arial" w:cs="Arial" w:eastAsia="Arial" w:hAnsi="Arial"/>
                <w:sz w:val="18"/>
                <w:szCs w:val="18"/>
                <w:color w:val="auto"/>
              </w:rPr>
              <w:t>Cass Information Systems, Inc.</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245,178</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20.17%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243,388</w:t>
            </w:r>
          </w:p>
        </w:tc>
        <w:tc>
          <w:tcPr>
            <w:tcW w:w="900" w:type="dxa"/>
            <w:vAlign w:val="bottom"/>
          </w:tcPr>
          <w:p>
            <w:pPr>
              <w:jc w:val="right"/>
              <w:spacing w:after="0"/>
              <w:rPr>
                <w:sz w:val="20"/>
                <w:szCs w:val="20"/>
                <w:color w:val="auto"/>
              </w:rPr>
            </w:pPr>
            <w:r>
              <w:rPr>
                <w:rFonts w:ascii="Arial" w:cs="Arial" w:eastAsia="Arial" w:hAnsi="Arial"/>
                <w:sz w:val="18"/>
                <w:szCs w:val="18"/>
                <w:color w:val="auto"/>
              </w:rPr>
              <w:t>20.41%</w:t>
            </w:r>
          </w:p>
        </w:tc>
        <w:tc>
          <w:tcPr>
            <w:tcW w:w="20" w:type="dxa"/>
            <w:vAlign w:val="bottom"/>
          </w:tcPr>
          <w:p>
            <w:pPr>
              <w:spacing w:after="0"/>
              <w:rPr>
                <w:sz w:val="18"/>
                <w:szCs w:val="18"/>
                <w:color w:val="auto"/>
              </w:rPr>
            </w:pPr>
          </w:p>
        </w:tc>
      </w:tr>
      <w:tr>
        <w:trPr>
          <w:trHeight w:val="215"/>
        </w:trPr>
        <w:tc>
          <w:tcPr>
            <w:tcW w:w="6860" w:type="dxa"/>
            <w:vAlign w:val="bottom"/>
            <w:shd w:val="clear" w:color="auto" w:fill="B2B2B2"/>
          </w:tcPr>
          <w:p>
            <w:pPr>
              <w:ind w:left="180"/>
              <w:spacing w:after="0"/>
              <w:rPr>
                <w:sz w:val="20"/>
                <w:szCs w:val="20"/>
                <w:color w:val="auto"/>
              </w:rPr>
            </w:pPr>
            <w:r>
              <w:rPr>
                <w:rFonts w:ascii="Arial" w:cs="Arial" w:eastAsia="Arial" w:hAnsi="Arial"/>
                <w:sz w:val="18"/>
                <w:szCs w:val="18"/>
                <w:color w:val="auto"/>
              </w:rPr>
              <w:t>Cass Commercial Bank</w:t>
            </w:r>
          </w:p>
        </w:tc>
        <w:tc>
          <w:tcPr>
            <w:tcW w:w="160" w:type="dxa"/>
            <w:vAlign w:val="bottom"/>
            <w:shd w:val="clear" w:color="auto" w:fill="B2B2B2"/>
          </w:tcPr>
          <w:p>
            <w:pPr>
              <w:spacing w:after="0"/>
              <w:rPr>
                <w:sz w:val="18"/>
                <w:szCs w:val="18"/>
                <w:color w:val="auto"/>
              </w:rPr>
            </w:pPr>
          </w:p>
        </w:tc>
        <w:tc>
          <w:tcPr>
            <w:tcW w:w="1080" w:type="dxa"/>
            <w:vAlign w:val="bottom"/>
            <w:shd w:val="clear" w:color="auto" w:fill="B2B2B2"/>
          </w:tcPr>
          <w:p>
            <w:pPr>
              <w:jc w:val="right"/>
              <w:ind w:right="130"/>
              <w:spacing w:after="0"/>
              <w:rPr>
                <w:sz w:val="20"/>
                <w:szCs w:val="20"/>
                <w:color w:val="auto"/>
              </w:rPr>
            </w:pPr>
            <w:r>
              <w:rPr>
                <w:rFonts w:ascii="Arial" w:cs="Arial" w:eastAsia="Arial" w:hAnsi="Arial"/>
                <w:sz w:val="18"/>
                <w:szCs w:val="18"/>
                <w:color w:val="auto"/>
              </w:rPr>
              <w:t>165,791</w:t>
            </w:r>
          </w:p>
        </w:tc>
        <w:tc>
          <w:tcPr>
            <w:tcW w:w="1040" w:type="dxa"/>
            <w:vAlign w:val="bottom"/>
            <w:gridSpan w:val="2"/>
            <w:shd w:val="clear" w:color="auto" w:fill="B2B2B2"/>
          </w:tcPr>
          <w:p>
            <w:pPr>
              <w:jc w:val="right"/>
              <w:ind w:right="100"/>
              <w:spacing w:after="0"/>
              <w:rPr>
                <w:sz w:val="20"/>
                <w:szCs w:val="20"/>
                <w:color w:val="auto"/>
              </w:rPr>
            </w:pPr>
            <w:r>
              <w:rPr>
                <w:rFonts w:ascii="Arial" w:cs="Arial" w:eastAsia="Arial" w:hAnsi="Arial"/>
                <w:sz w:val="18"/>
                <w:szCs w:val="18"/>
                <w:color w:val="auto"/>
              </w:rPr>
              <w:t>21.22%</w:t>
            </w:r>
          </w:p>
        </w:tc>
        <w:tc>
          <w:tcPr>
            <w:tcW w:w="140" w:type="dxa"/>
            <w:vAlign w:val="bottom"/>
            <w:shd w:val="clear" w:color="auto" w:fill="B2B2B2"/>
          </w:tcPr>
          <w:p>
            <w:pPr>
              <w:spacing w:after="0"/>
              <w:rPr>
                <w:sz w:val="18"/>
                <w:szCs w:val="18"/>
                <w:color w:val="auto"/>
              </w:rPr>
            </w:pPr>
          </w:p>
        </w:tc>
        <w:tc>
          <w:tcPr>
            <w:tcW w:w="1060" w:type="dxa"/>
            <w:vAlign w:val="bottom"/>
            <w:shd w:val="clear" w:color="auto" w:fill="B2B2B2"/>
          </w:tcPr>
          <w:p>
            <w:pPr>
              <w:jc w:val="right"/>
              <w:ind w:right="110"/>
              <w:spacing w:after="0"/>
              <w:rPr>
                <w:sz w:val="20"/>
                <w:szCs w:val="20"/>
                <w:color w:val="auto"/>
              </w:rPr>
            </w:pPr>
            <w:r>
              <w:rPr>
                <w:rFonts w:ascii="Arial" w:cs="Arial" w:eastAsia="Arial" w:hAnsi="Arial"/>
                <w:sz w:val="18"/>
                <w:szCs w:val="18"/>
                <w:color w:val="auto"/>
              </w:rPr>
              <w:t>161,300</w:t>
            </w:r>
          </w:p>
        </w:tc>
        <w:tc>
          <w:tcPr>
            <w:tcW w:w="9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18"/>
                <w:szCs w:val="18"/>
                <w:color w:val="auto"/>
              </w:rPr>
            </w:pPr>
          </w:p>
        </w:tc>
      </w:tr>
      <w:tr>
        <w:trPr>
          <w:trHeight w:val="215"/>
        </w:trPr>
        <w:tc>
          <w:tcPr>
            <w:tcW w:w="6860" w:type="dxa"/>
            <w:vAlign w:val="bottom"/>
          </w:tcPr>
          <w:p>
            <w:pPr>
              <w:spacing w:after="0"/>
              <w:rPr>
                <w:sz w:val="20"/>
                <w:szCs w:val="20"/>
                <w:color w:val="auto"/>
              </w:rPr>
            </w:pPr>
            <w:r>
              <w:rPr>
                <w:rFonts w:ascii="Arial" w:cs="Arial" w:eastAsia="Arial" w:hAnsi="Arial"/>
                <w:sz w:val="18"/>
                <w:szCs w:val="18"/>
                <w:color w:val="auto"/>
              </w:rPr>
              <w:t>Tier I capital (to leverage assets)</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6860" w:type="dxa"/>
            <w:vAlign w:val="bottom"/>
            <w:shd w:val="clear" w:color="auto" w:fill="B2B2B2"/>
          </w:tcPr>
          <w:p>
            <w:pPr>
              <w:ind w:left="180"/>
              <w:spacing w:after="0"/>
              <w:rPr>
                <w:sz w:val="20"/>
                <w:szCs w:val="20"/>
                <w:color w:val="auto"/>
              </w:rPr>
            </w:pPr>
            <w:r>
              <w:rPr>
                <w:rFonts w:ascii="Arial" w:cs="Arial" w:eastAsia="Arial" w:hAnsi="Arial"/>
                <w:sz w:val="18"/>
                <w:szCs w:val="18"/>
                <w:color w:val="auto"/>
              </w:rPr>
              <w:t>Cass Information Systems, Inc.</w:t>
            </w:r>
          </w:p>
        </w:tc>
        <w:tc>
          <w:tcPr>
            <w:tcW w:w="160" w:type="dxa"/>
            <w:vAlign w:val="bottom"/>
            <w:shd w:val="clear" w:color="auto" w:fill="B2B2B2"/>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B2B2B2"/>
          </w:tcPr>
          <w:p>
            <w:pPr>
              <w:jc w:val="right"/>
              <w:ind w:right="130"/>
              <w:spacing w:after="0"/>
              <w:rPr>
                <w:sz w:val="20"/>
                <w:szCs w:val="20"/>
                <w:color w:val="auto"/>
              </w:rPr>
            </w:pPr>
            <w:r>
              <w:rPr>
                <w:rFonts w:ascii="Arial" w:cs="Arial" w:eastAsia="Arial" w:hAnsi="Arial"/>
                <w:sz w:val="18"/>
                <w:szCs w:val="18"/>
                <w:color w:val="auto"/>
              </w:rPr>
              <w:t>245,178</w:t>
            </w:r>
          </w:p>
        </w:tc>
        <w:tc>
          <w:tcPr>
            <w:tcW w:w="1040" w:type="dxa"/>
            <w:vAlign w:val="bottom"/>
            <w:gridSpan w:val="2"/>
            <w:shd w:val="clear" w:color="auto" w:fill="B2B2B2"/>
          </w:tcPr>
          <w:p>
            <w:pPr>
              <w:jc w:val="right"/>
              <w:ind w:right="100"/>
              <w:spacing w:after="0"/>
              <w:rPr>
                <w:sz w:val="20"/>
                <w:szCs w:val="20"/>
                <w:color w:val="auto"/>
              </w:rPr>
            </w:pPr>
            <w:r>
              <w:rPr>
                <w:rFonts w:ascii="Arial" w:cs="Arial" w:eastAsia="Arial" w:hAnsi="Arial"/>
                <w:sz w:val="18"/>
                <w:szCs w:val="18"/>
                <w:color w:val="auto"/>
              </w:rPr>
              <w:t>11.31%</w:t>
            </w:r>
          </w:p>
        </w:tc>
        <w:tc>
          <w:tcPr>
            <w:tcW w:w="140" w:type="dxa"/>
            <w:vAlign w:val="bottom"/>
            <w:shd w:val="clear" w:color="auto" w:fill="B2B2B2"/>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B2B2B2"/>
          </w:tcPr>
          <w:p>
            <w:pPr>
              <w:jc w:val="right"/>
              <w:ind w:right="110"/>
              <w:spacing w:after="0"/>
              <w:rPr>
                <w:sz w:val="20"/>
                <w:szCs w:val="20"/>
                <w:color w:val="auto"/>
              </w:rPr>
            </w:pPr>
            <w:r>
              <w:rPr>
                <w:rFonts w:ascii="Arial" w:cs="Arial" w:eastAsia="Arial" w:hAnsi="Arial"/>
                <w:sz w:val="18"/>
                <w:szCs w:val="18"/>
                <w:color w:val="auto"/>
              </w:rPr>
              <w:t>243,388</w:t>
            </w:r>
          </w:p>
        </w:tc>
        <w:tc>
          <w:tcPr>
            <w:tcW w:w="9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11.52%</w:t>
            </w:r>
          </w:p>
        </w:tc>
        <w:tc>
          <w:tcPr>
            <w:tcW w:w="20" w:type="dxa"/>
            <w:vAlign w:val="bottom"/>
          </w:tcPr>
          <w:p>
            <w:pPr>
              <w:spacing w:after="0"/>
              <w:rPr>
                <w:sz w:val="18"/>
                <w:szCs w:val="18"/>
                <w:color w:val="auto"/>
              </w:rPr>
            </w:pPr>
          </w:p>
        </w:tc>
      </w:tr>
      <w:tr>
        <w:trPr>
          <w:trHeight w:val="222"/>
        </w:trPr>
        <w:tc>
          <w:tcPr>
            <w:tcW w:w="686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Cass Commercial Bank</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0"/>
              <w:spacing w:after="0" w:line="202" w:lineRule="exact"/>
              <w:rPr>
                <w:sz w:val="20"/>
                <w:szCs w:val="20"/>
                <w:color w:val="auto"/>
              </w:rPr>
            </w:pPr>
            <w:r>
              <w:rPr>
                <w:rFonts w:ascii="Arial" w:cs="Arial" w:eastAsia="Arial" w:hAnsi="Arial"/>
                <w:sz w:val="18"/>
                <w:szCs w:val="18"/>
                <w:color w:val="auto"/>
              </w:rPr>
              <w:t>165,791</w:t>
            </w:r>
          </w:p>
        </w:tc>
        <w:tc>
          <w:tcPr>
            <w:tcW w:w="104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11.81%</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0"/>
              <w:spacing w:after="0" w:line="202" w:lineRule="exact"/>
              <w:rPr>
                <w:sz w:val="20"/>
                <w:szCs w:val="20"/>
                <w:color w:val="auto"/>
              </w:rPr>
            </w:pPr>
            <w:r>
              <w:rPr>
                <w:rFonts w:ascii="Arial" w:cs="Arial" w:eastAsia="Arial" w:hAnsi="Arial"/>
                <w:sz w:val="18"/>
                <w:szCs w:val="18"/>
                <w:color w:val="auto"/>
              </w:rPr>
              <w:t>161,300</w:t>
            </w: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14.48%</w:t>
            </w:r>
          </w:p>
        </w:tc>
        <w:tc>
          <w:tcPr>
            <w:tcW w:w="20" w:type="dxa"/>
            <w:vAlign w:val="bottom"/>
            <w:tcBorders>
              <w:bottom w:val="single" w:sz="8" w:color="auto"/>
            </w:tcBorders>
          </w:tcPr>
          <w:p>
            <w:pPr>
              <w:spacing w:after="0"/>
              <w:rPr>
                <w:sz w:val="19"/>
                <w:szCs w:val="19"/>
                <w:color w:val="auto"/>
              </w:rPr>
            </w:pPr>
          </w:p>
        </w:tc>
      </w:tr>
    </w:tbl>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assets and liabilities are primarily monetary, consisting of cash, cash equivalents, securities, loans, payables and deposits. Monetary assets and liabilities are those that can be converted into a fixed number of dollars. The Company's consolidated balance sheet reflects a net positive monetary position (monetary assets exceed monetary liabilities). During periods of inflation, the holding of a net positive monetary position will result in an overall decline in the purchasing power of a company. Management believes that replacement costs of equipment, furniture, and leasehold improvements will not materially affect operations. The rate of inflation does affect certain expenses, such as those for employee compensation, which may not be readily recoverable in the price of the Company’s services.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New and Not Yet Adopted Accounting Pronouncements</w:t>
      </w:r>
    </w:p>
    <w:p>
      <w:pPr>
        <w:spacing w:after="0" w:line="20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 – 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(“ASU 2016-13”). The standard is effective for fiscal periods beginning after December 15, 2019. The CARES Act was signed into law on</w:t>
      </w:r>
      <w:r>
        <w:rPr>
          <w:rFonts w:ascii="Arial" w:cs="Arial" w:eastAsia="Arial" w:hAnsi="Arial"/>
          <w:sz w:val="18"/>
          <w:szCs w:val="18"/>
          <w:i w:val="1"/>
          <w:iCs w:val="1"/>
          <w:color w:val="auto"/>
        </w:rPr>
        <w:t xml:space="preserve"> </w:t>
      </w:r>
      <w:r>
        <w:rPr>
          <w:rFonts w:ascii="Arial" w:cs="Arial" w:eastAsia="Arial" w:hAnsi="Arial"/>
          <w:sz w:val="18"/>
          <w:szCs w:val="18"/>
          <w:color w:val="auto"/>
        </w:rPr>
        <w:t>March 27, 2020 and included provisions that temporarily delayed the required implementation date of ASU 2016-13 to the earlier of the end of the national pandemic or December 31, 2020. The Consolidated Appropriations Act was signed into law on December 27, 2020 and extended the deferral of required implementation of ASU 2016-13 to the earlier of the first day of a company’s fiscal year that begins after the date the COVID-19 national emergency comes to an end or January 1, 2022. The Company elected to defer the adoption of ASU 2016-13 until December 31, 2020 with an effective date of January 1, 2020.</w:t>
      </w:r>
    </w:p>
    <w:p>
      <w:pPr>
        <w:spacing w:after="0" w:line="1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ASU required measurement and recognition of expected credit losses for financial instruments held, as applicable, which include allowances for credit losses expected over the life of the portfolio, rather than incurred losses, which include allowances for current probable and estimable losses within the portfolio. Under this standard, the Company is required to hold an allowance equal to the expected life-of-loan losses on the loan portfolio. It also applies to off-balance sheet credit exposures such as loan commitments, standby letters of credit and other similar instruments. In addition, ASU 2016-13 made changes to the accounting for available-for-sale debt securities.</w:t>
      </w:r>
    </w:p>
    <w:p>
      <w:pPr>
        <w:spacing w:after="0" w:line="1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adopted ASU 2016-13 using a modified retrospective approach. Results for annual reporting periods beginning after January 1, 2020 are presented under ASU 2016-13 while prior period amounts continue to be reported in accordance with previously applicable GAAP. Results for quarterly reporting periods beginning after December 31, 2020 in the Company’s Form 10-Q will be presented under ASU 2016-13 while prior quarterly period amounts continue to be reported in accordance with previously applicable GAAP. Upon adoption on January 1, 2020, the Company recognized increases of $723,000 in the allowance for credit losses and $402,000 in the reserve for unfunded commitments, with a corresponding reduction to retained earnings, net of tax, of $856,000. No credit loss allowance was required upon adoption for the investment securities portfolio.</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8355" cy="596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8355" cy="5969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2">
              <w:r>
                <w:rPr>
                  <w:rFonts w:ascii="Arial" w:cs="Arial" w:eastAsia="Arial" w:hAnsi="Arial"/>
                  <w:sz w:val="18"/>
                  <w:szCs w:val="18"/>
                  <w:b w:val="1"/>
                  <w:bCs w:val="1"/>
                  <w:color w:val="0000EE"/>
                  <w:w w:val="88"/>
                </w:rPr>
                <w:t>Table of Contents</w:t>
              </w:r>
            </w:hyperlink>
          </w:p>
        </w:tc>
        <w:tc>
          <w:tcPr>
            <w:tcW w:w="48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38"/>
        </w:trPr>
        <w:tc>
          <w:tcPr>
            <w:tcW w:w="6240" w:type="dxa"/>
            <w:vAlign w:val="bottom"/>
            <w:gridSpan w:val="2"/>
          </w:tcPr>
          <w:p>
            <w:pPr>
              <w:spacing w:after="0"/>
              <w:rPr>
                <w:sz w:val="20"/>
                <w:szCs w:val="20"/>
                <w:color w:val="auto"/>
              </w:rPr>
            </w:pPr>
            <w:r>
              <w:rPr>
                <w:rFonts w:ascii="Arial" w:cs="Arial" w:eastAsia="Arial" w:hAnsi="Arial"/>
                <w:sz w:val="18"/>
                <w:szCs w:val="18"/>
                <w:color w:val="auto"/>
              </w:rPr>
              <w:t>The following table illustrates the impact of the adoption of ASU 2016-13:</w:t>
            </w:r>
          </w:p>
        </w:tc>
        <w:tc>
          <w:tcPr>
            <w:tcW w:w="1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72"/>
        </w:trPr>
        <w:tc>
          <w:tcPr>
            <w:tcW w:w="136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Impact of</w:t>
            </w:r>
          </w:p>
        </w:tc>
        <w:tc>
          <w:tcPr>
            <w:tcW w:w="180" w:type="dxa"/>
            <w:vAlign w:val="bottom"/>
          </w:tcPr>
          <w:p>
            <w:pPr>
              <w:spacing w:after="0"/>
              <w:rPr>
                <w:sz w:val="24"/>
                <w:szCs w:val="24"/>
                <w:color w:val="auto"/>
              </w:rPr>
            </w:pPr>
          </w:p>
        </w:tc>
        <w:tc>
          <w:tcPr>
            <w:tcW w:w="11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As Reported</w:t>
            </w:r>
          </w:p>
        </w:tc>
      </w:tr>
      <w:tr>
        <w:trPr>
          <w:trHeight w:val="215"/>
        </w:trPr>
        <w:tc>
          <w:tcPr>
            <w:tcW w:w="136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60" w:type="dxa"/>
            <w:vAlign w:val="bottom"/>
          </w:tcPr>
          <w:p>
            <w:pPr>
              <w:jc w:val="right"/>
              <w:ind w:right="210"/>
              <w:spacing w:after="0"/>
              <w:rPr>
                <w:sz w:val="20"/>
                <w:szCs w:val="20"/>
                <w:color w:val="auto"/>
              </w:rPr>
            </w:pPr>
            <w:r>
              <w:rPr>
                <w:rFonts w:ascii="Arial" w:cs="Arial" w:eastAsia="Arial" w:hAnsi="Arial"/>
                <w:sz w:val="18"/>
                <w:szCs w:val="18"/>
                <w:b w:val="1"/>
                <w:bCs w:val="1"/>
                <w:color w:val="auto"/>
                <w:w w:val="96"/>
              </w:rPr>
              <w:t>December</w:t>
            </w:r>
          </w:p>
        </w:tc>
        <w:tc>
          <w:tcPr>
            <w:tcW w:w="240" w:type="dxa"/>
            <w:vAlign w:val="bottom"/>
          </w:tcPr>
          <w:p>
            <w:pPr>
              <w:spacing w:after="0"/>
              <w:rPr>
                <w:sz w:val="18"/>
                <w:szCs w:val="18"/>
                <w:color w:val="auto"/>
              </w:rPr>
            </w:pPr>
          </w:p>
        </w:tc>
        <w:tc>
          <w:tcPr>
            <w:tcW w:w="124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ASU 2016-13</w:t>
            </w:r>
          </w:p>
        </w:tc>
        <w:tc>
          <w:tcPr>
            <w:tcW w:w="180" w:type="dxa"/>
            <w:vAlign w:val="bottom"/>
          </w:tcPr>
          <w:p>
            <w:pPr>
              <w:spacing w:after="0"/>
              <w:rPr>
                <w:sz w:val="18"/>
                <w:szCs w:val="18"/>
                <w:color w:val="auto"/>
              </w:rPr>
            </w:pPr>
          </w:p>
        </w:tc>
        <w:tc>
          <w:tcPr>
            <w:tcW w:w="1120" w:type="dxa"/>
            <w:vAlign w:val="bottom"/>
          </w:tcPr>
          <w:p>
            <w:pPr>
              <w:jc w:val="center"/>
              <w:ind w:right="10"/>
              <w:spacing w:after="0"/>
              <w:rPr>
                <w:sz w:val="20"/>
                <w:szCs w:val="20"/>
                <w:color w:val="auto"/>
              </w:rPr>
            </w:pPr>
            <w:r>
              <w:rPr>
                <w:rFonts w:ascii="Arial" w:cs="Arial" w:eastAsia="Arial" w:hAnsi="Arial"/>
                <w:sz w:val="18"/>
                <w:szCs w:val="18"/>
                <w:b w:val="1"/>
                <w:bCs w:val="1"/>
                <w:color w:val="auto"/>
                <w:w w:val="94"/>
              </w:rPr>
              <w:t>Under ASU</w:t>
            </w:r>
          </w:p>
        </w:tc>
      </w:tr>
      <w:tr>
        <w:trPr>
          <w:trHeight w:val="241"/>
        </w:trPr>
        <w:tc>
          <w:tcPr>
            <w:tcW w:w="6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0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31, 2019</w:t>
            </w: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Adoption</w:t>
            </w: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2016-13</w:t>
            </w:r>
          </w:p>
        </w:tc>
      </w:tr>
      <w:tr>
        <w:trPr>
          <w:trHeight w:val="215"/>
        </w:trPr>
        <w:tc>
          <w:tcPr>
            <w:tcW w:w="624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Assets:</w:t>
            </w:r>
          </w:p>
        </w:tc>
        <w:tc>
          <w:tcPr>
            <w:tcW w:w="1060" w:type="dxa"/>
            <w:vAlign w:val="bottom"/>
            <w:shd w:val="clear" w:color="auto" w:fill="B2B2B2"/>
          </w:tcPr>
          <w:p>
            <w:pPr>
              <w:spacing w:after="0"/>
              <w:rPr>
                <w:sz w:val="18"/>
                <w:szCs w:val="18"/>
                <w:color w:val="auto"/>
              </w:rPr>
            </w:pPr>
          </w:p>
        </w:tc>
        <w:tc>
          <w:tcPr>
            <w:tcW w:w="116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124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120" w:type="dxa"/>
            <w:vAlign w:val="bottom"/>
            <w:shd w:val="clear" w:color="auto" w:fill="B2B2B2"/>
          </w:tcPr>
          <w:p>
            <w:pPr>
              <w:spacing w:after="0"/>
              <w:rPr>
                <w:sz w:val="18"/>
                <w:szCs w:val="18"/>
                <w:color w:val="auto"/>
              </w:rPr>
            </w:pPr>
          </w:p>
        </w:tc>
      </w:tr>
      <w:tr>
        <w:trPr>
          <w:trHeight w:val="215"/>
        </w:trPr>
        <w:tc>
          <w:tcPr>
            <w:tcW w:w="6240" w:type="dxa"/>
            <w:vAlign w:val="bottom"/>
            <w:gridSpan w:val="2"/>
          </w:tcPr>
          <w:p>
            <w:pPr>
              <w:ind w:left="180"/>
              <w:spacing w:after="0"/>
              <w:rPr>
                <w:sz w:val="20"/>
                <w:szCs w:val="20"/>
                <w:color w:val="auto"/>
              </w:rPr>
            </w:pPr>
            <w:r>
              <w:rPr>
                <w:rFonts w:ascii="Arial" w:cs="Arial" w:eastAsia="Arial" w:hAnsi="Arial"/>
                <w:sz w:val="18"/>
                <w:szCs w:val="18"/>
                <w:color w:val="auto"/>
              </w:rPr>
              <w:t>Allowance for credit/loan losses on loans</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10,556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723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11,279</w:t>
            </w:r>
          </w:p>
        </w:tc>
      </w:tr>
      <w:tr>
        <w:trPr>
          <w:trHeight w:val="215"/>
        </w:trPr>
        <w:tc>
          <w:tcPr>
            <w:tcW w:w="6240" w:type="dxa"/>
            <w:vAlign w:val="bottom"/>
            <w:gridSpan w:val="2"/>
            <w:shd w:val="clear" w:color="auto" w:fill="B2B2B2"/>
          </w:tcPr>
          <w:p>
            <w:pPr>
              <w:ind w:left="180"/>
              <w:spacing w:after="0"/>
              <w:rPr>
                <w:sz w:val="20"/>
                <w:szCs w:val="20"/>
                <w:color w:val="auto"/>
              </w:rPr>
            </w:pPr>
            <w:r>
              <w:rPr>
                <w:rFonts w:ascii="Arial" w:cs="Arial" w:eastAsia="Arial" w:hAnsi="Arial"/>
                <w:sz w:val="18"/>
                <w:szCs w:val="18"/>
                <w:color w:val="auto"/>
              </w:rPr>
              <w:t>Deferred tax asset</w:t>
            </w:r>
          </w:p>
        </w:tc>
        <w:tc>
          <w:tcPr>
            <w:tcW w:w="1060" w:type="dxa"/>
            <w:vAlign w:val="bottom"/>
            <w:shd w:val="clear" w:color="auto" w:fill="B2B2B2"/>
          </w:tcPr>
          <w:p>
            <w:pPr>
              <w:spacing w:after="0"/>
              <w:rPr>
                <w:sz w:val="18"/>
                <w:szCs w:val="18"/>
                <w:color w:val="auto"/>
              </w:rPr>
            </w:pPr>
          </w:p>
        </w:tc>
        <w:tc>
          <w:tcPr>
            <w:tcW w:w="116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2,298</w:t>
            </w:r>
          </w:p>
        </w:tc>
        <w:tc>
          <w:tcPr>
            <w:tcW w:w="240" w:type="dxa"/>
            <w:vAlign w:val="bottom"/>
            <w:shd w:val="clear" w:color="auto" w:fill="B2B2B2"/>
          </w:tcPr>
          <w:p>
            <w:pPr>
              <w:spacing w:after="0"/>
              <w:rPr>
                <w:sz w:val="18"/>
                <w:szCs w:val="18"/>
                <w:color w:val="auto"/>
              </w:rPr>
            </w:pPr>
          </w:p>
        </w:tc>
        <w:tc>
          <w:tcPr>
            <w:tcW w:w="1240" w:type="dxa"/>
            <w:vAlign w:val="bottom"/>
            <w:shd w:val="clear" w:color="auto" w:fill="B2B2B2"/>
          </w:tcPr>
          <w:p>
            <w:pPr>
              <w:jc w:val="right"/>
              <w:ind w:right="50"/>
              <w:spacing w:after="0"/>
              <w:rPr>
                <w:sz w:val="20"/>
                <w:szCs w:val="20"/>
                <w:color w:val="auto"/>
              </w:rPr>
            </w:pPr>
            <w:r>
              <w:rPr>
                <w:rFonts w:ascii="Arial" w:cs="Arial" w:eastAsia="Arial" w:hAnsi="Arial"/>
                <w:sz w:val="18"/>
                <w:szCs w:val="18"/>
                <w:color w:val="auto"/>
              </w:rPr>
              <w:t>269</w:t>
            </w:r>
          </w:p>
        </w:tc>
        <w:tc>
          <w:tcPr>
            <w:tcW w:w="180" w:type="dxa"/>
            <w:vAlign w:val="bottom"/>
            <w:shd w:val="clear" w:color="auto" w:fill="B2B2B2"/>
          </w:tcPr>
          <w:p>
            <w:pPr>
              <w:spacing w:after="0"/>
              <w:rPr>
                <w:sz w:val="18"/>
                <w:szCs w:val="18"/>
                <w:color w:val="auto"/>
              </w:rPr>
            </w:pPr>
          </w:p>
        </w:tc>
        <w:tc>
          <w:tcPr>
            <w:tcW w:w="11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2,567</w:t>
            </w:r>
          </w:p>
        </w:tc>
      </w:tr>
      <w:tr>
        <w:trPr>
          <w:trHeight w:val="215"/>
        </w:trPr>
        <w:tc>
          <w:tcPr>
            <w:tcW w:w="624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1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5"/>
        </w:trPr>
        <w:tc>
          <w:tcPr>
            <w:tcW w:w="6240" w:type="dxa"/>
            <w:vAlign w:val="bottom"/>
            <w:gridSpan w:val="2"/>
            <w:shd w:val="clear" w:color="auto" w:fill="B2B2B2"/>
          </w:tcPr>
          <w:p>
            <w:pPr>
              <w:ind w:left="180"/>
              <w:spacing w:after="0"/>
              <w:rPr>
                <w:sz w:val="20"/>
                <w:szCs w:val="20"/>
                <w:color w:val="auto"/>
              </w:rPr>
            </w:pPr>
            <w:r>
              <w:rPr>
                <w:rFonts w:ascii="Arial" w:cs="Arial" w:eastAsia="Arial" w:hAnsi="Arial"/>
                <w:sz w:val="18"/>
                <w:szCs w:val="18"/>
                <w:color w:val="auto"/>
              </w:rPr>
              <w:t>Reserve for unfunded commitments</w:t>
            </w:r>
          </w:p>
        </w:tc>
        <w:tc>
          <w:tcPr>
            <w:tcW w:w="1060" w:type="dxa"/>
            <w:vAlign w:val="bottom"/>
            <w:shd w:val="clear" w:color="auto" w:fill="B2B2B2"/>
          </w:tcPr>
          <w:p>
            <w:pPr>
              <w:spacing w:after="0"/>
              <w:rPr>
                <w:sz w:val="18"/>
                <w:szCs w:val="18"/>
                <w:color w:val="auto"/>
              </w:rPr>
            </w:pPr>
          </w:p>
        </w:tc>
        <w:tc>
          <w:tcPr>
            <w:tcW w:w="116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B2B2B2"/>
          </w:tcPr>
          <w:p>
            <w:pPr>
              <w:spacing w:after="0"/>
              <w:rPr>
                <w:sz w:val="18"/>
                <w:szCs w:val="18"/>
                <w:color w:val="auto"/>
              </w:rPr>
            </w:pPr>
          </w:p>
        </w:tc>
        <w:tc>
          <w:tcPr>
            <w:tcW w:w="1240" w:type="dxa"/>
            <w:vAlign w:val="bottom"/>
            <w:shd w:val="clear" w:color="auto" w:fill="B2B2B2"/>
          </w:tcPr>
          <w:p>
            <w:pPr>
              <w:jc w:val="right"/>
              <w:ind w:right="50"/>
              <w:spacing w:after="0"/>
              <w:rPr>
                <w:sz w:val="20"/>
                <w:szCs w:val="20"/>
                <w:color w:val="auto"/>
              </w:rPr>
            </w:pPr>
            <w:r>
              <w:rPr>
                <w:rFonts w:ascii="Arial" w:cs="Arial" w:eastAsia="Arial" w:hAnsi="Arial"/>
                <w:sz w:val="18"/>
                <w:szCs w:val="18"/>
                <w:color w:val="auto"/>
              </w:rPr>
              <w:t>402</w:t>
            </w:r>
          </w:p>
        </w:tc>
        <w:tc>
          <w:tcPr>
            <w:tcW w:w="180" w:type="dxa"/>
            <w:vAlign w:val="bottom"/>
            <w:shd w:val="clear" w:color="auto" w:fill="B2B2B2"/>
          </w:tcPr>
          <w:p>
            <w:pPr>
              <w:spacing w:after="0"/>
              <w:rPr>
                <w:sz w:val="18"/>
                <w:szCs w:val="18"/>
                <w:color w:val="auto"/>
              </w:rPr>
            </w:pPr>
          </w:p>
        </w:tc>
        <w:tc>
          <w:tcPr>
            <w:tcW w:w="11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402</w:t>
            </w:r>
          </w:p>
        </w:tc>
      </w:tr>
      <w:tr>
        <w:trPr>
          <w:trHeight w:val="215"/>
        </w:trPr>
        <w:tc>
          <w:tcPr>
            <w:tcW w:w="624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1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2"/>
        </w:trPr>
        <w:tc>
          <w:tcPr>
            <w:tcW w:w="6240" w:type="dxa"/>
            <w:vAlign w:val="bottom"/>
            <w:tcBorders>
              <w:bottom w:val="single" w:sz="8" w:color="auto"/>
            </w:tcBorders>
            <w:gridSpan w:val="2"/>
            <w:shd w:val="clear" w:color="auto" w:fill="B2B2B2"/>
          </w:tcPr>
          <w:p>
            <w:pPr>
              <w:ind w:left="180"/>
              <w:spacing w:after="0" w:line="202" w:lineRule="exact"/>
              <w:rPr>
                <w:sz w:val="20"/>
                <w:szCs w:val="20"/>
                <w:color w:val="auto"/>
              </w:rPr>
            </w:pPr>
            <w:r>
              <w:rPr>
                <w:rFonts w:ascii="Arial" w:cs="Arial" w:eastAsia="Arial" w:hAnsi="Arial"/>
                <w:sz w:val="18"/>
                <w:szCs w:val="18"/>
                <w:color w:val="auto"/>
              </w:rPr>
              <w:t>Retained earnings</w:t>
            </w:r>
          </w:p>
        </w:tc>
        <w:tc>
          <w:tcPr>
            <w:tcW w:w="1060" w:type="dxa"/>
            <w:vAlign w:val="bottom"/>
            <w:tcBorders>
              <w:bottom w:val="single" w:sz="8" w:color="auto"/>
            </w:tcBorders>
            <w:shd w:val="clear" w:color="auto" w:fill="B2B2B2"/>
          </w:tcPr>
          <w:p>
            <w:pPr>
              <w:spacing w:after="0"/>
              <w:rPr>
                <w:sz w:val="19"/>
                <w:szCs w:val="19"/>
                <w:color w:val="auto"/>
              </w:rPr>
            </w:pPr>
          </w:p>
        </w:tc>
        <w:tc>
          <w:tcPr>
            <w:tcW w:w="1160" w:type="dxa"/>
            <w:vAlign w:val="bottom"/>
            <w:tcBorders>
              <w:bottom w:val="single" w:sz="8" w:color="auto"/>
            </w:tcBorders>
            <w:shd w:val="clear" w:color="auto" w:fill="B2B2B2"/>
          </w:tcPr>
          <w:p>
            <w:pPr>
              <w:jc w:val="right"/>
              <w:ind w:right="30"/>
              <w:spacing w:after="0" w:line="202" w:lineRule="exact"/>
              <w:rPr>
                <w:sz w:val="20"/>
                <w:szCs w:val="20"/>
                <w:color w:val="auto"/>
              </w:rPr>
            </w:pPr>
            <w:r>
              <w:rPr>
                <w:rFonts w:ascii="Arial" w:cs="Arial" w:eastAsia="Arial" w:hAnsi="Arial"/>
                <w:sz w:val="18"/>
                <w:szCs w:val="18"/>
                <w:color w:val="auto"/>
              </w:rPr>
              <w:t>90,341</w:t>
            </w:r>
          </w:p>
        </w:tc>
        <w:tc>
          <w:tcPr>
            <w:tcW w:w="240" w:type="dxa"/>
            <w:vAlign w:val="bottom"/>
            <w:tcBorders>
              <w:bottom w:val="single" w:sz="8" w:color="auto"/>
            </w:tcBorders>
            <w:shd w:val="clear" w:color="auto" w:fill="B2B2B2"/>
          </w:tcPr>
          <w:p>
            <w:pPr>
              <w:spacing w:after="0"/>
              <w:rPr>
                <w:sz w:val="19"/>
                <w:szCs w:val="19"/>
                <w:color w:val="auto"/>
              </w:rPr>
            </w:pPr>
          </w:p>
        </w:tc>
        <w:tc>
          <w:tcPr>
            <w:tcW w:w="1240" w:type="dxa"/>
            <w:vAlign w:val="bottom"/>
            <w:tcBorders>
              <w:bottom w:val="single" w:sz="8" w:color="auto"/>
            </w:tcBorders>
            <w:shd w:val="clear" w:color="auto" w:fill="B2B2B2"/>
          </w:tcPr>
          <w:p>
            <w:pPr>
              <w:jc w:val="right"/>
              <w:spacing w:after="0" w:line="202" w:lineRule="exact"/>
              <w:rPr>
                <w:sz w:val="20"/>
                <w:szCs w:val="20"/>
                <w:color w:val="auto"/>
              </w:rPr>
            </w:pPr>
            <w:r>
              <w:rPr>
                <w:rFonts w:ascii="Arial" w:cs="Arial" w:eastAsia="Arial" w:hAnsi="Arial"/>
                <w:sz w:val="18"/>
                <w:szCs w:val="18"/>
                <w:color w:val="auto"/>
              </w:rPr>
              <w:t>(856)</w:t>
            </w:r>
          </w:p>
        </w:tc>
        <w:tc>
          <w:tcPr>
            <w:tcW w:w="180" w:type="dxa"/>
            <w:vAlign w:val="bottom"/>
            <w:tcBorders>
              <w:bottom w:val="single" w:sz="8" w:color="auto"/>
            </w:tcBorders>
            <w:shd w:val="clear" w:color="auto" w:fill="B2B2B2"/>
          </w:tcPr>
          <w:p>
            <w:pPr>
              <w:spacing w:after="0"/>
              <w:rPr>
                <w:sz w:val="19"/>
                <w:szCs w:val="19"/>
                <w:color w:val="auto"/>
              </w:rPr>
            </w:pPr>
          </w:p>
        </w:tc>
        <w:tc>
          <w:tcPr>
            <w:tcW w:w="1120" w:type="dxa"/>
            <w:vAlign w:val="bottom"/>
            <w:tcBorders>
              <w:bottom w:val="single" w:sz="8" w:color="auto"/>
            </w:tcBorders>
            <w:shd w:val="clear" w:color="auto" w:fill="B2B2B2"/>
          </w:tcPr>
          <w:p>
            <w:pPr>
              <w:jc w:val="right"/>
              <w:spacing w:after="0" w:line="202" w:lineRule="exact"/>
              <w:rPr>
                <w:sz w:val="20"/>
                <w:szCs w:val="20"/>
                <w:color w:val="auto"/>
              </w:rPr>
            </w:pPr>
            <w:r>
              <w:rPr>
                <w:rFonts w:ascii="Arial" w:cs="Arial" w:eastAsia="Arial" w:hAnsi="Arial"/>
                <w:sz w:val="18"/>
                <w:szCs w:val="18"/>
                <w:color w:val="auto"/>
              </w:rPr>
              <w:t>89,485</w:t>
            </w:r>
          </w:p>
        </w:tc>
      </w:tr>
    </w:tbl>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described in the Company’s Annual Report on Form 10-K for the year ended December 31, 2020, the Company manages its interest rate risk through measurement techniques that include gap analysis and a simulation model. As part of the risk management process, asset/liability management policies are established and monitored by management. The policy objective is to limit the change in annualized net interest income to 15% from an immediate and sustained parallel change in interest rates of 200 basis points. The economic impact of the COVID-19 pandemic has introduced significant uncertainty and market volatility, which may result in the deterioration of the Company’s risk position since December 31, 2020.</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1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Company’s management, under the supervision and with the participation of the principal executive officer and the principal financial officer, evaluated the effectiveness of the Company’s disclosure controls and procedures (as defined in Rules 13a-15(e) and 15d-15(e) under the Securities Exchange Act of 1934, as amended) as of the end of the period covered by this report and concluded that, as of such date, these controls and procedures were effective.</w:t>
      </w:r>
    </w:p>
    <w:p>
      <w:pPr>
        <w:spacing w:after="0" w:line="12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There were no changes in the First Quarter of 2021 in the Company's internal control over financial reporting identified by the Company’s principal executive officer and principal financial officer in connection with their evaluation that materially affected or are reasonably likely to materially affect the Company’s internal control over financial reporting (as defined in Rules 13a-15(f) and 15d-15(f) under the Securities Exchange Act of 1934, as amended).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the subject of various pending or threatened legal actions and proceedings, including those that arise in the ordinary course of business. Management believes the outcome of all such proceedings will not have a material effect on the businesses or financial conditions of the Company or its subsidiaries.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included in Part I, Item 1A of its Annual Report on Form 10-K for the year ended December 31, 2020, a description of certain risks and uncertainties that could affect the Company’s business, future performance or financial condition (the “Risk Factors”). There are no material changes to the Risk Factors as disclosed in the Company’s 2020 Annual Report on Form 10-K.</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8355" cy="596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8355" cy="5969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15" w:lineRule="exact"/>
        <w:rPr>
          <w:sz w:val="20"/>
          <w:szCs w:val="20"/>
          <w:color w:val="auto"/>
        </w:rPr>
      </w:pPr>
    </w:p>
    <w:p>
      <w:pPr>
        <w:ind w:left="540"/>
        <w:spacing w:after="0" w:line="276" w:lineRule="auto"/>
        <w:rPr>
          <w:sz w:val="20"/>
          <w:szCs w:val="20"/>
          <w:color w:val="auto"/>
        </w:rPr>
      </w:pPr>
      <w:r>
        <w:rPr>
          <w:rFonts w:ascii="Arial" w:cs="Arial" w:eastAsia="Arial" w:hAnsi="Arial"/>
          <w:sz w:val="18"/>
          <w:szCs w:val="18"/>
          <w:color w:val="auto"/>
        </w:rPr>
        <w:t>During the three months ended March 31, 2021, the Company repurchased a total of 31,256 shares of its common stock pursuant to its treasury stock buyback program, as follows:</w:t>
      </w:r>
    </w:p>
    <w:p>
      <w:pPr>
        <w:spacing w:after="0" w:line="126" w:lineRule="exact"/>
        <w:rPr>
          <w:sz w:val="20"/>
          <w:szCs w:val="20"/>
          <w:color w:val="auto"/>
        </w:rPr>
      </w:pPr>
    </w:p>
    <w:tbl>
      <w:tblPr>
        <w:tblLayout w:type="fixed"/>
        <w:tblInd w:w="54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32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Total Number</w:t>
            </w:r>
          </w:p>
        </w:tc>
        <w:tc>
          <w:tcPr>
            <w:tcW w:w="11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6"/>
              </w:rPr>
              <w:t>Maximum</w:t>
            </w:r>
          </w:p>
        </w:tc>
      </w:tr>
      <w:tr>
        <w:trPr>
          <w:trHeight w:val="215"/>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20" w:type="dxa"/>
            <w:vAlign w:val="bottom"/>
          </w:tcPr>
          <w:p>
            <w:pPr>
              <w:jc w:val="center"/>
              <w:ind w:right="10"/>
              <w:spacing w:after="0"/>
              <w:rPr>
                <w:sz w:val="20"/>
                <w:szCs w:val="20"/>
                <w:color w:val="auto"/>
              </w:rPr>
            </w:pPr>
            <w:r>
              <w:rPr>
                <w:rFonts w:ascii="Arial" w:cs="Arial" w:eastAsia="Arial" w:hAnsi="Arial"/>
                <w:sz w:val="18"/>
                <w:szCs w:val="18"/>
                <w:b w:val="1"/>
                <w:bCs w:val="1"/>
                <w:color w:val="auto"/>
                <w:w w:val="85"/>
              </w:rPr>
              <w:t>of Shares</w:t>
            </w:r>
          </w:p>
        </w:tc>
        <w:tc>
          <w:tcPr>
            <w:tcW w:w="11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3"/>
              </w:rPr>
              <w:t>Number of</w:t>
            </w:r>
          </w:p>
        </w:tc>
      </w:tr>
      <w:tr>
        <w:trPr>
          <w:trHeight w:val="215"/>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2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Purchased as</w:t>
            </w:r>
          </w:p>
        </w:tc>
        <w:tc>
          <w:tcPr>
            <w:tcW w:w="11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7"/>
              </w:rPr>
              <w:t>Shares that</w:t>
            </w:r>
          </w:p>
        </w:tc>
      </w:tr>
      <w:tr>
        <w:trPr>
          <w:trHeight w:val="215"/>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20" w:type="dxa"/>
            <w:vAlign w:val="bottom"/>
          </w:tcPr>
          <w:p>
            <w:pPr>
              <w:jc w:val="center"/>
              <w:ind w:right="10"/>
              <w:spacing w:after="0"/>
              <w:rPr>
                <w:sz w:val="20"/>
                <w:szCs w:val="20"/>
                <w:color w:val="auto"/>
              </w:rPr>
            </w:pPr>
            <w:r>
              <w:rPr>
                <w:rFonts w:ascii="Arial" w:cs="Arial" w:eastAsia="Arial" w:hAnsi="Arial"/>
                <w:sz w:val="18"/>
                <w:szCs w:val="18"/>
                <w:b w:val="1"/>
                <w:bCs w:val="1"/>
                <w:color w:val="auto"/>
                <w:w w:val="94"/>
              </w:rPr>
              <w:t>Part of</w:t>
            </w:r>
          </w:p>
        </w:tc>
        <w:tc>
          <w:tcPr>
            <w:tcW w:w="11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1"/>
              </w:rPr>
              <w:t>May Yet Be</w:t>
            </w:r>
          </w:p>
        </w:tc>
      </w:tr>
      <w:tr>
        <w:trPr>
          <w:trHeight w:val="215"/>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600" w:type="dxa"/>
            <w:vAlign w:val="bottom"/>
          </w:tcPr>
          <w:p>
            <w:pPr>
              <w:jc w:val="center"/>
              <w:ind w:left="1150"/>
              <w:spacing w:after="0"/>
              <w:rPr>
                <w:sz w:val="20"/>
                <w:szCs w:val="20"/>
                <w:color w:val="auto"/>
              </w:rPr>
            </w:pPr>
            <w:r>
              <w:rPr>
                <w:rFonts w:ascii="Arial" w:cs="Arial" w:eastAsia="Arial" w:hAnsi="Arial"/>
                <w:sz w:val="18"/>
                <w:szCs w:val="18"/>
                <w:b w:val="1"/>
                <w:bCs w:val="1"/>
                <w:color w:val="auto"/>
                <w:w w:val="92"/>
              </w:rPr>
              <w:t>Total</w:t>
            </w:r>
          </w:p>
        </w:tc>
        <w:tc>
          <w:tcPr>
            <w:tcW w:w="1400" w:type="dxa"/>
            <w:vAlign w:val="bottom"/>
          </w:tcPr>
          <w:p>
            <w:pPr>
              <w:spacing w:after="0"/>
              <w:rPr>
                <w:sz w:val="18"/>
                <w:szCs w:val="18"/>
                <w:color w:val="auto"/>
              </w:rPr>
            </w:pPr>
          </w:p>
        </w:tc>
        <w:tc>
          <w:tcPr>
            <w:tcW w:w="13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Publicly</w:t>
            </w:r>
          </w:p>
        </w:tc>
        <w:tc>
          <w:tcPr>
            <w:tcW w:w="11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6"/>
              </w:rPr>
              <w:t>Purchased</w:t>
            </w:r>
          </w:p>
        </w:tc>
      </w:tr>
      <w:tr>
        <w:trPr>
          <w:trHeight w:val="215"/>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600" w:type="dxa"/>
            <w:vAlign w:val="bottom"/>
          </w:tcPr>
          <w:p>
            <w:pPr>
              <w:jc w:val="center"/>
              <w:ind w:left="1150"/>
              <w:spacing w:after="0"/>
              <w:rPr>
                <w:sz w:val="20"/>
                <w:szCs w:val="20"/>
                <w:color w:val="auto"/>
              </w:rPr>
            </w:pPr>
            <w:r>
              <w:rPr>
                <w:rFonts w:ascii="Arial" w:cs="Arial" w:eastAsia="Arial" w:hAnsi="Arial"/>
                <w:sz w:val="18"/>
                <w:szCs w:val="18"/>
                <w:b w:val="1"/>
                <w:bCs w:val="1"/>
                <w:color w:val="auto"/>
                <w:w w:val="93"/>
              </w:rPr>
              <w:t>Number of</w:t>
            </w:r>
          </w:p>
        </w:tc>
        <w:tc>
          <w:tcPr>
            <w:tcW w:w="1400" w:type="dxa"/>
            <w:vAlign w:val="bottom"/>
          </w:tcPr>
          <w:p>
            <w:pPr>
              <w:spacing w:after="0"/>
              <w:rPr>
                <w:sz w:val="18"/>
                <w:szCs w:val="18"/>
                <w:color w:val="auto"/>
              </w:rPr>
            </w:pPr>
          </w:p>
        </w:tc>
        <w:tc>
          <w:tcPr>
            <w:tcW w:w="132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Announced</w:t>
            </w:r>
          </w:p>
        </w:tc>
        <w:tc>
          <w:tcPr>
            <w:tcW w:w="11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2"/>
              </w:rPr>
              <w:t>Under the</w:t>
            </w:r>
          </w:p>
        </w:tc>
      </w:tr>
      <w:tr>
        <w:trPr>
          <w:trHeight w:val="215"/>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600" w:type="dxa"/>
            <w:vAlign w:val="bottom"/>
          </w:tcPr>
          <w:p>
            <w:pPr>
              <w:jc w:val="center"/>
              <w:ind w:left="1150"/>
              <w:spacing w:after="0"/>
              <w:rPr>
                <w:sz w:val="20"/>
                <w:szCs w:val="20"/>
                <w:color w:val="auto"/>
              </w:rPr>
            </w:pPr>
            <w:r>
              <w:rPr>
                <w:rFonts w:ascii="Arial" w:cs="Arial" w:eastAsia="Arial" w:hAnsi="Arial"/>
                <w:sz w:val="18"/>
                <w:szCs w:val="18"/>
                <w:b w:val="1"/>
                <w:bCs w:val="1"/>
                <w:color w:val="auto"/>
                <w:w w:val="86"/>
              </w:rPr>
              <w:t>Shares</w:t>
            </w:r>
          </w:p>
        </w:tc>
        <w:tc>
          <w:tcPr>
            <w:tcW w:w="1400" w:type="dxa"/>
            <w:vAlign w:val="bottom"/>
          </w:tcPr>
          <w:p>
            <w:pPr>
              <w:jc w:val="right"/>
              <w:ind w:right="110"/>
              <w:spacing w:after="0"/>
              <w:rPr>
                <w:sz w:val="20"/>
                <w:szCs w:val="20"/>
                <w:color w:val="auto"/>
              </w:rPr>
            </w:pPr>
            <w:r>
              <w:rPr>
                <w:rFonts w:ascii="Arial" w:cs="Arial" w:eastAsia="Arial" w:hAnsi="Arial"/>
                <w:sz w:val="18"/>
                <w:szCs w:val="18"/>
                <w:b w:val="1"/>
                <w:bCs w:val="1"/>
                <w:color w:val="auto"/>
                <w:w w:val="98"/>
              </w:rPr>
              <w:t>Average Price</w:t>
            </w:r>
          </w:p>
        </w:tc>
        <w:tc>
          <w:tcPr>
            <w:tcW w:w="132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Plans or</w:t>
            </w:r>
          </w:p>
        </w:tc>
        <w:tc>
          <w:tcPr>
            <w:tcW w:w="11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0"/>
              </w:rPr>
              <w:t>Plans or</w:t>
            </w:r>
          </w:p>
        </w:tc>
      </w:tr>
      <w:tr>
        <w:trPr>
          <w:trHeight w:val="276"/>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2600" w:type="dxa"/>
            <w:vAlign w:val="bottom"/>
          </w:tcPr>
          <w:p>
            <w:pPr>
              <w:jc w:val="center"/>
              <w:ind w:left="1150"/>
              <w:spacing w:after="0"/>
              <w:rPr>
                <w:sz w:val="20"/>
                <w:szCs w:val="20"/>
                <w:color w:val="auto"/>
              </w:rPr>
            </w:pPr>
            <w:r>
              <w:rPr>
                <w:rFonts w:ascii="Arial" w:cs="Arial" w:eastAsia="Arial" w:hAnsi="Arial"/>
                <w:sz w:val="18"/>
                <w:szCs w:val="18"/>
                <w:b w:val="1"/>
                <w:bCs w:val="1"/>
                <w:color w:val="auto"/>
                <w:w w:val="86"/>
              </w:rPr>
              <w:t>Purchased</w:t>
            </w:r>
          </w:p>
        </w:tc>
        <w:tc>
          <w:tcPr>
            <w:tcW w:w="1400" w:type="dxa"/>
            <w:vAlign w:val="bottom"/>
          </w:tcPr>
          <w:p>
            <w:pPr>
              <w:jc w:val="right"/>
              <w:ind w:right="70"/>
              <w:spacing w:after="0"/>
              <w:rPr>
                <w:sz w:val="20"/>
                <w:szCs w:val="20"/>
                <w:color w:val="auto"/>
              </w:rPr>
            </w:pPr>
            <w:r>
              <w:rPr>
                <w:rFonts w:ascii="Arial" w:cs="Arial" w:eastAsia="Arial" w:hAnsi="Arial"/>
                <w:sz w:val="18"/>
                <w:szCs w:val="18"/>
                <w:b w:val="1"/>
                <w:bCs w:val="1"/>
                <w:color w:val="auto"/>
                <w:w w:val="96"/>
              </w:rPr>
              <w:t>Paid per Share</w:t>
            </w:r>
          </w:p>
        </w:tc>
        <w:tc>
          <w:tcPr>
            <w:tcW w:w="1320" w:type="dxa"/>
            <w:vAlign w:val="bottom"/>
          </w:tcPr>
          <w:p>
            <w:pPr>
              <w:jc w:val="center"/>
              <w:ind w:right="10"/>
              <w:spacing w:after="0" w:line="269" w:lineRule="exact"/>
              <w:rPr>
                <w:sz w:val="20"/>
                <w:szCs w:val="20"/>
                <w:color w:val="auto"/>
              </w:rPr>
            </w:pPr>
            <w:r>
              <w:rPr>
                <w:rFonts w:ascii="Arial" w:cs="Arial" w:eastAsia="Arial" w:hAnsi="Arial"/>
                <w:sz w:val="18"/>
                <w:szCs w:val="18"/>
                <w:b w:val="1"/>
                <w:bCs w:val="1"/>
                <w:color w:val="auto"/>
                <w:w w:val="86"/>
              </w:rPr>
              <w:t>Programs</w:t>
            </w:r>
            <w:r>
              <w:rPr>
                <w:rFonts w:ascii="Arial" w:cs="Arial" w:eastAsia="Arial" w:hAnsi="Arial"/>
                <w:sz w:val="29"/>
                <w:szCs w:val="29"/>
                <w:b w:val="1"/>
                <w:bCs w:val="1"/>
                <w:color w:val="auto"/>
                <w:w w:val="86"/>
                <w:vertAlign w:val="superscript"/>
              </w:rPr>
              <w:t>1</w:t>
            </w:r>
          </w:p>
        </w:tc>
        <w:tc>
          <w:tcPr>
            <w:tcW w:w="11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0"/>
              </w:rPr>
              <w:t>Programs</w:t>
            </w:r>
          </w:p>
        </w:tc>
      </w:tr>
      <w:tr>
        <w:trPr>
          <w:trHeight w:val="215"/>
        </w:trPr>
        <w:tc>
          <w:tcPr>
            <w:tcW w:w="20" w:type="dxa"/>
            <w:vAlign w:val="bottom"/>
            <w:tcBorders>
              <w:top w:val="single" w:sz="8" w:color="auto"/>
            </w:tcBorders>
          </w:tcPr>
          <w:p>
            <w:pPr>
              <w:spacing w:after="0"/>
              <w:rPr>
                <w:sz w:val="18"/>
                <w:szCs w:val="18"/>
                <w:color w:val="auto"/>
              </w:rPr>
            </w:pPr>
          </w:p>
        </w:tc>
        <w:tc>
          <w:tcPr>
            <w:tcW w:w="4220" w:type="dxa"/>
            <w:vAlign w:val="bottom"/>
            <w:tcBorders>
              <w:top w:val="single" w:sz="8" w:color="auto"/>
            </w:tcBorders>
            <w:shd w:val="clear" w:color="auto" w:fill="B2B2B2"/>
          </w:tcPr>
          <w:p>
            <w:pPr>
              <w:spacing w:after="0"/>
              <w:rPr>
                <w:sz w:val="20"/>
                <w:szCs w:val="20"/>
                <w:color w:val="auto"/>
              </w:rPr>
            </w:pPr>
            <w:r>
              <w:rPr>
                <w:rFonts w:ascii="Arial" w:cs="Arial" w:eastAsia="Arial" w:hAnsi="Arial"/>
                <w:sz w:val="18"/>
                <w:szCs w:val="18"/>
                <w:color w:val="auto"/>
              </w:rPr>
              <w:t>January 1, 2021 – January 31, 2021</w:t>
            </w:r>
          </w:p>
        </w:tc>
        <w:tc>
          <w:tcPr>
            <w:tcW w:w="260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31,256</w:t>
            </w:r>
          </w:p>
        </w:tc>
        <w:tc>
          <w:tcPr>
            <w:tcW w:w="140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39.29</w:t>
            </w:r>
          </w:p>
        </w:tc>
        <w:tc>
          <w:tcPr>
            <w:tcW w:w="1320" w:type="dxa"/>
            <w:vAlign w:val="bottom"/>
            <w:tcBorders>
              <w:top w:val="single" w:sz="8" w:color="auto"/>
            </w:tcBorders>
            <w:shd w:val="clear" w:color="auto" w:fill="B2B2B2"/>
          </w:tcPr>
          <w:p>
            <w:pPr>
              <w:jc w:val="right"/>
              <w:ind w:right="30"/>
              <w:spacing w:after="0"/>
              <w:rPr>
                <w:sz w:val="20"/>
                <w:szCs w:val="20"/>
                <w:color w:val="auto"/>
              </w:rPr>
            </w:pPr>
            <w:r>
              <w:rPr>
                <w:rFonts w:ascii="Arial" w:cs="Arial" w:eastAsia="Arial" w:hAnsi="Arial"/>
                <w:sz w:val="18"/>
                <w:szCs w:val="18"/>
                <w:color w:val="auto"/>
              </w:rPr>
              <w:t>31,256</w:t>
            </w:r>
          </w:p>
        </w:tc>
        <w:tc>
          <w:tcPr>
            <w:tcW w:w="114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434,622</w:t>
            </w:r>
          </w:p>
        </w:tc>
        <w:tc>
          <w:tcPr>
            <w:tcW w:w="2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February 1, 2021 – February 29, 2021</w:t>
            </w:r>
          </w:p>
        </w:tc>
        <w:tc>
          <w:tcPr>
            <w:tcW w:w="260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434,622</w:t>
            </w:r>
          </w:p>
        </w:tc>
        <w:tc>
          <w:tcPr>
            <w:tcW w:w="2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4220" w:type="dxa"/>
            <w:vAlign w:val="bottom"/>
            <w:tcBorders>
              <w:bottom w:val="single" w:sz="8" w:color="auto"/>
            </w:tcBorders>
            <w:shd w:val="clear" w:color="auto" w:fill="B2B2B2"/>
          </w:tcPr>
          <w:p>
            <w:pPr>
              <w:spacing w:after="0"/>
              <w:rPr>
                <w:sz w:val="20"/>
                <w:szCs w:val="20"/>
                <w:color w:val="auto"/>
              </w:rPr>
            </w:pPr>
            <w:r>
              <w:rPr>
                <w:rFonts w:ascii="Arial" w:cs="Arial" w:eastAsia="Arial" w:hAnsi="Arial"/>
                <w:sz w:val="18"/>
                <w:szCs w:val="18"/>
                <w:color w:val="auto"/>
              </w:rPr>
              <w:t>March 1, 2021 – March 31, 2021</w:t>
            </w:r>
          </w:p>
        </w:tc>
        <w:tc>
          <w:tcPr>
            <w:tcW w:w="260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B2B2B2"/>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434,622</w:t>
            </w:r>
          </w:p>
        </w:tc>
        <w:tc>
          <w:tcPr>
            <w:tcW w:w="20" w:type="dxa"/>
            <w:vAlign w:val="bottom"/>
          </w:tcPr>
          <w:p>
            <w:pPr>
              <w:spacing w:after="0"/>
              <w:rPr>
                <w:sz w:val="18"/>
                <w:szCs w:val="18"/>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4220" w:type="dxa"/>
            <w:vAlign w:val="bottom"/>
            <w:tcBorders>
              <w:bottom w:val="single" w:sz="8" w:color="auto"/>
            </w:tcBorders>
          </w:tcPr>
          <w:p>
            <w:pPr>
              <w:spacing w:after="0" w:line="195" w:lineRule="exact"/>
              <w:rPr>
                <w:sz w:val="20"/>
                <w:szCs w:val="20"/>
                <w:color w:val="auto"/>
              </w:rPr>
            </w:pPr>
            <w:r>
              <w:rPr>
                <w:rFonts w:ascii="Arial" w:cs="Arial" w:eastAsia="Arial" w:hAnsi="Arial"/>
                <w:sz w:val="18"/>
                <w:szCs w:val="18"/>
                <w:color w:val="auto"/>
              </w:rPr>
              <w:t>Total</w:t>
            </w:r>
          </w:p>
        </w:tc>
        <w:tc>
          <w:tcPr>
            <w:tcW w:w="260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31,256</w:t>
            </w:r>
          </w:p>
        </w:tc>
        <w:tc>
          <w:tcPr>
            <w:tcW w:w="140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39.29</w:t>
            </w:r>
          </w:p>
        </w:tc>
        <w:tc>
          <w:tcPr>
            <w:tcW w:w="1320" w:type="dxa"/>
            <w:vAlign w:val="bottom"/>
            <w:tcBorders>
              <w:bottom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31,256</w:t>
            </w:r>
          </w:p>
        </w:tc>
        <w:tc>
          <w:tcPr>
            <w:tcW w:w="114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434,622</w:t>
            </w:r>
          </w:p>
        </w:tc>
        <w:tc>
          <w:tcPr>
            <w:tcW w:w="20" w:type="dxa"/>
            <w:vAlign w:val="bottom"/>
            <w:tcBorders>
              <w:bottom w:val="single" w:sz="8" w:color="auto"/>
            </w:tcBorders>
          </w:tcPr>
          <w:p>
            <w:pPr>
              <w:spacing w:after="0"/>
              <w:rPr>
                <w:sz w:val="18"/>
                <w:szCs w:val="18"/>
                <w:color w:val="auto"/>
              </w:rPr>
            </w:pPr>
          </w:p>
        </w:tc>
      </w:tr>
    </w:tbl>
    <w:p>
      <w:pPr>
        <w:ind w:left="860" w:right="60" w:hanging="314"/>
        <w:spacing w:after="0" w:line="270" w:lineRule="auto"/>
        <w:tabs>
          <w:tab w:leader="none" w:pos="8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All repurchases made during the quarter ended March 31, 2021 were made pursuant to the treasury stock buyback program, which was authorized by the Board of Directors on October 17, 2011 and announced by the Company on October 20, 2011. The program, as modified by the Board of Directors on October 20, 2014, provides that the Company may repurchase up to an aggregate of 500,000 shares of common stock and has no expiration date. The program is periodically modified by the Board of Directors and was most recently modified on October 20, 2020 to restore the aggregate number of shares available for repurchase to 500,000.</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0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Not applicable.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53" w:lineRule="exact"/>
        <w:rPr>
          <w:sz w:val="20"/>
          <w:szCs w:val="20"/>
          <w:color w:val="auto"/>
        </w:rPr>
      </w:pPr>
    </w:p>
    <w:p>
      <w:pPr>
        <w:ind w:left="720" w:hanging="353"/>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None.</w:t>
      </w:r>
    </w:p>
    <w:p>
      <w:pPr>
        <w:spacing w:after="0" w:line="75" w:lineRule="exact"/>
        <w:rPr>
          <w:rFonts w:ascii="Arial" w:cs="Arial" w:eastAsia="Arial" w:hAnsi="Arial"/>
          <w:sz w:val="18"/>
          <w:szCs w:val="18"/>
          <w:color w:val="auto"/>
        </w:rPr>
      </w:pPr>
    </w:p>
    <w:p>
      <w:pPr>
        <w:ind w:left="720" w:hanging="353"/>
        <w:spacing w:after="0" w:line="276"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There have been no material changes to the procedures by which security holders may recommend nominees to the Company’s Board of Directors implemented in the First Quarter of 2021.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8355" cy="596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8355" cy="5969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15" w:lineRule="exact"/>
        <w:rPr>
          <w:sz w:val="20"/>
          <w:szCs w:val="20"/>
          <w:color w:val="auto"/>
        </w:rPr>
      </w:pPr>
    </w:p>
    <w:p>
      <w:pPr>
        <w:ind w:left="54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Exhibit 31.1 Certification Pursuant to Section 302 of the Sarbanes-Oxley Act of 2002.</w:t>
        </w:r>
      </w:hyperlink>
    </w:p>
    <w:p>
      <w:pPr>
        <w:spacing w:after="0" w:line="197" w:lineRule="exact"/>
        <w:rPr>
          <w:sz w:val="20"/>
          <w:szCs w:val="20"/>
          <w:color w:val="auto"/>
        </w:rPr>
      </w:pPr>
    </w:p>
    <w:p>
      <w:pPr>
        <w:ind w:left="54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Exhibit 31.2 Certification Pursuant to Section 302 of the Sarbanes-Oxley Act of 2002.</w:t>
        </w:r>
      </w:hyperlink>
    </w:p>
    <w:p>
      <w:pPr>
        <w:spacing w:after="0" w:line="211" w:lineRule="exact"/>
        <w:rPr>
          <w:sz w:val="20"/>
          <w:szCs w:val="20"/>
          <w:color w:val="auto"/>
        </w:rPr>
      </w:pPr>
    </w:p>
    <w:p>
      <w:pPr>
        <w:ind w:left="54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Exhibit 32.1 Certification Pursuant to 18 U.S.C. Section 1350, as Adopted Pursuant to Section 906 of the Sarbanes-Oxley Act of 2002.</w:t>
        </w:r>
      </w:hyperlink>
    </w:p>
    <w:p>
      <w:pPr>
        <w:spacing w:after="0" w:line="211" w:lineRule="exact"/>
        <w:rPr>
          <w:sz w:val="20"/>
          <w:szCs w:val="20"/>
          <w:color w:val="auto"/>
        </w:rPr>
      </w:pPr>
    </w:p>
    <w:p>
      <w:pPr>
        <w:ind w:left="54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Exhibit 32.2 Certification Pursuant to 18 U.S.C. Section 1350, as Adopted Pursuant to Section 906 of the Sarbanes-Oxley Act of 2002.</w:t>
        </w:r>
      </w:hyperlink>
    </w:p>
    <w:p>
      <w:pPr>
        <w:spacing w:after="0" w:line="197" w:lineRule="exact"/>
        <w:rPr>
          <w:sz w:val="20"/>
          <w:szCs w:val="20"/>
          <w:color w:val="auto"/>
        </w:rPr>
      </w:pPr>
    </w:p>
    <w:p>
      <w:pPr>
        <w:ind w:left="540"/>
        <w:spacing w:after="0" w:line="276" w:lineRule="auto"/>
        <w:rPr>
          <w:sz w:val="20"/>
          <w:szCs w:val="20"/>
          <w:color w:val="auto"/>
        </w:rPr>
      </w:pPr>
      <w:r>
        <w:rPr>
          <w:rFonts w:ascii="Arial" w:cs="Arial" w:eastAsia="Arial" w:hAnsi="Arial"/>
          <w:sz w:val="18"/>
          <w:szCs w:val="18"/>
          <w:color w:val="auto"/>
        </w:rPr>
        <w:t>Exhibit 101.INS XBRL Instance Document. The instance document does not appear in the Interactive Data File because its XBRL tags are embedded within the Inline XBRL document.</w:t>
      </w:r>
    </w:p>
    <w:p>
      <w:pPr>
        <w:spacing w:after="0" w:line="15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Exhibit 101.SCH Inline XBRL Taxonomy Extension Schema Document.</w:t>
      </w:r>
    </w:p>
    <w:p>
      <w:pPr>
        <w:spacing w:after="0" w:line="21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Exhibit 101.CAL Inline XBRL Taxonomy Extension Calculation Linkbase Document.</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Exhibit 101.LAB Inline XBRL Taxonomy Extension Label Linkbase Document.</w:t>
      </w:r>
    </w:p>
    <w:p>
      <w:pPr>
        <w:spacing w:after="0" w:line="21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Exhibit 101.PRE Inline XBRL Taxonomy Extension Presentation Linkbase Document.</w:t>
      </w:r>
    </w:p>
    <w:p>
      <w:pPr>
        <w:spacing w:after="0" w:line="21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Exhibit 101.DEF Inline XBRL Taxonomy Extension Definition Linkbase Document.</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Exhibit 104 Cover Page Interactive Data File (formatted as Inline XBRL and contained in Exhibit 101).</w:t>
      </w:r>
    </w:p>
    <w:p>
      <w:pPr>
        <w:spacing w:after="0" w:line="22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121285</wp:posOffset>
            </wp:positionV>
            <wp:extent cx="7158355" cy="508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8355" cy="5080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15" w:lineRule="exact"/>
        <w:rPr>
          <w:sz w:val="20"/>
          <w:szCs w:val="20"/>
          <w:color w:val="auto"/>
        </w:rPr>
      </w:pPr>
    </w:p>
    <w:p>
      <w:pPr>
        <w:ind w:firstLine="323"/>
        <w:spacing w:after="0" w:line="27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19"/>
                <w:szCs w:val="19"/>
                <w:color w:val="auto"/>
              </w:rPr>
            </w:pPr>
          </w:p>
        </w:tc>
        <w:tc>
          <w:tcPr>
            <w:tcW w:w="7720" w:type="dxa"/>
            <w:vAlign w:val="bottom"/>
            <w:gridSpan w:val="2"/>
          </w:tcPr>
          <w:p>
            <w:pPr>
              <w:ind w:left="2040"/>
              <w:spacing w:after="0"/>
              <w:rPr>
                <w:sz w:val="20"/>
                <w:szCs w:val="20"/>
                <w:color w:val="auto"/>
              </w:rPr>
            </w:pPr>
            <w:r>
              <w:rPr>
                <w:rFonts w:ascii="Arial" w:cs="Arial" w:eastAsia="Arial" w:hAnsi="Arial"/>
                <w:sz w:val="18"/>
                <w:szCs w:val="18"/>
                <w:color w:val="auto"/>
              </w:rPr>
              <w:t>CASS INFORMATION SYSTEMS, INC.</w:t>
            </w:r>
          </w:p>
        </w:tc>
      </w:tr>
      <w:tr>
        <w:trPr>
          <w:trHeight w:val="646"/>
        </w:trPr>
        <w:tc>
          <w:tcPr>
            <w:tcW w:w="3520" w:type="dxa"/>
            <w:vAlign w:val="bottom"/>
          </w:tcPr>
          <w:p>
            <w:pPr>
              <w:spacing w:after="0"/>
              <w:rPr>
                <w:sz w:val="20"/>
                <w:szCs w:val="20"/>
                <w:color w:val="auto"/>
              </w:rPr>
            </w:pPr>
            <w:r>
              <w:rPr>
                <w:rFonts w:ascii="Arial" w:cs="Arial" w:eastAsia="Arial" w:hAnsi="Arial"/>
                <w:sz w:val="18"/>
                <w:szCs w:val="18"/>
                <w:color w:val="auto"/>
              </w:rPr>
              <w:t>DATE: May 6, 2021</w:t>
            </w:r>
          </w:p>
        </w:tc>
        <w:tc>
          <w:tcPr>
            <w:tcW w:w="2480" w:type="dxa"/>
            <w:vAlign w:val="bottom"/>
          </w:tcPr>
          <w:p>
            <w:pPr>
              <w:ind w:left="204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Eric H. Brunngraber</w:t>
            </w:r>
          </w:p>
        </w:tc>
      </w:tr>
      <w:tr>
        <w:trPr>
          <w:trHeight w:val="195"/>
        </w:trPr>
        <w:tc>
          <w:tcPr>
            <w:tcW w:w="35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240" w:type="dxa"/>
            <w:vAlign w:val="bottom"/>
          </w:tcPr>
          <w:p>
            <w:pPr>
              <w:jc w:val="center"/>
              <w:spacing w:after="0" w:line="195" w:lineRule="exact"/>
              <w:rPr>
                <w:sz w:val="20"/>
                <w:szCs w:val="20"/>
                <w:color w:val="auto"/>
              </w:rPr>
            </w:pPr>
            <w:r>
              <w:rPr>
                <w:rFonts w:ascii="Arial" w:cs="Arial" w:eastAsia="Arial" w:hAnsi="Arial"/>
                <w:sz w:val="18"/>
                <w:szCs w:val="18"/>
                <w:color w:val="auto"/>
                <w:w w:val="93"/>
              </w:rPr>
              <w:t>Eric H. Brunngraber</w:t>
            </w:r>
          </w:p>
        </w:tc>
      </w:tr>
      <w:tr>
        <w:trPr>
          <w:trHeight w:val="215"/>
        </w:trPr>
        <w:tc>
          <w:tcPr>
            <w:tcW w:w="35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240" w:type="dxa"/>
            <w:vAlign w:val="bottom"/>
          </w:tcPr>
          <w:p>
            <w:pPr>
              <w:jc w:val="center"/>
              <w:spacing w:after="0"/>
              <w:rPr>
                <w:sz w:val="20"/>
                <w:szCs w:val="20"/>
                <w:color w:val="auto"/>
              </w:rPr>
            </w:pPr>
            <w:r>
              <w:rPr>
                <w:rFonts w:ascii="Arial" w:cs="Arial" w:eastAsia="Arial" w:hAnsi="Arial"/>
                <w:sz w:val="18"/>
                <w:szCs w:val="18"/>
                <w:color w:val="auto"/>
                <w:w w:val="91"/>
              </w:rPr>
              <w:t>Chairman, President, and Chief Executive Officer</w:t>
            </w:r>
          </w:p>
        </w:tc>
      </w:tr>
      <w:tr>
        <w:trPr>
          <w:trHeight w:val="230"/>
        </w:trPr>
        <w:tc>
          <w:tcPr>
            <w:tcW w:w="35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5240" w:type="dxa"/>
            <w:vAlign w:val="bottom"/>
          </w:tcPr>
          <w:p>
            <w:pPr>
              <w:jc w:val="center"/>
              <w:spacing w:after="0"/>
              <w:rPr>
                <w:sz w:val="20"/>
                <w:szCs w:val="20"/>
                <w:color w:val="auto"/>
              </w:rPr>
            </w:pPr>
            <w:r>
              <w:rPr>
                <w:rFonts w:ascii="Arial" w:cs="Arial" w:eastAsia="Arial" w:hAnsi="Arial"/>
                <w:sz w:val="18"/>
                <w:szCs w:val="18"/>
                <w:color w:val="auto"/>
                <w:w w:val="93"/>
              </w:rPr>
              <w:t>(Principal Executive Officer)</w:t>
            </w:r>
          </w:p>
        </w:tc>
      </w:tr>
      <w:tr>
        <w:trPr>
          <w:trHeight w:val="660"/>
        </w:trPr>
        <w:tc>
          <w:tcPr>
            <w:tcW w:w="3520" w:type="dxa"/>
            <w:vAlign w:val="bottom"/>
          </w:tcPr>
          <w:p>
            <w:pPr>
              <w:spacing w:after="0"/>
              <w:rPr>
                <w:sz w:val="20"/>
                <w:szCs w:val="20"/>
                <w:color w:val="auto"/>
              </w:rPr>
            </w:pPr>
            <w:r>
              <w:rPr>
                <w:rFonts w:ascii="Arial" w:cs="Arial" w:eastAsia="Arial" w:hAnsi="Arial"/>
                <w:sz w:val="18"/>
                <w:szCs w:val="18"/>
                <w:color w:val="auto"/>
              </w:rPr>
              <w:t>DATE: May 6, 2021</w:t>
            </w:r>
          </w:p>
        </w:tc>
        <w:tc>
          <w:tcPr>
            <w:tcW w:w="2480" w:type="dxa"/>
            <w:vAlign w:val="bottom"/>
          </w:tcPr>
          <w:p>
            <w:pPr>
              <w:ind w:left="2040"/>
              <w:spacing w:after="0"/>
              <w:rPr>
                <w:sz w:val="20"/>
                <w:szCs w:val="20"/>
                <w:color w:val="auto"/>
              </w:rPr>
            </w:pPr>
            <w:r>
              <w:rPr>
                <w:rFonts w:ascii="Arial" w:cs="Arial" w:eastAsia="Arial" w:hAnsi="Arial"/>
                <w:sz w:val="18"/>
                <w:szCs w:val="18"/>
                <w:color w:val="auto"/>
              </w:rPr>
              <w:t>By</w:t>
            </w:r>
          </w:p>
        </w:tc>
        <w:tc>
          <w:tcPr>
            <w:tcW w:w="5240" w:type="dxa"/>
            <w:vAlign w:val="bottom"/>
          </w:tcPr>
          <w:p>
            <w:pPr>
              <w:jc w:val="center"/>
              <w:spacing w:after="0"/>
              <w:rPr>
                <w:sz w:val="20"/>
                <w:szCs w:val="20"/>
                <w:color w:val="auto"/>
              </w:rPr>
            </w:pPr>
            <w:r>
              <w:rPr>
                <w:rFonts w:ascii="Arial" w:cs="Arial" w:eastAsia="Arial" w:hAnsi="Arial"/>
                <w:sz w:val="18"/>
                <w:szCs w:val="18"/>
                <w:color w:val="auto"/>
                <w:w w:val="92"/>
              </w:rPr>
              <w:t>/s/ Michael J. Normile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3810635</wp:posOffset>
            </wp:positionH>
            <wp:positionV relativeFrom="paragraph">
              <wp:posOffset>-8255</wp:posOffset>
            </wp:positionV>
            <wp:extent cx="332676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26765" cy="8255"/>
                    </a:xfrm>
                    <a:prstGeom prst="rect">
                      <a:avLst/>
                    </a:prstGeom>
                    <a:noFill/>
                  </pic:spPr>
                </pic:pic>
              </a:graphicData>
            </a:graphic>
          </wp:anchor>
        </w:drawing>
      </w:r>
    </w:p>
    <w:p>
      <w:pPr>
        <w:jc w:val="center"/>
        <w:ind w:left="5980"/>
        <w:spacing w:after="0"/>
        <w:rPr>
          <w:sz w:val="20"/>
          <w:szCs w:val="20"/>
          <w:color w:val="auto"/>
        </w:rPr>
      </w:pPr>
      <w:r>
        <w:rPr>
          <w:rFonts w:ascii="Arial" w:cs="Arial" w:eastAsia="Arial" w:hAnsi="Arial"/>
          <w:sz w:val="18"/>
          <w:szCs w:val="18"/>
          <w:color w:val="auto"/>
        </w:rPr>
        <w:t>Michael J. Normile</w:t>
      </w:r>
    </w:p>
    <w:p>
      <w:pPr>
        <w:spacing w:after="0" w:line="9" w:lineRule="exact"/>
        <w:rPr>
          <w:sz w:val="20"/>
          <w:szCs w:val="20"/>
          <w:color w:val="auto"/>
        </w:rPr>
      </w:pPr>
    </w:p>
    <w:p>
      <w:pPr>
        <w:jc w:val="center"/>
        <w:ind w:left="598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jc w:val="center"/>
        <w:ind w:left="5980"/>
        <w:spacing w:after="0"/>
        <w:rPr>
          <w:sz w:val="20"/>
          <w:szCs w:val="20"/>
          <w:color w:val="auto"/>
        </w:rPr>
      </w:pPr>
      <w:r>
        <w:rPr>
          <w:rFonts w:ascii="Arial" w:cs="Arial" w:eastAsia="Arial" w:hAnsi="Arial"/>
          <w:sz w:val="18"/>
          <w:szCs w:val="18"/>
          <w:color w:val="auto"/>
        </w:rPr>
        <w:t>(Principal Financial and Accounting Officer)</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8355" cy="596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8355" cy="5969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I, Eric H. Brunngraber, certify that:</w:t>
      </w:r>
    </w:p>
    <w:p>
      <w:pPr>
        <w:spacing w:after="0" w:line="89"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Cass Information Systems, Inc.;</w:t>
      </w:r>
    </w:p>
    <w:p>
      <w:pPr>
        <w:spacing w:after="0" w:line="7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3" w:lineRule="exact"/>
        <w:rPr>
          <w:rFonts w:ascii="Arial" w:cs="Arial" w:eastAsia="Arial" w:hAnsi="Arial"/>
          <w:sz w:val="18"/>
          <w:szCs w:val="18"/>
          <w:color w:val="auto"/>
        </w:rPr>
      </w:pPr>
    </w:p>
    <w:p>
      <w:pPr>
        <w:ind w:left="340" w:hanging="332"/>
        <w:spacing w:after="0" w:line="276"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3" w:lineRule="exact"/>
        <w:rPr>
          <w:rFonts w:ascii="Arial" w:cs="Arial" w:eastAsia="Arial" w:hAnsi="Arial"/>
          <w:sz w:val="18"/>
          <w:szCs w:val="18"/>
          <w:color w:val="auto"/>
        </w:rPr>
      </w:pPr>
    </w:p>
    <w:p>
      <w:pPr>
        <w:jc w:val="both"/>
        <w:ind w:left="700" w:hanging="369"/>
        <w:spacing w:after="0" w:line="263" w:lineRule="auto"/>
        <w:tabs>
          <w:tab w:leader="none" w:pos="7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3" w:lineRule="exact"/>
        <w:rPr>
          <w:rFonts w:ascii="Arial" w:cs="Arial" w:eastAsia="Arial" w:hAnsi="Arial"/>
          <w:sz w:val="18"/>
          <w:szCs w:val="18"/>
          <w:color w:val="auto"/>
        </w:rPr>
      </w:pPr>
    </w:p>
    <w:p>
      <w:pPr>
        <w:jc w:val="both"/>
        <w:ind w:left="700" w:hanging="369"/>
        <w:spacing w:after="0" w:line="263" w:lineRule="auto"/>
        <w:tabs>
          <w:tab w:leader="none" w:pos="7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700" w:right="20" w:hanging="369"/>
        <w:spacing w:after="0" w:line="305" w:lineRule="auto"/>
        <w:tabs>
          <w:tab w:leader="none" w:pos="700" w:val="left"/>
        </w:tabs>
        <w:numPr>
          <w:ilvl w:val="1"/>
          <w:numId w:val="1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7"/>
          <w:szCs w:val="17"/>
          <w:color w:val="auto"/>
        </w:rPr>
      </w:pPr>
    </w:p>
    <w:p>
      <w:pPr>
        <w:jc w:val="both"/>
        <w:ind w:left="700" w:hanging="369"/>
        <w:spacing w:after="0" w:line="263" w:lineRule="auto"/>
        <w:tabs>
          <w:tab w:leader="none" w:pos="7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3" w:lineRule="exact"/>
        <w:rPr>
          <w:rFonts w:ascii="Arial" w:cs="Arial" w:eastAsia="Arial" w:hAnsi="Arial"/>
          <w:sz w:val="18"/>
          <w:szCs w:val="18"/>
          <w:color w:val="auto"/>
        </w:rPr>
      </w:pPr>
    </w:p>
    <w:p>
      <w:pPr>
        <w:ind w:left="340" w:hanging="332"/>
        <w:spacing w:after="0" w:line="306" w:lineRule="auto"/>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 w:lineRule="exact"/>
        <w:rPr>
          <w:rFonts w:ascii="Arial" w:cs="Arial" w:eastAsia="Arial" w:hAnsi="Arial"/>
          <w:sz w:val="17"/>
          <w:szCs w:val="17"/>
          <w:color w:val="auto"/>
        </w:rPr>
      </w:pPr>
    </w:p>
    <w:p>
      <w:pPr>
        <w:ind w:left="700" w:right="20" w:hanging="369"/>
        <w:spacing w:after="0" w:line="276" w:lineRule="auto"/>
        <w:tabs>
          <w:tab w:leader="none" w:pos="7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 w:lineRule="exact"/>
        <w:rPr>
          <w:rFonts w:ascii="Arial" w:cs="Arial" w:eastAsia="Arial" w:hAnsi="Arial"/>
          <w:sz w:val="18"/>
          <w:szCs w:val="18"/>
          <w:color w:val="auto"/>
        </w:rPr>
      </w:pPr>
    </w:p>
    <w:p>
      <w:pPr>
        <w:ind w:left="700" w:right="20" w:hanging="369"/>
        <w:spacing w:after="0" w:line="276" w:lineRule="auto"/>
        <w:tabs>
          <w:tab w:leader="none" w:pos="7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Date: May 6, 2021</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Eric H. Brunngraber</w:t>
            </w:r>
          </w:p>
        </w:tc>
        <w:tc>
          <w:tcPr>
            <w:tcW w:w="660" w:type="dxa"/>
            <w:vAlign w:val="bottom"/>
          </w:tcPr>
          <w:p>
            <w:pPr>
              <w:spacing w:after="0"/>
              <w:rPr>
                <w:sz w:val="19"/>
                <w:szCs w:val="19"/>
                <w:color w:val="auto"/>
              </w:rPr>
            </w:pPr>
          </w:p>
        </w:tc>
      </w:tr>
      <w:tr>
        <w:trPr>
          <w:trHeight w:val="195"/>
        </w:trPr>
        <w:tc>
          <w:tcPr>
            <w:tcW w:w="6740" w:type="dxa"/>
            <w:vAlign w:val="bottom"/>
          </w:tcPr>
          <w:p>
            <w:pPr>
              <w:spacing w:after="0"/>
              <w:rPr>
                <w:sz w:val="16"/>
                <w:szCs w:val="16"/>
                <w:color w:val="auto"/>
              </w:rPr>
            </w:pPr>
          </w:p>
        </w:tc>
        <w:tc>
          <w:tcPr>
            <w:tcW w:w="3820" w:type="dxa"/>
            <w:vAlign w:val="bottom"/>
          </w:tcPr>
          <w:p>
            <w:pPr>
              <w:spacing w:after="0" w:line="195" w:lineRule="exact"/>
              <w:rPr>
                <w:sz w:val="20"/>
                <w:szCs w:val="20"/>
                <w:color w:val="auto"/>
              </w:rPr>
            </w:pPr>
            <w:r>
              <w:rPr>
                <w:rFonts w:ascii="Arial" w:cs="Arial" w:eastAsia="Arial" w:hAnsi="Arial"/>
                <w:sz w:val="18"/>
                <w:szCs w:val="18"/>
                <w:color w:val="auto"/>
              </w:rPr>
              <w:t>Eric H. Brunngraber</w:t>
            </w:r>
          </w:p>
        </w:tc>
        <w:tc>
          <w:tcPr>
            <w:tcW w:w="660" w:type="dxa"/>
            <w:vAlign w:val="bottom"/>
          </w:tcPr>
          <w:p>
            <w:pPr>
              <w:spacing w:after="0"/>
              <w:rPr>
                <w:sz w:val="16"/>
                <w:szCs w:val="16"/>
                <w:color w:val="auto"/>
              </w:rPr>
            </w:pPr>
          </w:p>
        </w:tc>
      </w:tr>
      <w:tr>
        <w:trPr>
          <w:trHeight w:val="215"/>
        </w:trPr>
        <w:tc>
          <w:tcPr>
            <w:tcW w:w="674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w w:val="96"/>
              </w:rPr>
              <w:t>Chairman, President, and Chief Executive Officer</w:t>
            </w:r>
          </w:p>
        </w:tc>
        <w:tc>
          <w:tcPr>
            <w:tcW w:w="660" w:type="dxa"/>
            <w:vAlign w:val="bottom"/>
          </w:tcPr>
          <w:p>
            <w:pPr>
              <w:spacing w:after="0"/>
              <w:rPr>
                <w:sz w:val="18"/>
                <w:szCs w:val="18"/>
                <w:color w:val="auto"/>
              </w:rPr>
            </w:pPr>
          </w:p>
        </w:tc>
      </w:tr>
      <w:tr>
        <w:trPr>
          <w:trHeight w:val="230"/>
        </w:trPr>
        <w:tc>
          <w:tcPr>
            <w:tcW w:w="674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660" w:type="dxa"/>
            <w:vAlign w:val="bottom"/>
          </w:tcPr>
          <w:p>
            <w:pPr>
              <w:spacing w:after="0"/>
              <w:rPr>
                <w:sz w:val="19"/>
                <w:szCs w:val="19"/>
                <w:color w:val="auto"/>
              </w:rPr>
            </w:pPr>
          </w:p>
        </w:tc>
      </w:tr>
      <w:tr>
        <w:trPr>
          <w:trHeight w:val="215"/>
        </w:trPr>
        <w:tc>
          <w:tcPr>
            <w:tcW w:w="6740" w:type="dxa"/>
            <w:vAlign w:val="bottom"/>
            <w:tcBorders>
              <w:bottom w:val="single" w:sz="8" w:color="EEEEEE"/>
            </w:tcBorders>
          </w:tcPr>
          <w:p>
            <w:pPr>
              <w:spacing w:after="0"/>
              <w:rPr>
                <w:sz w:val="18"/>
                <w:szCs w:val="18"/>
                <w:color w:val="auto"/>
              </w:rPr>
            </w:pPr>
          </w:p>
        </w:tc>
        <w:tc>
          <w:tcPr>
            <w:tcW w:w="3820" w:type="dxa"/>
            <w:vAlign w:val="bottom"/>
            <w:tcBorders>
              <w:bottom w:val="single" w:sz="8" w:color="EEEEEE"/>
            </w:tcBorders>
          </w:tcPr>
          <w:p>
            <w:pPr>
              <w:spacing w:after="0"/>
              <w:rPr>
                <w:sz w:val="18"/>
                <w:szCs w:val="18"/>
                <w:color w:val="auto"/>
              </w:rPr>
            </w:pPr>
          </w:p>
        </w:tc>
        <w:tc>
          <w:tcPr>
            <w:tcW w:w="660" w:type="dxa"/>
            <w:vAlign w:val="bottom"/>
            <w:tcBorders>
              <w:bottom w:val="single" w:sz="8" w:color="EEEEEE"/>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58355" cy="508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8355" cy="508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I, Michael J. Normile, certify that:</w:t>
      </w:r>
    </w:p>
    <w:p>
      <w:pPr>
        <w:spacing w:after="0" w:line="89"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Cass Information Systems, Inc.;</w:t>
      </w:r>
    </w:p>
    <w:p>
      <w:pPr>
        <w:spacing w:after="0" w:line="7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3" w:lineRule="exact"/>
        <w:rPr>
          <w:rFonts w:ascii="Arial" w:cs="Arial" w:eastAsia="Arial" w:hAnsi="Arial"/>
          <w:sz w:val="18"/>
          <w:szCs w:val="18"/>
          <w:color w:val="auto"/>
        </w:rPr>
      </w:pPr>
    </w:p>
    <w:p>
      <w:pPr>
        <w:ind w:left="340" w:hanging="332"/>
        <w:spacing w:after="0" w:line="276"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3" w:lineRule="exact"/>
        <w:rPr>
          <w:rFonts w:ascii="Arial" w:cs="Arial" w:eastAsia="Arial" w:hAnsi="Arial"/>
          <w:sz w:val="18"/>
          <w:szCs w:val="18"/>
          <w:color w:val="auto"/>
        </w:rPr>
      </w:pPr>
    </w:p>
    <w:p>
      <w:pPr>
        <w:jc w:val="both"/>
        <w:ind w:left="700" w:hanging="369"/>
        <w:spacing w:after="0" w:line="263" w:lineRule="auto"/>
        <w:tabs>
          <w:tab w:leader="none" w:pos="7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3" w:lineRule="exact"/>
        <w:rPr>
          <w:rFonts w:ascii="Arial" w:cs="Arial" w:eastAsia="Arial" w:hAnsi="Arial"/>
          <w:sz w:val="18"/>
          <w:szCs w:val="18"/>
          <w:color w:val="auto"/>
        </w:rPr>
      </w:pPr>
    </w:p>
    <w:p>
      <w:pPr>
        <w:jc w:val="both"/>
        <w:ind w:left="700" w:hanging="369"/>
        <w:spacing w:after="0" w:line="263" w:lineRule="auto"/>
        <w:tabs>
          <w:tab w:leader="none" w:pos="7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700" w:right="20" w:hanging="369"/>
        <w:spacing w:after="0" w:line="305" w:lineRule="auto"/>
        <w:tabs>
          <w:tab w:leader="none" w:pos="700" w:val="left"/>
        </w:tabs>
        <w:numPr>
          <w:ilvl w:val="1"/>
          <w:numId w:val="1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7"/>
          <w:szCs w:val="17"/>
          <w:color w:val="auto"/>
        </w:rPr>
      </w:pPr>
    </w:p>
    <w:p>
      <w:pPr>
        <w:jc w:val="both"/>
        <w:ind w:left="700" w:hanging="369"/>
        <w:spacing w:after="0" w:line="263" w:lineRule="auto"/>
        <w:tabs>
          <w:tab w:leader="none" w:pos="7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3" w:lineRule="exact"/>
        <w:rPr>
          <w:rFonts w:ascii="Arial" w:cs="Arial" w:eastAsia="Arial" w:hAnsi="Arial"/>
          <w:sz w:val="18"/>
          <w:szCs w:val="18"/>
          <w:color w:val="auto"/>
        </w:rPr>
      </w:pPr>
    </w:p>
    <w:p>
      <w:pPr>
        <w:ind w:left="340" w:hanging="332"/>
        <w:spacing w:after="0" w:line="306" w:lineRule="auto"/>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 w:lineRule="exact"/>
        <w:rPr>
          <w:rFonts w:ascii="Arial" w:cs="Arial" w:eastAsia="Arial" w:hAnsi="Arial"/>
          <w:sz w:val="17"/>
          <w:szCs w:val="17"/>
          <w:color w:val="auto"/>
        </w:rPr>
      </w:pPr>
    </w:p>
    <w:p>
      <w:pPr>
        <w:ind w:left="700" w:right="20" w:hanging="369"/>
        <w:spacing w:after="0" w:line="276" w:lineRule="auto"/>
        <w:tabs>
          <w:tab w:leader="none" w:pos="7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 w:lineRule="exact"/>
        <w:rPr>
          <w:rFonts w:ascii="Arial" w:cs="Arial" w:eastAsia="Arial" w:hAnsi="Arial"/>
          <w:sz w:val="18"/>
          <w:szCs w:val="18"/>
          <w:color w:val="auto"/>
        </w:rPr>
      </w:pPr>
    </w:p>
    <w:p>
      <w:pPr>
        <w:ind w:left="700" w:right="20" w:hanging="369"/>
        <w:spacing w:after="0" w:line="276" w:lineRule="auto"/>
        <w:tabs>
          <w:tab w:leader="none" w:pos="7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Date: May 6, 2021</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J. Normile</w:t>
            </w:r>
          </w:p>
        </w:tc>
        <w:tc>
          <w:tcPr>
            <w:tcW w:w="660" w:type="dxa"/>
            <w:vAlign w:val="bottom"/>
          </w:tcPr>
          <w:p>
            <w:pPr>
              <w:spacing w:after="0"/>
              <w:rPr>
                <w:sz w:val="19"/>
                <w:szCs w:val="19"/>
                <w:color w:val="auto"/>
              </w:rPr>
            </w:pPr>
          </w:p>
        </w:tc>
      </w:tr>
      <w:tr>
        <w:trPr>
          <w:trHeight w:val="195"/>
        </w:trPr>
        <w:tc>
          <w:tcPr>
            <w:tcW w:w="6740" w:type="dxa"/>
            <w:vAlign w:val="bottom"/>
          </w:tcPr>
          <w:p>
            <w:pPr>
              <w:spacing w:after="0"/>
              <w:rPr>
                <w:sz w:val="16"/>
                <w:szCs w:val="16"/>
                <w:color w:val="auto"/>
              </w:rPr>
            </w:pPr>
          </w:p>
        </w:tc>
        <w:tc>
          <w:tcPr>
            <w:tcW w:w="3820" w:type="dxa"/>
            <w:vAlign w:val="bottom"/>
          </w:tcPr>
          <w:p>
            <w:pPr>
              <w:spacing w:after="0" w:line="195" w:lineRule="exact"/>
              <w:rPr>
                <w:sz w:val="20"/>
                <w:szCs w:val="20"/>
                <w:color w:val="auto"/>
              </w:rPr>
            </w:pPr>
            <w:r>
              <w:rPr>
                <w:rFonts w:ascii="Arial" w:cs="Arial" w:eastAsia="Arial" w:hAnsi="Arial"/>
                <w:sz w:val="18"/>
                <w:szCs w:val="18"/>
                <w:color w:val="auto"/>
              </w:rPr>
              <w:t>Michael J. Normile</w:t>
            </w:r>
          </w:p>
        </w:tc>
        <w:tc>
          <w:tcPr>
            <w:tcW w:w="660" w:type="dxa"/>
            <w:vAlign w:val="bottom"/>
          </w:tcPr>
          <w:p>
            <w:pPr>
              <w:spacing w:after="0"/>
              <w:rPr>
                <w:sz w:val="16"/>
                <w:szCs w:val="16"/>
                <w:color w:val="auto"/>
              </w:rPr>
            </w:pPr>
          </w:p>
        </w:tc>
      </w:tr>
      <w:tr>
        <w:trPr>
          <w:trHeight w:val="215"/>
        </w:trPr>
        <w:tc>
          <w:tcPr>
            <w:tcW w:w="674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Executive Vice President and Chief Financial</w:t>
            </w:r>
          </w:p>
        </w:tc>
        <w:tc>
          <w:tcPr>
            <w:tcW w:w="660" w:type="dxa"/>
            <w:vAlign w:val="bottom"/>
          </w:tcPr>
          <w:p>
            <w:pPr>
              <w:spacing w:after="0"/>
              <w:rPr>
                <w:sz w:val="18"/>
                <w:szCs w:val="18"/>
                <w:color w:val="auto"/>
              </w:rPr>
            </w:pPr>
          </w:p>
        </w:tc>
      </w:tr>
      <w:tr>
        <w:trPr>
          <w:trHeight w:val="215"/>
        </w:trPr>
        <w:tc>
          <w:tcPr>
            <w:tcW w:w="674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Officer</w:t>
            </w:r>
          </w:p>
        </w:tc>
        <w:tc>
          <w:tcPr>
            <w:tcW w:w="660" w:type="dxa"/>
            <w:vAlign w:val="bottom"/>
          </w:tcPr>
          <w:p>
            <w:pPr>
              <w:spacing w:after="0"/>
              <w:rPr>
                <w:sz w:val="18"/>
                <w:szCs w:val="18"/>
                <w:color w:val="auto"/>
              </w:rPr>
            </w:pPr>
          </w:p>
        </w:tc>
      </w:tr>
      <w:tr>
        <w:trPr>
          <w:trHeight w:val="230"/>
        </w:trPr>
        <w:tc>
          <w:tcPr>
            <w:tcW w:w="674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c>
          <w:tcPr>
            <w:tcW w:w="660" w:type="dxa"/>
            <w:vAlign w:val="bottom"/>
          </w:tcPr>
          <w:p>
            <w:pPr>
              <w:spacing w:after="0"/>
              <w:rPr>
                <w:sz w:val="19"/>
                <w:szCs w:val="19"/>
                <w:color w:val="auto"/>
              </w:rPr>
            </w:pPr>
          </w:p>
        </w:tc>
      </w:tr>
      <w:tr>
        <w:trPr>
          <w:trHeight w:val="215"/>
        </w:trPr>
        <w:tc>
          <w:tcPr>
            <w:tcW w:w="6740" w:type="dxa"/>
            <w:vAlign w:val="bottom"/>
            <w:tcBorders>
              <w:bottom w:val="single" w:sz="8" w:color="EEEEEE"/>
            </w:tcBorders>
          </w:tcPr>
          <w:p>
            <w:pPr>
              <w:spacing w:after="0"/>
              <w:rPr>
                <w:sz w:val="18"/>
                <w:szCs w:val="18"/>
                <w:color w:val="auto"/>
              </w:rPr>
            </w:pPr>
          </w:p>
        </w:tc>
        <w:tc>
          <w:tcPr>
            <w:tcW w:w="3820" w:type="dxa"/>
            <w:vAlign w:val="bottom"/>
            <w:tcBorders>
              <w:bottom w:val="single" w:sz="8" w:color="EEEEEE"/>
            </w:tcBorders>
          </w:tcPr>
          <w:p>
            <w:pPr>
              <w:spacing w:after="0"/>
              <w:rPr>
                <w:sz w:val="18"/>
                <w:szCs w:val="18"/>
                <w:color w:val="auto"/>
              </w:rPr>
            </w:pPr>
          </w:p>
        </w:tc>
        <w:tc>
          <w:tcPr>
            <w:tcW w:w="660" w:type="dxa"/>
            <w:vAlign w:val="bottom"/>
            <w:tcBorders>
              <w:bottom w:val="single" w:sz="8" w:color="EEEEEE"/>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58355" cy="508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8355" cy="508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6"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In connection with the Quarterly Report of Cass Information Systems, Inc. (“the Company”) on Form 10-Q for the period ended March 31, 2021 as filed with the Securities and Exchange Commission on the date hereof (the “Report”), I, Eric H. Brunngraber, Chairman, President and Chief Executive Officer of the Company, certify, pursuant to 18 U.S.C. § 1350, as adopted pursuant to § 906 of the Sarbanes-Oxley Act of 2002, that:</w:t>
      </w:r>
    </w:p>
    <w:p>
      <w:pPr>
        <w:spacing w:after="0" w:line="395" w:lineRule="exact"/>
        <w:rPr>
          <w:sz w:val="20"/>
          <w:szCs w:val="20"/>
          <w:color w:val="auto"/>
        </w:rPr>
      </w:pPr>
    </w:p>
    <w:p>
      <w:pPr>
        <w:ind w:left="720" w:hanging="353"/>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75" w:lineRule="exact"/>
        <w:rPr>
          <w:rFonts w:ascii="Arial" w:cs="Arial" w:eastAsia="Arial" w:hAnsi="Arial"/>
          <w:sz w:val="18"/>
          <w:szCs w:val="18"/>
          <w:color w:val="auto"/>
        </w:rPr>
      </w:pPr>
    </w:p>
    <w:p>
      <w:pPr>
        <w:ind w:left="720" w:hanging="353"/>
        <w:spacing w:after="0"/>
        <w:tabs>
          <w:tab w:leader="none" w:pos="7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Eric H. Brunngraber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4281170</wp:posOffset>
            </wp:positionH>
            <wp:positionV relativeFrom="paragraph">
              <wp:posOffset>14605</wp:posOffset>
            </wp:positionV>
            <wp:extent cx="24206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420620" cy="8255"/>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Eric H. Brunngraber</w:t>
      </w:r>
    </w:p>
    <w:p>
      <w:pPr>
        <w:spacing w:after="0" w:line="2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(Principal Executive Officer)</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May 6, 2021</w:t>
      </w:r>
    </w:p>
    <w:p>
      <w:pPr>
        <w:spacing w:after="0" w:line="200" w:lineRule="exact"/>
        <w:rPr>
          <w:sz w:val="20"/>
          <w:szCs w:val="20"/>
          <w:color w:val="auto"/>
        </w:rPr>
      </w:pP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A signed original of this written statement required by Section 906 has been provided to Cass Information Systems, Inc. and will be retained by Cass Information Systems,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8355" cy="508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8355" cy="508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In connection with the Quarterly Report of Cass Information Systems, Inc. (“the Company”) on Form 10-Q for the period ended March 31, 2021 as filed with the Securities and Exchange Commission on the date hereof (the “Report”), I, Michael J. Normile, Executive Vice President and Chief Financial Officer of the Company, certify, pursuant to 18 U.S.C. § 1350, as adopted pursuant to § 906 of the Sarbanes-Oxley Act of 2002, that:</w:t>
      </w:r>
    </w:p>
    <w:p>
      <w:pPr>
        <w:spacing w:after="0" w:line="200" w:lineRule="exact"/>
        <w:rPr>
          <w:sz w:val="20"/>
          <w:szCs w:val="20"/>
          <w:color w:val="auto"/>
        </w:rPr>
      </w:pPr>
    </w:p>
    <w:p>
      <w:pPr>
        <w:spacing w:after="0" w:line="208" w:lineRule="exact"/>
        <w:rPr>
          <w:sz w:val="20"/>
          <w:szCs w:val="20"/>
          <w:color w:val="auto"/>
        </w:rPr>
      </w:pPr>
    </w:p>
    <w:p>
      <w:pPr>
        <w:ind w:left="720" w:hanging="353"/>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75" w:lineRule="exact"/>
        <w:rPr>
          <w:rFonts w:ascii="Arial" w:cs="Arial" w:eastAsia="Arial" w:hAnsi="Arial"/>
          <w:sz w:val="18"/>
          <w:szCs w:val="18"/>
          <w:color w:val="auto"/>
        </w:rPr>
      </w:pPr>
    </w:p>
    <w:p>
      <w:pPr>
        <w:ind w:left="720" w:hanging="353"/>
        <w:spacing w:after="0"/>
        <w:tabs>
          <w:tab w:leader="none" w:pos="7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0"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Michael J. Normile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4281170</wp:posOffset>
            </wp:positionH>
            <wp:positionV relativeFrom="paragraph">
              <wp:posOffset>14605</wp:posOffset>
            </wp:positionV>
            <wp:extent cx="24206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420620" cy="8255"/>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Michael J. Normile</w:t>
      </w:r>
    </w:p>
    <w:p>
      <w:pPr>
        <w:spacing w:after="0" w:line="2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Executive Vice President and Chief Financial</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Officer</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(Principal Financial and Accounting Officer)</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May 6, 2021</w:t>
      </w:r>
    </w:p>
    <w:p>
      <w:pPr>
        <w:spacing w:after="0" w:line="200" w:lineRule="exact"/>
        <w:rPr>
          <w:sz w:val="20"/>
          <w:szCs w:val="20"/>
          <w:color w:val="auto"/>
        </w:rPr>
      </w:pPr>
    </w:p>
    <w:p>
      <w:pPr>
        <w:spacing w:after="0" w:line="238"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A signed original of this written statement required by Section 906 has been provided to Cass Information Systems, Inc. and will be retained by Cass Information Systems,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8355" cy="508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8355" cy="50800"/>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1"/>
      <w:numFmt w:val="bullet"/>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2021-05-06T10:54:53Z</dcterms:created>
  <dcterms:modified xsi:type="dcterms:W3CDTF">2021-05-06T10:54:53Z</dcterms:modified>
</cp:coreProperties>
</file>