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3256280</wp:posOffset>
            </wp:positionH>
            <wp:positionV relativeFrom="paragraph">
              <wp:posOffset>279400</wp:posOffset>
            </wp:positionV>
            <wp:extent cx="753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78" w:lineRule="exact"/>
        <w:rPr>
          <w:sz w:val="24"/>
          <w:szCs w:val="24"/>
          <w:color w:val="auto"/>
        </w:rPr>
      </w:pPr>
    </w:p>
    <w:p>
      <w:pPr>
        <w:ind w:left="340" w:right="2520" w:hanging="332"/>
        <w:spacing w:after="0" w:line="499"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September 30, 2019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000-20827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3256280</wp:posOffset>
            </wp:positionH>
            <wp:positionV relativeFrom="paragraph">
              <wp:posOffset>293370</wp:posOffset>
            </wp:positionV>
            <wp:extent cx="753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CASS INFORMATION SYSTEMS, INC.</w:t>
      </w:r>
    </w:p>
    <w:p>
      <w:pPr>
        <w:spacing w:after="0" w:line="2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70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40" w:type="dxa"/>
            <w:vAlign w:val="bottom"/>
          </w:tcPr>
          <w:p>
            <w:pPr>
              <w:jc w:val="right"/>
              <w:ind w:right="2510"/>
              <w:spacing w:after="0"/>
              <w:rPr>
                <w:sz w:val="20"/>
                <w:szCs w:val="20"/>
                <w:color w:val="auto"/>
              </w:rPr>
            </w:pPr>
            <w:r>
              <w:rPr>
                <w:rFonts w:ascii="Times New Roman" w:cs="Times New Roman" w:eastAsia="Times New Roman" w:hAnsi="Times New Roman"/>
                <w:sz w:val="18"/>
                <w:szCs w:val="18"/>
                <w:b w:val="1"/>
                <w:bCs w:val="1"/>
                <w:color w:val="auto"/>
              </w:rPr>
              <w:t>43-1265338</w:t>
            </w:r>
          </w:p>
        </w:tc>
      </w:tr>
      <w:tr>
        <w:trPr>
          <w:trHeight w:val="216"/>
        </w:trPr>
        <w:tc>
          <w:tcPr>
            <w:tcW w:w="470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2"/>
        </w:trPr>
        <w:tc>
          <w:tcPr>
            <w:tcW w:w="470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organization)</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216"/>
        </w:trPr>
        <w:tc>
          <w:tcPr>
            <w:tcW w:w="470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12444 Powerscourt Drive, Suite 550</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220"/>
        </w:trPr>
        <w:tc>
          <w:tcPr>
            <w:tcW w:w="470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40" w:type="dxa"/>
            <w:vAlign w:val="bottom"/>
          </w:tcPr>
          <w:p>
            <w:pPr>
              <w:jc w:val="right"/>
              <w:ind w:right="2710"/>
              <w:spacing w:after="0"/>
              <w:rPr>
                <w:sz w:val="20"/>
                <w:szCs w:val="20"/>
                <w:color w:val="auto"/>
              </w:rPr>
            </w:pPr>
            <w:r>
              <w:rPr>
                <w:rFonts w:ascii="Times New Roman" w:cs="Times New Roman" w:eastAsia="Times New Roman" w:hAnsi="Times New Roman"/>
                <w:sz w:val="18"/>
                <w:szCs w:val="18"/>
                <w:b w:val="1"/>
                <w:bCs w:val="1"/>
                <w:color w:val="auto"/>
              </w:rPr>
              <w:t>63131</w:t>
            </w:r>
          </w:p>
        </w:tc>
      </w:tr>
      <w:tr>
        <w:trPr>
          <w:trHeight w:val="234"/>
        </w:trPr>
        <w:tc>
          <w:tcPr>
            <w:tcW w:w="470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05"/>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(314) 506-5500</w:t>
            </w:r>
          </w:p>
        </w:tc>
        <w:tc>
          <w:tcPr>
            <w:tcW w:w="22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34"/>
        </w:trPr>
        <w:tc>
          <w:tcPr>
            <w:tcW w:w="114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32"/>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34"/>
        </w:trPr>
        <w:tc>
          <w:tcPr>
            <w:tcW w:w="47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$.50</w:t>
            </w: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7"/>
              </w:rPr>
              <w:t>CASS</w:t>
            </w:r>
          </w:p>
        </w:tc>
        <w:tc>
          <w:tcPr>
            <w:tcW w:w="220" w:type="dxa"/>
            <w:vAlign w:val="bottom"/>
          </w:tcPr>
          <w:p>
            <w:pPr>
              <w:spacing w:after="0"/>
              <w:rPr>
                <w:sz w:val="19"/>
                <w:szCs w:val="19"/>
                <w:color w:val="auto"/>
              </w:rPr>
            </w:pPr>
          </w:p>
        </w:tc>
        <w:tc>
          <w:tcPr>
            <w:tcW w:w="4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3256280</wp:posOffset>
            </wp:positionH>
            <wp:positionV relativeFrom="paragraph">
              <wp:posOffset>262255</wp:posOffset>
            </wp:positionV>
            <wp:extent cx="753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both"/>
        <w:ind w:firstLine="216"/>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8" w:lineRule="exact"/>
        <w:rPr>
          <w:sz w:val="24"/>
          <w:szCs w:val="24"/>
          <w:color w:val="auto"/>
        </w:rPr>
      </w:pPr>
    </w:p>
    <w:p>
      <w:pPr>
        <w:ind w:left="5200"/>
        <w:spacing w:after="0" w:line="207" w:lineRule="exact"/>
        <w:tabs>
          <w:tab w:leader="none" w:pos="6040" w:val="left"/>
          <w:tab w:leader="none" w:pos="8380" w:val="left"/>
          <w:tab w:leader="none" w:pos="92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5" w:lineRule="exact"/>
        <w:rPr>
          <w:sz w:val="24"/>
          <w:szCs w:val="24"/>
          <w:color w:val="auto"/>
        </w:rPr>
      </w:pPr>
    </w:p>
    <w:p>
      <w:pPr>
        <w:jc w:val="both"/>
        <w:ind w:firstLine="216"/>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33" w:lineRule="exact"/>
        <w:rPr>
          <w:sz w:val="24"/>
          <w:szCs w:val="24"/>
          <w:color w:val="auto"/>
        </w:rPr>
      </w:pPr>
    </w:p>
    <w:p>
      <w:pPr>
        <w:ind w:left="5200"/>
        <w:spacing w:after="0" w:line="207" w:lineRule="exact"/>
        <w:tabs>
          <w:tab w:leader="none" w:pos="6040" w:val="left"/>
          <w:tab w:leader="none" w:pos="8380" w:val="left"/>
          <w:tab w:leader="none" w:pos="92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5" w:lineRule="exact"/>
        <w:rPr>
          <w:sz w:val="24"/>
          <w:szCs w:val="24"/>
          <w:color w:val="auto"/>
        </w:rPr>
      </w:pPr>
    </w:p>
    <w:p>
      <w:pPr>
        <w:jc w:val="both"/>
        <w:ind w:firstLine="216"/>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p>
      <w:pPr>
        <w:ind w:left="360"/>
        <w:spacing w:after="0" w:line="207" w:lineRule="exact"/>
        <w:tabs>
          <w:tab w:leader="none" w:pos="368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24" w:lineRule="exact"/>
        <w:rPr>
          <w:sz w:val="24"/>
          <w:szCs w:val="24"/>
          <w:color w:val="auto"/>
        </w:rPr>
      </w:pPr>
    </w:p>
    <w:p>
      <w:pPr>
        <w:ind w:left="360"/>
        <w:spacing w:after="0" w:line="207" w:lineRule="exact"/>
        <w:tabs>
          <w:tab w:leader="none" w:pos="3680" w:val="left"/>
          <w:tab w:leader="none" w:pos="714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5" w:lineRule="exact"/>
        <w:rPr>
          <w:sz w:val="24"/>
          <w:szCs w:val="24"/>
          <w:color w:val="auto"/>
        </w:rPr>
      </w:pPr>
    </w:p>
    <w:p>
      <w:pPr>
        <w:jc w:val="both"/>
        <w:ind w:firstLine="21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0"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96" w:lineRule="exact"/>
        <w:rPr>
          <w:sz w:val="24"/>
          <w:szCs w:val="24"/>
          <w:color w:val="auto"/>
        </w:rPr>
      </w:pPr>
    </w:p>
    <w:p>
      <w:pPr>
        <w:ind w:left="5200"/>
        <w:spacing w:after="0" w:line="207" w:lineRule="exact"/>
        <w:tabs>
          <w:tab w:leader="none" w:pos="6020" w:val="left"/>
          <w:tab w:leader="none" w:pos="8380" w:val="left"/>
          <w:tab w:leader="none" w:pos="92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5" w:lineRule="exact"/>
        <w:rPr>
          <w:sz w:val="24"/>
          <w:szCs w:val="24"/>
          <w:color w:val="auto"/>
        </w:rPr>
      </w:pPr>
    </w:p>
    <w:p>
      <w:pPr>
        <w:jc w:val="both"/>
        <w:ind w:firstLine="216"/>
        <w:spacing w:after="0" w:line="281" w:lineRule="auto"/>
        <w:rPr>
          <w:sz w:val="20"/>
          <w:szCs w:val="20"/>
          <w:color w:val="auto"/>
        </w:rPr>
      </w:pPr>
      <w:r>
        <w:rPr>
          <w:rFonts w:ascii="Times New Roman" w:cs="Times New Roman" w:eastAsia="Times New Roman" w:hAnsi="Times New Roman"/>
          <w:sz w:val="18"/>
          <w:szCs w:val="18"/>
          <w:color w:val="auto"/>
        </w:rPr>
        <w:t>The number of shares outstanding of the registrant's only class of common stock as of October 25, 2019: Common stock, par value $.50 per share – 14,497,763 shares outstanding.</w:t>
      </w:r>
    </w:p>
    <w:p>
      <w:pPr>
        <w:sectPr>
          <w:pgSz w:w="11900" w:h="16838" w:orient="portrait"/>
          <w:cols w:equalWidth="0" w:num="1">
            <w:col w:w="11420"/>
          </w:cols>
          <w:pgMar w:left="240" w:top="229" w:right="239" w:bottom="1440" w:gutter="0" w:footer="0" w:header="0"/>
        </w:sect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28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8257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920" w:type="dxa"/>
            <w:vAlign w:val="bottom"/>
            <w:shd w:val="clear" w:color="auto" w:fill="B2B2B2"/>
          </w:tcPr>
          <w:p>
            <w:pPr>
              <w:spacing w:after="0"/>
              <w:rPr>
                <w:sz w:val="17"/>
                <w:szCs w:val="17"/>
                <w:color w:val="auto"/>
              </w:rPr>
            </w:pPr>
          </w:p>
        </w:tc>
        <w:tc>
          <w:tcPr>
            <w:tcW w:w="9620" w:type="dxa"/>
            <w:vAlign w:val="bottom"/>
            <w:shd w:val="clear" w:color="auto" w:fill="B2B2B2"/>
          </w:tcPr>
          <w:p>
            <w:pPr>
              <w:ind w:left="160"/>
              <w:spacing w:after="0" w:line="197" w:lineRule="exact"/>
              <w:rPr>
                <w:sz w:val="20"/>
                <w:szCs w:val="20"/>
                <w:color w:val="auto"/>
              </w:rPr>
            </w:pPr>
            <w:r>
              <w:rPr>
                <w:rFonts w:ascii="Times New Roman" w:cs="Times New Roman" w:eastAsia="Times New Roman" w:hAnsi="Times New Roman"/>
                <w:sz w:val="18"/>
                <w:szCs w:val="18"/>
                <w:color w:val="auto"/>
              </w:rPr>
              <w:t>Consolidated Balance Sheets</w:t>
            </w:r>
          </w:p>
        </w:tc>
        <w:tc>
          <w:tcPr>
            <w:tcW w:w="88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B2B2B2"/>
          </w:tcPr>
          <w:p>
            <w:pPr>
              <w:spacing w:after="0"/>
              <w:rPr>
                <w:sz w:val="20"/>
                <w:szCs w:val="20"/>
                <w:color w:val="auto"/>
              </w:rPr>
            </w:pPr>
          </w:p>
        </w:tc>
        <w:tc>
          <w:tcPr>
            <w:tcW w:w="9620" w:type="dxa"/>
            <w:vAlign w:val="bottom"/>
            <w:shd w:val="clear" w:color="auto" w:fill="B2B2B2"/>
          </w:tcPr>
          <w:p>
            <w:pPr>
              <w:ind w:left="440"/>
              <w:spacing w:after="0"/>
              <w:rPr>
                <w:sz w:val="20"/>
                <w:szCs w:val="20"/>
                <w:color w:val="auto"/>
              </w:rPr>
            </w:pPr>
            <w:r>
              <w:rPr>
                <w:rFonts w:ascii="Times New Roman" w:cs="Times New Roman" w:eastAsia="Times New Roman" w:hAnsi="Times New Roman"/>
                <w:sz w:val="18"/>
                <w:szCs w:val="18"/>
                <w:color w:val="auto"/>
              </w:rPr>
              <w:t>September 30, 2019 (unaudited) and December 31, 2018</w:t>
            </w:r>
          </w:p>
        </w:tc>
        <w:tc>
          <w:tcPr>
            <w:tcW w:w="880" w:type="dxa"/>
            <w:vAlign w:val="bottom"/>
            <w:shd w:val="clear" w:color="auto" w:fill="B2B2B2"/>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920" w:type="dxa"/>
            <w:vAlign w:val="bottom"/>
            <w:shd w:val="clear" w:color="auto" w:fill="B2B2B2"/>
          </w:tcPr>
          <w:p>
            <w:pPr>
              <w:spacing w:after="0"/>
              <w:rPr>
                <w:sz w:val="19"/>
                <w:szCs w:val="19"/>
                <w:color w:val="auto"/>
              </w:rPr>
            </w:pPr>
          </w:p>
        </w:tc>
        <w:tc>
          <w:tcPr>
            <w:tcW w:w="9620" w:type="dxa"/>
            <w:vAlign w:val="bottom"/>
            <w:shd w:val="clear" w:color="auto" w:fill="B2B2B2"/>
          </w:tcPr>
          <w:p>
            <w:pPr>
              <w:spacing w:after="0"/>
              <w:rPr>
                <w:sz w:val="19"/>
                <w:szCs w:val="19"/>
                <w:color w:val="auto"/>
              </w:rPr>
            </w:pPr>
          </w:p>
        </w:tc>
        <w:tc>
          <w:tcPr>
            <w:tcW w:w="880" w:type="dxa"/>
            <w:vAlign w:val="bottom"/>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920" w:type="dxa"/>
            <w:vAlign w:val="bottom"/>
          </w:tcPr>
          <w:p>
            <w:pPr>
              <w:spacing w:after="0"/>
              <w:rPr>
                <w:sz w:val="17"/>
                <w:szCs w:val="17"/>
                <w:color w:val="auto"/>
              </w:rPr>
            </w:pPr>
          </w:p>
        </w:tc>
        <w:tc>
          <w:tcPr>
            <w:tcW w:w="962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Consolidated Statements of Income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9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Three and nine months ended September 30, 2019 and 2018 (unaudited)</w:t>
            </w:r>
          </w:p>
        </w:tc>
        <w:tc>
          <w:tcPr>
            <w:tcW w:w="8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920" w:type="dxa"/>
            <w:vAlign w:val="bottom"/>
            <w:shd w:val="clear" w:color="auto" w:fill="B2B2B2"/>
          </w:tcPr>
          <w:p>
            <w:pPr>
              <w:spacing w:after="0"/>
              <w:rPr>
                <w:sz w:val="17"/>
                <w:szCs w:val="17"/>
                <w:color w:val="auto"/>
              </w:rPr>
            </w:pPr>
          </w:p>
        </w:tc>
        <w:tc>
          <w:tcPr>
            <w:tcW w:w="9620" w:type="dxa"/>
            <w:vAlign w:val="bottom"/>
            <w:shd w:val="clear" w:color="auto" w:fill="B2B2B2"/>
          </w:tcPr>
          <w:p>
            <w:pPr>
              <w:ind w:left="160"/>
              <w:spacing w:after="0" w:line="197" w:lineRule="exact"/>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88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B2B2B2"/>
          </w:tcPr>
          <w:p>
            <w:pPr>
              <w:spacing w:after="0"/>
              <w:rPr>
                <w:sz w:val="20"/>
                <w:szCs w:val="20"/>
                <w:color w:val="auto"/>
              </w:rPr>
            </w:pPr>
          </w:p>
        </w:tc>
        <w:tc>
          <w:tcPr>
            <w:tcW w:w="9620" w:type="dxa"/>
            <w:vAlign w:val="bottom"/>
            <w:shd w:val="clear" w:color="auto" w:fill="B2B2B2"/>
          </w:tcPr>
          <w:p>
            <w:pPr>
              <w:ind w:left="440"/>
              <w:spacing w:after="0"/>
              <w:rPr>
                <w:sz w:val="20"/>
                <w:szCs w:val="20"/>
                <w:color w:val="auto"/>
              </w:rPr>
            </w:pPr>
            <w:r>
              <w:rPr>
                <w:rFonts w:ascii="Times New Roman" w:cs="Times New Roman" w:eastAsia="Times New Roman" w:hAnsi="Times New Roman"/>
                <w:sz w:val="18"/>
                <w:szCs w:val="18"/>
                <w:color w:val="auto"/>
              </w:rPr>
              <w:t>Three and nine months ended September 30, 2019 and 2018 (unaudited)</w:t>
            </w:r>
          </w:p>
        </w:tc>
        <w:tc>
          <w:tcPr>
            <w:tcW w:w="880" w:type="dxa"/>
            <w:vAlign w:val="bottom"/>
            <w:shd w:val="clear" w:color="auto" w:fill="B2B2B2"/>
          </w:tcPr>
          <w:p>
            <w:pPr>
              <w:jc w:val="center"/>
              <w:ind w:left="3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920" w:type="dxa"/>
            <w:vAlign w:val="bottom"/>
            <w:shd w:val="clear" w:color="auto" w:fill="B2B2B2"/>
          </w:tcPr>
          <w:p>
            <w:pPr>
              <w:spacing w:after="0"/>
              <w:rPr>
                <w:sz w:val="19"/>
                <w:szCs w:val="19"/>
                <w:color w:val="auto"/>
              </w:rPr>
            </w:pPr>
          </w:p>
        </w:tc>
        <w:tc>
          <w:tcPr>
            <w:tcW w:w="9620" w:type="dxa"/>
            <w:vAlign w:val="bottom"/>
            <w:shd w:val="clear" w:color="auto" w:fill="B2B2B2"/>
          </w:tcPr>
          <w:p>
            <w:pPr>
              <w:spacing w:after="0"/>
              <w:rPr>
                <w:sz w:val="19"/>
                <w:szCs w:val="19"/>
                <w:color w:val="auto"/>
              </w:rPr>
            </w:pPr>
          </w:p>
        </w:tc>
        <w:tc>
          <w:tcPr>
            <w:tcW w:w="880" w:type="dxa"/>
            <w:vAlign w:val="bottom"/>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920" w:type="dxa"/>
            <w:vAlign w:val="bottom"/>
          </w:tcPr>
          <w:p>
            <w:pPr>
              <w:spacing w:after="0"/>
              <w:rPr>
                <w:sz w:val="17"/>
                <w:szCs w:val="17"/>
                <w:color w:val="auto"/>
              </w:rPr>
            </w:pPr>
          </w:p>
        </w:tc>
        <w:tc>
          <w:tcPr>
            <w:tcW w:w="962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9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Nine months ended September 30, 2019 and 2018 (unaudited)</w:t>
            </w:r>
          </w:p>
        </w:tc>
        <w:tc>
          <w:tcPr>
            <w:tcW w:w="8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920" w:type="dxa"/>
            <w:vAlign w:val="bottom"/>
            <w:shd w:val="clear" w:color="auto" w:fill="B2B2B2"/>
          </w:tcPr>
          <w:p>
            <w:pPr>
              <w:spacing w:after="0"/>
              <w:rPr>
                <w:sz w:val="17"/>
                <w:szCs w:val="17"/>
                <w:color w:val="auto"/>
              </w:rPr>
            </w:pPr>
          </w:p>
        </w:tc>
        <w:tc>
          <w:tcPr>
            <w:tcW w:w="9620" w:type="dxa"/>
            <w:vAlign w:val="bottom"/>
            <w:shd w:val="clear" w:color="auto" w:fill="B2B2B2"/>
          </w:tcPr>
          <w:p>
            <w:pPr>
              <w:ind w:left="160"/>
              <w:spacing w:after="0" w:line="197" w:lineRule="exact"/>
              <w:rPr>
                <w:sz w:val="20"/>
                <w:szCs w:val="20"/>
                <w:color w:val="auto"/>
              </w:rPr>
            </w:pPr>
            <w:r>
              <w:rPr>
                <w:rFonts w:ascii="Times New Roman" w:cs="Times New Roman" w:eastAsia="Times New Roman" w:hAnsi="Times New Roman"/>
                <w:sz w:val="18"/>
                <w:szCs w:val="18"/>
                <w:color w:val="auto"/>
              </w:rPr>
              <w:t>Consolidated Statements of Shareholders’ Equity</w:t>
            </w:r>
          </w:p>
        </w:tc>
        <w:tc>
          <w:tcPr>
            <w:tcW w:w="88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B2B2B2"/>
          </w:tcPr>
          <w:p>
            <w:pPr>
              <w:spacing w:after="0"/>
              <w:rPr>
                <w:sz w:val="20"/>
                <w:szCs w:val="20"/>
                <w:color w:val="auto"/>
              </w:rPr>
            </w:pPr>
          </w:p>
        </w:tc>
        <w:tc>
          <w:tcPr>
            <w:tcW w:w="9620" w:type="dxa"/>
            <w:vAlign w:val="bottom"/>
            <w:shd w:val="clear" w:color="auto" w:fill="B2B2B2"/>
          </w:tcPr>
          <w:p>
            <w:pPr>
              <w:ind w:left="440"/>
              <w:spacing w:after="0"/>
              <w:rPr>
                <w:sz w:val="20"/>
                <w:szCs w:val="20"/>
                <w:color w:val="auto"/>
              </w:rPr>
            </w:pPr>
            <w:r>
              <w:rPr>
                <w:rFonts w:ascii="Times New Roman" w:cs="Times New Roman" w:eastAsia="Times New Roman" w:hAnsi="Times New Roman"/>
                <w:sz w:val="18"/>
                <w:szCs w:val="18"/>
                <w:color w:val="auto"/>
              </w:rPr>
              <w:t>Three and nine months ended September 30, 2019 and 2018 (unaudited)</w:t>
            </w:r>
          </w:p>
        </w:tc>
        <w:tc>
          <w:tcPr>
            <w:tcW w:w="880" w:type="dxa"/>
            <w:vAlign w:val="bottom"/>
            <w:shd w:val="clear" w:color="auto" w:fill="B2B2B2"/>
          </w:tcPr>
          <w:p>
            <w:pPr>
              <w:jc w:val="center"/>
              <w:ind w:left="3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920" w:type="dxa"/>
            <w:vAlign w:val="bottom"/>
            <w:shd w:val="clear" w:color="auto" w:fill="B2B2B2"/>
          </w:tcPr>
          <w:p>
            <w:pPr>
              <w:spacing w:after="0"/>
              <w:rPr>
                <w:sz w:val="19"/>
                <w:szCs w:val="19"/>
                <w:color w:val="auto"/>
              </w:rPr>
            </w:pPr>
          </w:p>
        </w:tc>
        <w:tc>
          <w:tcPr>
            <w:tcW w:w="9620" w:type="dxa"/>
            <w:vAlign w:val="bottom"/>
            <w:shd w:val="clear" w:color="auto" w:fill="B2B2B2"/>
          </w:tcPr>
          <w:p>
            <w:pPr>
              <w:spacing w:after="0"/>
              <w:rPr>
                <w:sz w:val="19"/>
                <w:szCs w:val="19"/>
                <w:color w:val="auto"/>
              </w:rPr>
            </w:pPr>
          </w:p>
        </w:tc>
        <w:tc>
          <w:tcPr>
            <w:tcW w:w="880" w:type="dxa"/>
            <w:vAlign w:val="bottom"/>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9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8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1"/>
        </w:trPr>
        <w:tc>
          <w:tcPr>
            <w:tcW w:w="9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shd w:val="clear" w:color="auto" w:fill="B2B2B2"/>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80" w:type="dxa"/>
            <w:vAlign w:val="bottom"/>
            <w:vMerge w:val="restart"/>
            <w:shd w:val="clear" w:color="auto" w:fill="B2B2B2"/>
          </w:tcPr>
          <w:p>
            <w:pPr>
              <w:jc w:val="center"/>
              <w:ind w:left="330"/>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89"/>
        </w:trPr>
        <w:tc>
          <w:tcPr>
            <w:tcW w:w="920" w:type="dxa"/>
            <w:vAlign w:val="bottom"/>
            <w:shd w:val="clear" w:color="auto" w:fill="B2B2B2"/>
          </w:tcPr>
          <w:p>
            <w:pPr>
              <w:spacing w:after="0"/>
              <w:rPr>
                <w:sz w:val="7"/>
                <w:szCs w:val="7"/>
                <w:color w:val="auto"/>
              </w:rPr>
            </w:pPr>
          </w:p>
        </w:tc>
        <w:tc>
          <w:tcPr>
            <w:tcW w:w="9620" w:type="dxa"/>
            <w:vAlign w:val="bottom"/>
            <w:shd w:val="clear" w:color="auto" w:fill="B2B2B2"/>
          </w:tcPr>
          <w:p>
            <w:pPr>
              <w:spacing w:after="0"/>
              <w:rPr>
                <w:sz w:val="7"/>
                <w:szCs w:val="7"/>
                <w:color w:val="auto"/>
              </w:rPr>
            </w:pPr>
          </w:p>
        </w:tc>
        <w:tc>
          <w:tcPr>
            <w:tcW w:w="880" w:type="dxa"/>
            <w:vAlign w:val="bottom"/>
            <w:vMerge w:val="continue"/>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920" w:type="dxa"/>
            <w:vAlign w:val="bottom"/>
            <w:shd w:val="clear" w:color="auto" w:fill="B2B2B2"/>
          </w:tcPr>
          <w:p>
            <w:pPr>
              <w:spacing w:after="0"/>
              <w:rPr>
                <w:sz w:val="10"/>
                <w:szCs w:val="10"/>
                <w:color w:val="auto"/>
              </w:rPr>
            </w:pPr>
          </w:p>
        </w:tc>
        <w:tc>
          <w:tcPr>
            <w:tcW w:w="9620" w:type="dxa"/>
            <w:vAlign w:val="bottom"/>
            <w:shd w:val="clear" w:color="auto" w:fill="B2B2B2"/>
          </w:tcPr>
          <w:p>
            <w:pPr>
              <w:spacing w:after="0"/>
              <w:rPr>
                <w:sz w:val="10"/>
                <w:szCs w:val="10"/>
                <w:color w:val="auto"/>
              </w:rPr>
            </w:pPr>
          </w:p>
        </w:tc>
        <w:tc>
          <w:tcPr>
            <w:tcW w:w="880" w:type="dxa"/>
            <w:vAlign w:val="bottom"/>
            <w:shd w:val="clear" w:color="auto" w:fill="B2B2B2"/>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1"/>
        </w:trPr>
        <w:tc>
          <w:tcPr>
            <w:tcW w:w="9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shd w:val="clear" w:color="auto" w:fill="B2B2B2"/>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880" w:type="dxa"/>
            <w:vAlign w:val="bottom"/>
            <w:shd w:val="clear" w:color="auto" w:fill="B2B2B2"/>
          </w:tcPr>
          <w:p>
            <w:pPr>
              <w:jc w:val="center"/>
              <w:ind w:left="330"/>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1"/>
        </w:trPr>
        <w:tc>
          <w:tcPr>
            <w:tcW w:w="10540" w:type="dxa"/>
            <w:vAlign w:val="bottom"/>
            <w:gridSpan w:val="2"/>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PART II – Other Information </w:t>
            </w:r>
            <w:r>
              <w:rPr>
                <w:rFonts w:ascii="Times New Roman" w:cs="Times New Roman" w:eastAsia="Times New Roman" w:hAnsi="Times New Roman"/>
                <w:sz w:val="18"/>
                <w:szCs w:val="18"/>
                <w:color w:val="auto"/>
              </w:rPr>
              <w:t>– Items 1. – 6.</w:t>
            </w:r>
          </w:p>
        </w:tc>
        <w:tc>
          <w:tcPr>
            <w:tcW w:w="8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07"/>
        </w:trPr>
        <w:tc>
          <w:tcPr>
            <w:tcW w:w="1054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540" w:type="dxa"/>
            <w:vAlign w:val="bottom"/>
            <w:gridSpan w:val="2"/>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SIGNATURES</w:t>
            </w:r>
          </w:p>
        </w:tc>
        <w:tc>
          <w:tcPr>
            <w:tcW w:w="880" w:type="dxa"/>
            <w:vAlign w:val="bottom"/>
            <w:shd w:val="clear" w:color="auto" w:fill="B2B2B2"/>
          </w:tcPr>
          <w:p>
            <w:pPr>
              <w:jc w:val="center"/>
              <w:ind w:left="330"/>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1"/>
        </w:trPr>
        <w:tc>
          <w:tcPr>
            <w:tcW w:w="920" w:type="dxa"/>
            <w:vAlign w:val="bottom"/>
            <w:shd w:val="clear" w:color="auto" w:fill="B2B2B2"/>
          </w:tcPr>
          <w:p>
            <w:pPr>
              <w:spacing w:after="0"/>
              <w:rPr>
                <w:sz w:val="18"/>
                <w:szCs w:val="18"/>
                <w:color w:val="auto"/>
              </w:rPr>
            </w:pPr>
          </w:p>
        </w:tc>
        <w:tc>
          <w:tcPr>
            <w:tcW w:w="96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2018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3"/>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1"/>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CASS INFORMATION SYSTEMS, INC. AND SUBSIDIARIES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8"/>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4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6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09"/>
        </w:trPr>
        <w:tc>
          <w:tcPr>
            <w:tcW w:w="8640" w:type="dxa"/>
            <w:vAlign w:val="bottom"/>
            <w:gridSpan w:val="4"/>
            <w:shd w:val="clear" w:color="auto" w:fill="B2B2B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r>
      <w:tr>
        <w:trPr>
          <w:trHeight w:val="216"/>
        </w:trPr>
        <w:tc>
          <w:tcPr>
            <w:tcW w:w="8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and due from banks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24,472</w:t>
            </w:r>
          </w:p>
        </w:tc>
        <w:tc>
          <w:tcPr>
            <w:tcW w:w="26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15,042</w:t>
            </w:r>
          </w:p>
        </w:tc>
      </w:tr>
      <w:tr>
        <w:trPr>
          <w:trHeight w:val="216"/>
        </w:trPr>
        <w:tc>
          <w:tcPr>
            <w:tcW w:w="8640" w:type="dxa"/>
            <w:vAlign w:val="bottom"/>
            <w:gridSpan w:val="4"/>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2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114,869</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179,281</w:t>
            </w:r>
          </w:p>
        </w:tc>
      </w:tr>
      <w:tr>
        <w:trPr>
          <w:trHeight w:val="216"/>
        </w:trPr>
        <w:tc>
          <w:tcPr>
            <w:tcW w:w="8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83,397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36,610</w:t>
            </w:r>
          </w:p>
        </w:tc>
      </w:tr>
      <w:tr>
        <w:trPr>
          <w:trHeight w:val="209"/>
        </w:trPr>
        <w:tc>
          <w:tcPr>
            <w:tcW w:w="40" w:type="dxa"/>
            <w:vAlign w:val="bottom"/>
            <w:tcBorders>
              <w:top w:val="single" w:sz="8" w:color="B2B2B2"/>
            </w:tcBorders>
            <w:shd w:val="clear" w:color="auto" w:fill="B2B2B2"/>
          </w:tcPr>
          <w:p>
            <w:pPr>
              <w:spacing w:after="0"/>
              <w:rPr>
                <w:sz w:val="18"/>
                <w:szCs w:val="18"/>
                <w:color w:val="auto"/>
              </w:rPr>
            </w:pPr>
          </w:p>
        </w:tc>
        <w:tc>
          <w:tcPr>
            <w:tcW w:w="8600" w:type="dxa"/>
            <w:vAlign w:val="bottom"/>
            <w:tcBorders>
              <w:top w:val="single" w:sz="8" w:color="B2B2B2"/>
            </w:tcBorders>
            <w:gridSpan w:val="3"/>
            <w:shd w:val="clear" w:color="auto" w:fill="B2B2B2"/>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bottom w:val="single" w:sz="8" w:color="auto"/>
            </w:tcBorders>
            <w:shd w:val="clear" w:color="auto" w:fill="B2B2B2"/>
          </w:tcPr>
          <w:p>
            <w:pPr>
              <w:spacing w:after="0"/>
              <w:rPr>
                <w:sz w:val="18"/>
                <w:szCs w:val="18"/>
                <w:color w:val="auto"/>
              </w:rPr>
            </w:pPr>
          </w:p>
        </w:tc>
        <w:tc>
          <w:tcPr>
            <w:tcW w:w="9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222,738</w:t>
            </w:r>
          </w:p>
        </w:tc>
        <w:tc>
          <w:tcPr>
            <w:tcW w:w="16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B2B2B2"/>
            </w:tcBorders>
            <w:shd w:val="clear" w:color="auto" w:fill="B2B2B2"/>
          </w:tcPr>
          <w:p>
            <w:pPr>
              <w:spacing w:after="0"/>
              <w:rPr>
                <w:sz w:val="18"/>
                <w:szCs w:val="18"/>
                <w:color w:val="auto"/>
              </w:rPr>
            </w:pPr>
          </w:p>
        </w:tc>
        <w:tc>
          <w:tcPr>
            <w:tcW w:w="10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230,933</w:t>
            </w:r>
          </w:p>
        </w:tc>
      </w:tr>
      <w:tr>
        <w:trPr>
          <w:trHeight w:val="228"/>
        </w:trPr>
        <w:tc>
          <w:tcPr>
            <w:tcW w:w="8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427,591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441,534</w:t>
            </w:r>
          </w:p>
        </w:tc>
      </w:tr>
      <w:tr>
        <w:trPr>
          <w:trHeight w:val="197"/>
        </w:trPr>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640" w:type="dxa"/>
            <w:vAlign w:val="bottom"/>
            <w:gridSpan w:val="4"/>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767,384</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721,587</w:t>
            </w:r>
          </w:p>
        </w:tc>
      </w:tr>
      <w:tr>
        <w:trPr>
          <w:trHeight w:val="216"/>
        </w:trPr>
        <w:tc>
          <w:tcPr>
            <w:tcW w:w="40" w:type="dxa"/>
            <w:vAlign w:val="bottom"/>
          </w:tcPr>
          <w:p>
            <w:pPr>
              <w:spacing w:after="0"/>
              <w:rPr>
                <w:sz w:val="18"/>
                <w:szCs w:val="18"/>
                <w:color w:val="auto"/>
              </w:rPr>
            </w:pPr>
          </w:p>
        </w:tc>
        <w:tc>
          <w:tcPr>
            <w:tcW w:w="86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10,509</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r>
      <w:tr>
        <w:trPr>
          <w:trHeight w:val="209"/>
        </w:trPr>
        <w:tc>
          <w:tcPr>
            <w:tcW w:w="40" w:type="dxa"/>
            <w:vAlign w:val="bottom"/>
            <w:tcBorders>
              <w:top w:val="single" w:sz="8" w:color="B2B2B2"/>
            </w:tcBorders>
            <w:shd w:val="clear" w:color="auto" w:fill="B2B2B2"/>
          </w:tcPr>
          <w:p>
            <w:pPr>
              <w:spacing w:after="0"/>
              <w:rPr>
                <w:sz w:val="18"/>
                <w:szCs w:val="18"/>
                <w:color w:val="auto"/>
              </w:rPr>
            </w:pPr>
          </w:p>
        </w:tc>
        <w:tc>
          <w:tcPr>
            <w:tcW w:w="8600" w:type="dxa"/>
            <w:vAlign w:val="bottom"/>
            <w:tcBorders>
              <w:top w:val="single" w:sz="8" w:color="B2B2B2"/>
            </w:tcBorders>
            <w:gridSpan w:val="3"/>
            <w:shd w:val="clear" w:color="auto" w:fill="B2B2B2"/>
          </w:tcPr>
          <w:p>
            <w:pPr>
              <w:ind w:left="680"/>
              <w:spacing w:after="0"/>
              <w:rPr>
                <w:sz w:val="20"/>
                <w:szCs w:val="20"/>
                <w:color w:val="auto"/>
              </w:rPr>
            </w:pPr>
            <w:r>
              <w:rPr>
                <w:rFonts w:ascii="Times New Roman" w:cs="Times New Roman" w:eastAsia="Times New Roman" w:hAnsi="Times New Roman"/>
                <w:sz w:val="18"/>
                <w:szCs w:val="18"/>
                <w:color w:val="auto"/>
              </w:rPr>
              <w:t>Loans, net</w:t>
            </w:r>
          </w:p>
        </w:tc>
        <w:tc>
          <w:tcPr>
            <w:tcW w:w="2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bottom w:val="single" w:sz="8" w:color="auto"/>
            </w:tcBorders>
            <w:shd w:val="clear" w:color="auto" w:fill="B2B2B2"/>
          </w:tcPr>
          <w:p>
            <w:pPr>
              <w:spacing w:after="0"/>
              <w:rPr>
                <w:sz w:val="18"/>
                <w:szCs w:val="18"/>
                <w:color w:val="auto"/>
              </w:rPr>
            </w:pPr>
          </w:p>
        </w:tc>
        <w:tc>
          <w:tcPr>
            <w:tcW w:w="9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756,875</w:t>
            </w:r>
          </w:p>
        </w:tc>
        <w:tc>
          <w:tcPr>
            <w:tcW w:w="16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B2B2B2"/>
            </w:tcBorders>
            <w:shd w:val="clear" w:color="auto" w:fill="B2B2B2"/>
          </w:tcPr>
          <w:p>
            <w:pPr>
              <w:spacing w:after="0"/>
              <w:rPr>
                <w:sz w:val="18"/>
                <w:szCs w:val="18"/>
                <w:color w:val="auto"/>
              </w:rPr>
            </w:pPr>
          </w:p>
        </w:tc>
        <w:tc>
          <w:tcPr>
            <w:tcW w:w="10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711,362</w:t>
            </w:r>
          </w:p>
        </w:tc>
      </w:tr>
      <w:tr>
        <w:trPr>
          <w:trHeight w:val="209"/>
        </w:trPr>
        <w:tc>
          <w:tcPr>
            <w:tcW w:w="8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Payments in excess of funding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160,777</w:t>
            </w:r>
          </w:p>
        </w:tc>
      </w:tr>
      <w:tr>
        <w:trPr>
          <w:trHeight w:val="216"/>
        </w:trPr>
        <w:tc>
          <w:tcPr>
            <w:tcW w:w="8640" w:type="dxa"/>
            <w:vAlign w:val="bottom"/>
            <w:gridSpan w:val="4"/>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20,775</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22,031</w:t>
            </w:r>
          </w:p>
        </w:tc>
      </w:tr>
      <w:tr>
        <w:trPr>
          <w:trHeight w:val="216"/>
        </w:trPr>
        <w:tc>
          <w:tcPr>
            <w:tcW w:w="8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Investment in bank-owned life insurance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17,484</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17,384</w:t>
            </w:r>
          </w:p>
        </w:tc>
      </w:tr>
      <w:tr>
        <w:trPr>
          <w:trHeight w:val="216"/>
        </w:trPr>
        <w:tc>
          <w:tcPr>
            <w:tcW w:w="8640" w:type="dxa"/>
            <w:vAlign w:val="bottom"/>
            <w:gridSpan w:val="4"/>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15,894</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16"/>
        </w:trPr>
        <w:tc>
          <w:tcPr>
            <w:tcW w:w="8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8640" w:type="dxa"/>
            <w:vAlign w:val="bottom"/>
            <w:gridSpan w:val="4"/>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108,258</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97,032</w:t>
            </w:r>
          </w:p>
        </w:tc>
      </w:tr>
      <w:tr>
        <w:trPr>
          <w:trHeight w:val="209"/>
        </w:trPr>
        <w:tc>
          <w:tcPr>
            <w:tcW w:w="40" w:type="dxa"/>
            <w:vAlign w:val="bottom"/>
          </w:tcPr>
          <w:p>
            <w:pPr>
              <w:spacing w:after="0"/>
              <w:rPr>
                <w:sz w:val="18"/>
                <w:szCs w:val="18"/>
                <w:color w:val="auto"/>
              </w:rPr>
            </w:pPr>
          </w:p>
        </w:tc>
        <w:tc>
          <w:tcPr>
            <w:tcW w:w="86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1,781,010</w:t>
            </w:r>
          </w:p>
        </w:tc>
        <w:tc>
          <w:tcPr>
            <w:tcW w:w="160" w:type="dxa"/>
            <w:vAlign w:val="bottom"/>
          </w:tcPr>
          <w:p>
            <w:pPr>
              <w:spacing w:after="0"/>
              <w:rPr>
                <w:sz w:val="18"/>
                <w:szCs w:val="18"/>
                <w:color w:val="auto"/>
              </w:rPr>
            </w:pPr>
          </w:p>
        </w:tc>
        <w:tc>
          <w:tcPr>
            <w:tcW w:w="26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1,695,176</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8640" w:type="dxa"/>
            <w:vAlign w:val="bottom"/>
            <w:gridSpan w:val="4"/>
            <w:shd w:val="clear" w:color="auto" w:fill="B2B2B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r>
      <w:tr>
        <w:trPr>
          <w:trHeight w:val="216"/>
        </w:trPr>
        <w:tc>
          <w:tcPr>
            <w:tcW w:w="8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6"/>
        </w:trPr>
        <w:tc>
          <w:tcPr>
            <w:tcW w:w="40" w:type="dxa"/>
            <w:vAlign w:val="bottom"/>
            <w:tcBorders>
              <w:top w:val="single" w:sz="8" w:color="B2B2B2"/>
            </w:tcBorders>
            <w:shd w:val="clear" w:color="auto" w:fill="B2B2B2"/>
          </w:tcPr>
          <w:p>
            <w:pPr>
              <w:spacing w:after="0"/>
              <w:rPr>
                <w:sz w:val="17"/>
                <w:szCs w:val="17"/>
                <w:color w:val="auto"/>
              </w:rPr>
            </w:pPr>
          </w:p>
        </w:tc>
        <w:tc>
          <w:tcPr>
            <w:tcW w:w="780" w:type="dxa"/>
            <w:vAlign w:val="bottom"/>
            <w:tcBorders>
              <w:top w:val="single" w:sz="8" w:color="auto"/>
            </w:tcBorders>
            <w:shd w:val="clear" w:color="auto" w:fill="B2B2B2"/>
          </w:tcPr>
          <w:p>
            <w:pPr>
              <w:spacing w:after="0" w:line="195" w:lineRule="exact"/>
              <w:rPr>
                <w:sz w:val="20"/>
                <w:szCs w:val="20"/>
                <w:color w:val="auto"/>
              </w:rPr>
            </w:pPr>
            <w:r>
              <w:rPr>
                <w:rFonts w:ascii="Times New Roman" w:cs="Times New Roman" w:eastAsia="Times New Roman" w:hAnsi="Times New Roman"/>
                <w:sz w:val="18"/>
                <w:szCs w:val="18"/>
                <w:color w:val="auto"/>
              </w:rPr>
              <w:t>Deposits:</w:t>
            </w:r>
          </w:p>
        </w:tc>
        <w:tc>
          <w:tcPr>
            <w:tcW w:w="800" w:type="dxa"/>
            <w:vAlign w:val="bottom"/>
            <w:tcBorders>
              <w:top w:val="single" w:sz="8" w:color="B2B2B2"/>
            </w:tcBorders>
            <w:shd w:val="clear" w:color="auto" w:fill="B2B2B2"/>
          </w:tcPr>
          <w:p>
            <w:pPr>
              <w:spacing w:after="0"/>
              <w:rPr>
                <w:sz w:val="17"/>
                <w:szCs w:val="17"/>
                <w:color w:val="auto"/>
              </w:rPr>
            </w:pPr>
          </w:p>
        </w:tc>
        <w:tc>
          <w:tcPr>
            <w:tcW w:w="7020" w:type="dxa"/>
            <w:vAlign w:val="bottom"/>
            <w:tcBorders>
              <w:top w:val="single" w:sz="8" w:color="B2B2B2"/>
            </w:tcBorders>
            <w:shd w:val="clear" w:color="auto" w:fill="B2B2B2"/>
          </w:tcPr>
          <w:p>
            <w:pPr>
              <w:spacing w:after="0"/>
              <w:rPr>
                <w:sz w:val="17"/>
                <w:szCs w:val="17"/>
                <w:color w:val="auto"/>
              </w:rPr>
            </w:pPr>
          </w:p>
        </w:tc>
        <w:tc>
          <w:tcPr>
            <w:tcW w:w="220" w:type="dxa"/>
            <w:vAlign w:val="bottom"/>
            <w:tcBorders>
              <w:top w:val="single" w:sz="8" w:color="B2B2B2"/>
            </w:tcBorders>
            <w:shd w:val="clear" w:color="auto" w:fill="B2B2B2"/>
          </w:tcPr>
          <w:p>
            <w:pPr>
              <w:spacing w:after="0"/>
              <w:rPr>
                <w:sz w:val="17"/>
                <w:szCs w:val="17"/>
                <w:color w:val="auto"/>
              </w:rPr>
            </w:pPr>
          </w:p>
        </w:tc>
        <w:tc>
          <w:tcPr>
            <w:tcW w:w="120" w:type="dxa"/>
            <w:vAlign w:val="bottom"/>
            <w:tcBorders>
              <w:top w:val="single" w:sz="8" w:color="B2B2B2"/>
            </w:tcBorders>
            <w:shd w:val="clear" w:color="auto" w:fill="B2B2B2"/>
          </w:tcPr>
          <w:p>
            <w:pPr>
              <w:spacing w:after="0"/>
              <w:rPr>
                <w:sz w:val="17"/>
                <w:szCs w:val="17"/>
                <w:color w:val="auto"/>
              </w:rPr>
            </w:pPr>
          </w:p>
        </w:tc>
        <w:tc>
          <w:tcPr>
            <w:tcW w:w="940" w:type="dxa"/>
            <w:vAlign w:val="bottom"/>
            <w:tcBorders>
              <w:top w:val="single" w:sz="8" w:color="B2B2B2"/>
            </w:tcBorders>
            <w:shd w:val="clear" w:color="auto" w:fill="B2B2B2"/>
          </w:tcPr>
          <w:p>
            <w:pPr>
              <w:spacing w:after="0"/>
              <w:rPr>
                <w:sz w:val="17"/>
                <w:szCs w:val="17"/>
                <w:color w:val="auto"/>
              </w:rPr>
            </w:pPr>
          </w:p>
        </w:tc>
        <w:tc>
          <w:tcPr>
            <w:tcW w:w="160" w:type="dxa"/>
            <w:vAlign w:val="bottom"/>
            <w:tcBorders>
              <w:top w:val="single" w:sz="8" w:color="B2B2B2"/>
            </w:tcBorders>
            <w:shd w:val="clear" w:color="auto" w:fill="B2B2B2"/>
          </w:tcPr>
          <w:p>
            <w:pPr>
              <w:spacing w:after="0"/>
              <w:rPr>
                <w:sz w:val="17"/>
                <w:szCs w:val="17"/>
                <w:color w:val="auto"/>
              </w:rPr>
            </w:pPr>
          </w:p>
        </w:tc>
        <w:tc>
          <w:tcPr>
            <w:tcW w:w="260" w:type="dxa"/>
            <w:vAlign w:val="bottom"/>
            <w:tcBorders>
              <w:top w:val="single" w:sz="8" w:color="B2B2B2"/>
            </w:tcBorders>
            <w:shd w:val="clear" w:color="auto" w:fill="B2B2B2"/>
          </w:tcPr>
          <w:p>
            <w:pPr>
              <w:spacing w:after="0"/>
              <w:rPr>
                <w:sz w:val="17"/>
                <w:szCs w:val="17"/>
                <w:color w:val="auto"/>
              </w:rPr>
            </w:pPr>
          </w:p>
        </w:tc>
        <w:tc>
          <w:tcPr>
            <w:tcW w:w="1080" w:type="dxa"/>
            <w:vAlign w:val="bottom"/>
            <w:tcBorders>
              <w:top w:val="single" w:sz="8" w:color="B2B2B2"/>
            </w:tcBorders>
            <w:shd w:val="clear" w:color="auto" w:fill="B2B2B2"/>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Noninterest-bearing</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310,695</w:t>
            </w:r>
          </w:p>
        </w:tc>
        <w:tc>
          <w:tcPr>
            <w:tcW w:w="26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313,258</w:t>
            </w:r>
          </w:p>
        </w:tc>
      </w:tr>
      <w:tr>
        <w:trPr>
          <w:trHeight w:val="216"/>
        </w:trPr>
        <w:tc>
          <w:tcPr>
            <w:tcW w:w="40" w:type="dxa"/>
            <w:vAlign w:val="bottom"/>
            <w:shd w:val="clear" w:color="auto" w:fill="B2B2B2"/>
          </w:tcPr>
          <w:p>
            <w:pPr>
              <w:spacing w:after="0"/>
              <w:rPr>
                <w:sz w:val="18"/>
                <w:szCs w:val="18"/>
                <w:color w:val="auto"/>
              </w:rPr>
            </w:pPr>
          </w:p>
        </w:tc>
        <w:tc>
          <w:tcPr>
            <w:tcW w:w="8600" w:type="dxa"/>
            <w:vAlign w:val="bottom"/>
            <w:gridSpan w:val="3"/>
            <w:shd w:val="clear" w:color="auto" w:fill="B2B2B2"/>
          </w:tcPr>
          <w:p>
            <w:pPr>
              <w:ind w:left="140"/>
              <w:spacing w:after="0"/>
              <w:rPr>
                <w:sz w:val="20"/>
                <w:szCs w:val="20"/>
                <w:color w:val="auto"/>
              </w:rPr>
            </w:pPr>
            <w:r>
              <w:rPr>
                <w:rFonts w:ascii="Times New Roman" w:cs="Times New Roman" w:eastAsia="Times New Roman" w:hAnsi="Times New Roman"/>
                <w:sz w:val="18"/>
                <w:szCs w:val="18"/>
                <w:color w:val="auto"/>
              </w:rPr>
              <w:t>Interest-bearing</w:t>
            </w:r>
          </w:p>
        </w:tc>
        <w:tc>
          <w:tcPr>
            <w:tcW w:w="2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400,538</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408,668</w:t>
            </w:r>
          </w:p>
        </w:tc>
      </w:tr>
      <w:tr>
        <w:trPr>
          <w:trHeight w:val="209"/>
        </w:trPr>
        <w:tc>
          <w:tcPr>
            <w:tcW w:w="40" w:type="dxa"/>
            <w:vAlign w:val="bottom"/>
            <w:tcBorders>
              <w:bottom w:val="single" w:sz="8" w:color="B2B2B2"/>
            </w:tcBorders>
          </w:tcPr>
          <w:p>
            <w:pPr>
              <w:spacing w:after="0"/>
              <w:rPr>
                <w:sz w:val="18"/>
                <w:szCs w:val="18"/>
                <w:color w:val="auto"/>
              </w:rPr>
            </w:pPr>
          </w:p>
        </w:tc>
        <w:tc>
          <w:tcPr>
            <w:tcW w:w="8600" w:type="dxa"/>
            <w:vAlign w:val="bottom"/>
            <w:tcBorders>
              <w:bottom w:val="single" w:sz="8" w:color="B2B2B2"/>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bottom w:val="single" w:sz="8" w:color="B2B2B2"/>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711,233</w:t>
            </w:r>
          </w:p>
        </w:tc>
        <w:tc>
          <w:tcPr>
            <w:tcW w:w="160" w:type="dxa"/>
            <w:vAlign w:val="bottom"/>
            <w:tcBorders>
              <w:bottom w:val="single" w:sz="8" w:color="B2B2B2"/>
            </w:tcBorders>
          </w:tcPr>
          <w:p>
            <w:pPr>
              <w:spacing w:after="0"/>
              <w:rPr>
                <w:sz w:val="18"/>
                <w:szCs w:val="18"/>
                <w:color w:val="auto"/>
              </w:rPr>
            </w:pPr>
          </w:p>
        </w:tc>
        <w:tc>
          <w:tcPr>
            <w:tcW w:w="260" w:type="dxa"/>
            <w:vAlign w:val="bottom"/>
            <w:tcBorders>
              <w:bottom w:val="single" w:sz="8" w:color="B2B2B2"/>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721,926</w:t>
            </w:r>
          </w:p>
        </w:tc>
      </w:tr>
      <w:tr>
        <w:trPr>
          <w:trHeight w:val="209"/>
        </w:trPr>
        <w:tc>
          <w:tcPr>
            <w:tcW w:w="8640" w:type="dxa"/>
            <w:vAlign w:val="bottom"/>
            <w:gridSpan w:val="4"/>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762,075</w:t>
            </w:r>
          </w:p>
        </w:tc>
        <w:tc>
          <w:tcPr>
            <w:tcW w:w="1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694,360</w:t>
            </w:r>
          </w:p>
        </w:tc>
      </w:tr>
      <w:tr>
        <w:trPr>
          <w:trHeight w:val="216"/>
        </w:trPr>
        <w:tc>
          <w:tcPr>
            <w:tcW w:w="8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61,085</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49,042</w:t>
            </w:r>
          </w:p>
        </w:tc>
      </w:tr>
      <w:tr>
        <w:trPr>
          <w:trHeight w:val="209"/>
        </w:trPr>
        <w:tc>
          <w:tcPr>
            <w:tcW w:w="40" w:type="dxa"/>
            <w:vAlign w:val="bottom"/>
            <w:tcBorders>
              <w:top w:val="single" w:sz="8" w:color="B2B2B2"/>
              <w:bottom w:val="single" w:sz="8" w:color="B2B2B2"/>
            </w:tcBorders>
            <w:shd w:val="clear" w:color="auto" w:fill="B2B2B2"/>
          </w:tcPr>
          <w:p>
            <w:pPr>
              <w:spacing w:after="0"/>
              <w:rPr>
                <w:sz w:val="18"/>
                <w:szCs w:val="18"/>
                <w:color w:val="auto"/>
              </w:rPr>
            </w:pPr>
          </w:p>
        </w:tc>
        <w:tc>
          <w:tcPr>
            <w:tcW w:w="8600" w:type="dxa"/>
            <w:vAlign w:val="bottom"/>
            <w:tcBorders>
              <w:top w:val="single" w:sz="8" w:color="B2B2B2"/>
              <w:bottom w:val="single" w:sz="8" w:color="B2B2B2"/>
            </w:tcBorders>
            <w:gridSpan w:val="3"/>
            <w:shd w:val="clear" w:color="auto" w:fill="B2B2B2"/>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B2B2B2"/>
              <w:bottom w:val="single" w:sz="8" w:color="B2B2B2"/>
            </w:tcBorders>
            <w:shd w:val="clear" w:color="auto" w:fill="B2B2B2"/>
          </w:tcPr>
          <w:p>
            <w:pPr>
              <w:spacing w:after="0"/>
              <w:rPr>
                <w:sz w:val="18"/>
                <w:szCs w:val="18"/>
                <w:color w:val="auto"/>
              </w:rPr>
            </w:pPr>
          </w:p>
        </w:tc>
        <w:tc>
          <w:tcPr>
            <w:tcW w:w="120" w:type="dxa"/>
            <w:vAlign w:val="bottom"/>
            <w:tcBorders>
              <w:top w:val="single" w:sz="8" w:color="auto"/>
              <w:bottom w:val="single" w:sz="8" w:color="auto"/>
            </w:tcBorders>
            <w:shd w:val="clear" w:color="auto" w:fill="B2B2B2"/>
          </w:tcPr>
          <w:p>
            <w:pPr>
              <w:spacing w:after="0"/>
              <w:rPr>
                <w:sz w:val="18"/>
                <w:szCs w:val="18"/>
                <w:color w:val="auto"/>
              </w:rPr>
            </w:pPr>
          </w:p>
        </w:tc>
        <w:tc>
          <w:tcPr>
            <w:tcW w:w="9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1,534,393</w:t>
            </w:r>
          </w:p>
        </w:tc>
        <w:tc>
          <w:tcPr>
            <w:tcW w:w="160" w:type="dxa"/>
            <w:vAlign w:val="bottom"/>
            <w:tcBorders>
              <w:top w:val="single" w:sz="8" w:color="B2B2B2"/>
              <w:bottom w:val="single" w:sz="8" w:color="B2B2B2"/>
            </w:tcBorders>
            <w:shd w:val="clear" w:color="auto" w:fill="B2B2B2"/>
          </w:tcPr>
          <w:p>
            <w:pPr>
              <w:spacing w:after="0"/>
              <w:rPr>
                <w:sz w:val="18"/>
                <w:szCs w:val="18"/>
                <w:color w:val="auto"/>
              </w:rPr>
            </w:pPr>
          </w:p>
        </w:tc>
        <w:tc>
          <w:tcPr>
            <w:tcW w:w="260" w:type="dxa"/>
            <w:vAlign w:val="bottom"/>
            <w:tcBorders>
              <w:top w:val="single" w:sz="8" w:color="B2B2B2"/>
              <w:bottom w:val="single" w:sz="8" w:color="B2B2B2"/>
            </w:tcBorders>
            <w:shd w:val="clear" w:color="auto" w:fill="B2B2B2"/>
          </w:tcPr>
          <w:p>
            <w:pPr>
              <w:spacing w:after="0"/>
              <w:rPr>
                <w:sz w:val="18"/>
                <w:szCs w:val="18"/>
                <w:color w:val="auto"/>
              </w:rPr>
            </w:pPr>
          </w:p>
        </w:tc>
        <w:tc>
          <w:tcPr>
            <w:tcW w:w="10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1,465,328</w:t>
            </w:r>
          </w:p>
        </w:tc>
      </w:tr>
      <w:tr>
        <w:trPr>
          <w:trHeight w:val="196"/>
        </w:trPr>
        <w:tc>
          <w:tcPr>
            <w:tcW w:w="40" w:type="dxa"/>
            <w:vAlign w:val="bottom"/>
            <w:shd w:val="clear" w:color="auto" w:fill="B2B2B2"/>
          </w:tcPr>
          <w:p>
            <w:pPr>
              <w:spacing w:after="0"/>
              <w:rPr>
                <w:sz w:val="17"/>
                <w:szCs w:val="17"/>
                <w:color w:val="auto"/>
              </w:rPr>
            </w:pPr>
          </w:p>
        </w:tc>
        <w:tc>
          <w:tcPr>
            <w:tcW w:w="78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c>
          <w:tcPr>
            <w:tcW w:w="702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940" w:type="dxa"/>
            <w:vAlign w:val="bottom"/>
            <w:shd w:val="clear" w:color="auto" w:fill="B2B2B2"/>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1080" w:type="dxa"/>
            <w:vAlign w:val="bottom"/>
            <w:shd w:val="clear" w:color="auto" w:fill="B2B2B2"/>
          </w:tcPr>
          <w:p>
            <w:pPr>
              <w:spacing w:after="0"/>
              <w:rPr>
                <w:sz w:val="17"/>
                <w:szCs w:val="17"/>
                <w:color w:val="auto"/>
              </w:rPr>
            </w:pPr>
          </w:p>
        </w:tc>
      </w:tr>
      <w:tr>
        <w:trPr>
          <w:trHeight w:val="216"/>
        </w:trPr>
        <w:tc>
          <w:tcPr>
            <w:tcW w:w="40" w:type="dxa"/>
            <w:vAlign w:val="bottom"/>
            <w:tcBorders>
              <w:bottom w:val="single" w:sz="8" w:color="B2B2B2"/>
            </w:tcBorders>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Shareholders’ Equity:</w:t>
            </w:r>
          </w:p>
        </w:tc>
        <w:tc>
          <w:tcPr>
            <w:tcW w:w="7020" w:type="dxa"/>
            <w:vAlign w:val="bottom"/>
            <w:tcBorders>
              <w:bottom w:val="single" w:sz="8" w:color="B2B2B2"/>
            </w:tcBorders>
          </w:tcPr>
          <w:p>
            <w:pPr>
              <w:spacing w:after="0"/>
              <w:rPr>
                <w:sz w:val="18"/>
                <w:szCs w:val="18"/>
                <w:color w:val="auto"/>
              </w:rPr>
            </w:pPr>
          </w:p>
        </w:tc>
        <w:tc>
          <w:tcPr>
            <w:tcW w:w="220" w:type="dxa"/>
            <w:vAlign w:val="bottom"/>
            <w:tcBorders>
              <w:bottom w:val="single" w:sz="8" w:color="B2B2B2"/>
            </w:tcBorders>
          </w:tcPr>
          <w:p>
            <w:pPr>
              <w:spacing w:after="0"/>
              <w:rPr>
                <w:sz w:val="18"/>
                <w:szCs w:val="18"/>
                <w:color w:val="auto"/>
              </w:rPr>
            </w:pPr>
          </w:p>
        </w:tc>
        <w:tc>
          <w:tcPr>
            <w:tcW w:w="120" w:type="dxa"/>
            <w:vAlign w:val="bottom"/>
            <w:tcBorders>
              <w:bottom w:val="single" w:sz="8" w:color="B2B2B2"/>
            </w:tcBorders>
          </w:tcPr>
          <w:p>
            <w:pPr>
              <w:spacing w:after="0"/>
              <w:rPr>
                <w:sz w:val="18"/>
                <w:szCs w:val="18"/>
                <w:color w:val="auto"/>
              </w:rPr>
            </w:pPr>
          </w:p>
        </w:tc>
        <w:tc>
          <w:tcPr>
            <w:tcW w:w="940" w:type="dxa"/>
            <w:vAlign w:val="bottom"/>
            <w:tcBorders>
              <w:bottom w:val="single" w:sz="8" w:color="B2B2B2"/>
            </w:tcBorders>
          </w:tcPr>
          <w:p>
            <w:pPr>
              <w:spacing w:after="0"/>
              <w:rPr>
                <w:sz w:val="18"/>
                <w:szCs w:val="18"/>
                <w:color w:val="auto"/>
              </w:rPr>
            </w:pPr>
          </w:p>
        </w:tc>
        <w:tc>
          <w:tcPr>
            <w:tcW w:w="160" w:type="dxa"/>
            <w:vAlign w:val="bottom"/>
            <w:tcBorders>
              <w:bottom w:val="single" w:sz="8" w:color="B2B2B2"/>
            </w:tcBorders>
          </w:tcPr>
          <w:p>
            <w:pPr>
              <w:spacing w:after="0"/>
              <w:rPr>
                <w:sz w:val="18"/>
                <w:szCs w:val="18"/>
                <w:color w:val="auto"/>
              </w:rPr>
            </w:pPr>
          </w:p>
        </w:tc>
        <w:tc>
          <w:tcPr>
            <w:tcW w:w="260" w:type="dxa"/>
            <w:vAlign w:val="bottom"/>
            <w:tcBorders>
              <w:bottom w:val="single" w:sz="8" w:color="B2B2B2"/>
            </w:tcBorders>
          </w:tcPr>
          <w:p>
            <w:pPr>
              <w:spacing w:after="0"/>
              <w:rPr>
                <w:sz w:val="18"/>
                <w:szCs w:val="18"/>
                <w:color w:val="auto"/>
              </w:rPr>
            </w:pPr>
          </w:p>
        </w:tc>
        <w:tc>
          <w:tcPr>
            <w:tcW w:w="1080" w:type="dxa"/>
            <w:vAlign w:val="bottom"/>
            <w:tcBorders>
              <w:bottom w:val="single" w:sz="8" w:color="B2B2B2"/>
            </w:tcBorders>
          </w:tcPr>
          <w:p>
            <w:pPr>
              <w:spacing w:after="0"/>
              <w:rPr>
                <w:sz w:val="18"/>
                <w:szCs w:val="18"/>
                <w:color w:val="auto"/>
              </w:rPr>
            </w:pPr>
          </w:p>
        </w:tc>
      </w:tr>
      <w:tr>
        <w:trPr>
          <w:trHeight w:val="196"/>
        </w:trPr>
        <w:tc>
          <w:tcPr>
            <w:tcW w:w="40" w:type="dxa"/>
            <w:vAlign w:val="bottom"/>
            <w:shd w:val="clear" w:color="auto" w:fill="B2B2B2"/>
          </w:tcPr>
          <w:p>
            <w:pPr>
              <w:spacing w:after="0"/>
              <w:rPr>
                <w:sz w:val="17"/>
                <w:szCs w:val="17"/>
                <w:color w:val="auto"/>
              </w:rPr>
            </w:pPr>
          </w:p>
        </w:tc>
        <w:tc>
          <w:tcPr>
            <w:tcW w:w="8600" w:type="dxa"/>
            <w:vAlign w:val="bottom"/>
            <w:gridSpan w:val="3"/>
            <w:shd w:val="clear" w:color="auto" w:fill="B2B2B2"/>
          </w:tcPr>
          <w:p>
            <w:pPr>
              <w:spacing w:after="0" w:line="195" w:lineRule="exact"/>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2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100" w:type="dxa"/>
            <w:vAlign w:val="bottom"/>
            <w:gridSpan w:val="2"/>
            <w:shd w:val="clear" w:color="auto" w:fill="B2B2B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7"/>
                <w:szCs w:val="17"/>
                <w:color w:val="auto"/>
              </w:rPr>
            </w:pPr>
          </w:p>
        </w:tc>
        <w:tc>
          <w:tcPr>
            <w:tcW w:w="1080" w:type="dxa"/>
            <w:vAlign w:val="bottom"/>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197"/>
        </w:trPr>
        <w:tc>
          <w:tcPr>
            <w:tcW w:w="8640" w:type="dxa"/>
            <w:vAlign w:val="bottom"/>
            <w:gridSpan w:val="4"/>
          </w:tcPr>
          <w:p>
            <w:pPr>
              <w:ind w:left="40"/>
              <w:spacing w:after="0" w:line="197" w:lineRule="exact"/>
              <w:rPr>
                <w:sz w:val="20"/>
                <w:szCs w:val="20"/>
                <w:color w:val="auto"/>
              </w:rPr>
            </w:pPr>
            <w:r>
              <w:rPr>
                <w:rFonts w:ascii="Times New Roman" w:cs="Times New Roman" w:eastAsia="Times New Roman" w:hAnsi="Times New Roman"/>
                <w:sz w:val="18"/>
                <w:szCs w:val="18"/>
                <w:color w:val="auto"/>
              </w:rPr>
              <w:t>Common stock, par value $.50 per share; 40,000,000 shares authorized and 15,505,772 shares issued at September 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0" w:type="dxa"/>
            <w:vAlign w:val="bottom"/>
          </w:tcPr>
          <w:p>
            <w:pPr>
              <w:spacing w:after="0"/>
              <w:rPr>
                <w:sz w:val="20"/>
                <w:szCs w:val="20"/>
                <w:color w:val="auto"/>
              </w:rPr>
            </w:pPr>
          </w:p>
        </w:tc>
        <w:tc>
          <w:tcPr>
            <w:tcW w:w="8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2019 and December 31, 2018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7,753</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r>
      <w:tr>
        <w:trPr>
          <w:trHeight w:val="216"/>
        </w:trPr>
        <w:tc>
          <w:tcPr>
            <w:tcW w:w="8640" w:type="dxa"/>
            <w:vAlign w:val="bottom"/>
            <w:gridSpan w:val="4"/>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205,775</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205,770</w:t>
            </w:r>
          </w:p>
        </w:tc>
      </w:tr>
      <w:tr>
        <w:trPr>
          <w:trHeight w:val="216"/>
        </w:trPr>
        <w:tc>
          <w:tcPr>
            <w:tcW w:w="8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87,887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75,171</w:t>
            </w:r>
          </w:p>
        </w:tc>
      </w:tr>
      <w:tr>
        <w:trPr>
          <w:trHeight w:val="197"/>
        </w:trPr>
        <w:tc>
          <w:tcPr>
            <w:tcW w:w="8640" w:type="dxa"/>
            <w:vAlign w:val="bottom"/>
            <w:gridSpan w:val="4"/>
            <w:shd w:val="clear" w:color="auto" w:fill="B2B2B2"/>
          </w:tcPr>
          <w:p>
            <w:pPr>
              <w:ind w:left="40"/>
              <w:spacing w:after="0" w:line="197" w:lineRule="exact"/>
              <w:rPr>
                <w:sz w:val="20"/>
                <w:szCs w:val="20"/>
                <w:color w:val="auto"/>
              </w:rPr>
            </w:pPr>
            <w:r>
              <w:rPr>
                <w:rFonts w:ascii="Times New Roman" w:cs="Times New Roman" w:eastAsia="Times New Roman" w:hAnsi="Times New Roman"/>
                <w:sz w:val="18"/>
                <w:szCs w:val="18"/>
                <w:color w:val="auto"/>
              </w:rPr>
              <w:t>Common shares in treasury, at cost (1,008,009 shares at September 30, 2019 and 894,486 shares at December 31,</w:t>
            </w:r>
          </w:p>
        </w:tc>
        <w:tc>
          <w:tcPr>
            <w:tcW w:w="2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940" w:type="dxa"/>
            <w:vAlign w:val="bottom"/>
            <w:shd w:val="clear" w:color="auto" w:fill="B2B2B2"/>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1080" w:type="dxa"/>
            <w:vAlign w:val="bottom"/>
            <w:shd w:val="clear" w:color="auto" w:fill="B2B2B2"/>
          </w:tcPr>
          <w:p>
            <w:pPr>
              <w:spacing w:after="0"/>
              <w:rPr>
                <w:sz w:val="17"/>
                <w:szCs w:val="17"/>
                <w:color w:val="auto"/>
              </w:rPr>
            </w:pPr>
          </w:p>
        </w:tc>
      </w:tr>
      <w:tr>
        <w:trPr>
          <w:trHeight w:val="234"/>
        </w:trPr>
        <w:tc>
          <w:tcPr>
            <w:tcW w:w="820" w:type="dxa"/>
            <w:vAlign w:val="bottom"/>
            <w:gridSpan w:val="2"/>
            <w:shd w:val="clear" w:color="auto" w:fill="B2B2B2"/>
          </w:tcPr>
          <w:p>
            <w:pPr>
              <w:ind w:left="220"/>
              <w:spacing w:after="0"/>
              <w:rPr>
                <w:sz w:val="20"/>
                <w:szCs w:val="20"/>
                <w:color w:val="auto"/>
              </w:rPr>
            </w:pPr>
            <w:r>
              <w:rPr>
                <w:rFonts w:ascii="Times New Roman" w:cs="Times New Roman" w:eastAsia="Times New Roman" w:hAnsi="Times New Roman"/>
                <w:sz w:val="18"/>
                <w:szCs w:val="18"/>
                <w:color w:val="auto"/>
              </w:rPr>
              <w:t>2018)</w:t>
            </w:r>
          </w:p>
        </w:tc>
        <w:tc>
          <w:tcPr>
            <w:tcW w:w="800" w:type="dxa"/>
            <w:vAlign w:val="bottom"/>
            <w:shd w:val="clear" w:color="auto" w:fill="B2B2B2"/>
          </w:tcPr>
          <w:p>
            <w:pPr>
              <w:spacing w:after="0"/>
              <w:rPr>
                <w:sz w:val="20"/>
                <w:szCs w:val="20"/>
                <w:color w:val="auto"/>
              </w:rPr>
            </w:pPr>
          </w:p>
        </w:tc>
        <w:tc>
          <w:tcPr>
            <w:tcW w:w="7020" w:type="dxa"/>
            <w:vAlign w:val="bottom"/>
            <w:shd w:val="clear" w:color="auto" w:fill="B2B2B2"/>
          </w:tcPr>
          <w:p>
            <w:pPr>
              <w:spacing w:after="0"/>
              <w:rPr>
                <w:sz w:val="20"/>
                <w:szCs w:val="20"/>
                <w:color w:val="auto"/>
              </w:rPr>
            </w:pPr>
          </w:p>
        </w:tc>
        <w:tc>
          <w:tcPr>
            <w:tcW w:w="2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10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(45,985)</w:t>
            </w:r>
          </w:p>
        </w:tc>
        <w:tc>
          <w:tcPr>
            <w:tcW w:w="260" w:type="dxa"/>
            <w:vAlign w:val="bottom"/>
            <w:shd w:val="clear" w:color="auto" w:fill="B2B2B2"/>
          </w:tcPr>
          <w:p>
            <w:pPr>
              <w:spacing w:after="0"/>
              <w:rPr>
                <w:sz w:val="20"/>
                <w:szCs w:val="20"/>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(39,974)</w:t>
            </w:r>
          </w:p>
        </w:tc>
      </w:tr>
      <w:tr>
        <w:trPr>
          <w:trHeight w:val="216"/>
        </w:trPr>
        <w:tc>
          <w:tcPr>
            <w:tcW w:w="8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(8,813)</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(18,872)</w:t>
            </w:r>
          </w:p>
        </w:tc>
      </w:tr>
      <w:tr>
        <w:trPr>
          <w:trHeight w:val="209"/>
        </w:trPr>
        <w:tc>
          <w:tcPr>
            <w:tcW w:w="40" w:type="dxa"/>
            <w:vAlign w:val="bottom"/>
            <w:tcBorders>
              <w:top w:val="single" w:sz="8" w:color="B2B2B2"/>
            </w:tcBorders>
            <w:shd w:val="clear" w:color="auto" w:fill="B2B2B2"/>
          </w:tcPr>
          <w:p>
            <w:pPr>
              <w:spacing w:after="0"/>
              <w:rPr>
                <w:sz w:val="18"/>
                <w:szCs w:val="18"/>
                <w:color w:val="auto"/>
              </w:rPr>
            </w:pPr>
          </w:p>
        </w:tc>
        <w:tc>
          <w:tcPr>
            <w:tcW w:w="8600" w:type="dxa"/>
            <w:vAlign w:val="bottom"/>
            <w:tcBorders>
              <w:top w:val="single" w:sz="8" w:color="B2B2B2"/>
            </w:tcBorders>
            <w:gridSpan w:val="3"/>
            <w:shd w:val="clear" w:color="auto" w:fill="B2B2B2"/>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bottom w:val="single" w:sz="8" w:color="auto"/>
            </w:tcBorders>
            <w:shd w:val="clear" w:color="auto" w:fill="B2B2B2"/>
          </w:tcPr>
          <w:p>
            <w:pPr>
              <w:spacing w:after="0"/>
              <w:rPr>
                <w:sz w:val="18"/>
                <w:szCs w:val="18"/>
                <w:color w:val="auto"/>
              </w:rPr>
            </w:pPr>
          </w:p>
        </w:tc>
        <w:tc>
          <w:tcPr>
            <w:tcW w:w="9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246,617</w:t>
            </w:r>
          </w:p>
        </w:tc>
        <w:tc>
          <w:tcPr>
            <w:tcW w:w="16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B2B2B2"/>
            </w:tcBorders>
            <w:shd w:val="clear" w:color="auto" w:fill="B2B2B2"/>
          </w:tcPr>
          <w:p>
            <w:pPr>
              <w:spacing w:after="0"/>
              <w:rPr>
                <w:sz w:val="18"/>
                <w:szCs w:val="18"/>
                <w:color w:val="auto"/>
              </w:rPr>
            </w:pPr>
          </w:p>
        </w:tc>
        <w:tc>
          <w:tcPr>
            <w:tcW w:w="10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229,848</w:t>
            </w:r>
          </w:p>
        </w:tc>
      </w:tr>
      <w:tr>
        <w:trPr>
          <w:trHeight w:val="209"/>
        </w:trPr>
        <w:tc>
          <w:tcPr>
            <w:tcW w:w="40" w:type="dxa"/>
            <w:vAlign w:val="bottom"/>
          </w:tcPr>
          <w:p>
            <w:pPr>
              <w:spacing w:after="0"/>
              <w:rPr>
                <w:sz w:val="18"/>
                <w:szCs w:val="18"/>
                <w:color w:val="auto"/>
              </w:rPr>
            </w:pPr>
          </w:p>
        </w:tc>
        <w:tc>
          <w:tcPr>
            <w:tcW w:w="86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1,781,010</w:t>
            </w:r>
          </w:p>
        </w:tc>
        <w:tc>
          <w:tcPr>
            <w:tcW w:w="160" w:type="dxa"/>
            <w:vAlign w:val="bottom"/>
          </w:tcPr>
          <w:p>
            <w:pPr>
              <w:spacing w:after="0"/>
              <w:rPr>
                <w:sz w:val="18"/>
                <w:szCs w:val="18"/>
                <w:color w:val="auto"/>
              </w:rPr>
            </w:pPr>
          </w:p>
        </w:tc>
        <w:tc>
          <w:tcPr>
            <w:tcW w:w="26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1,695,176</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110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27,741</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26,020</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81,050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Bank service fees</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800" w:type="dxa"/>
            <w:vAlign w:val="bottom"/>
            <w:gridSpan w:val="2"/>
            <w:shd w:val="clear" w:color="auto" w:fill="B2B2B2"/>
          </w:tcPr>
          <w:p>
            <w:pPr>
              <w:jc w:val="right"/>
              <w:ind w:right="300"/>
              <w:spacing w:after="0"/>
              <w:rPr>
                <w:sz w:val="20"/>
                <w:szCs w:val="20"/>
                <w:color w:val="auto"/>
              </w:rPr>
            </w:pPr>
            <w:r>
              <w:rPr>
                <w:rFonts w:ascii="Times New Roman" w:cs="Times New Roman" w:eastAsia="Times New Roman" w:hAnsi="Times New Roman"/>
                <w:sz w:val="18"/>
                <w:szCs w:val="18"/>
                <w:color w:val="auto"/>
              </w:rPr>
              <w:t>307</w:t>
            </w: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740" w:type="dxa"/>
            <w:vAlign w:val="bottom"/>
            <w:gridSpan w:val="2"/>
            <w:shd w:val="clear" w:color="auto" w:fill="B2B2B2"/>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520" w:type="dxa"/>
            <w:vAlign w:val="bottom"/>
            <w:gridSpan w:val="2"/>
            <w:shd w:val="clear" w:color="auto" w:fill="B2B2B2"/>
          </w:tcPr>
          <w:p>
            <w:pPr>
              <w:jc w:val="right"/>
              <w:ind w:right="480"/>
              <w:spacing w:after="0"/>
              <w:rPr>
                <w:sz w:val="20"/>
                <w:szCs w:val="20"/>
                <w:color w:val="auto"/>
              </w:rPr>
            </w:pPr>
            <w:r>
              <w:rPr>
                <w:rFonts w:ascii="Times New Roman" w:cs="Times New Roman" w:eastAsia="Times New Roman" w:hAnsi="Times New Roman"/>
                <w:sz w:val="18"/>
                <w:szCs w:val="18"/>
                <w:color w:val="auto"/>
              </w:rPr>
              <w:t>984</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Gains (losses) on sales of securities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800" w:type="dxa"/>
            <w:vAlign w:val="bottom"/>
            <w:gridSpan w:val="2"/>
            <w:shd w:val="clear" w:color="auto" w:fill="B2B2B2"/>
          </w:tcPr>
          <w:p>
            <w:pPr>
              <w:jc w:val="right"/>
              <w:ind w:right="300"/>
              <w:spacing w:after="0"/>
              <w:rPr>
                <w:sz w:val="20"/>
                <w:szCs w:val="20"/>
                <w:color w:val="auto"/>
              </w:rPr>
            </w:pPr>
            <w:r>
              <w:rPr>
                <w:rFonts w:ascii="Times New Roman" w:cs="Times New Roman" w:eastAsia="Times New Roman" w:hAnsi="Times New Roman"/>
                <w:sz w:val="18"/>
                <w:szCs w:val="18"/>
                <w:color w:val="auto"/>
              </w:rPr>
              <w:t>214</w:t>
            </w: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740" w:type="dxa"/>
            <w:vAlign w:val="bottom"/>
            <w:gridSpan w:val="2"/>
            <w:shd w:val="clear" w:color="auto" w:fill="B2B2B2"/>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520" w:type="dxa"/>
            <w:vAlign w:val="bottom"/>
            <w:gridSpan w:val="2"/>
            <w:shd w:val="clear" w:color="auto" w:fill="B2B2B2"/>
          </w:tcPr>
          <w:p>
            <w:pPr>
              <w:jc w:val="right"/>
              <w:ind w:right="480"/>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28,262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26,435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82,647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27,564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Interest and dividends on securities:</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612</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Exempt from federal income taxes</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30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740" w:type="dxa"/>
            <w:vAlign w:val="bottom"/>
            <w:gridSpan w:val="2"/>
            <w:shd w:val="clear" w:color="auto" w:fill="B2B2B2"/>
          </w:tcPr>
          <w:p>
            <w:pPr>
              <w:jc w:val="right"/>
              <w:ind w:right="240"/>
              <w:spacing w:after="0"/>
              <w:rPr>
                <w:sz w:val="20"/>
                <w:szCs w:val="20"/>
                <w:color w:val="auto"/>
              </w:rPr>
            </w:pPr>
            <w:r>
              <w:rPr>
                <w:rFonts w:ascii="Times New Roman" w:cs="Times New Roman" w:eastAsia="Times New Roman" w:hAnsi="Times New Roman"/>
                <w:sz w:val="18"/>
                <w:szCs w:val="18"/>
                <w:color w:val="auto"/>
              </w:rPr>
              <w:t>2,111</w:t>
            </w: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520" w:type="dxa"/>
            <w:vAlign w:val="bottom"/>
            <w:gridSpan w:val="2"/>
            <w:shd w:val="clear" w:color="auto" w:fill="B2B2B2"/>
          </w:tcPr>
          <w:p>
            <w:pPr>
              <w:jc w:val="right"/>
              <w:ind w:right="480"/>
              <w:spacing w:after="0"/>
              <w:rPr>
                <w:sz w:val="20"/>
                <w:szCs w:val="20"/>
                <w:color w:val="auto"/>
              </w:rPr>
            </w:pPr>
            <w:r>
              <w:rPr>
                <w:rFonts w:ascii="Times New Roman" w:cs="Times New Roman" w:eastAsia="Times New Roman" w:hAnsi="Times New Roman"/>
                <w:sz w:val="18"/>
                <w:szCs w:val="18"/>
                <w:color w:val="auto"/>
              </w:rPr>
              <w:t>5,956</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on federal funds sold and other short-term investments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B2B2B2"/>
              <w:bottom w:val="single" w:sz="8" w:color="B2B2B2"/>
            </w:tcBorders>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Total interest income</w:t>
            </w:r>
          </w:p>
        </w:tc>
        <w:tc>
          <w:tcPr>
            <w:tcW w:w="220" w:type="dxa"/>
            <w:vAlign w:val="bottom"/>
            <w:tcBorders>
              <w:top w:val="single" w:sz="8" w:color="B2B2B2"/>
              <w:bottom w:val="single" w:sz="8" w:color="B2B2B2"/>
            </w:tcBorders>
            <w:shd w:val="clear" w:color="auto" w:fill="B2B2B2"/>
          </w:tcPr>
          <w:p>
            <w:pPr>
              <w:spacing w:after="0"/>
              <w:rPr>
                <w:sz w:val="18"/>
                <w:szCs w:val="18"/>
                <w:color w:val="auto"/>
              </w:rPr>
            </w:pPr>
          </w:p>
        </w:tc>
        <w:tc>
          <w:tcPr>
            <w:tcW w:w="240" w:type="dxa"/>
            <w:vAlign w:val="bottom"/>
            <w:tcBorders>
              <w:top w:val="single" w:sz="8" w:color="B2B2B2"/>
              <w:bottom w:val="single" w:sz="8" w:color="B2B2B2"/>
            </w:tcBorders>
            <w:shd w:val="clear" w:color="auto" w:fill="B2B2B2"/>
          </w:tcPr>
          <w:p>
            <w:pPr>
              <w:spacing w:after="0"/>
              <w:rPr>
                <w:sz w:val="18"/>
                <w:szCs w:val="18"/>
                <w:color w:val="auto"/>
              </w:rPr>
            </w:pPr>
          </w:p>
        </w:tc>
        <w:tc>
          <w:tcPr>
            <w:tcW w:w="640" w:type="dxa"/>
            <w:vAlign w:val="bottom"/>
            <w:tcBorders>
              <w:top w:val="single" w:sz="8" w:color="auto"/>
              <w:bottom w:val="single" w:sz="8" w:color="auto"/>
            </w:tcBorders>
            <w:shd w:val="clear" w:color="auto" w:fill="B2B2B2"/>
          </w:tcPr>
          <w:p>
            <w:pPr>
              <w:spacing w:after="0"/>
              <w:rPr>
                <w:sz w:val="18"/>
                <w:szCs w:val="18"/>
                <w:color w:val="auto"/>
              </w:rPr>
            </w:pPr>
          </w:p>
        </w:tc>
        <w:tc>
          <w:tcPr>
            <w:tcW w:w="5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6"/>
              </w:rPr>
              <w:t>13,666</w:t>
            </w:r>
          </w:p>
        </w:tc>
        <w:tc>
          <w:tcPr>
            <w:tcW w:w="300" w:type="dxa"/>
            <w:vAlign w:val="bottom"/>
            <w:tcBorders>
              <w:top w:val="single" w:sz="8" w:color="B2B2B2"/>
              <w:bottom w:val="single" w:sz="8" w:color="B2B2B2"/>
            </w:tcBorders>
            <w:shd w:val="clear" w:color="auto" w:fill="B2B2B2"/>
          </w:tcPr>
          <w:p>
            <w:pPr>
              <w:spacing w:after="0"/>
              <w:rPr>
                <w:sz w:val="18"/>
                <w:szCs w:val="18"/>
                <w:color w:val="auto"/>
              </w:rPr>
            </w:pPr>
          </w:p>
        </w:tc>
        <w:tc>
          <w:tcPr>
            <w:tcW w:w="380" w:type="dxa"/>
            <w:vAlign w:val="bottom"/>
            <w:tcBorders>
              <w:top w:val="single" w:sz="8" w:color="B2B2B2"/>
              <w:bottom w:val="single" w:sz="8" w:color="B2B2B2"/>
            </w:tcBorders>
            <w:shd w:val="clear" w:color="auto" w:fill="B2B2B2"/>
          </w:tcPr>
          <w:p>
            <w:pPr>
              <w:spacing w:after="0"/>
              <w:rPr>
                <w:sz w:val="18"/>
                <w:szCs w:val="18"/>
                <w:color w:val="auto"/>
              </w:rPr>
            </w:pPr>
          </w:p>
        </w:tc>
        <w:tc>
          <w:tcPr>
            <w:tcW w:w="420" w:type="dxa"/>
            <w:vAlign w:val="bottom"/>
            <w:tcBorders>
              <w:top w:val="single" w:sz="8" w:color="auto"/>
              <w:bottom w:val="single" w:sz="8" w:color="auto"/>
            </w:tcBorders>
            <w:shd w:val="clear" w:color="auto" w:fill="B2B2B2"/>
          </w:tcPr>
          <w:p>
            <w:pPr>
              <w:spacing w:after="0"/>
              <w:rPr>
                <w:sz w:val="18"/>
                <w:szCs w:val="18"/>
                <w:color w:val="auto"/>
              </w:rPr>
            </w:pPr>
          </w:p>
        </w:tc>
        <w:tc>
          <w:tcPr>
            <w:tcW w:w="5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6"/>
              </w:rPr>
              <w:t>12,215</w:t>
            </w:r>
          </w:p>
        </w:tc>
        <w:tc>
          <w:tcPr>
            <w:tcW w:w="240" w:type="dxa"/>
            <w:vAlign w:val="bottom"/>
            <w:tcBorders>
              <w:top w:val="single" w:sz="8" w:color="B2B2B2"/>
              <w:bottom w:val="single" w:sz="8" w:color="B2B2B2"/>
            </w:tcBorders>
            <w:shd w:val="clear" w:color="auto" w:fill="B2B2B2"/>
          </w:tcPr>
          <w:p>
            <w:pPr>
              <w:spacing w:after="0"/>
              <w:rPr>
                <w:sz w:val="18"/>
                <w:szCs w:val="18"/>
                <w:color w:val="auto"/>
              </w:rPr>
            </w:pPr>
          </w:p>
        </w:tc>
        <w:tc>
          <w:tcPr>
            <w:tcW w:w="440" w:type="dxa"/>
            <w:vAlign w:val="bottom"/>
            <w:tcBorders>
              <w:top w:val="single" w:sz="8" w:color="B2B2B2"/>
              <w:bottom w:val="single" w:sz="8" w:color="B2B2B2"/>
            </w:tcBorders>
            <w:shd w:val="clear" w:color="auto" w:fill="B2B2B2"/>
          </w:tcPr>
          <w:p>
            <w:pPr>
              <w:spacing w:after="0"/>
              <w:rPr>
                <w:sz w:val="18"/>
                <w:szCs w:val="18"/>
                <w:color w:val="auto"/>
              </w:rPr>
            </w:pPr>
          </w:p>
        </w:tc>
        <w:tc>
          <w:tcPr>
            <w:tcW w:w="80" w:type="dxa"/>
            <w:vAlign w:val="bottom"/>
            <w:tcBorders>
              <w:top w:val="single" w:sz="8" w:color="auto"/>
              <w:bottom w:val="single" w:sz="8" w:color="auto"/>
            </w:tcBorders>
            <w:shd w:val="clear" w:color="auto" w:fill="B2B2B2"/>
          </w:tcPr>
          <w:p>
            <w:pPr>
              <w:spacing w:after="0"/>
              <w:rPr>
                <w:sz w:val="18"/>
                <w:szCs w:val="18"/>
                <w:color w:val="auto"/>
              </w:rPr>
            </w:pPr>
          </w:p>
        </w:tc>
        <w:tc>
          <w:tcPr>
            <w:tcW w:w="10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39,890</w:t>
            </w:r>
          </w:p>
        </w:tc>
        <w:tc>
          <w:tcPr>
            <w:tcW w:w="480" w:type="dxa"/>
            <w:vAlign w:val="bottom"/>
            <w:tcBorders>
              <w:top w:val="single" w:sz="8" w:color="B2B2B2"/>
              <w:bottom w:val="single" w:sz="8" w:color="B2B2B2"/>
            </w:tcBorders>
            <w:shd w:val="clear" w:color="auto" w:fill="B2B2B2"/>
          </w:tcPr>
          <w:p>
            <w:pPr>
              <w:spacing w:after="0"/>
              <w:rPr>
                <w:sz w:val="18"/>
                <w:szCs w:val="18"/>
                <w:color w:val="auto"/>
              </w:rPr>
            </w:pPr>
          </w:p>
        </w:tc>
        <w:tc>
          <w:tcPr>
            <w:tcW w:w="180" w:type="dxa"/>
            <w:vAlign w:val="bottom"/>
            <w:tcBorders>
              <w:top w:val="single" w:sz="8" w:color="B2B2B2"/>
              <w:bottom w:val="single" w:sz="8" w:color="B2B2B2"/>
            </w:tcBorders>
            <w:shd w:val="clear" w:color="auto" w:fill="B2B2B2"/>
          </w:tcPr>
          <w:p>
            <w:pPr>
              <w:spacing w:after="0"/>
              <w:rPr>
                <w:sz w:val="18"/>
                <w:szCs w:val="18"/>
                <w:color w:val="auto"/>
              </w:rPr>
            </w:pPr>
          </w:p>
        </w:tc>
        <w:tc>
          <w:tcPr>
            <w:tcW w:w="20" w:type="dxa"/>
            <w:vAlign w:val="bottom"/>
            <w:tcBorders>
              <w:top w:val="single" w:sz="8" w:color="auto"/>
              <w:bottom w:val="single" w:sz="8" w:color="auto"/>
            </w:tcBorders>
            <w:shd w:val="clear" w:color="auto" w:fill="B2B2B2"/>
          </w:tcPr>
          <w:p>
            <w:pPr>
              <w:spacing w:after="0"/>
              <w:rPr>
                <w:sz w:val="18"/>
                <w:szCs w:val="18"/>
                <w:color w:val="auto"/>
              </w:rPr>
            </w:pPr>
          </w:p>
        </w:tc>
        <w:tc>
          <w:tcPr>
            <w:tcW w:w="5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35,016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640" w:type="dxa"/>
            <w:vAlign w:val="bottom"/>
            <w:shd w:val="clear" w:color="auto" w:fill="B2B2B2"/>
          </w:tcPr>
          <w:p>
            <w:pPr>
              <w:spacing w:after="0"/>
              <w:rPr>
                <w:sz w:val="17"/>
                <w:szCs w:val="17"/>
                <w:color w:val="auto"/>
              </w:rPr>
            </w:pPr>
          </w:p>
        </w:tc>
        <w:tc>
          <w:tcPr>
            <w:tcW w:w="50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380" w:type="dxa"/>
            <w:vAlign w:val="bottom"/>
            <w:shd w:val="clear" w:color="auto" w:fill="B2B2B2"/>
          </w:tcPr>
          <w:p>
            <w:pPr>
              <w:spacing w:after="0"/>
              <w:rPr>
                <w:sz w:val="17"/>
                <w:szCs w:val="17"/>
                <w:color w:val="auto"/>
              </w:rPr>
            </w:pPr>
          </w:p>
        </w:tc>
        <w:tc>
          <w:tcPr>
            <w:tcW w:w="420" w:type="dxa"/>
            <w:vAlign w:val="bottom"/>
            <w:shd w:val="clear" w:color="auto" w:fill="B2B2B2"/>
          </w:tcPr>
          <w:p>
            <w:pPr>
              <w:spacing w:after="0"/>
              <w:rPr>
                <w:sz w:val="17"/>
                <w:szCs w:val="17"/>
                <w:color w:val="auto"/>
              </w:rPr>
            </w:pPr>
          </w:p>
        </w:tc>
        <w:tc>
          <w:tcPr>
            <w:tcW w:w="50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440" w:type="dxa"/>
            <w:vAlign w:val="bottom"/>
            <w:shd w:val="clear" w:color="auto" w:fill="B2B2B2"/>
          </w:tcPr>
          <w:p>
            <w:pPr>
              <w:spacing w:after="0"/>
              <w:rPr>
                <w:sz w:val="17"/>
                <w:szCs w:val="17"/>
                <w:color w:val="auto"/>
              </w:rPr>
            </w:pPr>
          </w:p>
        </w:tc>
        <w:tc>
          <w:tcPr>
            <w:tcW w:w="8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c>
          <w:tcPr>
            <w:tcW w:w="480" w:type="dxa"/>
            <w:vAlign w:val="bottom"/>
            <w:shd w:val="clear" w:color="auto" w:fill="B2B2B2"/>
          </w:tcPr>
          <w:p>
            <w:pPr>
              <w:spacing w:after="0"/>
              <w:rPr>
                <w:sz w:val="17"/>
                <w:szCs w:val="17"/>
                <w:color w:val="auto"/>
              </w:rPr>
            </w:pPr>
          </w:p>
        </w:tc>
        <w:tc>
          <w:tcPr>
            <w:tcW w:w="180" w:type="dxa"/>
            <w:vAlign w:val="bottom"/>
            <w:shd w:val="clear" w:color="auto" w:fill="B2B2B2"/>
          </w:tcPr>
          <w:p>
            <w:pPr>
              <w:spacing w:after="0"/>
              <w:rPr>
                <w:sz w:val="17"/>
                <w:szCs w:val="17"/>
                <w:color w:val="auto"/>
              </w:rPr>
            </w:pPr>
          </w:p>
        </w:tc>
        <w:tc>
          <w:tcPr>
            <w:tcW w:w="20" w:type="dxa"/>
            <w:vAlign w:val="bottom"/>
            <w:shd w:val="clear" w:color="auto" w:fill="B2B2B2"/>
          </w:tcPr>
          <w:p>
            <w:pPr>
              <w:spacing w:after="0"/>
              <w:rPr>
                <w:sz w:val="17"/>
                <w:szCs w:val="17"/>
                <w:color w:val="auto"/>
              </w:rPr>
            </w:pPr>
          </w:p>
        </w:tc>
        <w:tc>
          <w:tcPr>
            <w:tcW w:w="580" w:type="dxa"/>
            <w:vAlign w:val="bottom"/>
            <w:shd w:val="clear" w:color="auto" w:fill="B2B2B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Interest on deposits</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30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520" w:type="dxa"/>
            <w:vAlign w:val="bottom"/>
            <w:gridSpan w:val="2"/>
            <w:shd w:val="clear" w:color="auto" w:fill="B2B2B2"/>
          </w:tcPr>
          <w:p>
            <w:pPr>
              <w:jc w:val="right"/>
              <w:ind w:right="480"/>
              <w:spacing w:after="0"/>
              <w:rPr>
                <w:sz w:val="20"/>
                <w:szCs w:val="20"/>
                <w:color w:val="auto"/>
              </w:rPr>
            </w:pPr>
            <w:r>
              <w:rPr>
                <w:rFonts w:ascii="Times New Roman" w:cs="Times New Roman" w:eastAsia="Times New Roman" w:hAnsi="Times New Roman"/>
                <w:sz w:val="18"/>
                <w:szCs w:val="18"/>
                <w:color w:val="auto"/>
              </w:rPr>
              <w:t>3,987</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12,274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11,186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800" w:type="dxa"/>
            <w:vAlign w:val="bottom"/>
            <w:gridSpan w:val="2"/>
            <w:shd w:val="clear" w:color="auto" w:fill="B2B2B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740" w:type="dxa"/>
            <w:vAlign w:val="bottom"/>
            <w:gridSpan w:val="2"/>
            <w:shd w:val="clear" w:color="auto" w:fill="B2B2B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520" w:type="dxa"/>
            <w:vAlign w:val="bottom"/>
            <w:gridSpan w:val="2"/>
            <w:shd w:val="clear" w:color="auto" w:fill="B2B2B2"/>
          </w:tcPr>
          <w:p>
            <w:pPr>
              <w:jc w:val="right"/>
              <w:ind w:right="48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B2B2B2"/>
            </w:tcBorders>
          </w:tcPr>
          <w:p>
            <w:pPr>
              <w:ind w:left="540"/>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220" w:type="dxa"/>
            <w:vAlign w:val="bottom"/>
            <w:tcBorders>
              <w:bottom w:val="single" w:sz="8" w:color="B2B2B2"/>
            </w:tcBorders>
          </w:tcPr>
          <w:p>
            <w:pPr>
              <w:spacing w:after="0"/>
              <w:rPr>
                <w:sz w:val="18"/>
                <w:szCs w:val="18"/>
                <w:color w:val="auto"/>
              </w:rPr>
            </w:pPr>
          </w:p>
        </w:tc>
        <w:tc>
          <w:tcPr>
            <w:tcW w:w="240" w:type="dxa"/>
            <w:vAlign w:val="bottom"/>
            <w:tcBorders>
              <w:bottom w:val="single" w:sz="8" w:color="B2B2B2"/>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12,274</w:t>
            </w:r>
          </w:p>
        </w:tc>
        <w:tc>
          <w:tcPr>
            <w:tcW w:w="300" w:type="dxa"/>
            <w:vAlign w:val="bottom"/>
            <w:tcBorders>
              <w:bottom w:val="single" w:sz="8" w:color="B2B2B2"/>
            </w:tcBorders>
          </w:tcPr>
          <w:p>
            <w:pPr>
              <w:spacing w:after="0"/>
              <w:rPr>
                <w:sz w:val="18"/>
                <w:szCs w:val="18"/>
                <w:color w:val="auto"/>
              </w:rPr>
            </w:pPr>
          </w:p>
        </w:tc>
        <w:tc>
          <w:tcPr>
            <w:tcW w:w="380" w:type="dxa"/>
            <w:vAlign w:val="bottom"/>
            <w:tcBorders>
              <w:bottom w:val="single" w:sz="8" w:color="B2B2B2"/>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11,186</w:t>
            </w:r>
          </w:p>
        </w:tc>
        <w:tc>
          <w:tcPr>
            <w:tcW w:w="240" w:type="dxa"/>
            <w:vAlign w:val="bottom"/>
            <w:tcBorders>
              <w:bottom w:val="single" w:sz="8" w:color="B2B2B2"/>
            </w:tcBorders>
          </w:tcPr>
          <w:p>
            <w:pPr>
              <w:spacing w:after="0"/>
              <w:rPr>
                <w:sz w:val="18"/>
                <w:szCs w:val="18"/>
                <w:color w:val="auto"/>
              </w:rPr>
            </w:pPr>
          </w:p>
        </w:tc>
        <w:tc>
          <w:tcPr>
            <w:tcW w:w="440" w:type="dxa"/>
            <w:vAlign w:val="bottom"/>
            <w:tcBorders>
              <w:bottom w:val="single" w:sz="8" w:color="B2B2B2"/>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35,653</w:t>
            </w:r>
          </w:p>
        </w:tc>
        <w:tc>
          <w:tcPr>
            <w:tcW w:w="480" w:type="dxa"/>
            <w:vAlign w:val="bottom"/>
            <w:tcBorders>
              <w:bottom w:val="single" w:sz="8" w:color="B2B2B2"/>
            </w:tcBorders>
          </w:tcPr>
          <w:p>
            <w:pPr>
              <w:spacing w:after="0"/>
              <w:rPr>
                <w:sz w:val="18"/>
                <w:szCs w:val="18"/>
                <w:color w:val="auto"/>
              </w:rPr>
            </w:pPr>
          </w:p>
        </w:tc>
        <w:tc>
          <w:tcPr>
            <w:tcW w:w="180" w:type="dxa"/>
            <w:vAlign w:val="bottom"/>
            <w:tcBorders>
              <w:bottom w:val="single" w:sz="8" w:color="B2B2B2"/>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Total net revenue</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6"/>
              </w:rPr>
              <w:t>40,536</w:t>
            </w:r>
          </w:p>
        </w:tc>
        <w:tc>
          <w:tcPr>
            <w:tcW w:w="30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6"/>
              </w:rPr>
              <w:t>37,621</w:t>
            </w:r>
          </w:p>
        </w:tc>
        <w:tc>
          <w:tcPr>
            <w:tcW w:w="2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118,300</w:t>
            </w:r>
          </w:p>
        </w:tc>
        <w:tc>
          <w:tcPr>
            <w:tcW w:w="4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5"/>
              </w:rPr>
              <w:t>109,963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Personnel</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800" w:type="dxa"/>
            <w:vAlign w:val="bottom"/>
            <w:gridSpan w:val="2"/>
            <w:shd w:val="clear" w:color="auto" w:fill="B2B2B2"/>
          </w:tcPr>
          <w:p>
            <w:pPr>
              <w:jc w:val="right"/>
              <w:ind w:right="300"/>
              <w:spacing w:after="0"/>
              <w:rPr>
                <w:sz w:val="20"/>
                <w:szCs w:val="20"/>
                <w:color w:val="auto"/>
              </w:rPr>
            </w:pPr>
            <w:r>
              <w:rPr>
                <w:rFonts w:ascii="Times New Roman" w:cs="Times New Roman" w:eastAsia="Times New Roman" w:hAnsi="Times New Roman"/>
                <w:sz w:val="18"/>
                <w:szCs w:val="18"/>
                <w:color w:val="auto"/>
                <w:w w:val="96"/>
              </w:rPr>
              <w:t>23,514</w:t>
            </w: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740" w:type="dxa"/>
            <w:vAlign w:val="bottom"/>
            <w:gridSpan w:val="2"/>
            <w:shd w:val="clear" w:color="auto" w:fill="B2B2B2"/>
          </w:tcPr>
          <w:p>
            <w:pPr>
              <w:jc w:val="right"/>
              <w:ind w:right="240"/>
              <w:spacing w:after="0"/>
              <w:rPr>
                <w:sz w:val="20"/>
                <w:szCs w:val="20"/>
                <w:color w:val="auto"/>
              </w:rPr>
            </w:pPr>
            <w:r>
              <w:rPr>
                <w:rFonts w:ascii="Times New Roman" w:cs="Times New Roman" w:eastAsia="Times New Roman" w:hAnsi="Times New Roman"/>
                <w:sz w:val="18"/>
                <w:szCs w:val="18"/>
                <w:color w:val="auto"/>
                <w:w w:val="96"/>
              </w:rPr>
              <w:t>21,747</w:t>
            </w: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520" w:type="dxa"/>
            <w:vAlign w:val="bottom"/>
            <w:gridSpan w:val="2"/>
            <w:shd w:val="clear" w:color="auto" w:fill="B2B2B2"/>
          </w:tcPr>
          <w:p>
            <w:pPr>
              <w:jc w:val="right"/>
              <w:ind w:right="480"/>
              <w:spacing w:after="0"/>
              <w:rPr>
                <w:sz w:val="20"/>
                <w:szCs w:val="20"/>
                <w:color w:val="auto"/>
              </w:rPr>
            </w:pPr>
            <w:r>
              <w:rPr>
                <w:rFonts w:ascii="Times New Roman" w:cs="Times New Roman" w:eastAsia="Times New Roman" w:hAnsi="Times New Roman"/>
                <w:sz w:val="18"/>
                <w:szCs w:val="18"/>
                <w:color w:val="auto"/>
              </w:rPr>
              <w:t>68,594</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63,718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Occupancy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0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520" w:type="dxa"/>
            <w:vAlign w:val="bottom"/>
            <w:gridSpan w:val="2"/>
            <w:shd w:val="clear" w:color="auto" w:fill="B2B2B2"/>
          </w:tcPr>
          <w:p>
            <w:pPr>
              <w:jc w:val="right"/>
              <w:ind w:right="480"/>
              <w:spacing w:after="0"/>
              <w:rPr>
                <w:sz w:val="20"/>
                <w:szCs w:val="20"/>
                <w:color w:val="auto"/>
              </w:rPr>
            </w:pPr>
            <w:r>
              <w:rPr>
                <w:rFonts w:ascii="Times New Roman" w:cs="Times New Roman" w:eastAsia="Times New Roman" w:hAnsi="Times New Roman"/>
                <w:sz w:val="18"/>
                <w:szCs w:val="18"/>
                <w:color w:val="auto"/>
              </w:rPr>
              <w:t>4,575</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30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2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520" w:type="dxa"/>
            <w:vAlign w:val="bottom"/>
            <w:gridSpan w:val="2"/>
            <w:shd w:val="clear" w:color="auto" w:fill="B2B2B2"/>
          </w:tcPr>
          <w:p>
            <w:pPr>
              <w:jc w:val="right"/>
              <w:ind w:right="480"/>
              <w:spacing w:after="0"/>
              <w:rPr>
                <w:sz w:val="20"/>
                <w:szCs w:val="20"/>
                <w:color w:val="auto"/>
              </w:rPr>
            </w:pPr>
            <w:r>
              <w:rPr>
                <w:rFonts w:ascii="Times New Roman" w:cs="Times New Roman" w:eastAsia="Times New Roman" w:hAnsi="Times New Roman"/>
                <w:sz w:val="18"/>
                <w:szCs w:val="18"/>
                <w:color w:val="auto"/>
              </w:rPr>
              <w:t>12,538</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B2B2B2"/>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20" w:type="dxa"/>
            <w:vAlign w:val="bottom"/>
            <w:tcBorders>
              <w:bottom w:val="single" w:sz="8" w:color="B2B2B2"/>
            </w:tcBorders>
          </w:tcPr>
          <w:p>
            <w:pPr>
              <w:spacing w:after="0"/>
              <w:rPr>
                <w:sz w:val="18"/>
                <w:szCs w:val="18"/>
                <w:color w:val="auto"/>
              </w:rPr>
            </w:pPr>
          </w:p>
        </w:tc>
        <w:tc>
          <w:tcPr>
            <w:tcW w:w="240" w:type="dxa"/>
            <w:vAlign w:val="bottom"/>
            <w:tcBorders>
              <w:bottom w:val="single" w:sz="8" w:color="B2B2B2"/>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30,563</w:t>
            </w:r>
          </w:p>
        </w:tc>
        <w:tc>
          <w:tcPr>
            <w:tcW w:w="300" w:type="dxa"/>
            <w:vAlign w:val="bottom"/>
            <w:tcBorders>
              <w:bottom w:val="single" w:sz="8" w:color="B2B2B2"/>
            </w:tcBorders>
          </w:tcPr>
          <w:p>
            <w:pPr>
              <w:spacing w:after="0"/>
              <w:rPr>
                <w:sz w:val="18"/>
                <w:szCs w:val="18"/>
                <w:color w:val="auto"/>
              </w:rPr>
            </w:pPr>
          </w:p>
        </w:tc>
        <w:tc>
          <w:tcPr>
            <w:tcW w:w="380" w:type="dxa"/>
            <w:vAlign w:val="bottom"/>
            <w:tcBorders>
              <w:bottom w:val="single" w:sz="8" w:color="B2B2B2"/>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28,530</w:t>
            </w:r>
          </w:p>
        </w:tc>
        <w:tc>
          <w:tcPr>
            <w:tcW w:w="240" w:type="dxa"/>
            <w:vAlign w:val="bottom"/>
            <w:tcBorders>
              <w:bottom w:val="single" w:sz="8" w:color="B2B2B2"/>
            </w:tcBorders>
          </w:tcPr>
          <w:p>
            <w:pPr>
              <w:spacing w:after="0"/>
              <w:rPr>
                <w:sz w:val="18"/>
                <w:szCs w:val="18"/>
                <w:color w:val="auto"/>
              </w:rPr>
            </w:pPr>
          </w:p>
        </w:tc>
        <w:tc>
          <w:tcPr>
            <w:tcW w:w="440" w:type="dxa"/>
            <w:vAlign w:val="bottom"/>
            <w:tcBorders>
              <w:bottom w:val="single" w:sz="8" w:color="B2B2B2"/>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88,996</w:t>
            </w:r>
          </w:p>
        </w:tc>
        <w:tc>
          <w:tcPr>
            <w:tcW w:w="480" w:type="dxa"/>
            <w:vAlign w:val="bottom"/>
            <w:tcBorders>
              <w:bottom w:val="single" w:sz="8" w:color="B2B2B2"/>
            </w:tcBorders>
          </w:tcPr>
          <w:p>
            <w:pPr>
              <w:spacing w:after="0"/>
              <w:rPr>
                <w:sz w:val="18"/>
                <w:szCs w:val="18"/>
                <w:color w:val="auto"/>
              </w:rPr>
            </w:pPr>
          </w:p>
        </w:tc>
        <w:tc>
          <w:tcPr>
            <w:tcW w:w="180" w:type="dxa"/>
            <w:vAlign w:val="bottom"/>
            <w:tcBorders>
              <w:bottom w:val="single" w:sz="8" w:color="B2B2B2"/>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30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2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29,304</w:t>
            </w:r>
          </w:p>
        </w:tc>
        <w:tc>
          <w:tcPr>
            <w:tcW w:w="4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5,271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60" w:type="dxa"/>
            <w:vAlign w:val="bottom"/>
            <w:tcBorders>
              <w:top w:val="single" w:sz="8" w:color="B2B2B2"/>
              <w:bottom w:val="single" w:sz="8" w:color="B2B2B2"/>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top w:val="single" w:sz="8" w:color="B2B2B2"/>
              <w:bottom w:val="single" w:sz="8" w:color="B2B2B2"/>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B2B2B2"/>
          </w:tcPr>
          <w:p>
            <w:pPr>
              <w:spacing w:after="0"/>
              <w:rPr>
                <w:sz w:val="21"/>
                <w:szCs w:val="21"/>
                <w:color w:val="auto"/>
              </w:rPr>
            </w:pPr>
          </w:p>
        </w:tc>
        <w:tc>
          <w:tcPr>
            <w:tcW w:w="5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300" w:type="dxa"/>
            <w:vAlign w:val="bottom"/>
            <w:tcBorders>
              <w:top w:val="single" w:sz="8" w:color="B2B2B2"/>
              <w:bottom w:val="single" w:sz="8" w:color="B2B2B2"/>
            </w:tcBorders>
            <w:shd w:val="clear" w:color="auto" w:fill="B2B2B2"/>
          </w:tcPr>
          <w:p>
            <w:pPr>
              <w:spacing w:after="0"/>
              <w:rPr>
                <w:sz w:val="21"/>
                <w:szCs w:val="21"/>
                <w:color w:val="auto"/>
              </w:rPr>
            </w:pPr>
          </w:p>
        </w:tc>
        <w:tc>
          <w:tcPr>
            <w:tcW w:w="380" w:type="dxa"/>
            <w:vAlign w:val="bottom"/>
            <w:tcBorders>
              <w:top w:val="single" w:sz="8" w:color="B2B2B2"/>
              <w:bottom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B2B2B2"/>
          </w:tcPr>
          <w:p>
            <w:pPr>
              <w:spacing w:after="0"/>
              <w:rPr>
                <w:sz w:val="21"/>
                <w:szCs w:val="21"/>
                <w:color w:val="auto"/>
              </w:rPr>
            </w:pPr>
          </w:p>
        </w:tc>
        <w:tc>
          <w:tcPr>
            <w:tcW w:w="5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240" w:type="dxa"/>
            <w:vAlign w:val="bottom"/>
            <w:tcBorders>
              <w:top w:val="single" w:sz="8" w:color="B2B2B2"/>
              <w:bottom w:val="single" w:sz="8" w:color="B2B2B2"/>
            </w:tcBorders>
            <w:shd w:val="clear" w:color="auto" w:fill="B2B2B2"/>
          </w:tcPr>
          <w:p>
            <w:pPr>
              <w:spacing w:after="0"/>
              <w:rPr>
                <w:sz w:val="21"/>
                <w:szCs w:val="21"/>
                <w:color w:val="auto"/>
              </w:rPr>
            </w:pPr>
          </w:p>
        </w:tc>
        <w:tc>
          <w:tcPr>
            <w:tcW w:w="440" w:type="dxa"/>
            <w:vAlign w:val="bottom"/>
            <w:tcBorders>
              <w:top w:val="single" w:sz="8" w:color="B2B2B2"/>
              <w:bottom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B2B2B2"/>
          </w:tcPr>
          <w:p>
            <w:pPr>
              <w:spacing w:after="0"/>
              <w:rPr>
                <w:sz w:val="21"/>
                <w:szCs w:val="21"/>
                <w:color w:val="auto"/>
              </w:rPr>
            </w:pPr>
          </w:p>
        </w:tc>
        <w:tc>
          <w:tcPr>
            <w:tcW w:w="10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24,033</w:t>
            </w:r>
          </w:p>
        </w:tc>
        <w:tc>
          <w:tcPr>
            <w:tcW w:w="480" w:type="dxa"/>
            <w:vAlign w:val="bottom"/>
            <w:tcBorders>
              <w:top w:val="single" w:sz="8" w:color="B2B2B2"/>
              <w:bottom w:val="single" w:sz="8" w:color="B2B2B2"/>
            </w:tcBorders>
            <w:shd w:val="clear" w:color="auto" w:fill="B2B2B2"/>
          </w:tcPr>
          <w:p>
            <w:pPr>
              <w:spacing w:after="0"/>
              <w:rPr>
                <w:sz w:val="21"/>
                <w:szCs w:val="21"/>
                <w:color w:val="auto"/>
              </w:rPr>
            </w:pPr>
          </w:p>
        </w:tc>
        <w:tc>
          <w:tcPr>
            <w:tcW w:w="180" w:type="dxa"/>
            <w:vAlign w:val="bottom"/>
            <w:tcBorders>
              <w:top w:val="single" w:sz="8" w:color="B2B2B2"/>
              <w:bottom w:val="single" w:sz="8" w:color="B2B2B2"/>
            </w:tcBorders>
            <w:shd w:val="clear" w:color="auto" w:fill="B2B2B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B2B2B2"/>
          </w:tcPr>
          <w:p>
            <w:pPr>
              <w:spacing w:after="0"/>
              <w:rPr>
                <w:sz w:val="21"/>
                <w:szCs w:val="21"/>
                <w:color w:val="auto"/>
              </w:rPr>
            </w:pPr>
          </w:p>
        </w:tc>
        <w:tc>
          <w:tcPr>
            <w:tcW w:w="5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160" w:type="dxa"/>
            <w:vAlign w:val="bottom"/>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640" w:type="dxa"/>
            <w:vAlign w:val="bottom"/>
            <w:shd w:val="clear" w:color="auto" w:fill="B2B2B2"/>
          </w:tcPr>
          <w:p>
            <w:pPr>
              <w:spacing w:after="0"/>
              <w:rPr>
                <w:sz w:val="14"/>
                <w:szCs w:val="14"/>
                <w:color w:val="auto"/>
              </w:rPr>
            </w:pPr>
          </w:p>
        </w:tc>
        <w:tc>
          <w:tcPr>
            <w:tcW w:w="500" w:type="dxa"/>
            <w:vAlign w:val="bottom"/>
            <w:shd w:val="clear" w:color="auto" w:fill="B2B2B2"/>
          </w:tcPr>
          <w:p>
            <w:pPr>
              <w:spacing w:after="0"/>
              <w:rPr>
                <w:sz w:val="14"/>
                <w:szCs w:val="14"/>
                <w:color w:val="auto"/>
              </w:rPr>
            </w:pPr>
          </w:p>
        </w:tc>
        <w:tc>
          <w:tcPr>
            <w:tcW w:w="300" w:type="dxa"/>
            <w:vAlign w:val="bottom"/>
            <w:shd w:val="clear" w:color="auto" w:fill="B2B2B2"/>
          </w:tcPr>
          <w:p>
            <w:pPr>
              <w:spacing w:after="0"/>
              <w:rPr>
                <w:sz w:val="14"/>
                <w:szCs w:val="14"/>
                <w:color w:val="auto"/>
              </w:rPr>
            </w:pPr>
          </w:p>
        </w:tc>
        <w:tc>
          <w:tcPr>
            <w:tcW w:w="380" w:type="dxa"/>
            <w:vAlign w:val="bottom"/>
            <w:shd w:val="clear" w:color="auto" w:fill="B2B2B2"/>
          </w:tcPr>
          <w:p>
            <w:pPr>
              <w:spacing w:after="0"/>
              <w:rPr>
                <w:sz w:val="14"/>
                <w:szCs w:val="14"/>
                <w:color w:val="auto"/>
              </w:rPr>
            </w:pPr>
          </w:p>
        </w:tc>
        <w:tc>
          <w:tcPr>
            <w:tcW w:w="420" w:type="dxa"/>
            <w:vAlign w:val="bottom"/>
            <w:shd w:val="clear" w:color="auto" w:fill="B2B2B2"/>
          </w:tcPr>
          <w:p>
            <w:pPr>
              <w:spacing w:after="0"/>
              <w:rPr>
                <w:sz w:val="14"/>
                <w:szCs w:val="14"/>
                <w:color w:val="auto"/>
              </w:rPr>
            </w:pPr>
          </w:p>
        </w:tc>
        <w:tc>
          <w:tcPr>
            <w:tcW w:w="50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440" w:type="dxa"/>
            <w:vAlign w:val="bottom"/>
            <w:shd w:val="clear" w:color="auto" w:fill="B2B2B2"/>
          </w:tcPr>
          <w:p>
            <w:pPr>
              <w:spacing w:after="0"/>
              <w:rPr>
                <w:sz w:val="14"/>
                <w:szCs w:val="14"/>
                <w:color w:val="auto"/>
              </w:rPr>
            </w:pPr>
          </w:p>
        </w:tc>
        <w:tc>
          <w:tcPr>
            <w:tcW w:w="80" w:type="dxa"/>
            <w:vAlign w:val="bottom"/>
            <w:shd w:val="clear" w:color="auto" w:fill="B2B2B2"/>
          </w:tcPr>
          <w:p>
            <w:pPr>
              <w:spacing w:after="0"/>
              <w:rPr>
                <w:sz w:val="14"/>
                <w:szCs w:val="14"/>
                <w:color w:val="auto"/>
              </w:rPr>
            </w:pPr>
          </w:p>
        </w:tc>
        <w:tc>
          <w:tcPr>
            <w:tcW w:w="1040" w:type="dxa"/>
            <w:vAlign w:val="bottom"/>
            <w:shd w:val="clear" w:color="auto" w:fill="B2B2B2"/>
          </w:tcPr>
          <w:p>
            <w:pPr>
              <w:spacing w:after="0"/>
              <w:rPr>
                <w:sz w:val="14"/>
                <w:szCs w:val="14"/>
                <w:color w:val="auto"/>
              </w:rPr>
            </w:pPr>
          </w:p>
        </w:tc>
        <w:tc>
          <w:tcPr>
            <w:tcW w:w="480" w:type="dxa"/>
            <w:vAlign w:val="bottom"/>
            <w:shd w:val="clear" w:color="auto" w:fill="B2B2B2"/>
          </w:tcPr>
          <w:p>
            <w:pPr>
              <w:spacing w:after="0"/>
              <w:rPr>
                <w:sz w:val="14"/>
                <w:szCs w:val="14"/>
                <w:color w:val="auto"/>
              </w:rPr>
            </w:pPr>
          </w:p>
        </w:tc>
        <w:tc>
          <w:tcPr>
            <w:tcW w:w="180" w:type="dxa"/>
            <w:vAlign w:val="bottom"/>
            <w:shd w:val="clear" w:color="auto" w:fill="B2B2B2"/>
          </w:tcPr>
          <w:p>
            <w:pPr>
              <w:spacing w:after="0"/>
              <w:rPr>
                <w:sz w:val="14"/>
                <w:szCs w:val="14"/>
                <w:color w:val="auto"/>
              </w:rPr>
            </w:pPr>
          </w:p>
        </w:tc>
        <w:tc>
          <w:tcPr>
            <w:tcW w:w="20" w:type="dxa"/>
            <w:vAlign w:val="bottom"/>
            <w:shd w:val="clear" w:color="auto" w:fill="B2B2B2"/>
          </w:tcPr>
          <w:p>
            <w:pPr>
              <w:spacing w:after="0"/>
              <w:rPr>
                <w:sz w:val="14"/>
                <w:szCs w:val="14"/>
                <w:color w:val="auto"/>
              </w:rPr>
            </w:pPr>
          </w:p>
        </w:tc>
        <w:tc>
          <w:tcPr>
            <w:tcW w:w="580" w:type="dxa"/>
            <w:vAlign w:val="bottom"/>
            <w:shd w:val="clear" w:color="auto" w:fill="B2B2B2"/>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10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520" w:type="dxa"/>
            <w:vAlign w:val="bottom"/>
            <w:gridSpan w:val="2"/>
            <w:shd w:val="clear" w:color="auto" w:fill="B2B2B2"/>
          </w:tcPr>
          <w:p>
            <w:pPr>
              <w:jc w:val="right"/>
              <w:ind w:right="48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5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8"/>
        </w:trPr>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700" w:type="dxa"/>
            <w:vAlign w:val="bottom"/>
            <w:tcBorders>
              <w:bottom w:val="single" w:sz="8" w:color="auto"/>
            </w:tcBorders>
          </w:tcPr>
          <w:p>
            <w:pPr>
              <w:spacing w:after="0"/>
              <w:rPr>
                <w:sz w:val="20"/>
                <w:szCs w:val="20"/>
                <w:color w:val="auto"/>
              </w:rPr>
            </w:pPr>
          </w:p>
        </w:tc>
      </w:tr>
      <w:tr>
        <w:trPr>
          <w:trHeight w:val="209"/>
        </w:trPr>
        <w:tc>
          <w:tcPr>
            <w:tcW w:w="5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2018</w:t>
            </w:r>
          </w:p>
        </w:tc>
      </w:tr>
      <w:tr>
        <w:trPr>
          <w:trHeight w:val="209"/>
        </w:trPr>
        <w:tc>
          <w:tcPr>
            <w:tcW w:w="572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6"/>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8,186</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24,033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23,211</w:t>
            </w:r>
          </w:p>
        </w:tc>
      </w:tr>
      <w:tr>
        <w:trPr>
          <w:trHeight w:val="216"/>
        </w:trPr>
        <w:tc>
          <w:tcPr>
            <w:tcW w:w="572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gain (loss) on securities available-for-sale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(13,029)</w:t>
            </w:r>
          </w:p>
        </w:tc>
      </w:tr>
      <w:tr>
        <w:trPr>
          <w:trHeight w:val="216"/>
        </w:trPr>
        <w:tc>
          <w:tcPr>
            <w:tcW w:w="57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2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3,101</w:t>
            </w:r>
          </w:p>
        </w:tc>
      </w:tr>
      <w:tr>
        <w:trPr>
          <w:trHeight w:val="216"/>
        </w:trPr>
        <w:tc>
          <w:tcPr>
            <w:tcW w:w="57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for (gains) losses included in net income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7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7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9"/>
        </w:trPr>
        <w:tc>
          <w:tcPr>
            <w:tcW w:w="5720" w:type="dxa"/>
            <w:vAlign w:val="bottom"/>
            <w:tcBorders>
              <w:top w:val="single" w:sz="8" w:color="B2B2B2"/>
              <w:bottom w:val="single" w:sz="8" w:color="B2B2B2"/>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460" w:type="dxa"/>
            <w:vAlign w:val="bottom"/>
            <w:tcBorders>
              <w:top w:val="single" w:sz="8" w:color="B2B2B2"/>
              <w:bottom w:val="single" w:sz="8" w:color="B2B2B2"/>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B2B2B2"/>
          </w:tcPr>
          <w:p>
            <w:pPr>
              <w:spacing w:after="0"/>
              <w:rPr>
                <w:sz w:val="18"/>
                <w:szCs w:val="18"/>
                <w:color w:val="auto"/>
              </w:rPr>
            </w:pPr>
          </w:p>
        </w:tc>
        <w:tc>
          <w:tcPr>
            <w:tcW w:w="4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180" w:type="dxa"/>
            <w:vAlign w:val="bottom"/>
            <w:tcBorders>
              <w:top w:val="single" w:sz="8" w:color="B2B2B2"/>
              <w:bottom w:val="single" w:sz="8" w:color="B2B2B2"/>
            </w:tcBorders>
            <w:shd w:val="clear" w:color="auto" w:fill="B2B2B2"/>
          </w:tcPr>
          <w:p>
            <w:pPr>
              <w:spacing w:after="0"/>
              <w:rPr>
                <w:sz w:val="18"/>
                <w:szCs w:val="18"/>
                <w:color w:val="auto"/>
              </w:rPr>
            </w:pPr>
          </w:p>
        </w:tc>
        <w:tc>
          <w:tcPr>
            <w:tcW w:w="280" w:type="dxa"/>
            <w:vAlign w:val="bottom"/>
            <w:tcBorders>
              <w:top w:val="single" w:sz="8" w:color="B2B2B2"/>
              <w:bottom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B2B2B2"/>
          </w:tcPr>
          <w:p>
            <w:pPr>
              <w:spacing w:after="0"/>
              <w:rPr>
                <w:sz w:val="18"/>
                <w:szCs w:val="18"/>
                <w:color w:val="auto"/>
              </w:rPr>
            </w:pPr>
          </w:p>
        </w:tc>
        <w:tc>
          <w:tcPr>
            <w:tcW w:w="8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220" w:type="dxa"/>
            <w:vAlign w:val="bottom"/>
            <w:tcBorders>
              <w:top w:val="single" w:sz="8" w:color="B2B2B2"/>
              <w:bottom w:val="single" w:sz="8" w:color="B2B2B2"/>
            </w:tcBorders>
            <w:shd w:val="clear" w:color="auto" w:fill="B2B2B2"/>
          </w:tcPr>
          <w:p>
            <w:pPr>
              <w:spacing w:after="0"/>
              <w:rPr>
                <w:sz w:val="18"/>
                <w:szCs w:val="18"/>
                <w:color w:val="auto"/>
              </w:rPr>
            </w:pPr>
          </w:p>
        </w:tc>
        <w:tc>
          <w:tcPr>
            <w:tcW w:w="220" w:type="dxa"/>
            <w:vAlign w:val="bottom"/>
            <w:tcBorders>
              <w:top w:val="single" w:sz="8" w:color="B2B2B2"/>
              <w:bottom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B2B2B2"/>
          </w:tcPr>
          <w:p>
            <w:pPr>
              <w:spacing w:after="0"/>
              <w:rPr>
                <w:sz w:val="18"/>
                <w:szCs w:val="18"/>
                <w:color w:val="auto"/>
              </w:rPr>
            </w:pPr>
          </w:p>
        </w:tc>
        <w:tc>
          <w:tcPr>
            <w:tcW w:w="9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34,092</w:t>
            </w:r>
          </w:p>
        </w:tc>
        <w:tc>
          <w:tcPr>
            <w:tcW w:w="180" w:type="dxa"/>
            <w:vAlign w:val="bottom"/>
            <w:tcBorders>
              <w:top w:val="single" w:sz="8" w:color="B2B2B2"/>
              <w:bottom w:val="single" w:sz="8" w:color="B2B2B2"/>
            </w:tcBorders>
            <w:shd w:val="clear" w:color="auto" w:fill="B2B2B2"/>
          </w:tcPr>
          <w:p>
            <w:pPr>
              <w:spacing w:after="0"/>
              <w:rPr>
                <w:sz w:val="18"/>
                <w:szCs w:val="18"/>
                <w:color w:val="auto"/>
              </w:rPr>
            </w:pPr>
          </w:p>
        </w:tc>
        <w:tc>
          <w:tcPr>
            <w:tcW w:w="260" w:type="dxa"/>
            <w:vAlign w:val="bottom"/>
            <w:tcBorders>
              <w:top w:val="single" w:sz="8" w:color="B2B2B2"/>
              <w:bottom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B2B2B2"/>
          </w:tcPr>
          <w:p>
            <w:pPr>
              <w:spacing w:after="0"/>
              <w:rPr>
                <w:sz w:val="18"/>
                <w:szCs w:val="18"/>
                <w:color w:val="auto"/>
              </w:rPr>
            </w:pPr>
          </w:p>
        </w:tc>
        <w:tc>
          <w:tcPr>
            <w:tcW w:w="7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13,224</w:t>
            </w:r>
          </w:p>
        </w:tc>
      </w:tr>
      <w:tr>
        <w:trPr>
          <w:trHeight w:val="20"/>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8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r>
      <w:tr>
        <w:trPr>
          <w:trHeight w:val="209"/>
        </w:trPr>
        <w:tc>
          <w:tcPr>
            <w:tcW w:w="8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2018</w:t>
            </w:r>
          </w:p>
        </w:tc>
      </w:tr>
      <w:tr>
        <w:trPr>
          <w:trHeight w:val="209"/>
        </w:trPr>
        <w:tc>
          <w:tcPr>
            <w:tcW w:w="84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r>
      <w:tr>
        <w:trPr>
          <w:trHeight w:val="216"/>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24,033</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23,211</w:t>
            </w:r>
          </w:p>
        </w:tc>
      </w:tr>
      <w:tr>
        <w:trPr>
          <w:trHeight w:val="216"/>
        </w:trPr>
        <w:tc>
          <w:tcPr>
            <w:tcW w:w="84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w:t>
            </w:r>
          </w:p>
        </w:tc>
      </w:tr>
      <w:tr>
        <w:trPr>
          <w:trHeight w:val="216"/>
        </w:trPr>
        <w:tc>
          <w:tcPr>
            <w:tcW w:w="84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Net (gains) losses on sales of securities</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r>
      <w:tr>
        <w:trPr>
          <w:trHeight w:val="216"/>
        </w:trPr>
        <w:tc>
          <w:tcPr>
            <w:tcW w:w="84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increase in income tax liability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84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Increase in pension liability</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r>
      <w:tr>
        <w:trPr>
          <w:trHeight w:val="216"/>
        </w:trPr>
        <w:tc>
          <w:tcPr>
            <w:tcW w:w="84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24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(3,707)</w:t>
            </w:r>
          </w:p>
        </w:tc>
      </w:tr>
      <w:tr>
        <w:trPr>
          <w:trHeight w:val="209"/>
        </w:trPr>
        <w:tc>
          <w:tcPr>
            <w:tcW w:w="8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38,796</w:t>
            </w:r>
          </w:p>
        </w:tc>
      </w:tr>
      <w:tr>
        <w:trPr>
          <w:trHeight w:val="196"/>
        </w:trPr>
        <w:tc>
          <w:tcPr>
            <w:tcW w:w="8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84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r>
      <w:tr>
        <w:trPr>
          <w:trHeight w:val="216"/>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sales of securities available-for-sale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58,520</w:t>
            </w:r>
          </w:p>
        </w:tc>
      </w:tr>
      <w:tr>
        <w:trPr>
          <w:trHeight w:val="216"/>
        </w:trPr>
        <w:tc>
          <w:tcPr>
            <w:tcW w:w="84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Proceeds from maturities of securities available-for-sale</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18,001</w:t>
            </w: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26,041</w:t>
            </w:r>
          </w:p>
        </w:tc>
      </w:tr>
      <w:tr>
        <w:trPr>
          <w:trHeight w:val="216"/>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securities available-for-sale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(78,772)</w:t>
            </w:r>
          </w:p>
        </w:tc>
      </w:tr>
      <w:tr>
        <w:trPr>
          <w:trHeight w:val="216"/>
        </w:trPr>
        <w:tc>
          <w:tcPr>
            <w:tcW w:w="84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Net increase in loans</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(45,763)</w:t>
            </w: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(39,993)</w:t>
            </w:r>
          </w:p>
        </w:tc>
      </w:tr>
      <w:tr>
        <w:trPr>
          <w:trHeight w:val="216"/>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payments in excess of funding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(47,448)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(21,977)</w:t>
            </w:r>
          </w:p>
        </w:tc>
      </w:tr>
      <w:tr>
        <w:trPr>
          <w:trHeight w:val="216"/>
        </w:trPr>
        <w:tc>
          <w:tcPr>
            <w:tcW w:w="84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(3,956)</w:t>
            </w:r>
          </w:p>
        </w:tc>
      </w:tr>
      <w:tr>
        <w:trPr>
          <w:trHeight w:val="216"/>
        </w:trPr>
        <w:tc>
          <w:tcPr>
            <w:tcW w:w="8460" w:type="dxa"/>
            <w:vAlign w:val="bottom"/>
            <w:tcBorders>
              <w:bottom w:val="single" w:sz="8" w:color="B2B2B2"/>
            </w:tcBorders>
          </w:tcPr>
          <w:p>
            <w:pPr>
              <w:ind w:left="40"/>
              <w:spacing w:after="0"/>
              <w:rPr>
                <w:sz w:val="20"/>
                <w:szCs w:val="20"/>
                <w:color w:val="auto"/>
              </w:rPr>
            </w:pPr>
            <w:r>
              <w:rPr>
                <w:rFonts w:ascii="Times New Roman" w:cs="Times New Roman" w:eastAsia="Times New Roman" w:hAnsi="Times New Roman"/>
                <w:sz w:val="18"/>
                <w:szCs w:val="18"/>
                <w:color w:val="auto"/>
              </w:rPr>
              <w:t>Acquisition of Gateway Giving, LLC</w:t>
            </w:r>
          </w:p>
        </w:tc>
        <w:tc>
          <w:tcPr>
            <w:tcW w:w="22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Borders>
              <w:bottom w:val="single" w:sz="8" w:color="B2B2B2"/>
            </w:tcBorders>
          </w:tcPr>
          <w:p>
            <w:pPr>
              <w:spacing w:after="0"/>
              <w:rPr>
                <w:sz w:val="18"/>
                <w:szCs w:val="18"/>
                <w:color w:val="auto"/>
              </w:rPr>
            </w:pPr>
          </w:p>
        </w:tc>
        <w:tc>
          <w:tcPr>
            <w:tcW w:w="260" w:type="dxa"/>
            <w:vAlign w:val="bottom"/>
            <w:tcBorders>
              <w:bottom w:val="single" w:sz="8" w:color="B2B2B2"/>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60" w:type="dxa"/>
            <w:vAlign w:val="bottom"/>
            <w:tcBorders>
              <w:bottom w:val="single" w:sz="8" w:color="B2B2B2"/>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B2B2B2"/>
            </w:tcBorders>
            <w:shd w:val="clear" w:color="auto" w:fill="B2B2B2"/>
          </w:tcPr>
          <w:p>
            <w:pPr>
              <w:spacing w:after="0"/>
              <w:rPr>
                <w:sz w:val="18"/>
                <w:szCs w:val="18"/>
                <w:color w:val="auto"/>
              </w:rPr>
            </w:pPr>
          </w:p>
        </w:tc>
        <w:tc>
          <w:tcPr>
            <w:tcW w:w="20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(75,439)</w:t>
            </w:r>
          </w:p>
        </w:tc>
        <w:tc>
          <w:tcPr>
            <w:tcW w:w="180" w:type="dxa"/>
            <w:vAlign w:val="bottom"/>
            <w:tcBorders>
              <w:bottom w:val="single" w:sz="8" w:color="B2B2B2"/>
            </w:tcBorders>
            <w:shd w:val="clear" w:color="auto" w:fill="B2B2B2"/>
          </w:tcPr>
          <w:p>
            <w:pPr>
              <w:spacing w:after="0"/>
              <w:rPr>
                <w:sz w:val="18"/>
                <w:szCs w:val="18"/>
                <w:color w:val="auto"/>
              </w:rPr>
            </w:pPr>
          </w:p>
        </w:tc>
        <w:tc>
          <w:tcPr>
            <w:tcW w:w="260" w:type="dxa"/>
            <w:vAlign w:val="bottom"/>
            <w:tcBorders>
              <w:bottom w:val="single" w:sz="8" w:color="B2B2B2"/>
            </w:tcBorders>
            <w:shd w:val="clear" w:color="auto" w:fill="B2B2B2"/>
          </w:tcPr>
          <w:p>
            <w:pPr>
              <w:spacing w:after="0"/>
              <w:rPr>
                <w:sz w:val="18"/>
                <w:szCs w:val="18"/>
                <w:color w:val="auto"/>
              </w:rPr>
            </w:pPr>
          </w:p>
        </w:tc>
        <w:tc>
          <w:tcPr>
            <w:tcW w:w="24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(60,137)</w:t>
            </w:r>
          </w:p>
        </w:tc>
      </w:tr>
      <w:tr>
        <w:trPr>
          <w:trHeight w:val="196"/>
        </w:trPr>
        <w:tc>
          <w:tcPr>
            <w:tcW w:w="846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920" w:type="dxa"/>
            <w:vAlign w:val="bottom"/>
            <w:shd w:val="clear" w:color="auto" w:fill="B2B2B2"/>
          </w:tcPr>
          <w:p>
            <w:pPr>
              <w:spacing w:after="0"/>
              <w:rPr>
                <w:sz w:val="17"/>
                <w:szCs w:val="17"/>
                <w:color w:val="auto"/>
              </w:rPr>
            </w:pPr>
          </w:p>
        </w:tc>
        <w:tc>
          <w:tcPr>
            <w:tcW w:w="18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r>
      <w:tr>
        <w:trPr>
          <w:trHeight w:val="216"/>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Net decrease in noninterest-bearing demand deposits</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(11,146)</w:t>
            </w:r>
          </w:p>
        </w:tc>
      </w:tr>
      <w:tr>
        <w:trPr>
          <w:trHeight w:val="216"/>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interest-bearing demand and savings deposits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(10,485)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(35,988)</w:t>
            </w:r>
          </w:p>
        </w:tc>
      </w:tr>
      <w:tr>
        <w:trPr>
          <w:trHeight w:val="216"/>
        </w:trPr>
        <w:tc>
          <w:tcPr>
            <w:tcW w:w="84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Net increase in time deposits</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3,771</w:t>
            </w:r>
          </w:p>
        </w:tc>
      </w:tr>
      <w:tr>
        <w:trPr>
          <w:trHeight w:val="216"/>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in accounts and drafts payable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57,772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27,849</w:t>
            </w:r>
          </w:p>
        </w:tc>
      </w:tr>
      <w:tr>
        <w:trPr>
          <w:trHeight w:val="216"/>
        </w:trPr>
        <w:tc>
          <w:tcPr>
            <w:tcW w:w="84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Cash dividends paid</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(9,342)</w:t>
            </w:r>
          </w:p>
        </w:tc>
      </w:tr>
      <w:tr>
        <w:trPr>
          <w:trHeight w:val="216"/>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common shares for treasury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16"/>
        </w:trPr>
        <w:tc>
          <w:tcPr>
            <w:tcW w:w="84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09"/>
        </w:trPr>
        <w:tc>
          <w:tcPr>
            <w:tcW w:w="8460" w:type="dxa"/>
            <w:vAlign w:val="bottom"/>
            <w:tcBorders>
              <w:bottom w:val="single" w:sz="8" w:color="B2B2B2"/>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by financing activities</w:t>
            </w:r>
          </w:p>
        </w:tc>
        <w:tc>
          <w:tcPr>
            <w:tcW w:w="22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180" w:type="dxa"/>
            <w:vAlign w:val="bottom"/>
            <w:tcBorders>
              <w:bottom w:val="single" w:sz="8" w:color="B2B2B2"/>
            </w:tcBorders>
          </w:tcPr>
          <w:p>
            <w:pPr>
              <w:spacing w:after="0"/>
              <w:rPr>
                <w:sz w:val="18"/>
                <w:szCs w:val="18"/>
                <w:color w:val="auto"/>
              </w:rPr>
            </w:pPr>
          </w:p>
        </w:tc>
        <w:tc>
          <w:tcPr>
            <w:tcW w:w="260" w:type="dxa"/>
            <w:vAlign w:val="bottom"/>
            <w:tcBorders>
              <w:bottom w:val="single" w:sz="8" w:color="B2B2B2"/>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(26,722)</w:t>
            </w:r>
          </w:p>
        </w:tc>
      </w:tr>
      <w:tr>
        <w:trPr>
          <w:trHeight w:val="209"/>
        </w:trPr>
        <w:tc>
          <w:tcPr>
            <w:tcW w:w="84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(48,063)</w:t>
            </w:r>
          </w:p>
        </w:tc>
      </w:tr>
      <w:tr>
        <w:trPr>
          <w:trHeight w:val="216"/>
        </w:trPr>
        <w:tc>
          <w:tcPr>
            <w:tcW w:w="8460" w:type="dxa"/>
            <w:vAlign w:val="bottom"/>
            <w:tcBorders>
              <w:bottom w:val="single" w:sz="8" w:color="B2B2B2"/>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230,933</w:t>
            </w:r>
          </w:p>
        </w:tc>
        <w:tc>
          <w:tcPr>
            <w:tcW w:w="180" w:type="dxa"/>
            <w:vAlign w:val="bottom"/>
            <w:tcBorders>
              <w:bottom w:val="single" w:sz="8" w:color="B2B2B2"/>
            </w:tcBorders>
          </w:tcPr>
          <w:p>
            <w:pPr>
              <w:spacing w:after="0"/>
              <w:rPr>
                <w:sz w:val="18"/>
                <w:szCs w:val="18"/>
                <w:color w:val="auto"/>
              </w:rPr>
            </w:pPr>
          </w:p>
        </w:tc>
        <w:tc>
          <w:tcPr>
            <w:tcW w:w="260" w:type="dxa"/>
            <w:vAlign w:val="bottom"/>
            <w:tcBorders>
              <w:bottom w:val="single" w:sz="8" w:color="B2B2B2"/>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228,110</w:t>
            </w:r>
          </w:p>
        </w:tc>
      </w:tr>
      <w:tr>
        <w:trPr>
          <w:trHeight w:val="249"/>
        </w:trPr>
        <w:tc>
          <w:tcPr>
            <w:tcW w:w="8460" w:type="dxa"/>
            <w:vAlign w:val="bottom"/>
            <w:tcBorders>
              <w:bottom w:val="single" w:sz="8" w:color="B2B2B2"/>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20" w:type="dxa"/>
            <w:vAlign w:val="bottom"/>
            <w:tcBorders>
              <w:bottom w:val="single" w:sz="8" w:color="B2B2B2"/>
            </w:tcBorders>
            <w:gridSpan w:val="2"/>
            <w:shd w:val="clear" w:color="auto" w:fill="B2B2B2"/>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B2B2B2"/>
          </w:tcPr>
          <w:p>
            <w:pPr>
              <w:spacing w:after="0"/>
              <w:rPr>
                <w:sz w:val="21"/>
                <w:szCs w:val="21"/>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222,738</w:t>
            </w:r>
          </w:p>
        </w:tc>
        <w:tc>
          <w:tcPr>
            <w:tcW w:w="180" w:type="dxa"/>
            <w:vAlign w:val="bottom"/>
            <w:tcBorders>
              <w:bottom w:val="single" w:sz="8" w:color="B2B2B2"/>
            </w:tcBorders>
            <w:shd w:val="clear" w:color="auto" w:fill="B2B2B2"/>
          </w:tcPr>
          <w:p>
            <w:pPr>
              <w:spacing w:after="0"/>
              <w:rPr>
                <w:sz w:val="21"/>
                <w:szCs w:val="21"/>
                <w:color w:val="auto"/>
              </w:rPr>
            </w:pPr>
          </w:p>
        </w:tc>
        <w:tc>
          <w:tcPr>
            <w:tcW w:w="260" w:type="dxa"/>
            <w:vAlign w:val="bottom"/>
            <w:tcBorders>
              <w:bottom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spacing w:after="0"/>
              <w:rPr>
                <w:sz w:val="21"/>
                <w:szCs w:val="21"/>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180,047</w:t>
            </w:r>
          </w:p>
        </w:tc>
      </w:tr>
      <w:tr>
        <w:trPr>
          <w:trHeight w:val="169"/>
        </w:trPr>
        <w:tc>
          <w:tcPr>
            <w:tcW w:w="8460" w:type="dxa"/>
            <w:vAlign w:val="bottom"/>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0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920" w:type="dxa"/>
            <w:vAlign w:val="bottom"/>
            <w:shd w:val="clear" w:color="auto" w:fill="B2B2B2"/>
          </w:tcPr>
          <w:p>
            <w:pPr>
              <w:spacing w:after="0"/>
              <w:rPr>
                <w:sz w:val="14"/>
                <w:szCs w:val="14"/>
                <w:color w:val="auto"/>
              </w:rPr>
            </w:pPr>
          </w:p>
        </w:tc>
        <w:tc>
          <w:tcPr>
            <w:tcW w:w="180" w:type="dxa"/>
            <w:vAlign w:val="bottom"/>
            <w:shd w:val="clear" w:color="auto" w:fill="B2B2B2"/>
          </w:tcPr>
          <w:p>
            <w:pPr>
              <w:spacing w:after="0"/>
              <w:rPr>
                <w:sz w:val="14"/>
                <w:szCs w:val="14"/>
                <w:color w:val="auto"/>
              </w:rPr>
            </w:pPr>
          </w:p>
        </w:tc>
        <w:tc>
          <w:tcPr>
            <w:tcW w:w="26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820" w:type="dxa"/>
            <w:vAlign w:val="bottom"/>
            <w:shd w:val="clear" w:color="auto" w:fill="B2B2B2"/>
          </w:tcPr>
          <w:p>
            <w:pPr>
              <w:spacing w:after="0"/>
              <w:rPr>
                <w:sz w:val="14"/>
                <w:szCs w:val="14"/>
                <w:color w:val="auto"/>
              </w:rPr>
            </w:pPr>
          </w:p>
        </w:tc>
      </w:tr>
      <w:tr>
        <w:trPr>
          <w:trHeight w:val="216"/>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information: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540" w:type="dxa"/>
            <w:vAlign w:val="bottom"/>
            <w:gridSpan w:val="3"/>
            <w:shd w:val="clear" w:color="auto" w:fill="B2B2B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80" w:type="dxa"/>
            <w:vAlign w:val="bottom"/>
            <w:shd w:val="clear" w:color="auto" w:fill="B2B2B2"/>
          </w:tcPr>
          <w:p>
            <w:pPr>
              <w:spacing w:after="0"/>
              <w:rPr>
                <w:sz w:val="18"/>
                <w:szCs w:val="18"/>
                <w:color w:val="auto"/>
              </w:rPr>
            </w:pPr>
          </w:p>
        </w:tc>
        <w:tc>
          <w:tcPr>
            <w:tcW w:w="500" w:type="dxa"/>
            <w:vAlign w:val="bottom"/>
            <w:gridSpan w:val="2"/>
            <w:shd w:val="clear" w:color="auto" w:fill="B2B2B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34"/>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2018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18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8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09"/>
        </w:trPr>
        <w:tc>
          <w:tcPr>
            <w:tcW w:w="3840" w:type="dxa"/>
            <w:vAlign w:val="bottom"/>
            <w:tcBorders>
              <w:top w:val="single" w:sz="8" w:color="B2B2B2"/>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Balance, June 30, 2018</w:t>
            </w:r>
          </w:p>
        </w:tc>
        <w:tc>
          <w:tcPr>
            <w:tcW w:w="180" w:type="dxa"/>
            <w:vAlign w:val="bottom"/>
            <w:tcBorders>
              <w:top w:val="single" w:sz="8" w:color="B2B2B2"/>
            </w:tcBorders>
            <w:shd w:val="clear" w:color="auto" w:fill="B2B2B2"/>
          </w:tcPr>
          <w:p>
            <w:pPr>
              <w:spacing w:after="0"/>
              <w:rPr>
                <w:sz w:val="18"/>
                <w:szCs w:val="18"/>
                <w:color w:val="auto"/>
              </w:rPr>
            </w:pPr>
          </w:p>
        </w:tc>
        <w:tc>
          <w:tcPr>
            <w:tcW w:w="2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right w:val="single" w:sz="8" w:color="B2B2B2"/>
            </w:tcBorders>
            <w:shd w:val="clear" w:color="auto" w:fill="B2B2B2"/>
          </w:tcPr>
          <w:p>
            <w:pPr>
              <w:ind w:left="580"/>
              <w:spacing w:after="0"/>
              <w:rPr>
                <w:sz w:val="20"/>
                <w:szCs w:val="20"/>
                <w:color w:val="auto"/>
              </w:rPr>
            </w:pPr>
            <w:r>
              <w:rPr>
                <w:rFonts w:ascii="Times New Roman" w:cs="Times New Roman" w:eastAsia="Times New Roman" w:hAnsi="Times New Roman"/>
                <w:sz w:val="18"/>
                <w:szCs w:val="18"/>
                <w:color w:val="auto"/>
                <w:w w:val="88"/>
              </w:rPr>
              <w:t>6,524</w:t>
            </w:r>
          </w:p>
        </w:tc>
        <w:tc>
          <w:tcPr>
            <w:tcW w:w="18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200" w:type="dxa"/>
            <w:vAlign w:val="bottom"/>
            <w:tcBorders>
              <w:top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204,687</w:t>
            </w:r>
          </w:p>
        </w:tc>
        <w:tc>
          <w:tcPr>
            <w:tcW w:w="18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280" w:type="dxa"/>
            <w:vAlign w:val="bottom"/>
            <w:tcBorders>
              <w:top w:val="single" w:sz="8" w:color="auto"/>
            </w:tcBorders>
            <w:gridSpan w:val="3"/>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68,771</w:t>
            </w:r>
          </w:p>
        </w:tc>
        <w:tc>
          <w:tcPr>
            <w:tcW w:w="180" w:type="dxa"/>
            <w:vAlign w:val="bottom"/>
            <w:tcBorders>
              <w:top w:val="single" w:sz="8" w:color="B2B2B2"/>
            </w:tcBorders>
            <w:shd w:val="clear" w:color="auto" w:fill="B2B2B2"/>
          </w:tcPr>
          <w:p>
            <w:pPr>
              <w:spacing w:after="0"/>
              <w:rPr>
                <w:sz w:val="18"/>
                <w:szCs w:val="18"/>
                <w:color w:val="auto"/>
              </w:rPr>
            </w:pPr>
          </w:p>
        </w:tc>
        <w:tc>
          <w:tcPr>
            <w:tcW w:w="20" w:type="dxa"/>
            <w:vAlign w:val="bottom"/>
            <w:tcBorders>
              <w:top w:val="single" w:sz="8" w:color="B2B2B2"/>
            </w:tcBorders>
            <w:shd w:val="clear" w:color="auto" w:fill="B2B2B2"/>
          </w:tcPr>
          <w:p>
            <w:pPr>
              <w:spacing w:after="0"/>
              <w:rPr>
                <w:sz w:val="18"/>
                <w:szCs w:val="18"/>
                <w:color w:val="auto"/>
              </w:rPr>
            </w:pPr>
          </w:p>
        </w:tc>
        <w:tc>
          <w:tcPr>
            <w:tcW w:w="240" w:type="dxa"/>
            <w:vAlign w:val="bottom"/>
            <w:tcBorders>
              <w:top w:val="single" w:sz="8" w:color="auto"/>
              <w:right w:val="single" w:sz="8" w:color="B2B2B2"/>
            </w:tcBorders>
            <w:gridSpan w:val="2"/>
            <w:shd w:val="clear" w:color="auto" w:fill="B2B2B2"/>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(32,243)</w:t>
            </w:r>
          </w:p>
        </w:tc>
        <w:tc>
          <w:tcPr>
            <w:tcW w:w="16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320" w:type="dxa"/>
            <w:vAlign w:val="bottom"/>
            <w:tcBorders>
              <w:top w:val="single" w:sz="8" w:color="auto"/>
            </w:tcBorders>
            <w:gridSpan w:val="3"/>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100" w:type="dxa"/>
            <w:vAlign w:val="bottom"/>
            <w:tcBorders>
              <w:top w:val="single" w:sz="8" w:color="B2B2B2"/>
            </w:tcBorders>
            <w:shd w:val="clear" w:color="auto" w:fill="B2B2B2"/>
          </w:tcPr>
          <w:p>
            <w:pPr>
              <w:spacing w:after="0"/>
              <w:rPr>
                <w:sz w:val="18"/>
                <w:szCs w:val="18"/>
                <w:color w:val="auto"/>
              </w:rPr>
            </w:pPr>
          </w:p>
        </w:tc>
        <w:tc>
          <w:tcPr>
            <w:tcW w:w="8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180" w:type="dxa"/>
            <w:vAlign w:val="bottom"/>
            <w:tcBorders>
              <w:top w:val="single" w:sz="8" w:color="auto"/>
            </w:tcBorders>
            <w:shd w:val="clear" w:color="auto" w:fill="B2B2B2"/>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226,613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980" w:type="dxa"/>
            <w:vAlign w:val="bottom"/>
            <w:tcBorders>
              <w:right w:val="single" w:sz="8" w:color="B2B2B2"/>
            </w:tcBorders>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780" w:type="dxa"/>
            <w:vAlign w:val="bottom"/>
            <w:tcBorders>
              <w:right w:val="single" w:sz="8" w:color="B2B2B2"/>
            </w:tcBorders>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700" w:type="dxa"/>
            <w:vAlign w:val="bottom"/>
            <w:tcBorders>
              <w:right w:val="single" w:sz="8" w:color="B2B2B2"/>
            </w:tcBorders>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40" w:type="dxa"/>
            <w:vAlign w:val="bottom"/>
            <w:tcBorders>
              <w:right w:val="single" w:sz="8" w:color="B2B2B2"/>
            </w:tcBorders>
            <w:shd w:val="clear" w:color="auto" w:fill="B2B2B2"/>
          </w:tcPr>
          <w:p>
            <w:pPr>
              <w:spacing w:after="0"/>
              <w:rPr>
                <w:sz w:val="15"/>
                <w:szCs w:val="15"/>
                <w:color w:val="auto"/>
              </w:rPr>
            </w:pPr>
          </w:p>
        </w:tc>
        <w:tc>
          <w:tcPr>
            <w:tcW w:w="780" w:type="dxa"/>
            <w:vAlign w:val="bottom"/>
            <w:tcBorders>
              <w:right w:val="single" w:sz="8" w:color="B2B2B2"/>
            </w:tcBorders>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020" w:type="dxa"/>
            <w:vAlign w:val="bottom"/>
            <w:tcBorders>
              <w:right w:val="single" w:sz="8" w:color="B2B2B2"/>
            </w:tcBorders>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600" w:type="dxa"/>
            <w:vAlign w:val="bottom"/>
            <w:shd w:val="clear" w:color="auto" w:fill="B2B2B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Cash dividends ($.20 per share)</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88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(3,198)</w:t>
            </w: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tcBorders>
              <w:right w:val="single" w:sz="8" w:color="B2B2B2"/>
            </w:tcBorders>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20" w:type="dxa"/>
            <w:vAlign w:val="bottom"/>
            <w:tcBorders>
              <w:righ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84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Issuance of 1,787 common shares pursuant to stock-</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based compensation plan, net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Exercise of SARs</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6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(454)</w:t>
            </w: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70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tcBorders>
              <w:right w:val="single" w:sz="8" w:color="B2B2B2"/>
            </w:tcBorders>
            <w:shd w:val="clear" w:color="auto" w:fill="B2B2B2"/>
          </w:tcPr>
          <w:p>
            <w:pPr>
              <w:spacing w:after="0"/>
              <w:rPr>
                <w:sz w:val="18"/>
                <w:szCs w:val="18"/>
                <w:color w:val="auto"/>
              </w:rPr>
            </w:pPr>
          </w:p>
        </w:tc>
        <w:tc>
          <w:tcPr>
            <w:tcW w:w="94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20" w:type="dxa"/>
            <w:vAlign w:val="bottom"/>
            <w:tcBorders>
              <w:righ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70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tcBorders>
              <w:right w:val="single" w:sz="8" w:color="B2B2B2"/>
            </w:tcBorders>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September 30, 2018</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88"/>
              </w:rPr>
              <w:t>6,524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204,971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100" w:type="dxa"/>
            <w:vAlign w:val="bottom"/>
          </w:tcPr>
          <w:p>
            <w:pPr>
              <w:spacing w:after="0"/>
              <w:rPr>
                <w:sz w:val="18"/>
                <w:szCs w:val="18"/>
                <w:color w:val="auto"/>
              </w:rPr>
            </w:pPr>
          </w:p>
        </w:tc>
        <w:tc>
          <w:tcPr>
            <w:tcW w:w="3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229,342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Balance, June 30, 2019</w:t>
            </w:r>
          </w:p>
        </w:tc>
        <w:tc>
          <w:tcPr>
            <w:tcW w:w="420" w:type="dxa"/>
            <w:vAlign w:val="bottom"/>
            <w:gridSpan w:val="4"/>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B2B2B2"/>
          </w:tcPr>
          <w:p>
            <w:pPr>
              <w:ind w:left="580"/>
              <w:spacing w:after="0"/>
              <w:rPr>
                <w:sz w:val="20"/>
                <w:szCs w:val="20"/>
                <w:color w:val="auto"/>
              </w:rPr>
            </w:pPr>
            <w:r>
              <w:rPr>
                <w:rFonts w:ascii="Times New Roman" w:cs="Times New Roman" w:eastAsia="Times New Roman" w:hAnsi="Times New Roman"/>
                <w:sz w:val="18"/>
                <w:szCs w:val="18"/>
                <w:color w:val="auto"/>
              </w:rPr>
              <w:t>7,753</w:t>
            </w:r>
          </w:p>
        </w:tc>
        <w:tc>
          <w:tcPr>
            <w:tcW w:w="40" w:type="dxa"/>
            <w:vAlign w:val="bottom"/>
            <w:shd w:val="clear" w:color="auto" w:fill="B2B2B2"/>
          </w:tcPr>
          <w:p>
            <w:pPr>
              <w:spacing w:after="0"/>
              <w:rPr>
                <w:sz w:val="18"/>
                <w:szCs w:val="18"/>
                <w:color w:val="auto"/>
              </w:rPr>
            </w:pPr>
          </w:p>
        </w:tc>
        <w:tc>
          <w:tcPr>
            <w:tcW w:w="20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205,463</w:t>
            </w:r>
          </w:p>
        </w:tc>
        <w:tc>
          <w:tcPr>
            <w:tcW w:w="40" w:type="dxa"/>
            <w:vAlign w:val="bottom"/>
            <w:shd w:val="clear" w:color="auto" w:fill="B2B2B2"/>
          </w:tcPr>
          <w:p>
            <w:pPr>
              <w:spacing w:after="0"/>
              <w:rPr>
                <w:sz w:val="18"/>
                <w:szCs w:val="18"/>
                <w:color w:val="auto"/>
              </w:rPr>
            </w:pPr>
          </w:p>
        </w:tc>
        <w:tc>
          <w:tcPr>
            <w:tcW w:w="280" w:type="dxa"/>
            <w:vAlign w:val="bottom"/>
            <w:gridSpan w:val="3"/>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83,470</w:t>
            </w:r>
          </w:p>
        </w:tc>
        <w:tc>
          <w:tcPr>
            <w:tcW w:w="20" w:type="dxa"/>
            <w:vAlign w:val="bottom"/>
            <w:shd w:val="clear" w:color="auto" w:fill="B2B2B2"/>
          </w:tcPr>
          <w:p>
            <w:pPr>
              <w:spacing w:after="0"/>
              <w:rPr>
                <w:sz w:val="18"/>
                <w:szCs w:val="18"/>
                <w:color w:val="auto"/>
              </w:rPr>
            </w:pPr>
          </w:p>
        </w:tc>
        <w:tc>
          <w:tcPr>
            <w:tcW w:w="240" w:type="dxa"/>
            <w:vAlign w:val="bottom"/>
            <w:tcBorders>
              <w:right w:val="single" w:sz="8" w:color="B2B2B2"/>
            </w:tcBorders>
            <w:gridSpan w:val="2"/>
            <w:shd w:val="clear" w:color="auto" w:fill="B2B2B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(46,333)</w:t>
            </w:r>
          </w:p>
        </w:tc>
        <w:tc>
          <w:tcPr>
            <w:tcW w:w="40" w:type="dxa"/>
            <w:vAlign w:val="bottom"/>
            <w:shd w:val="clear" w:color="auto" w:fill="B2B2B2"/>
          </w:tcPr>
          <w:p>
            <w:pPr>
              <w:spacing w:after="0"/>
              <w:rPr>
                <w:sz w:val="18"/>
                <w:szCs w:val="18"/>
                <w:color w:val="auto"/>
              </w:rPr>
            </w:pPr>
          </w:p>
        </w:tc>
        <w:tc>
          <w:tcPr>
            <w:tcW w:w="320" w:type="dxa"/>
            <w:vAlign w:val="bottom"/>
            <w:gridSpan w:val="3"/>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(9,932)</w:t>
            </w:r>
          </w:p>
        </w:tc>
        <w:tc>
          <w:tcPr>
            <w:tcW w:w="300" w:type="dxa"/>
            <w:vAlign w:val="bottom"/>
            <w:gridSpan w:val="3"/>
            <w:shd w:val="clear" w:color="auto" w:fill="B2B2B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240,421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980" w:type="dxa"/>
            <w:vAlign w:val="bottom"/>
            <w:tcBorders>
              <w:right w:val="single" w:sz="8" w:color="B2B2B2"/>
            </w:tcBorders>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780" w:type="dxa"/>
            <w:vAlign w:val="bottom"/>
            <w:tcBorders>
              <w:right w:val="single" w:sz="8" w:color="B2B2B2"/>
            </w:tcBorders>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700" w:type="dxa"/>
            <w:vAlign w:val="bottom"/>
            <w:tcBorders>
              <w:right w:val="single" w:sz="8" w:color="B2B2B2"/>
            </w:tcBorders>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40" w:type="dxa"/>
            <w:vAlign w:val="bottom"/>
            <w:tcBorders>
              <w:right w:val="single" w:sz="8" w:color="B2B2B2"/>
            </w:tcBorders>
            <w:shd w:val="clear" w:color="auto" w:fill="B2B2B2"/>
          </w:tcPr>
          <w:p>
            <w:pPr>
              <w:spacing w:after="0"/>
              <w:rPr>
                <w:sz w:val="15"/>
                <w:szCs w:val="15"/>
                <w:color w:val="auto"/>
              </w:rPr>
            </w:pPr>
          </w:p>
        </w:tc>
        <w:tc>
          <w:tcPr>
            <w:tcW w:w="780" w:type="dxa"/>
            <w:vAlign w:val="bottom"/>
            <w:tcBorders>
              <w:right w:val="single" w:sz="8" w:color="B2B2B2"/>
            </w:tcBorders>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020" w:type="dxa"/>
            <w:vAlign w:val="bottom"/>
            <w:tcBorders>
              <w:right w:val="single" w:sz="8" w:color="B2B2B2"/>
            </w:tcBorders>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600" w:type="dxa"/>
            <w:vAlign w:val="bottom"/>
            <w:shd w:val="clear" w:color="auto" w:fill="B2B2B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Cash dividends ($.26 per share)</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88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(3,769)</w:t>
            </w: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tcBorders>
              <w:right w:val="single" w:sz="8" w:color="B2B2B2"/>
            </w:tcBorders>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20" w:type="dxa"/>
            <w:vAlign w:val="bottom"/>
            <w:tcBorders>
              <w:righ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84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Issuance of 795 common shares pursuant to stock-</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based compensation plan, net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Exercise of SARs</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6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(552)</w:t>
            </w: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70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tcBorders>
              <w:right w:val="single" w:sz="8" w:color="B2B2B2"/>
            </w:tcBorders>
            <w:shd w:val="clear" w:color="auto" w:fill="B2B2B2"/>
          </w:tcPr>
          <w:p>
            <w:pPr>
              <w:spacing w:after="0"/>
              <w:rPr>
                <w:sz w:val="18"/>
                <w:szCs w:val="18"/>
                <w:color w:val="auto"/>
              </w:rPr>
            </w:pPr>
          </w:p>
        </w:tc>
        <w:tc>
          <w:tcPr>
            <w:tcW w:w="94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20" w:type="dxa"/>
            <w:vAlign w:val="bottom"/>
            <w:tcBorders>
              <w:righ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70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tcBorders>
              <w:right w:val="single" w:sz="8" w:color="B2B2B2"/>
            </w:tcBorders>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c>
          <w:tcPr>
            <w:tcW w:w="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September , 2019</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7,753</w:t>
            </w:r>
          </w:p>
        </w:tc>
        <w:tc>
          <w:tcPr>
            <w:tcW w:w="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205,775</w:t>
            </w:r>
          </w:p>
        </w:tc>
        <w:tc>
          <w:tcPr>
            <w:tcW w:w="40" w:type="dxa"/>
            <w:vAlign w:val="bottom"/>
          </w:tcPr>
          <w:p>
            <w:pPr>
              <w:spacing w:after="0"/>
              <w:rPr>
                <w:sz w:val="18"/>
                <w:szCs w:val="18"/>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87,887</w:t>
            </w:r>
          </w:p>
        </w:tc>
        <w:tc>
          <w:tcPr>
            <w:tcW w:w="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(45,985)</w:t>
            </w:r>
          </w:p>
        </w:tc>
        <w:tc>
          <w:tcPr>
            <w:tcW w:w="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00" w:type="dxa"/>
            <w:vAlign w:val="bottom"/>
          </w:tcPr>
          <w:p>
            <w:pPr>
              <w:spacing w:after="0"/>
              <w:rPr>
                <w:sz w:val="18"/>
                <w:szCs w:val="18"/>
                <w:color w:val="auto"/>
              </w:rPr>
            </w:pPr>
          </w:p>
        </w:tc>
        <w:tc>
          <w:tcPr>
            <w:tcW w:w="3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246,617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102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4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1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9"/>
        </w:trPr>
        <w:tc>
          <w:tcPr>
            <w:tcW w:w="3840" w:type="dxa"/>
            <w:vAlign w:val="bottom"/>
            <w:tcBorders>
              <w:top w:val="single" w:sz="8" w:color="B2B2B2"/>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Balance, December 31, 2017</w:t>
            </w:r>
          </w:p>
        </w:tc>
        <w:tc>
          <w:tcPr>
            <w:tcW w:w="180" w:type="dxa"/>
            <w:vAlign w:val="bottom"/>
            <w:tcBorders>
              <w:top w:val="single" w:sz="8" w:color="B2B2B2"/>
            </w:tcBorders>
            <w:shd w:val="clear" w:color="auto" w:fill="B2B2B2"/>
          </w:tcPr>
          <w:p>
            <w:pPr>
              <w:spacing w:after="0"/>
              <w:rPr>
                <w:sz w:val="18"/>
                <w:szCs w:val="18"/>
                <w:color w:val="auto"/>
              </w:rPr>
            </w:pPr>
          </w:p>
        </w:tc>
        <w:tc>
          <w:tcPr>
            <w:tcW w:w="240" w:type="dxa"/>
            <w:vAlign w:val="bottom"/>
            <w:tcBorders>
              <w:top w:val="single" w:sz="8" w:color="auto"/>
            </w:tcBorders>
            <w:gridSpan w:val="3"/>
            <w:shd w:val="clear" w:color="auto" w:fill="B2B2B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right w:val="single" w:sz="8" w:color="B2B2B2"/>
            </w:tcBorders>
            <w:shd w:val="clear" w:color="auto" w:fill="B2B2B2"/>
          </w:tcPr>
          <w:p>
            <w:pPr>
              <w:ind w:left="560"/>
              <w:spacing w:after="0"/>
              <w:rPr>
                <w:sz w:val="20"/>
                <w:szCs w:val="20"/>
                <w:color w:val="auto"/>
              </w:rPr>
            </w:pPr>
            <w:r>
              <w:rPr>
                <w:rFonts w:ascii="Times New Roman" w:cs="Times New Roman" w:eastAsia="Times New Roman" w:hAnsi="Times New Roman"/>
                <w:sz w:val="18"/>
                <w:szCs w:val="18"/>
                <w:color w:val="auto"/>
                <w:w w:val="93"/>
              </w:rPr>
              <w:t>6,524</w:t>
            </w:r>
          </w:p>
        </w:tc>
        <w:tc>
          <w:tcPr>
            <w:tcW w:w="18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auto"/>
            </w:tcBorders>
            <w:shd w:val="clear" w:color="auto" w:fill="B2B2B2"/>
          </w:tcPr>
          <w:p>
            <w:pPr>
              <w:spacing w:after="0"/>
              <w:rPr>
                <w:sz w:val="18"/>
                <w:szCs w:val="18"/>
                <w:color w:val="auto"/>
              </w:rPr>
            </w:pPr>
          </w:p>
        </w:tc>
        <w:tc>
          <w:tcPr>
            <w:tcW w:w="200" w:type="dxa"/>
            <w:vAlign w:val="bottom"/>
            <w:tcBorders>
              <w:top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204,631</w:t>
            </w:r>
          </w:p>
        </w:tc>
        <w:tc>
          <w:tcPr>
            <w:tcW w:w="18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auto"/>
            </w:tcBorders>
            <w:shd w:val="clear" w:color="auto" w:fill="B2B2B2"/>
          </w:tcPr>
          <w:p>
            <w:pPr>
              <w:spacing w:after="0"/>
              <w:rPr>
                <w:sz w:val="18"/>
                <w:szCs w:val="18"/>
                <w:color w:val="auto"/>
              </w:rPr>
            </w:pPr>
          </w:p>
        </w:tc>
        <w:tc>
          <w:tcPr>
            <w:tcW w:w="200" w:type="dxa"/>
            <w:vAlign w:val="bottom"/>
            <w:tcBorders>
              <w:top w:val="single" w:sz="8" w:color="auto"/>
            </w:tcBorders>
            <w:gridSpan w:val="2"/>
            <w:shd w:val="clear" w:color="auto" w:fill="B2B2B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B2B2B2"/>
          </w:tcPr>
          <w:p>
            <w:pPr>
              <w:spacing w:after="0"/>
              <w:rPr>
                <w:sz w:val="18"/>
                <w:szCs w:val="18"/>
                <w:color w:val="auto"/>
              </w:rPr>
            </w:pPr>
          </w:p>
        </w:tc>
        <w:tc>
          <w:tcPr>
            <w:tcW w:w="700" w:type="dxa"/>
            <w:vAlign w:val="bottom"/>
            <w:tcBorders>
              <w:top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59,314</w:t>
            </w:r>
          </w:p>
        </w:tc>
        <w:tc>
          <w:tcPr>
            <w:tcW w:w="180" w:type="dxa"/>
            <w:vAlign w:val="bottom"/>
            <w:tcBorders>
              <w:top w:val="single" w:sz="8" w:color="B2B2B2"/>
            </w:tcBorders>
            <w:shd w:val="clear" w:color="auto" w:fill="B2B2B2"/>
          </w:tcPr>
          <w:p>
            <w:pPr>
              <w:spacing w:after="0"/>
              <w:rPr>
                <w:sz w:val="18"/>
                <w:szCs w:val="18"/>
                <w:color w:val="auto"/>
              </w:rPr>
            </w:pPr>
          </w:p>
        </w:tc>
        <w:tc>
          <w:tcPr>
            <w:tcW w:w="20" w:type="dxa"/>
            <w:vAlign w:val="bottom"/>
            <w:tcBorders>
              <w:top w:val="single" w:sz="8" w:color="auto"/>
            </w:tcBorders>
            <w:shd w:val="clear" w:color="auto" w:fill="B2B2B2"/>
          </w:tcPr>
          <w:p>
            <w:pPr>
              <w:spacing w:after="0"/>
              <w:rPr>
                <w:sz w:val="18"/>
                <w:szCs w:val="18"/>
                <w:color w:val="auto"/>
              </w:rPr>
            </w:pPr>
          </w:p>
        </w:tc>
        <w:tc>
          <w:tcPr>
            <w:tcW w:w="240" w:type="dxa"/>
            <w:vAlign w:val="bottom"/>
            <w:tcBorders>
              <w:top w:val="single" w:sz="8" w:color="auto"/>
              <w:right w:val="single" w:sz="8" w:color="B2B2B2"/>
            </w:tcBorders>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(32,061)</w:t>
            </w:r>
          </w:p>
        </w:tc>
        <w:tc>
          <w:tcPr>
            <w:tcW w:w="16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auto"/>
            </w:tcBorders>
            <w:shd w:val="clear" w:color="auto" w:fill="B2B2B2"/>
          </w:tcPr>
          <w:p>
            <w:pPr>
              <w:spacing w:after="0"/>
              <w:rPr>
                <w:sz w:val="18"/>
                <w:szCs w:val="18"/>
                <w:color w:val="auto"/>
              </w:rPr>
            </w:pPr>
          </w:p>
        </w:tc>
        <w:tc>
          <w:tcPr>
            <w:tcW w:w="220" w:type="dxa"/>
            <w:vAlign w:val="bottom"/>
            <w:tcBorders>
              <w:top w:val="single" w:sz="8" w:color="auto"/>
            </w:tcBorders>
            <w:gridSpan w:val="2"/>
            <w:shd w:val="clear" w:color="auto" w:fill="B2B2B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B2B2B2"/>
          </w:tcPr>
          <w:p>
            <w:pPr>
              <w:spacing w:after="0"/>
              <w:rPr>
                <w:sz w:val="18"/>
                <w:szCs w:val="18"/>
                <w:color w:val="auto"/>
              </w:rPr>
            </w:pPr>
          </w:p>
        </w:tc>
        <w:tc>
          <w:tcPr>
            <w:tcW w:w="1020" w:type="dxa"/>
            <w:vAlign w:val="bottom"/>
            <w:tcBorders>
              <w:top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tcBorders>
              <w:top w:val="single" w:sz="8" w:color="B2B2B2"/>
            </w:tcBorders>
            <w:shd w:val="clear" w:color="auto" w:fill="B2B2B2"/>
          </w:tcPr>
          <w:p>
            <w:pPr>
              <w:spacing w:after="0"/>
              <w:rPr>
                <w:sz w:val="18"/>
                <w:szCs w:val="18"/>
                <w:color w:val="auto"/>
              </w:rPr>
            </w:pPr>
          </w:p>
        </w:tc>
        <w:tc>
          <w:tcPr>
            <w:tcW w:w="8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auto"/>
            </w:tcBorders>
            <w:gridSpan w:val="2"/>
            <w:shd w:val="clear" w:color="auto" w:fill="B2B2B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225,088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980" w:type="dxa"/>
            <w:vAlign w:val="bottom"/>
            <w:tcBorders>
              <w:right w:val="single" w:sz="8" w:color="B2B2B2"/>
            </w:tcBorders>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780" w:type="dxa"/>
            <w:vAlign w:val="bottom"/>
            <w:tcBorders>
              <w:right w:val="single" w:sz="8" w:color="B2B2B2"/>
            </w:tcBorders>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700" w:type="dxa"/>
            <w:vAlign w:val="bottom"/>
            <w:tcBorders>
              <w:right w:val="single" w:sz="8" w:color="B2B2B2"/>
            </w:tcBorders>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40" w:type="dxa"/>
            <w:vAlign w:val="bottom"/>
            <w:tcBorders>
              <w:right w:val="single" w:sz="8" w:color="B2B2B2"/>
            </w:tcBorders>
            <w:shd w:val="clear" w:color="auto" w:fill="B2B2B2"/>
          </w:tcPr>
          <w:p>
            <w:pPr>
              <w:spacing w:after="0"/>
              <w:rPr>
                <w:sz w:val="15"/>
                <w:szCs w:val="15"/>
                <w:color w:val="auto"/>
              </w:rPr>
            </w:pPr>
          </w:p>
        </w:tc>
        <w:tc>
          <w:tcPr>
            <w:tcW w:w="780" w:type="dxa"/>
            <w:vAlign w:val="bottom"/>
            <w:tcBorders>
              <w:right w:val="single" w:sz="8" w:color="B2B2B2"/>
            </w:tcBorders>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020" w:type="dxa"/>
            <w:vAlign w:val="bottom"/>
            <w:tcBorders>
              <w:right w:val="single" w:sz="8" w:color="B2B2B2"/>
            </w:tcBorders>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620" w:type="dxa"/>
            <w:vAlign w:val="bottom"/>
            <w:gridSpan w:val="2"/>
            <w:shd w:val="clear" w:color="auto" w:fill="B2B2B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Cash dividends ($.20 per share)</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70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tcBorders>
              <w:right w:val="single" w:sz="8" w:color="B2B2B2"/>
            </w:tcBorders>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20" w:type="dxa"/>
            <w:vAlign w:val="bottom"/>
            <w:tcBorders>
              <w:righ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84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Issuance of 34,215 common shares pursuant to</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plan, net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Exercise of SARs</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70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tcBorders>
              <w:right w:val="single" w:sz="8" w:color="B2B2B2"/>
            </w:tcBorders>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20" w:type="dxa"/>
            <w:vAlign w:val="bottom"/>
            <w:tcBorders>
              <w:righ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Purchase of 18,656 common shares</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70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tcBorders>
              <w:right w:val="single" w:sz="8" w:color="B2B2B2"/>
            </w:tcBorders>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20" w:type="dxa"/>
            <w:vAlign w:val="bottom"/>
            <w:tcBorders>
              <w:righ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Borders>
              <w:top w:val="single" w:sz="8" w:color="B2B2B2"/>
              <w:bottom w:val="single" w:sz="8" w:color="B2B2B2"/>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Balance, September 30, 2018</w:t>
            </w:r>
          </w:p>
        </w:tc>
        <w:tc>
          <w:tcPr>
            <w:tcW w:w="400" w:type="dxa"/>
            <w:vAlign w:val="bottom"/>
            <w:tcBorders>
              <w:top w:val="single" w:sz="8" w:color="B2B2B2"/>
              <w:bottom w:val="single" w:sz="8" w:color="B2B2B2"/>
            </w:tcBorders>
            <w:gridSpan w:val="3"/>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B2B2B2"/>
          </w:tcPr>
          <w:p>
            <w:pPr>
              <w:spacing w:after="0"/>
              <w:rPr>
                <w:sz w:val="18"/>
                <w:szCs w:val="18"/>
                <w:color w:val="auto"/>
              </w:rPr>
            </w:pPr>
          </w:p>
        </w:tc>
        <w:tc>
          <w:tcPr>
            <w:tcW w:w="980" w:type="dxa"/>
            <w:vAlign w:val="bottom"/>
            <w:tcBorders>
              <w:top w:val="single" w:sz="8" w:color="auto"/>
              <w:bottom w:val="single" w:sz="8" w:color="auto"/>
              <w:right w:val="single" w:sz="8" w:color="B2B2B2"/>
            </w:tcBorders>
            <w:shd w:val="clear" w:color="auto" w:fill="B2B2B2"/>
          </w:tcPr>
          <w:p>
            <w:pPr>
              <w:ind w:left="560"/>
              <w:spacing w:after="0"/>
              <w:rPr>
                <w:sz w:val="20"/>
                <w:szCs w:val="20"/>
                <w:color w:val="auto"/>
              </w:rPr>
            </w:pPr>
            <w:r>
              <w:rPr>
                <w:rFonts w:ascii="Times New Roman" w:cs="Times New Roman" w:eastAsia="Times New Roman" w:hAnsi="Times New Roman"/>
                <w:sz w:val="18"/>
                <w:szCs w:val="18"/>
                <w:color w:val="auto"/>
                <w:w w:val="93"/>
              </w:rPr>
              <w:t>6,524</w:t>
            </w:r>
          </w:p>
        </w:tc>
        <w:tc>
          <w:tcPr>
            <w:tcW w:w="180" w:type="dxa"/>
            <w:vAlign w:val="bottom"/>
            <w:tcBorders>
              <w:top w:val="single" w:sz="8" w:color="B2B2B2"/>
              <w:bottom w:val="single" w:sz="8" w:color="B2B2B2"/>
            </w:tcBorders>
            <w:shd w:val="clear" w:color="auto" w:fill="B2B2B2"/>
          </w:tcPr>
          <w:p>
            <w:pPr>
              <w:spacing w:after="0"/>
              <w:rPr>
                <w:sz w:val="18"/>
                <w:szCs w:val="18"/>
                <w:color w:val="auto"/>
              </w:rPr>
            </w:pPr>
          </w:p>
        </w:tc>
        <w:tc>
          <w:tcPr>
            <w:tcW w:w="40" w:type="dxa"/>
            <w:vAlign w:val="bottom"/>
            <w:tcBorders>
              <w:top w:val="single" w:sz="8" w:color="B2B2B2"/>
              <w:bottom w:val="single" w:sz="8" w:color="B2B2B2"/>
            </w:tcBorders>
            <w:shd w:val="clear" w:color="auto" w:fill="B2B2B2"/>
          </w:tcPr>
          <w:p>
            <w:pPr>
              <w:spacing w:after="0"/>
              <w:rPr>
                <w:sz w:val="18"/>
                <w:szCs w:val="18"/>
                <w:color w:val="auto"/>
              </w:rPr>
            </w:pPr>
          </w:p>
        </w:tc>
        <w:tc>
          <w:tcPr>
            <w:tcW w:w="180" w:type="dxa"/>
            <w:vAlign w:val="bottom"/>
            <w:tcBorders>
              <w:top w:val="single" w:sz="8" w:color="B2B2B2"/>
              <w:bottom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B2B2B2"/>
          </w:tcPr>
          <w:p>
            <w:pPr>
              <w:spacing w:after="0"/>
              <w:rPr>
                <w:sz w:val="18"/>
                <w:szCs w:val="18"/>
                <w:color w:val="auto"/>
              </w:rPr>
            </w:pPr>
          </w:p>
        </w:tc>
        <w:tc>
          <w:tcPr>
            <w:tcW w:w="780" w:type="dxa"/>
            <w:vAlign w:val="bottom"/>
            <w:tcBorders>
              <w:top w:val="single" w:sz="8" w:color="auto"/>
              <w:bottom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204,971</w:t>
            </w:r>
          </w:p>
        </w:tc>
        <w:tc>
          <w:tcPr>
            <w:tcW w:w="180" w:type="dxa"/>
            <w:vAlign w:val="bottom"/>
            <w:tcBorders>
              <w:top w:val="single" w:sz="8" w:color="B2B2B2"/>
              <w:bottom w:val="single" w:sz="8" w:color="B2B2B2"/>
            </w:tcBorders>
            <w:shd w:val="clear" w:color="auto" w:fill="B2B2B2"/>
          </w:tcPr>
          <w:p>
            <w:pPr>
              <w:spacing w:after="0"/>
              <w:rPr>
                <w:sz w:val="18"/>
                <w:szCs w:val="18"/>
                <w:color w:val="auto"/>
              </w:rPr>
            </w:pPr>
          </w:p>
        </w:tc>
        <w:tc>
          <w:tcPr>
            <w:tcW w:w="40" w:type="dxa"/>
            <w:vAlign w:val="bottom"/>
            <w:tcBorders>
              <w:top w:val="single" w:sz="8" w:color="B2B2B2"/>
              <w:bottom w:val="single" w:sz="8" w:color="B2B2B2"/>
            </w:tcBorders>
            <w:shd w:val="clear" w:color="auto" w:fill="B2B2B2"/>
          </w:tcPr>
          <w:p>
            <w:pPr>
              <w:spacing w:after="0"/>
              <w:rPr>
                <w:sz w:val="18"/>
                <w:szCs w:val="18"/>
                <w:color w:val="auto"/>
              </w:rPr>
            </w:pPr>
          </w:p>
        </w:tc>
        <w:tc>
          <w:tcPr>
            <w:tcW w:w="180" w:type="dxa"/>
            <w:vAlign w:val="bottom"/>
            <w:tcBorders>
              <w:top w:val="single" w:sz="8" w:color="B2B2B2"/>
              <w:bottom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B2B2B2"/>
          </w:tcPr>
          <w:p>
            <w:pPr>
              <w:spacing w:after="0"/>
              <w:rPr>
                <w:sz w:val="18"/>
                <w:szCs w:val="18"/>
                <w:color w:val="auto"/>
              </w:rPr>
            </w:pPr>
          </w:p>
        </w:tc>
        <w:tc>
          <w:tcPr>
            <w:tcW w:w="80" w:type="dxa"/>
            <w:vAlign w:val="bottom"/>
            <w:tcBorders>
              <w:top w:val="single" w:sz="8" w:color="auto"/>
              <w:bottom w:val="single" w:sz="8" w:color="auto"/>
            </w:tcBorders>
            <w:shd w:val="clear" w:color="auto" w:fill="B2B2B2"/>
          </w:tcPr>
          <w:p>
            <w:pPr>
              <w:spacing w:after="0"/>
              <w:rPr>
                <w:sz w:val="18"/>
                <w:szCs w:val="18"/>
                <w:color w:val="auto"/>
              </w:rPr>
            </w:pPr>
          </w:p>
        </w:tc>
        <w:tc>
          <w:tcPr>
            <w:tcW w:w="700" w:type="dxa"/>
            <w:vAlign w:val="bottom"/>
            <w:tcBorders>
              <w:top w:val="single" w:sz="8" w:color="auto"/>
              <w:bottom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73,183</w:t>
            </w:r>
          </w:p>
        </w:tc>
        <w:tc>
          <w:tcPr>
            <w:tcW w:w="180" w:type="dxa"/>
            <w:vAlign w:val="bottom"/>
            <w:tcBorders>
              <w:top w:val="single" w:sz="8" w:color="B2B2B2"/>
              <w:bottom w:val="single" w:sz="8" w:color="B2B2B2"/>
            </w:tcBorders>
            <w:shd w:val="clear" w:color="auto" w:fill="B2B2B2"/>
          </w:tcPr>
          <w:p>
            <w:pPr>
              <w:spacing w:after="0"/>
              <w:rPr>
                <w:sz w:val="18"/>
                <w:szCs w:val="18"/>
                <w:color w:val="auto"/>
              </w:rPr>
            </w:pPr>
          </w:p>
        </w:tc>
        <w:tc>
          <w:tcPr>
            <w:tcW w:w="20" w:type="dxa"/>
            <w:vAlign w:val="bottom"/>
            <w:tcBorders>
              <w:top w:val="single" w:sz="8" w:color="B2B2B2"/>
              <w:bottom w:val="single" w:sz="8" w:color="B2B2B2"/>
            </w:tcBorders>
            <w:shd w:val="clear" w:color="auto" w:fill="B2B2B2"/>
          </w:tcPr>
          <w:p>
            <w:pPr>
              <w:spacing w:after="0"/>
              <w:rPr>
                <w:sz w:val="18"/>
                <w:szCs w:val="18"/>
                <w:color w:val="auto"/>
              </w:rPr>
            </w:pPr>
          </w:p>
        </w:tc>
        <w:tc>
          <w:tcPr>
            <w:tcW w:w="200" w:type="dxa"/>
            <w:vAlign w:val="bottom"/>
            <w:tcBorders>
              <w:top w:val="single" w:sz="8" w:color="B2B2B2"/>
              <w:bottom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right w:val="single" w:sz="8" w:color="B2B2B2"/>
            </w:tcBorders>
            <w:shd w:val="clear" w:color="auto" w:fill="B2B2B2"/>
          </w:tcPr>
          <w:p>
            <w:pPr>
              <w:spacing w:after="0"/>
              <w:rPr>
                <w:sz w:val="18"/>
                <w:szCs w:val="18"/>
                <w:color w:val="auto"/>
              </w:rPr>
            </w:pPr>
          </w:p>
        </w:tc>
        <w:tc>
          <w:tcPr>
            <w:tcW w:w="780" w:type="dxa"/>
            <w:vAlign w:val="bottom"/>
            <w:tcBorders>
              <w:top w:val="single" w:sz="8" w:color="auto"/>
              <w:bottom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(32,029)</w:t>
            </w:r>
          </w:p>
        </w:tc>
        <w:tc>
          <w:tcPr>
            <w:tcW w:w="160" w:type="dxa"/>
            <w:vAlign w:val="bottom"/>
            <w:tcBorders>
              <w:top w:val="single" w:sz="8" w:color="B2B2B2"/>
              <w:bottom w:val="single" w:sz="8" w:color="B2B2B2"/>
            </w:tcBorders>
            <w:shd w:val="clear" w:color="auto" w:fill="B2B2B2"/>
          </w:tcPr>
          <w:p>
            <w:pPr>
              <w:spacing w:after="0"/>
              <w:rPr>
                <w:sz w:val="18"/>
                <w:szCs w:val="18"/>
                <w:color w:val="auto"/>
              </w:rPr>
            </w:pPr>
          </w:p>
        </w:tc>
        <w:tc>
          <w:tcPr>
            <w:tcW w:w="40" w:type="dxa"/>
            <w:vAlign w:val="bottom"/>
            <w:tcBorders>
              <w:top w:val="single" w:sz="8" w:color="B2B2B2"/>
              <w:bottom w:val="single" w:sz="8" w:color="B2B2B2"/>
            </w:tcBorders>
            <w:shd w:val="clear" w:color="auto" w:fill="B2B2B2"/>
          </w:tcPr>
          <w:p>
            <w:pPr>
              <w:spacing w:after="0"/>
              <w:rPr>
                <w:sz w:val="18"/>
                <w:szCs w:val="18"/>
                <w:color w:val="auto"/>
              </w:rPr>
            </w:pPr>
          </w:p>
        </w:tc>
        <w:tc>
          <w:tcPr>
            <w:tcW w:w="180" w:type="dxa"/>
            <w:vAlign w:val="bottom"/>
            <w:tcBorders>
              <w:top w:val="single" w:sz="8" w:color="B2B2B2"/>
              <w:bottom w:val="single" w:sz="8" w:color="B2B2B2"/>
            </w:tcBorders>
            <w:shd w:val="clear" w:color="auto" w:fill="B2B2B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B2B2B2"/>
          </w:tcPr>
          <w:p>
            <w:pPr>
              <w:spacing w:after="0"/>
              <w:rPr>
                <w:sz w:val="18"/>
                <w:szCs w:val="18"/>
                <w:color w:val="auto"/>
              </w:rPr>
            </w:pPr>
          </w:p>
        </w:tc>
        <w:tc>
          <w:tcPr>
            <w:tcW w:w="100" w:type="dxa"/>
            <w:vAlign w:val="bottom"/>
            <w:tcBorders>
              <w:top w:val="single" w:sz="8" w:color="auto"/>
              <w:bottom w:val="single" w:sz="8" w:color="auto"/>
            </w:tcBorders>
            <w:shd w:val="clear" w:color="auto" w:fill="B2B2B2"/>
          </w:tcPr>
          <w:p>
            <w:pPr>
              <w:spacing w:after="0"/>
              <w:rPr>
                <w:sz w:val="18"/>
                <w:szCs w:val="18"/>
                <w:color w:val="auto"/>
              </w:rPr>
            </w:pPr>
          </w:p>
        </w:tc>
        <w:tc>
          <w:tcPr>
            <w:tcW w:w="1020" w:type="dxa"/>
            <w:vAlign w:val="bottom"/>
            <w:tcBorders>
              <w:top w:val="single" w:sz="8" w:color="auto"/>
              <w:bottom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100" w:type="dxa"/>
            <w:vAlign w:val="bottom"/>
            <w:tcBorders>
              <w:top w:val="single" w:sz="8" w:color="B2B2B2"/>
              <w:bottom w:val="single" w:sz="8" w:color="B2B2B2"/>
            </w:tcBorders>
            <w:shd w:val="clear" w:color="auto" w:fill="B2B2B2"/>
          </w:tcPr>
          <w:p>
            <w:pPr>
              <w:spacing w:after="0"/>
              <w:rPr>
                <w:sz w:val="18"/>
                <w:szCs w:val="18"/>
                <w:color w:val="auto"/>
              </w:rPr>
            </w:pPr>
          </w:p>
        </w:tc>
        <w:tc>
          <w:tcPr>
            <w:tcW w:w="300" w:type="dxa"/>
            <w:vAlign w:val="bottom"/>
            <w:tcBorders>
              <w:top w:val="single" w:sz="8" w:color="B2B2B2"/>
              <w:bottom w:val="single" w:sz="8" w:color="B2B2B2"/>
            </w:tcBorders>
            <w:gridSpan w:val="3"/>
            <w:shd w:val="clear" w:color="auto" w:fill="B2B2B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229,342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40" w:type="dxa"/>
            <w:vAlign w:val="bottom"/>
            <w:tcBorders>
              <w:bottom w:val="single" w:sz="8" w:color="auto"/>
            </w:tcBorders>
            <w:shd w:val="clear" w:color="auto" w:fill="B2B2B2"/>
          </w:tcPr>
          <w:p>
            <w:pPr>
              <w:spacing w:after="0"/>
              <w:rPr>
                <w:sz w:val="14"/>
                <w:szCs w:val="14"/>
                <w:color w:val="auto"/>
              </w:rPr>
            </w:pPr>
          </w:p>
        </w:tc>
        <w:tc>
          <w:tcPr>
            <w:tcW w:w="180" w:type="dxa"/>
            <w:vAlign w:val="bottom"/>
            <w:tcBorders>
              <w:bottom w:val="single" w:sz="8" w:color="auto"/>
            </w:tcBorders>
            <w:shd w:val="clear" w:color="auto" w:fill="B2B2B2"/>
          </w:tcPr>
          <w:p>
            <w:pPr>
              <w:spacing w:after="0"/>
              <w:rPr>
                <w:sz w:val="14"/>
                <w:szCs w:val="14"/>
                <w:color w:val="auto"/>
              </w:rPr>
            </w:pPr>
          </w:p>
        </w:tc>
        <w:tc>
          <w:tcPr>
            <w:tcW w:w="20" w:type="dxa"/>
            <w:vAlign w:val="bottom"/>
            <w:tcBorders>
              <w:bottom w:val="single" w:sz="8" w:color="auto"/>
            </w:tcBorders>
            <w:shd w:val="clear" w:color="auto" w:fill="B2B2B2"/>
          </w:tcPr>
          <w:p>
            <w:pPr>
              <w:spacing w:after="0"/>
              <w:rPr>
                <w:sz w:val="14"/>
                <w:szCs w:val="14"/>
                <w:color w:val="auto"/>
              </w:rPr>
            </w:pPr>
          </w:p>
        </w:tc>
        <w:tc>
          <w:tcPr>
            <w:tcW w:w="200" w:type="dxa"/>
            <w:vAlign w:val="bottom"/>
            <w:tcBorders>
              <w:bottom w:val="single" w:sz="8" w:color="auto"/>
            </w:tcBorders>
            <w:shd w:val="clear" w:color="auto" w:fill="B2B2B2"/>
          </w:tcPr>
          <w:p>
            <w:pPr>
              <w:spacing w:after="0"/>
              <w:rPr>
                <w:sz w:val="14"/>
                <w:szCs w:val="14"/>
                <w:color w:val="auto"/>
              </w:rPr>
            </w:pPr>
          </w:p>
        </w:tc>
        <w:tc>
          <w:tcPr>
            <w:tcW w:w="20" w:type="dxa"/>
            <w:vAlign w:val="bottom"/>
            <w:tcBorders>
              <w:bottom w:val="single" w:sz="8" w:color="auto"/>
            </w:tcBorders>
            <w:shd w:val="clear" w:color="auto" w:fill="B2B2B2"/>
          </w:tcPr>
          <w:p>
            <w:pPr>
              <w:spacing w:after="0"/>
              <w:rPr>
                <w:sz w:val="14"/>
                <w:szCs w:val="14"/>
                <w:color w:val="auto"/>
              </w:rPr>
            </w:pPr>
          </w:p>
        </w:tc>
        <w:tc>
          <w:tcPr>
            <w:tcW w:w="980" w:type="dxa"/>
            <w:vAlign w:val="bottom"/>
            <w:tcBorders>
              <w:bottom w:val="single" w:sz="8" w:color="auto"/>
              <w:right w:val="single" w:sz="8" w:color="B2B2B2"/>
            </w:tcBorders>
            <w:shd w:val="clear" w:color="auto" w:fill="B2B2B2"/>
          </w:tcPr>
          <w:p>
            <w:pPr>
              <w:spacing w:after="0"/>
              <w:rPr>
                <w:sz w:val="14"/>
                <w:szCs w:val="14"/>
                <w:color w:val="auto"/>
              </w:rPr>
            </w:pPr>
          </w:p>
        </w:tc>
        <w:tc>
          <w:tcPr>
            <w:tcW w:w="180" w:type="dxa"/>
            <w:vAlign w:val="bottom"/>
            <w:tcBorders>
              <w:bottom w:val="single" w:sz="8" w:color="auto"/>
            </w:tcBorders>
            <w:shd w:val="clear" w:color="auto" w:fill="B2B2B2"/>
          </w:tcPr>
          <w:p>
            <w:pPr>
              <w:spacing w:after="0"/>
              <w:rPr>
                <w:sz w:val="14"/>
                <w:szCs w:val="14"/>
                <w:color w:val="auto"/>
              </w:rPr>
            </w:pPr>
          </w:p>
        </w:tc>
        <w:tc>
          <w:tcPr>
            <w:tcW w:w="40" w:type="dxa"/>
            <w:vAlign w:val="bottom"/>
            <w:tcBorders>
              <w:bottom w:val="single" w:sz="8" w:color="auto"/>
            </w:tcBorders>
            <w:shd w:val="clear" w:color="auto" w:fill="B2B2B2"/>
          </w:tcPr>
          <w:p>
            <w:pPr>
              <w:spacing w:after="0"/>
              <w:rPr>
                <w:sz w:val="14"/>
                <w:szCs w:val="14"/>
                <w:color w:val="auto"/>
              </w:rPr>
            </w:pPr>
          </w:p>
        </w:tc>
        <w:tc>
          <w:tcPr>
            <w:tcW w:w="180" w:type="dxa"/>
            <w:vAlign w:val="bottom"/>
            <w:tcBorders>
              <w:bottom w:val="single" w:sz="8" w:color="auto"/>
            </w:tcBorders>
            <w:shd w:val="clear" w:color="auto" w:fill="B2B2B2"/>
          </w:tcPr>
          <w:p>
            <w:pPr>
              <w:spacing w:after="0"/>
              <w:rPr>
                <w:sz w:val="14"/>
                <w:szCs w:val="14"/>
                <w:color w:val="auto"/>
              </w:rPr>
            </w:pPr>
          </w:p>
        </w:tc>
        <w:tc>
          <w:tcPr>
            <w:tcW w:w="20" w:type="dxa"/>
            <w:vAlign w:val="bottom"/>
            <w:tcBorders>
              <w:bottom w:val="single" w:sz="8" w:color="auto"/>
            </w:tcBorders>
            <w:shd w:val="clear" w:color="auto" w:fill="B2B2B2"/>
          </w:tcPr>
          <w:p>
            <w:pPr>
              <w:spacing w:after="0"/>
              <w:rPr>
                <w:sz w:val="14"/>
                <w:szCs w:val="14"/>
                <w:color w:val="auto"/>
              </w:rPr>
            </w:pPr>
          </w:p>
        </w:tc>
        <w:tc>
          <w:tcPr>
            <w:tcW w:w="780" w:type="dxa"/>
            <w:vAlign w:val="bottom"/>
            <w:tcBorders>
              <w:bottom w:val="single" w:sz="8" w:color="auto"/>
              <w:right w:val="single" w:sz="8" w:color="B2B2B2"/>
            </w:tcBorders>
            <w:shd w:val="clear" w:color="auto" w:fill="B2B2B2"/>
          </w:tcPr>
          <w:p>
            <w:pPr>
              <w:spacing w:after="0"/>
              <w:rPr>
                <w:sz w:val="14"/>
                <w:szCs w:val="14"/>
                <w:color w:val="auto"/>
              </w:rPr>
            </w:pPr>
          </w:p>
        </w:tc>
        <w:tc>
          <w:tcPr>
            <w:tcW w:w="180" w:type="dxa"/>
            <w:vAlign w:val="bottom"/>
            <w:tcBorders>
              <w:bottom w:val="single" w:sz="8" w:color="auto"/>
            </w:tcBorders>
            <w:shd w:val="clear" w:color="auto" w:fill="B2B2B2"/>
          </w:tcPr>
          <w:p>
            <w:pPr>
              <w:spacing w:after="0"/>
              <w:rPr>
                <w:sz w:val="14"/>
                <w:szCs w:val="14"/>
                <w:color w:val="auto"/>
              </w:rPr>
            </w:pPr>
          </w:p>
        </w:tc>
        <w:tc>
          <w:tcPr>
            <w:tcW w:w="40" w:type="dxa"/>
            <w:vAlign w:val="bottom"/>
            <w:tcBorders>
              <w:bottom w:val="single" w:sz="8" w:color="auto"/>
            </w:tcBorders>
            <w:shd w:val="clear" w:color="auto" w:fill="B2B2B2"/>
          </w:tcPr>
          <w:p>
            <w:pPr>
              <w:spacing w:after="0"/>
              <w:rPr>
                <w:sz w:val="14"/>
                <w:szCs w:val="14"/>
                <w:color w:val="auto"/>
              </w:rPr>
            </w:pPr>
          </w:p>
        </w:tc>
        <w:tc>
          <w:tcPr>
            <w:tcW w:w="180" w:type="dxa"/>
            <w:vAlign w:val="bottom"/>
            <w:tcBorders>
              <w:bottom w:val="single" w:sz="8" w:color="auto"/>
            </w:tcBorders>
            <w:shd w:val="clear" w:color="auto" w:fill="B2B2B2"/>
          </w:tcPr>
          <w:p>
            <w:pPr>
              <w:spacing w:after="0"/>
              <w:rPr>
                <w:sz w:val="14"/>
                <w:szCs w:val="14"/>
                <w:color w:val="auto"/>
              </w:rPr>
            </w:pPr>
          </w:p>
        </w:tc>
        <w:tc>
          <w:tcPr>
            <w:tcW w:w="20" w:type="dxa"/>
            <w:vAlign w:val="bottom"/>
            <w:tcBorders>
              <w:bottom w:val="single" w:sz="8" w:color="auto"/>
            </w:tcBorders>
            <w:shd w:val="clear" w:color="auto" w:fill="B2B2B2"/>
          </w:tcPr>
          <w:p>
            <w:pPr>
              <w:spacing w:after="0"/>
              <w:rPr>
                <w:sz w:val="14"/>
                <w:szCs w:val="14"/>
                <w:color w:val="auto"/>
              </w:rPr>
            </w:pPr>
          </w:p>
        </w:tc>
        <w:tc>
          <w:tcPr>
            <w:tcW w:w="80" w:type="dxa"/>
            <w:vAlign w:val="bottom"/>
            <w:tcBorders>
              <w:bottom w:val="single" w:sz="8" w:color="auto"/>
            </w:tcBorders>
            <w:shd w:val="clear" w:color="auto" w:fill="B2B2B2"/>
          </w:tcPr>
          <w:p>
            <w:pPr>
              <w:spacing w:after="0"/>
              <w:rPr>
                <w:sz w:val="14"/>
                <w:szCs w:val="14"/>
                <w:color w:val="auto"/>
              </w:rPr>
            </w:pPr>
          </w:p>
        </w:tc>
        <w:tc>
          <w:tcPr>
            <w:tcW w:w="700" w:type="dxa"/>
            <w:vAlign w:val="bottom"/>
            <w:tcBorders>
              <w:bottom w:val="single" w:sz="8" w:color="auto"/>
              <w:right w:val="single" w:sz="8" w:color="B2B2B2"/>
            </w:tcBorders>
            <w:shd w:val="clear" w:color="auto" w:fill="B2B2B2"/>
          </w:tcPr>
          <w:p>
            <w:pPr>
              <w:spacing w:after="0"/>
              <w:rPr>
                <w:sz w:val="14"/>
                <w:szCs w:val="14"/>
                <w:color w:val="auto"/>
              </w:rPr>
            </w:pPr>
          </w:p>
        </w:tc>
        <w:tc>
          <w:tcPr>
            <w:tcW w:w="180" w:type="dxa"/>
            <w:vAlign w:val="bottom"/>
            <w:tcBorders>
              <w:bottom w:val="single" w:sz="8" w:color="auto"/>
            </w:tcBorders>
            <w:shd w:val="clear" w:color="auto" w:fill="B2B2B2"/>
          </w:tcPr>
          <w:p>
            <w:pPr>
              <w:spacing w:after="0"/>
              <w:rPr>
                <w:sz w:val="14"/>
                <w:szCs w:val="14"/>
                <w:color w:val="auto"/>
              </w:rPr>
            </w:pPr>
          </w:p>
        </w:tc>
        <w:tc>
          <w:tcPr>
            <w:tcW w:w="20" w:type="dxa"/>
            <w:vAlign w:val="bottom"/>
            <w:tcBorders>
              <w:bottom w:val="single" w:sz="8" w:color="auto"/>
            </w:tcBorders>
            <w:shd w:val="clear" w:color="auto" w:fill="B2B2B2"/>
          </w:tcPr>
          <w:p>
            <w:pPr>
              <w:spacing w:after="0"/>
              <w:rPr>
                <w:sz w:val="14"/>
                <w:szCs w:val="14"/>
                <w:color w:val="auto"/>
              </w:rPr>
            </w:pPr>
          </w:p>
        </w:tc>
        <w:tc>
          <w:tcPr>
            <w:tcW w:w="200" w:type="dxa"/>
            <w:vAlign w:val="bottom"/>
            <w:tcBorders>
              <w:bottom w:val="single" w:sz="8" w:color="auto"/>
            </w:tcBorders>
            <w:shd w:val="clear" w:color="auto" w:fill="B2B2B2"/>
          </w:tcPr>
          <w:p>
            <w:pPr>
              <w:spacing w:after="0"/>
              <w:rPr>
                <w:sz w:val="14"/>
                <w:szCs w:val="14"/>
                <w:color w:val="auto"/>
              </w:rPr>
            </w:pPr>
          </w:p>
        </w:tc>
        <w:tc>
          <w:tcPr>
            <w:tcW w:w="40" w:type="dxa"/>
            <w:vAlign w:val="bottom"/>
            <w:tcBorders>
              <w:bottom w:val="single" w:sz="8" w:color="auto"/>
              <w:right w:val="single" w:sz="8" w:color="B2B2B2"/>
            </w:tcBorders>
            <w:shd w:val="clear" w:color="auto" w:fill="B2B2B2"/>
          </w:tcPr>
          <w:p>
            <w:pPr>
              <w:spacing w:after="0"/>
              <w:rPr>
                <w:sz w:val="14"/>
                <w:szCs w:val="14"/>
                <w:color w:val="auto"/>
              </w:rPr>
            </w:pPr>
          </w:p>
        </w:tc>
        <w:tc>
          <w:tcPr>
            <w:tcW w:w="780" w:type="dxa"/>
            <w:vAlign w:val="bottom"/>
            <w:tcBorders>
              <w:bottom w:val="single" w:sz="8" w:color="auto"/>
              <w:right w:val="single" w:sz="8" w:color="B2B2B2"/>
            </w:tcBorders>
            <w:shd w:val="clear" w:color="auto" w:fill="B2B2B2"/>
          </w:tcPr>
          <w:p>
            <w:pPr>
              <w:spacing w:after="0"/>
              <w:rPr>
                <w:sz w:val="14"/>
                <w:szCs w:val="14"/>
                <w:color w:val="auto"/>
              </w:rPr>
            </w:pPr>
          </w:p>
        </w:tc>
        <w:tc>
          <w:tcPr>
            <w:tcW w:w="160" w:type="dxa"/>
            <w:vAlign w:val="bottom"/>
            <w:tcBorders>
              <w:bottom w:val="single" w:sz="8" w:color="auto"/>
            </w:tcBorders>
            <w:shd w:val="clear" w:color="auto" w:fill="B2B2B2"/>
          </w:tcPr>
          <w:p>
            <w:pPr>
              <w:spacing w:after="0"/>
              <w:rPr>
                <w:sz w:val="14"/>
                <w:szCs w:val="14"/>
                <w:color w:val="auto"/>
              </w:rPr>
            </w:pPr>
          </w:p>
        </w:tc>
        <w:tc>
          <w:tcPr>
            <w:tcW w:w="40" w:type="dxa"/>
            <w:vAlign w:val="bottom"/>
            <w:tcBorders>
              <w:bottom w:val="single" w:sz="8" w:color="auto"/>
            </w:tcBorders>
            <w:shd w:val="clear" w:color="auto" w:fill="B2B2B2"/>
          </w:tcPr>
          <w:p>
            <w:pPr>
              <w:spacing w:after="0"/>
              <w:rPr>
                <w:sz w:val="14"/>
                <w:szCs w:val="14"/>
                <w:color w:val="auto"/>
              </w:rPr>
            </w:pPr>
          </w:p>
        </w:tc>
        <w:tc>
          <w:tcPr>
            <w:tcW w:w="180" w:type="dxa"/>
            <w:vAlign w:val="bottom"/>
            <w:tcBorders>
              <w:bottom w:val="single" w:sz="8" w:color="auto"/>
            </w:tcBorders>
            <w:shd w:val="clear" w:color="auto" w:fill="B2B2B2"/>
          </w:tcPr>
          <w:p>
            <w:pPr>
              <w:spacing w:after="0"/>
              <w:rPr>
                <w:sz w:val="14"/>
                <w:szCs w:val="14"/>
                <w:color w:val="auto"/>
              </w:rPr>
            </w:pPr>
          </w:p>
        </w:tc>
        <w:tc>
          <w:tcPr>
            <w:tcW w:w="40" w:type="dxa"/>
            <w:vAlign w:val="bottom"/>
            <w:tcBorders>
              <w:bottom w:val="single" w:sz="8" w:color="auto"/>
            </w:tcBorders>
            <w:shd w:val="clear" w:color="auto" w:fill="B2B2B2"/>
          </w:tcPr>
          <w:p>
            <w:pPr>
              <w:spacing w:after="0"/>
              <w:rPr>
                <w:sz w:val="14"/>
                <w:szCs w:val="14"/>
                <w:color w:val="auto"/>
              </w:rPr>
            </w:pPr>
          </w:p>
        </w:tc>
        <w:tc>
          <w:tcPr>
            <w:tcW w:w="100" w:type="dxa"/>
            <w:vAlign w:val="bottom"/>
            <w:tcBorders>
              <w:bottom w:val="single" w:sz="8" w:color="auto"/>
            </w:tcBorders>
            <w:shd w:val="clear" w:color="auto" w:fill="B2B2B2"/>
          </w:tcPr>
          <w:p>
            <w:pPr>
              <w:spacing w:after="0"/>
              <w:rPr>
                <w:sz w:val="14"/>
                <w:szCs w:val="14"/>
                <w:color w:val="auto"/>
              </w:rPr>
            </w:pPr>
          </w:p>
        </w:tc>
        <w:tc>
          <w:tcPr>
            <w:tcW w:w="1020" w:type="dxa"/>
            <w:vAlign w:val="bottom"/>
            <w:tcBorders>
              <w:bottom w:val="single" w:sz="8" w:color="auto"/>
              <w:right w:val="single" w:sz="8" w:color="B2B2B2"/>
            </w:tcBorders>
            <w:shd w:val="clear" w:color="auto" w:fill="B2B2B2"/>
          </w:tcPr>
          <w:p>
            <w:pPr>
              <w:spacing w:after="0"/>
              <w:rPr>
                <w:sz w:val="14"/>
                <w:szCs w:val="14"/>
                <w:color w:val="auto"/>
              </w:rPr>
            </w:pPr>
          </w:p>
        </w:tc>
        <w:tc>
          <w:tcPr>
            <w:tcW w:w="100" w:type="dxa"/>
            <w:vAlign w:val="bottom"/>
            <w:tcBorders>
              <w:bottom w:val="single" w:sz="8" w:color="auto"/>
            </w:tcBorders>
            <w:shd w:val="clear" w:color="auto" w:fill="B2B2B2"/>
          </w:tcPr>
          <w:p>
            <w:pPr>
              <w:spacing w:after="0"/>
              <w:rPr>
                <w:sz w:val="14"/>
                <w:szCs w:val="14"/>
                <w:color w:val="auto"/>
              </w:rPr>
            </w:pPr>
          </w:p>
        </w:tc>
        <w:tc>
          <w:tcPr>
            <w:tcW w:w="80" w:type="dxa"/>
            <w:vAlign w:val="bottom"/>
            <w:tcBorders>
              <w:bottom w:val="single" w:sz="8" w:color="auto"/>
            </w:tcBorders>
            <w:shd w:val="clear" w:color="auto" w:fill="B2B2B2"/>
          </w:tcPr>
          <w:p>
            <w:pPr>
              <w:spacing w:after="0"/>
              <w:rPr>
                <w:sz w:val="14"/>
                <w:szCs w:val="14"/>
                <w:color w:val="auto"/>
              </w:rPr>
            </w:pPr>
          </w:p>
        </w:tc>
        <w:tc>
          <w:tcPr>
            <w:tcW w:w="40" w:type="dxa"/>
            <w:vAlign w:val="bottom"/>
            <w:tcBorders>
              <w:bottom w:val="single" w:sz="8" w:color="auto"/>
            </w:tcBorders>
            <w:shd w:val="clear" w:color="auto" w:fill="B2B2B2"/>
          </w:tcPr>
          <w:p>
            <w:pPr>
              <w:spacing w:after="0"/>
              <w:rPr>
                <w:sz w:val="14"/>
                <w:szCs w:val="14"/>
                <w:color w:val="auto"/>
              </w:rPr>
            </w:pPr>
          </w:p>
        </w:tc>
        <w:tc>
          <w:tcPr>
            <w:tcW w:w="180" w:type="dxa"/>
            <w:vAlign w:val="bottom"/>
            <w:tcBorders>
              <w:bottom w:val="single" w:sz="8" w:color="auto"/>
            </w:tcBorders>
            <w:shd w:val="clear" w:color="auto" w:fill="B2B2B2"/>
          </w:tcPr>
          <w:p>
            <w:pPr>
              <w:spacing w:after="0"/>
              <w:rPr>
                <w:sz w:val="14"/>
                <w:szCs w:val="14"/>
                <w:color w:val="auto"/>
              </w:rPr>
            </w:pPr>
          </w:p>
        </w:tc>
        <w:tc>
          <w:tcPr>
            <w:tcW w:w="20" w:type="dxa"/>
            <w:vAlign w:val="bottom"/>
            <w:tcBorders>
              <w:bottom w:val="single" w:sz="8" w:color="auto"/>
            </w:tcBorders>
            <w:shd w:val="clear" w:color="auto" w:fill="B2B2B2"/>
          </w:tcPr>
          <w:p>
            <w:pPr>
              <w:spacing w:after="0"/>
              <w:rPr>
                <w:sz w:val="14"/>
                <w:szCs w:val="14"/>
                <w:color w:val="auto"/>
              </w:rPr>
            </w:pPr>
          </w:p>
        </w:tc>
        <w:tc>
          <w:tcPr>
            <w:tcW w:w="600" w:type="dxa"/>
            <w:vAlign w:val="bottom"/>
            <w:tcBorders>
              <w:bottom w:val="single" w:sz="8" w:color="auto"/>
            </w:tcBorders>
            <w:shd w:val="clear" w:color="auto" w:fill="B2B2B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420" w:type="dxa"/>
            <w:vAlign w:val="bottom"/>
            <w:gridSpan w:val="4"/>
            <w:shd w:val="clear" w:color="auto" w:fill="B2B2B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B2B2B2"/>
            </w:tcBorders>
            <w:shd w:val="clear" w:color="auto" w:fill="B2B2B2"/>
          </w:tcPr>
          <w:p>
            <w:pPr>
              <w:ind w:left="560"/>
              <w:spacing w:after="0"/>
              <w:rPr>
                <w:sz w:val="20"/>
                <w:szCs w:val="20"/>
                <w:color w:val="auto"/>
              </w:rPr>
            </w:pPr>
            <w:r>
              <w:rPr>
                <w:rFonts w:ascii="Times New Roman" w:cs="Times New Roman" w:eastAsia="Times New Roman" w:hAnsi="Times New Roman"/>
                <w:sz w:val="18"/>
                <w:szCs w:val="18"/>
                <w:color w:val="auto"/>
                <w:w w:val="93"/>
              </w:rPr>
              <w:t>7,753</w:t>
            </w: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20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205,770</w:t>
            </w: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200" w:type="dxa"/>
            <w:vAlign w:val="bottom"/>
            <w:gridSpan w:val="2"/>
            <w:shd w:val="clear" w:color="auto" w:fill="B2B2B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B2B2B2"/>
          </w:tcPr>
          <w:p>
            <w:pPr>
              <w:spacing w:after="0"/>
              <w:rPr>
                <w:sz w:val="18"/>
                <w:szCs w:val="18"/>
                <w:color w:val="auto"/>
              </w:rPr>
            </w:pPr>
          </w:p>
        </w:tc>
        <w:tc>
          <w:tcPr>
            <w:tcW w:w="70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75,171</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40" w:type="dxa"/>
            <w:vAlign w:val="bottom"/>
            <w:tcBorders>
              <w:right w:val="single" w:sz="8" w:color="B2B2B2"/>
            </w:tcBorders>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(39,974)</w:t>
            </w:r>
          </w:p>
        </w:tc>
        <w:tc>
          <w:tcPr>
            <w:tcW w:w="1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220" w:type="dxa"/>
            <w:vAlign w:val="bottom"/>
            <w:gridSpan w:val="2"/>
            <w:shd w:val="clear" w:color="auto" w:fill="B2B2B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2B2B2"/>
          </w:tcPr>
          <w:p>
            <w:pPr>
              <w:spacing w:after="0"/>
              <w:rPr>
                <w:sz w:val="18"/>
                <w:szCs w:val="18"/>
                <w:color w:val="auto"/>
              </w:rPr>
            </w:pPr>
          </w:p>
        </w:tc>
        <w:tc>
          <w:tcPr>
            <w:tcW w:w="102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100" w:type="dxa"/>
            <w:vAlign w:val="bottom"/>
            <w:shd w:val="clear" w:color="auto" w:fill="B2B2B2"/>
          </w:tcPr>
          <w:p>
            <w:pPr>
              <w:spacing w:after="0"/>
              <w:rPr>
                <w:sz w:val="18"/>
                <w:szCs w:val="18"/>
                <w:color w:val="auto"/>
              </w:rPr>
            </w:pPr>
          </w:p>
        </w:tc>
        <w:tc>
          <w:tcPr>
            <w:tcW w:w="300" w:type="dxa"/>
            <w:vAlign w:val="bottom"/>
            <w:gridSpan w:val="3"/>
            <w:shd w:val="clear" w:color="auto" w:fill="B2B2B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229,848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980" w:type="dxa"/>
            <w:vAlign w:val="bottom"/>
            <w:tcBorders>
              <w:right w:val="single" w:sz="8" w:color="B2B2B2"/>
            </w:tcBorders>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780" w:type="dxa"/>
            <w:vAlign w:val="bottom"/>
            <w:tcBorders>
              <w:right w:val="single" w:sz="8" w:color="B2B2B2"/>
            </w:tcBorders>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700" w:type="dxa"/>
            <w:vAlign w:val="bottom"/>
            <w:tcBorders>
              <w:right w:val="single" w:sz="8" w:color="B2B2B2"/>
            </w:tcBorders>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40" w:type="dxa"/>
            <w:vAlign w:val="bottom"/>
            <w:tcBorders>
              <w:right w:val="single" w:sz="8" w:color="B2B2B2"/>
            </w:tcBorders>
            <w:shd w:val="clear" w:color="auto" w:fill="B2B2B2"/>
          </w:tcPr>
          <w:p>
            <w:pPr>
              <w:spacing w:after="0"/>
              <w:rPr>
                <w:sz w:val="15"/>
                <w:szCs w:val="15"/>
                <w:color w:val="auto"/>
              </w:rPr>
            </w:pPr>
          </w:p>
        </w:tc>
        <w:tc>
          <w:tcPr>
            <w:tcW w:w="780" w:type="dxa"/>
            <w:vAlign w:val="bottom"/>
            <w:tcBorders>
              <w:right w:val="single" w:sz="8" w:color="B2B2B2"/>
            </w:tcBorders>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020" w:type="dxa"/>
            <w:vAlign w:val="bottom"/>
            <w:tcBorders>
              <w:right w:val="single" w:sz="8" w:color="B2B2B2"/>
            </w:tcBorders>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620" w:type="dxa"/>
            <w:vAlign w:val="bottom"/>
            <w:gridSpan w:val="2"/>
            <w:shd w:val="clear" w:color="auto" w:fill="B2B2B2"/>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Cash dividends ($.26 per share)</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70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tcBorders>
              <w:right w:val="single" w:sz="8" w:color="B2B2B2"/>
            </w:tcBorders>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20" w:type="dxa"/>
            <w:vAlign w:val="bottom"/>
            <w:tcBorders>
              <w:righ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7"/>
              </w:rPr>
              <w:t>(11,317)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84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Issuance of 36,062 common shares pursuant to</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plan, net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Exercise of SARs</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70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tcBorders>
              <w:right w:val="single" w:sz="8" w:color="B2B2B2"/>
            </w:tcBorders>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20" w:type="dxa"/>
            <w:vAlign w:val="bottom"/>
            <w:tcBorders>
              <w:righ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Purchase of 154,593 common shares</w:t>
            </w: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700" w:type="dxa"/>
            <w:vAlign w:val="bottom"/>
            <w:tcBorders>
              <w:right w:val="single" w:sz="8" w:color="B2B2B2"/>
            </w:tcBorders>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tcBorders>
              <w:right w:val="single" w:sz="8" w:color="B2B2B2"/>
            </w:tcBorders>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20" w:type="dxa"/>
            <w:vAlign w:val="bottom"/>
            <w:tcBorders>
              <w:righ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6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Borders>
              <w:top w:val="single" w:sz="8" w:color="B2B2B2"/>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Balance, September 30, 2019</w:t>
            </w:r>
          </w:p>
        </w:tc>
        <w:tc>
          <w:tcPr>
            <w:tcW w:w="400" w:type="dxa"/>
            <w:vAlign w:val="bottom"/>
            <w:tcBorders>
              <w:top w:val="single" w:sz="8" w:color="B2B2B2"/>
            </w:tcBorders>
            <w:gridSpan w:val="3"/>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B2B2B2"/>
          </w:tcPr>
          <w:p>
            <w:pPr>
              <w:spacing w:after="0"/>
              <w:rPr>
                <w:sz w:val="18"/>
                <w:szCs w:val="18"/>
                <w:color w:val="auto"/>
              </w:rPr>
            </w:pPr>
          </w:p>
        </w:tc>
        <w:tc>
          <w:tcPr>
            <w:tcW w:w="980" w:type="dxa"/>
            <w:vAlign w:val="bottom"/>
            <w:tcBorders>
              <w:top w:val="single" w:sz="8" w:color="auto"/>
              <w:bottom w:val="single" w:sz="8" w:color="auto"/>
              <w:right w:val="single" w:sz="8" w:color="B2B2B2"/>
            </w:tcBorders>
            <w:shd w:val="clear" w:color="auto" w:fill="B2B2B2"/>
          </w:tcPr>
          <w:p>
            <w:pPr>
              <w:ind w:left="560"/>
              <w:spacing w:after="0"/>
              <w:rPr>
                <w:sz w:val="20"/>
                <w:szCs w:val="20"/>
                <w:color w:val="auto"/>
              </w:rPr>
            </w:pPr>
            <w:r>
              <w:rPr>
                <w:rFonts w:ascii="Times New Roman" w:cs="Times New Roman" w:eastAsia="Times New Roman" w:hAnsi="Times New Roman"/>
                <w:sz w:val="18"/>
                <w:szCs w:val="18"/>
                <w:color w:val="auto"/>
                <w:w w:val="93"/>
              </w:rPr>
              <w:t>7,753</w:t>
            </w:r>
          </w:p>
        </w:tc>
        <w:tc>
          <w:tcPr>
            <w:tcW w:w="18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180" w:type="dxa"/>
            <w:vAlign w:val="bottom"/>
            <w:tcBorders>
              <w:top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B2B2B2"/>
          </w:tcPr>
          <w:p>
            <w:pPr>
              <w:spacing w:after="0"/>
              <w:rPr>
                <w:sz w:val="18"/>
                <w:szCs w:val="18"/>
                <w:color w:val="auto"/>
              </w:rPr>
            </w:pPr>
          </w:p>
        </w:tc>
        <w:tc>
          <w:tcPr>
            <w:tcW w:w="780" w:type="dxa"/>
            <w:vAlign w:val="bottom"/>
            <w:tcBorders>
              <w:top w:val="single" w:sz="8" w:color="auto"/>
              <w:bottom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205,775</w:t>
            </w:r>
          </w:p>
        </w:tc>
        <w:tc>
          <w:tcPr>
            <w:tcW w:w="18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180" w:type="dxa"/>
            <w:vAlign w:val="bottom"/>
            <w:tcBorders>
              <w:top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B2B2B2"/>
          </w:tcPr>
          <w:p>
            <w:pPr>
              <w:spacing w:after="0"/>
              <w:rPr>
                <w:sz w:val="18"/>
                <w:szCs w:val="18"/>
                <w:color w:val="auto"/>
              </w:rPr>
            </w:pPr>
          </w:p>
        </w:tc>
        <w:tc>
          <w:tcPr>
            <w:tcW w:w="80" w:type="dxa"/>
            <w:vAlign w:val="bottom"/>
            <w:tcBorders>
              <w:top w:val="single" w:sz="8" w:color="auto"/>
              <w:bottom w:val="single" w:sz="8" w:color="auto"/>
            </w:tcBorders>
            <w:shd w:val="clear" w:color="auto" w:fill="B2B2B2"/>
          </w:tcPr>
          <w:p>
            <w:pPr>
              <w:spacing w:after="0"/>
              <w:rPr>
                <w:sz w:val="18"/>
                <w:szCs w:val="18"/>
                <w:color w:val="auto"/>
              </w:rPr>
            </w:pPr>
          </w:p>
        </w:tc>
        <w:tc>
          <w:tcPr>
            <w:tcW w:w="700" w:type="dxa"/>
            <w:vAlign w:val="bottom"/>
            <w:tcBorders>
              <w:top w:val="single" w:sz="8" w:color="auto"/>
              <w:bottom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87,887</w:t>
            </w:r>
          </w:p>
        </w:tc>
        <w:tc>
          <w:tcPr>
            <w:tcW w:w="180" w:type="dxa"/>
            <w:vAlign w:val="bottom"/>
            <w:tcBorders>
              <w:top w:val="single" w:sz="8" w:color="B2B2B2"/>
            </w:tcBorders>
            <w:shd w:val="clear" w:color="auto" w:fill="B2B2B2"/>
          </w:tcPr>
          <w:p>
            <w:pPr>
              <w:spacing w:after="0"/>
              <w:rPr>
                <w:sz w:val="18"/>
                <w:szCs w:val="18"/>
                <w:color w:val="auto"/>
              </w:rPr>
            </w:pPr>
          </w:p>
        </w:tc>
        <w:tc>
          <w:tcPr>
            <w:tcW w:w="20" w:type="dxa"/>
            <w:vAlign w:val="bottom"/>
            <w:tcBorders>
              <w:top w:val="single" w:sz="8" w:color="B2B2B2"/>
            </w:tcBorders>
            <w:shd w:val="clear" w:color="auto" w:fill="B2B2B2"/>
          </w:tcPr>
          <w:p>
            <w:pPr>
              <w:spacing w:after="0"/>
              <w:rPr>
                <w:sz w:val="18"/>
                <w:szCs w:val="18"/>
                <w:color w:val="auto"/>
              </w:rPr>
            </w:pPr>
          </w:p>
        </w:tc>
        <w:tc>
          <w:tcPr>
            <w:tcW w:w="200" w:type="dxa"/>
            <w:vAlign w:val="bottom"/>
            <w:tcBorders>
              <w:top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right w:val="single" w:sz="8" w:color="B2B2B2"/>
            </w:tcBorders>
            <w:shd w:val="clear" w:color="auto" w:fill="B2B2B2"/>
          </w:tcPr>
          <w:p>
            <w:pPr>
              <w:spacing w:after="0"/>
              <w:rPr>
                <w:sz w:val="18"/>
                <w:szCs w:val="18"/>
                <w:color w:val="auto"/>
              </w:rPr>
            </w:pPr>
          </w:p>
        </w:tc>
        <w:tc>
          <w:tcPr>
            <w:tcW w:w="780" w:type="dxa"/>
            <w:vAlign w:val="bottom"/>
            <w:tcBorders>
              <w:top w:val="single" w:sz="8" w:color="auto"/>
              <w:bottom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(45,985)</w:t>
            </w:r>
          </w:p>
        </w:tc>
        <w:tc>
          <w:tcPr>
            <w:tcW w:w="16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180" w:type="dxa"/>
            <w:vAlign w:val="bottom"/>
            <w:tcBorders>
              <w:top w:val="single" w:sz="8" w:color="B2B2B2"/>
            </w:tcBorders>
            <w:shd w:val="clear" w:color="auto" w:fill="B2B2B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B2B2B2"/>
          </w:tcPr>
          <w:p>
            <w:pPr>
              <w:spacing w:after="0"/>
              <w:rPr>
                <w:sz w:val="18"/>
                <w:szCs w:val="18"/>
                <w:color w:val="auto"/>
              </w:rPr>
            </w:pPr>
          </w:p>
        </w:tc>
        <w:tc>
          <w:tcPr>
            <w:tcW w:w="100" w:type="dxa"/>
            <w:vAlign w:val="bottom"/>
            <w:tcBorders>
              <w:top w:val="single" w:sz="8" w:color="auto"/>
              <w:bottom w:val="single" w:sz="8" w:color="auto"/>
            </w:tcBorders>
            <w:shd w:val="clear" w:color="auto" w:fill="B2B2B2"/>
          </w:tcPr>
          <w:p>
            <w:pPr>
              <w:spacing w:after="0"/>
              <w:rPr>
                <w:sz w:val="18"/>
                <w:szCs w:val="18"/>
                <w:color w:val="auto"/>
              </w:rPr>
            </w:pPr>
          </w:p>
        </w:tc>
        <w:tc>
          <w:tcPr>
            <w:tcW w:w="1020" w:type="dxa"/>
            <w:vAlign w:val="bottom"/>
            <w:tcBorders>
              <w:top w:val="single" w:sz="8" w:color="auto"/>
              <w:bottom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00" w:type="dxa"/>
            <w:vAlign w:val="bottom"/>
            <w:tcBorders>
              <w:top w:val="single" w:sz="8" w:color="B2B2B2"/>
            </w:tcBorders>
            <w:shd w:val="clear" w:color="auto" w:fill="B2B2B2"/>
          </w:tcPr>
          <w:p>
            <w:pPr>
              <w:spacing w:after="0"/>
              <w:rPr>
                <w:sz w:val="18"/>
                <w:szCs w:val="18"/>
                <w:color w:val="auto"/>
              </w:rPr>
            </w:pPr>
          </w:p>
        </w:tc>
        <w:tc>
          <w:tcPr>
            <w:tcW w:w="300" w:type="dxa"/>
            <w:vAlign w:val="bottom"/>
            <w:tcBorders>
              <w:top w:val="single" w:sz="8" w:color="B2B2B2"/>
            </w:tcBorders>
            <w:gridSpan w:val="3"/>
            <w:shd w:val="clear" w:color="auto" w:fill="B2B2B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246,617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All share and per share data have been restated to give effect to the 20% stock dividend paid on December 14, 2018. Certain amounts in prior-period financial statements have been reclassified to conform to the current period’s presentation. For further information, refer to the audited consolidated financial statements and related footnotes included in Cass Information System, Inc.’s (the “Company” or “Cass”) Annual Report on Form 10-K for the year ended December 31, 2018.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Intangible Assets</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accounts for intangible assets in accordance with Financial Accounting Standards Board (“FASB”) Accounting Standards Codification (“ASC”) 350, “Goodwill and Other Intangible Assets,” (“FASB ASC 350”), which requires that intangibles with indefinite useful lives be tested annually for impairment and those with finite useful lives be amortized over their useful lives.</w:t>
      </w:r>
    </w:p>
    <w:p>
      <w:pPr>
        <w:spacing w:after="0" w:line="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September 2019, the Company acquired the assets of Gateway Giving, LLC and recorded intangible assets of $5,300,000. The purchase price of the acquisition consisted of a cash payment of $3,000,000 and a potential earnout of $4,000,000. The Company estimated the earnout component to be $2,300,000. Those intangible assets were estimated as $3,325,000 for goodwill, $1,500,000 for software, $325,000 for the customer list, and $150,000 for non-compete agreements. The amounts recorded for the software, the customer list, the non-compete agreements, and goodwill were done so on a provisional basis and will be adjusted upon the completion of a valuation.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6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3"/>
        </w:trPr>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80" w:type="dxa"/>
            <w:vAlign w:val="bottom"/>
            <w:gridSpan w:val="2"/>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220" w:type="dxa"/>
            <w:vAlign w:val="bottom"/>
          </w:tcPr>
          <w:p>
            <w:pPr>
              <w:spacing w:after="0"/>
              <w:rPr>
                <w:sz w:val="16"/>
                <w:szCs w:val="16"/>
                <w:color w:val="auto"/>
              </w:rPr>
            </w:pPr>
          </w:p>
        </w:tc>
        <w:tc>
          <w:tcPr>
            <w:tcW w:w="134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6"/>
                <w:szCs w:val="16"/>
                <w:color w:val="auto"/>
              </w:rPr>
            </w:pPr>
          </w:p>
        </w:tc>
        <w:tc>
          <w:tcPr>
            <w:tcW w:w="154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2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6"/>
                <w:szCs w:val="16"/>
                <w:color w:val="auto"/>
              </w:rPr>
            </w:pPr>
          </w:p>
        </w:tc>
      </w:tr>
      <w:tr>
        <w:trPr>
          <w:trHeight w:val="245"/>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1"/>
                <w:szCs w:val="21"/>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6"/>
        </w:trPr>
        <w:tc>
          <w:tcPr>
            <w:tcW w:w="3860" w:type="dxa"/>
            <w:vAlign w:val="bottom"/>
            <w:tcBorders>
              <w:top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520" w:type="dxa"/>
            <w:vAlign w:val="bottom"/>
            <w:tcBorders>
              <w:top w:val="single" w:sz="8" w:color="auto"/>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1240" w:type="dxa"/>
            <w:vAlign w:val="bottom"/>
            <w:tcBorders>
              <w:top w:val="single" w:sz="8" w:color="auto"/>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1340" w:type="dxa"/>
            <w:vAlign w:val="bottom"/>
            <w:tcBorders>
              <w:top w:val="single" w:sz="8" w:color="auto"/>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1540" w:type="dxa"/>
            <w:vAlign w:val="bottom"/>
            <w:tcBorders>
              <w:top w:val="single" w:sz="8" w:color="auto"/>
            </w:tcBorders>
            <w:shd w:val="clear" w:color="auto" w:fill="B2B2B2"/>
          </w:tcPr>
          <w:p>
            <w:pPr>
              <w:spacing w:after="0"/>
              <w:rPr>
                <w:sz w:val="18"/>
                <w:szCs w:val="18"/>
                <w:color w:val="auto"/>
              </w:rPr>
            </w:pPr>
          </w:p>
        </w:tc>
        <w:tc>
          <w:tcPr>
            <w:tcW w:w="600" w:type="dxa"/>
            <w:vAlign w:val="bottom"/>
            <w:tcBorders>
              <w:top w:val="single" w:sz="8" w:color="auto"/>
            </w:tcBorders>
            <w:shd w:val="clear" w:color="auto" w:fill="B2B2B2"/>
          </w:tcPr>
          <w:p>
            <w:pPr>
              <w:spacing w:after="0"/>
              <w:rPr>
                <w:sz w:val="18"/>
                <w:szCs w:val="18"/>
                <w:color w:val="auto"/>
              </w:rPr>
            </w:pPr>
          </w:p>
        </w:tc>
        <w:tc>
          <w:tcPr>
            <w:tcW w:w="62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lists</w:t>
            </w:r>
          </w:p>
        </w:tc>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4,288</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0" w:type="dxa"/>
            <w:vAlign w:val="bottom"/>
          </w:tcPr>
          <w:p>
            <w:pPr>
              <w:spacing w:after="0"/>
              <w:rPr>
                <w:sz w:val="18"/>
                <w:szCs w:val="18"/>
                <w:color w:val="auto"/>
              </w:rPr>
            </w:pPr>
          </w:p>
        </w:tc>
      </w:tr>
      <w:tr>
        <w:trPr>
          <w:trHeight w:val="216"/>
        </w:trPr>
        <w:tc>
          <w:tcPr>
            <w:tcW w:w="38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15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2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B2B2B2"/>
          </w:tcPr>
          <w:p>
            <w:pPr>
              <w:spacing w:after="0"/>
              <w:rPr>
                <w:sz w:val="18"/>
                <w:szCs w:val="18"/>
                <w:color w:val="auto"/>
              </w:rPr>
            </w:pPr>
          </w:p>
        </w:tc>
        <w:tc>
          <w:tcPr>
            <w:tcW w:w="15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600" w:type="dxa"/>
            <w:vAlign w:val="bottom"/>
            <w:shd w:val="clear" w:color="auto" w:fill="B2B2B2"/>
          </w:tcPr>
          <w:p>
            <w:pPr>
              <w:spacing w:after="0"/>
              <w:rPr>
                <w:sz w:val="18"/>
                <w:szCs w:val="18"/>
                <w:color w:val="auto"/>
              </w:rPr>
            </w:pPr>
          </w:p>
        </w:tc>
        <w:tc>
          <w:tcPr>
            <w:tcW w:w="6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Pr>
          <w:p>
            <w:pPr>
              <w:spacing w:after="0"/>
              <w:rPr>
                <w:sz w:val="18"/>
                <w:szCs w:val="18"/>
                <w:color w:val="auto"/>
              </w:rPr>
            </w:pPr>
          </w:p>
        </w:tc>
      </w:tr>
      <w:tr>
        <w:trPr>
          <w:trHeight w:val="216"/>
        </w:trPr>
        <w:tc>
          <w:tcPr>
            <w:tcW w:w="38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5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2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1,734</w:t>
            </w:r>
          </w:p>
        </w:tc>
        <w:tc>
          <w:tcPr>
            <w:tcW w:w="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shd w:val="clear" w:color="auto" w:fill="B2B2B2"/>
          </w:tcPr>
          <w:p>
            <w:pPr>
              <w:spacing w:after="0"/>
              <w:rPr>
                <w:sz w:val="18"/>
                <w:szCs w:val="18"/>
                <w:color w:val="auto"/>
              </w:rPr>
            </w:pPr>
          </w:p>
        </w:tc>
        <w:tc>
          <w:tcPr>
            <w:tcW w:w="15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c>
          <w:tcPr>
            <w:tcW w:w="600" w:type="dxa"/>
            <w:vAlign w:val="bottom"/>
            <w:shd w:val="clear" w:color="auto" w:fill="B2B2B2"/>
          </w:tcPr>
          <w:p>
            <w:pPr>
              <w:spacing w:after="0"/>
              <w:rPr>
                <w:sz w:val="18"/>
                <w:szCs w:val="18"/>
                <w:color w:val="auto"/>
              </w:rPr>
            </w:pPr>
          </w:p>
        </w:tc>
        <w:tc>
          <w:tcPr>
            <w:tcW w:w="6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r>
      <w:tr>
        <w:trPr>
          <w:trHeight w:val="216"/>
        </w:trPr>
        <w:tc>
          <w:tcPr>
            <w:tcW w:w="38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5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2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3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540" w:type="dxa"/>
            <w:vAlign w:val="bottom"/>
            <w:shd w:val="clear" w:color="auto" w:fill="B2B2B2"/>
          </w:tcPr>
          <w:p>
            <w:pPr>
              <w:spacing w:after="0"/>
              <w:rPr>
                <w:sz w:val="18"/>
                <w:szCs w:val="18"/>
                <w:color w:val="auto"/>
              </w:rPr>
            </w:pPr>
          </w:p>
        </w:tc>
        <w:tc>
          <w:tcPr>
            <w:tcW w:w="600" w:type="dxa"/>
            <w:vAlign w:val="bottom"/>
            <w:shd w:val="clear" w:color="auto" w:fill="B2B2B2"/>
          </w:tcPr>
          <w:p>
            <w:pPr>
              <w:spacing w:after="0"/>
              <w:rPr>
                <w:sz w:val="18"/>
                <w:szCs w:val="18"/>
                <w:color w:val="auto"/>
              </w:rPr>
            </w:pPr>
          </w:p>
        </w:tc>
        <w:tc>
          <w:tcPr>
            <w:tcW w:w="6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38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9"/>
                <w:szCs w:val="29"/>
                <w:color w:val="auto"/>
                <w:vertAlign w:val="superscript"/>
              </w:rPr>
              <w:t>1</w:t>
            </w:r>
          </w:p>
        </w:tc>
        <w:tc>
          <w:tcPr>
            <w:tcW w:w="1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16,121</w:t>
            </w:r>
          </w:p>
        </w:tc>
        <w:tc>
          <w:tcPr>
            <w:tcW w:w="22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12,796</w:t>
            </w:r>
          </w:p>
        </w:tc>
        <w:tc>
          <w:tcPr>
            <w:tcW w:w="60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3860" w:type="dxa"/>
            <w:vAlign w:val="bottom"/>
            <w:tcBorders>
              <w:top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760" w:type="dxa"/>
            <w:vAlign w:val="bottom"/>
            <w:tcBorders>
              <w:top w:val="single" w:sz="8" w:color="auto"/>
            </w:tcBorders>
            <w:gridSpan w:val="2"/>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23,522</w:t>
            </w:r>
          </w:p>
        </w:tc>
        <w:tc>
          <w:tcPr>
            <w:tcW w:w="2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(4,458)</w:t>
            </w:r>
          </w:p>
        </w:tc>
        <w:tc>
          <w:tcPr>
            <w:tcW w:w="24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18,222</w:t>
            </w:r>
          </w:p>
        </w:tc>
        <w:tc>
          <w:tcPr>
            <w:tcW w:w="600" w:type="dxa"/>
            <w:vAlign w:val="bottom"/>
            <w:tcBorders>
              <w:top w:val="single" w:sz="8" w:color="auto"/>
            </w:tcBorders>
            <w:shd w:val="clear" w:color="auto" w:fill="B2B2B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20" w:hanging="212"/>
        <w:spacing w:after="0"/>
        <w:tabs>
          <w:tab w:leader="none" w:pos="2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Amortization through December 31, 2001 prior to adoption of FASB ASC 350.</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customer lists are amortized over seven and ten years; the patents over 18 years; the non-compete agreements over two and five years; software over three years; and other intangible assets over 15 years. Amortization of intangible assets amounted to $359,000 and $331,000 for the nine-month periods ended September 30, 2019 and 2018, respectively. Estimated annual amortization of intangibles is as follows: $604,000 in 2019, $983,000 in each of 2020 and 2021, $498,000 in 2022 and $164,000 in 2023.</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Note 3 – Earnings Per Share</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There were no anti-dilutive shares in the three and nine months ended September 30, 2019 and 2018. The calculations of basic and diluted earnings per share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256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1"/>
                <w:szCs w:val="21"/>
                <w:color w:val="auto"/>
              </w:rPr>
            </w:pPr>
          </w:p>
        </w:tc>
      </w:tr>
      <w:tr>
        <w:trPr>
          <w:trHeight w:val="216"/>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09"/>
        </w:trPr>
        <w:tc>
          <w:tcPr>
            <w:tcW w:w="5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122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8,186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7,610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24,033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23,211</w:t>
            </w:r>
          </w:p>
        </w:tc>
      </w:tr>
      <w:tr>
        <w:trPr>
          <w:trHeight w:val="216"/>
        </w:trPr>
        <w:tc>
          <w:tcPr>
            <w:tcW w:w="51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80" w:type="dxa"/>
            <w:vAlign w:val="bottom"/>
            <w:shd w:val="clear" w:color="auto" w:fill="B2B2B2"/>
          </w:tcPr>
          <w:p>
            <w:pPr>
              <w:spacing w:after="0"/>
              <w:rPr>
                <w:sz w:val="18"/>
                <w:szCs w:val="18"/>
                <w:color w:val="auto"/>
              </w:rPr>
            </w:pPr>
          </w:p>
        </w:tc>
        <w:tc>
          <w:tcPr>
            <w:tcW w:w="130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14,417,725</w:t>
            </w:r>
          </w:p>
        </w:tc>
        <w:tc>
          <w:tcPr>
            <w:tcW w:w="42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14,695,170</w:t>
            </w:r>
          </w:p>
        </w:tc>
        <w:tc>
          <w:tcPr>
            <w:tcW w:w="400" w:type="dxa"/>
            <w:vAlign w:val="bottom"/>
            <w:shd w:val="clear" w:color="auto" w:fill="B2B2B2"/>
          </w:tcPr>
          <w:p>
            <w:pPr>
              <w:spacing w:after="0"/>
              <w:rPr>
                <w:sz w:val="18"/>
                <w:szCs w:val="18"/>
                <w:color w:val="auto"/>
              </w:rPr>
            </w:pPr>
          </w:p>
        </w:tc>
        <w:tc>
          <w:tcPr>
            <w:tcW w:w="122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14,435,670</w:t>
            </w:r>
          </w:p>
        </w:tc>
        <w:tc>
          <w:tcPr>
            <w:tcW w:w="4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14,687,614</w:t>
            </w:r>
          </w:p>
        </w:tc>
      </w:tr>
      <w:tr>
        <w:trPr>
          <w:trHeight w:val="216"/>
        </w:trPr>
        <w:tc>
          <w:tcPr>
            <w:tcW w:w="51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1.66</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9"/>
        </w:trPr>
        <w:tc>
          <w:tcPr>
            <w:tcW w:w="5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122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8,186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7,610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24,033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23,211</w:t>
            </w:r>
          </w:p>
        </w:tc>
      </w:tr>
      <w:tr>
        <w:trPr>
          <w:trHeight w:val="216"/>
        </w:trPr>
        <w:tc>
          <w:tcPr>
            <w:tcW w:w="51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80" w:type="dxa"/>
            <w:vAlign w:val="bottom"/>
            <w:shd w:val="clear" w:color="auto" w:fill="B2B2B2"/>
          </w:tcPr>
          <w:p>
            <w:pPr>
              <w:spacing w:after="0"/>
              <w:rPr>
                <w:sz w:val="18"/>
                <w:szCs w:val="18"/>
                <w:color w:val="auto"/>
              </w:rPr>
            </w:pPr>
          </w:p>
        </w:tc>
        <w:tc>
          <w:tcPr>
            <w:tcW w:w="130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14,417,725</w:t>
            </w:r>
          </w:p>
        </w:tc>
        <w:tc>
          <w:tcPr>
            <w:tcW w:w="42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14,695,170</w:t>
            </w:r>
          </w:p>
        </w:tc>
        <w:tc>
          <w:tcPr>
            <w:tcW w:w="400" w:type="dxa"/>
            <w:vAlign w:val="bottom"/>
            <w:shd w:val="clear" w:color="auto" w:fill="B2B2B2"/>
          </w:tcPr>
          <w:p>
            <w:pPr>
              <w:spacing w:after="0"/>
              <w:rPr>
                <w:sz w:val="18"/>
                <w:szCs w:val="18"/>
                <w:color w:val="auto"/>
              </w:rPr>
            </w:pPr>
          </w:p>
        </w:tc>
        <w:tc>
          <w:tcPr>
            <w:tcW w:w="122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14,435,670</w:t>
            </w:r>
          </w:p>
        </w:tc>
        <w:tc>
          <w:tcPr>
            <w:tcW w:w="4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14,687,614</w:t>
            </w:r>
          </w:p>
        </w:tc>
      </w:tr>
      <w:tr>
        <w:trPr>
          <w:trHeight w:val="216"/>
        </w:trPr>
        <w:tc>
          <w:tcPr>
            <w:tcW w:w="5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 of dilutive restricted stock and stock appreciation rights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262,917</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248,010</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258,123</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240,489</w:t>
            </w:r>
          </w:p>
        </w:tc>
      </w:tr>
      <w:tr>
        <w:trPr>
          <w:trHeight w:val="209"/>
        </w:trPr>
        <w:tc>
          <w:tcPr>
            <w:tcW w:w="51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380" w:type="dxa"/>
            <w:vAlign w:val="bottom"/>
            <w:shd w:val="clear" w:color="auto" w:fill="B2B2B2"/>
          </w:tcPr>
          <w:p>
            <w:pPr>
              <w:spacing w:after="0"/>
              <w:rPr>
                <w:sz w:val="18"/>
                <w:szCs w:val="18"/>
                <w:color w:val="auto"/>
              </w:rPr>
            </w:pPr>
          </w:p>
        </w:tc>
        <w:tc>
          <w:tcPr>
            <w:tcW w:w="130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14,680,642</w:t>
            </w:r>
          </w:p>
        </w:tc>
        <w:tc>
          <w:tcPr>
            <w:tcW w:w="42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14,943,180</w:t>
            </w:r>
          </w:p>
        </w:tc>
        <w:tc>
          <w:tcPr>
            <w:tcW w:w="400" w:type="dxa"/>
            <w:vAlign w:val="bottom"/>
            <w:shd w:val="clear" w:color="auto" w:fill="B2B2B2"/>
          </w:tcPr>
          <w:p>
            <w:pPr>
              <w:spacing w:after="0"/>
              <w:rPr>
                <w:sz w:val="18"/>
                <w:szCs w:val="18"/>
                <w:color w:val="auto"/>
              </w:rPr>
            </w:pPr>
          </w:p>
        </w:tc>
        <w:tc>
          <w:tcPr>
            <w:tcW w:w="122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14,693,793</w:t>
            </w:r>
          </w:p>
        </w:tc>
        <w:tc>
          <w:tcPr>
            <w:tcW w:w="4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14,928,103</w:t>
            </w:r>
          </w:p>
        </w:tc>
      </w:tr>
      <w:tr>
        <w:trPr>
          <w:trHeight w:val="223"/>
        </w:trPr>
        <w:tc>
          <w:tcPr>
            <w:tcW w:w="51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Stock Repurchases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the Board of Directors has authorized the repurchase of up to 500,000 shares of the Company’s common stock. As restored by the Board of Directors on October 22, 2019, the program provides that the Company may repurchase up to an aggregate of 500,000 shares of common stock and has no expiration date. The Company did not repurchase shares during the three-month periods ended September 30, 2019 and 2018 and repurchased 154,593 and 18,656 during the nine-month periods ended September 30, 2019 and 2018, respectively. As of September 30, 2019, 450,222 shares remained available for repurchase under the program. Repurchases may be made in the open market or through negotiated transactions from time to time depending on market conditions.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Industry Segment Information</w:t>
      </w:r>
    </w:p>
    <w:p>
      <w:pPr>
        <w:spacing w:after="0" w:line="11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as well as supporting the banking needs of the Information Services segment.</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the summary of significant accounting policies in the Company’s Annual Report on Form 10-K for the year ended December 31, 2018.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7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w:t>
      </w:r>
    </w:p>
    <w:p>
      <w:pPr>
        <w:spacing w:after="0" w:line="32" w:lineRule="exact"/>
        <w:rPr>
          <w:sz w:val="20"/>
          <w:szCs w:val="20"/>
          <w:color w:val="auto"/>
        </w:rPr>
      </w:pPr>
    </w:p>
    <w:p>
      <w:pPr>
        <w:ind w:left="560" w:hanging="229"/>
        <w:spacing w:after="0"/>
        <w:tabs>
          <w:tab w:leader="none" w:pos="560" w:val="left"/>
        </w:tabs>
        <w:numPr>
          <w:ilvl w:val="0"/>
          <w:numId w:val="4"/>
        </w:numPr>
        <w:rPr>
          <w:rFonts w:ascii="Times New Roman" w:cs="Times New Roman" w:eastAsia="Times New Roman" w:hAnsi="Times New Roman"/>
          <w:sz w:val="27"/>
          <w:szCs w:val="27"/>
          <w:color w:val="auto"/>
        </w:rPr>
      </w:pPr>
      <w:r>
        <w:rPr>
          <w:rFonts w:ascii="Times New Roman" w:cs="Times New Roman" w:eastAsia="Times New Roman" w:hAnsi="Times New Roman"/>
          <w:sz w:val="18"/>
          <w:szCs w:val="18"/>
          <w:color w:val="auto"/>
        </w:rPr>
        <w:t>Information Services – one or more fixed rates depending upon the specific characteristics of the funding source, and</w:t>
      </w:r>
    </w:p>
    <w:p>
      <w:pPr>
        <w:spacing w:after="0" w:line="54" w:lineRule="exact"/>
        <w:rPr>
          <w:rFonts w:ascii="Times New Roman" w:cs="Times New Roman" w:eastAsia="Times New Roman" w:hAnsi="Times New Roman"/>
          <w:sz w:val="27"/>
          <w:szCs w:val="27"/>
          <w:color w:val="auto"/>
        </w:rPr>
      </w:pPr>
    </w:p>
    <w:p>
      <w:pPr>
        <w:ind w:left="560" w:hanging="229"/>
        <w:spacing w:after="0" w:line="183" w:lineRule="auto"/>
        <w:tabs>
          <w:tab w:leader="none" w:pos="560" w:val="left"/>
        </w:tabs>
        <w:numPr>
          <w:ilvl w:val="0"/>
          <w:numId w:val="4"/>
        </w:numPr>
        <w:rPr>
          <w:rFonts w:ascii="Times New Roman" w:cs="Times New Roman" w:eastAsia="Times New Roman" w:hAnsi="Times New Roman"/>
          <w:sz w:val="26"/>
          <w:szCs w:val="26"/>
          <w:color w:val="auto"/>
        </w:rPr>
      </w:pPr>
      <w:r>
        <w:rPr>
          <w:rFonts w:ascii="Times New Roman" w:cs="Times New Roman" w:eastAsia="Times New Roman" w:hAnsi="Times New Roman"/>
          <w:sz w:val="17"/>
          <w:szCs w:val="17"/>
          <w:color w:val="auto"/>
        </w:rPr>
        <w:t>Banking Services – a variable rate that is based upon the overall performance of the Company’s earning assets.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25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380" w:type="dxa"/>
            <w:vAlign w:val="bottom"/>
          </w:tcPr>
          <w:p>
            <w:pPr>
              <w:spacing w:after="0"/>
              <w:rPr>
                <w:sz w:val="18"/>
                <w:szCs w:val="18"/>
                <w:color w:val="auto"/>
              </w:rPr>
            </w:pPr>
          </w:p>
        </w:tc>
        <w:tc>
          <w:tcPr>
            <w:tcW w:w="13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5"/>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5"/>
              </w:rPr>
              <w:t>and Other</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10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i w:val="1"/>
                <w:iCs w:val="1"/>
                <w:color w:val="auto"/>
              </w:rPr>
              <w:t>Three Months Ended September 30, 2019</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income from customers</w:t>
            </w:r>
          </w:p>
        </w:tc>
        <w:tc>
          <w:tcPr>
            <w:tcW w:w="12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28,026</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257</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28,262</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6,760</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7,930</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(513)</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14,177</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1,392</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533</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(533)</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7,619</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3,399</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(534)</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15,758</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15,894</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3,170</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908,946</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862,142</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9,922</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1,781,010</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704,772</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588,226</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1,292,998</w:t>
            </w:r>
          </w:p>
        </w:tc>
      </w:tr>
      <w:tr>
        <w:trPr>
          <w:trHeight w:val="216"/>
        </w:trPr>
        <w:tc>
          <w:tcPr>
            <w:tcW w:w="410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i w:val="1"/>
                <w:iCs w:val="1"/>
                <w:color w:val="auto"/>
              </w:rPr>
              <w:t>Three Months Ended September 30, 2018</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income from customers</w:t>
            </w:r>
          </w:p>
        </w:tc>
        <w:tc>
          <w:tcPr>
            <w:tcW w:w="12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26,263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26,435</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6,446</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6,661</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(329)</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12,778</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1,029</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(467)</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7,269</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2,796</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9,654</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12,433</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1,664</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903,055</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847,673</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(72,481)</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1,678,247</w:t>
            </w:r>
          </w:p>
        </w:tc>
      </w:tr>
      <w:tr>
        <w:trPr>
          <w:trHeight w:val="223"/>
        </w:trPr>
        <w:tc>
          <w:tcPr>
            <w:tcW w:w="4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1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650,267</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550,594</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1,200,861</w:t>
            </w:r>
          </w:p>
        </w:tc>
      </w:tr>
      <w:tr>
        <w:trPr>
          <w:trHeight w:val="216"/>
        </w:trPr>
        <w:tc>
          <w:tcPr>
            <w:tcW w:w="410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i w:val="1"/>
                <w:iCs w:val="1"/>
                <w:color w:val="auto"/>
              </w:rPr>
              <w:t>Nine Months Ended September 30, 2019</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income from customers</w:t>
            </w:r>
          </w:p>
        </w:tc>
        <w:tc>
          <w:tcPr>
            <w:tcW w:w="12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82,049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1,040</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(442)</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$ 82,647</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19,273</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23,082</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(883)</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41,472</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3,987</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1,587</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(1,587)</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21,997</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10,214</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(1,324)</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30,887</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15,758</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15,894</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3,170</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908,946</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862,142</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9,922</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1,781,010</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667,741</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583,458</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1,251,199</w:t>
            </w:r>
          </w:p>
        </w:tc>
      </w:tr>
      <w:tr>
        <w:trPr>
          <w:trHeight w:val="216"/>
        </w:trPr>
        <w:tc>
          <w:tcPr>
            <w:tcW w:w="410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i w:val="1"/>
                <w:iCs w:val="1"/>
                <w:color w:val="auto"/>
              </w:rPr>
              <w:t>Nine Months Ended September 30, 2018</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income from customers</w:t>
            </w:r>
          </w:p>
        </w:tc>
        <w:tc>
          <w:tcPr>
            <w:tcW w:w="12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76,397</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947</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77,449</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18,621</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20,351</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(2,081)</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36,891</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2,502</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1,415</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(1,415)</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21,394</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10,245</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(1,976)</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29,663</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12,433</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1,664</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16"/>
        </w:trPr>
        <w:tc>
          <w:tcPr>
            <w:tcW w:w="41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903,055</w:t>
            </w:r>
          </w:p>
        </w:tc>
        <w:tc>
          <w:tcPr>
            <w:tcW w:w="380" w:type="dxa"/>
            <w:vAlign w:val="bottom"/>
            <w:shd w:val="clear" w:color="auto" w:fill="B2B2B2"/>
          </w:tcPr>
          <w:p>
            <w:pPr>
              <w:spacing w:after="0"/>
              <w:rPr>
                <w:sz w:val="18"/>
                <w:szCs w:val="18"/>
                <w:color w:val="auto"/>
              </w:rPr>
            </w:pPr>
          </w:p>
        </w:tc>
        <w:tc>
          <w:tcPr>
            <w:tcW w:w="13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847,673</w:t>
            </w:r>
          </w:p>
        </w:tc>
        <w:tc>
          <w:tcPr>
            <w:tcW w:w="340" w:type="dxa"/>
            <w:vAlign w:val="bottom"/>
            <w:shd w:val="clear" w:color="auto" w:fill="B2B2B2"/>
          </w:tcPr>
          <w:p>
            <w:pPr>
              <w:spacing w:after="0"/>
              <w:rPr>
                <w:sz w:val="18"/>
                <w:szCs w:val="18"/>
                <w:color w:val="auto"/>
              </w:rPr>
            </w:pP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(72,481)</w:t>
            </w:r>
          </w:p>
        </w:tc>
        <w:tc>
          <w:tcPr>
            <w:tcW w:w="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1,678,247</w:t>
            </w:r>
          </w:p>
        </w:tc>
      </w:tr>
      <w:tr>
        <w:trPr>
          <w:trHeight w:val="23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122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637,508</w:t>
            </w:r>
          </w:p>
        </w:tc>
        <w:tc>
          <w:tcPr>
            <w:tcW w:w="38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566,390</w:t>
            </w:r>
          </w:p>
        </w:tc>
        <w:tc>
          <w:tcPr>
            <w:tcW w:w="34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line="238" w:lineRule="auto"/>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on a tax-equivalent basis assuming a tax rate of 21% for both 2019 and 2018. The tax-equivalent adjustment was approximately $511,000 and $564,000 for the Three Months Ended 2019 and 2018, respectively, and $1,583,000 and $1,875,000 for the Nine Months Ended 2019 and 2018, respectively.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Note 6 – Loans by Type</w:t>
            </w:r>
          </w:p>
        </w:tc>
        <w:tc>
          <w:tcPr>
            <w:tcW w:w="2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loan categories is as follows:</w:t>
            </w:r>
          </w:p>
        </w:tc>
        <w:tc>
          <w:tcPr>
            <w:tcW w:w="2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8"/>
        </w:trPr>
        <w:tc>
          <w:tcPr>
            <w:tcW w:w="5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558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6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325,077</w:t>
            </w:r>
          </w:p>
        </w:tc>
        <w:tc>
          <w:tcPr>
            <w:tcW w:w="3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277,091</w:t>
            </w:r>
          </w:p>
        </w:tc>
      </w:tr>
      <w:tr>
        <w:trPr>
          <w:trHeight w:val="216"/>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5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0" w:type="dxa"/>
            <w:vAlign w:val="bottom"/>
            <w:shd w:val="clear" w:color="auto" w:fill="B2B2B2"/>
          </w:tcPr>
          <w:p>
            <w:pPr>
              <w:spacing w:after="0"/>
              <w:rPr>
                <w:sz w:val="18"/>
                <w:szCs w:val="18"/>
                <w:color w:val="auto"/>
              </w:rPr>
            </w:pPr>
          </w:p>
        </w:tc>
        <w:tc>
          <w:tcPr>
            <w:tcW w:w="158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320" w:type="dxa"/>
            <w:vAlign w:val="bottom"/>
            <w:shd w:val="clear" w:color="auto" w:fill="B2B2B2"/>
          </w:tcPr>
          <w:p>
            <w:pPr>
              <w:spacing w:after="0"/>
              <w:rPr>
                <w:sz w:val="18"/>
                <w:szCs w:val="18"/>
                <w:color w:val="auto"/>
              </w:rPr>
            </w:pPr>
          </w:p>
        </w:tc>
      </w:tr>
      <w:tr>
        <w:trPr>
          <w:trHeight w:val="216"/>
        </w:trPr>
        <w:tc>
          <w:tcPr>
            <w:tcW w:w="5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2600" w:type="dxa"/>
            <w:vAlign w:val="bottom"/>
          </w:tcPr>
          <w:p>
            <w:pPr>
              <w:spacing w:after="0"/>
              <w:rPr>
                <w:sz w:val="18"/>
                <w:szCs w:val="18"/>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83,925</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95,605</w:t>
            </w:r>
          </w:p>
        </w:tc>
      </w:tr>
      <w:tr>
        <w:trPr>
          <w:trHeight w:val="216"/>
        </w:trPr>
        <w:tc>
          <w:tcPr>
            <w:tcW w:w="558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2600" w:type="dxa"/>
            <w:vAlign w:val="bottom"/>
            <w:shd w:val="clear" w:color="auto" w:fill="B2B2B2"/>
          </w:tcPr>
          <w:p>
            <w:pPr>
              <w:spacing w:after="0"/>
              <w:rPr>
                <w:sz w:val="18"/>
                <w:szCs w:val="18"/>
                <w:color w:val="auto"/>
              </w:rPr>
            </w:pPr>
          </w:p>
        </w:tc>
        <w:tc>
          <w:tcPr>
            <w:tcW w:w="158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24,026</w:t>
            </w:r>
          </w:p>
        </w:tc>
        <w:tc>
          <w:tcPr>
            <w:tcW w:w="340" w:type="dxa"/>
            <w:vAlign w:val="bottom"/>
            <w:shd w:val="clear" w:color="auto" w:fill="B2B2B2"/>
          </w:tcPr>
          <w:p>
            <w:pPr>
              <w:spacing w:after="0"/>
              <w:rPr>
                <w:sz w:val="18"/>
                <w:szCs w:val="18"/>
                <w:color w:val="auto"/>
              </w:rPr>
            </w:pPr>
          </w:p>
        </w:tc>
        <w:tc>
          <w:tcPr>
            <w:tcW w:w="1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11,858</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58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2600" w:type="dxa"/>
            <w:vAlign w:val="bottom"/>
            <w:shd w:val="clear" w:color="auto" w:fill="B2B2B2"/>
          </w:tcPr>
          <w:p>
            <w:pPr>
              <w:spacing w:after="0"/>
              <w:rPr>
                <w:sz w:val="18"/>
                <w:szCs w:val="18"/>
                <w:color w:val="auto"/>
              </w:rPr>
            </w:pPr>
          </w:p>
        </w:tc>
        <w:tc>
          <w:tcPr>
            <w:tcW w:w="158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318,809</w:t>
            </w:r>
          </w:p>
        </w:tc>
        <w:tc>
          <w:tcPr>
            <w:tcW w:w="340" w:type="dxa"/>
            <w:vAlign w:val="bottom"/>
            <w:shd w:val="clear" w:color="auto" w:fill="B2B2B2"/>
          </w:tcPr>
          <w:p>
            <w:pPr>
              <w:spacing w:after="0"/>
              <w:rPr>
                <w:sz w:val="18"/>
                <w:szCs w:val="18"/>
                <w:color w:val="auto"/>
              </w:rPr>
            </w:pPr>
          </w:p>
        </w:tc>
        <w:tc>
          <w:tcPr>
            <w:tcW w:w="1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316,147</w:t>
            </w:r>
          </w:p>
        </w:tc>
      </w:tr>
      <w:tr>
        <w:trPr>
          <w:trHeight w:val="216"/>
        </w:trPr>
        <w:tc>
          <w:tcPr>
            <w:tcW w:w="5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2600" w:type="dxa"/>
            <w:vAlign w:val="bottom"/>
          </w:tcPr>
          <w:p>
            <w:pPr>
              <w:spacing w:after="0"/>
              <w:rPr>
                <w:sz w:val="18"/>
                <w:szCs w:val="18"/>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15,545</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w:t>
            </w:r>
          </w:p>
        </w:tc>
      </w:tr>
      <w:tr>
        <w:trPr>
          <w:trHeight w:val="216"/>
        </w:trPr>
        <w:tc>
          <w:tcPr>
            <w:tcW w:w="558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tcBorders>
              <w:bottom w:val="single" w:sz="8" w:color="auto"/>
            </w:tcBorders>
            <w:shd w:val="clear" w:color="auto" w:fill="B2B2B2"/>
          </w:tcPr>
          <w:p>
            <w:pPr>
              <w:spacing w:after="0"/>
              <w:rPr>
                <w:sz w:val="18"/>
                <w:szCs w:val="18"/>
                <w:color w:val="auto"/>
              </w:rPr>
            </w:pPr>
          </w:p>
        </w:tc>
        <w:tc>
          <w:tcPr>
            <w:tcW w:w="158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auto"/>
            </w:tcBorders>
            <w:shd w:val="clear" w:color="auto" w:fill="B2B2B2"/>
          </w:tcPr>
          <w:p>
            <w:pPr>
              <w:spacing w:after="0"/>
              <w:rPr>
                <w:sz w:val="18"/>
                <w:szCs w:val="18"/>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5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loans</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767,384</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721,587</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by loan categories at September 30, 2019 and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8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3"/>
        </w:trPr>
        <w:tc>
          <w:tcPr>
            <w:tcW w:w="3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3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90</w:t>
            </w: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30-59</w:t>
            </w:r>
          </w:p>
        </w:tc>
        <w:tc>
          <w:tcPr>
            <w:tcW w:w="26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60-89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24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Over</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16"/>
        </w:trPr>
        <w:tc>
          <w:tcPr>
            <w:tcW w:w="32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i w:val="1"/>
                <w:iCs w:val="1"/>
                <w:color w:val="auto"/>
              </w:rPr>
              <w:t>September 30, 2019</w:t>
            </w:r>
          </w:p>
        </w:tc>
        <w:tc>
          <w:tcPr>
            <w:tcW w:w="13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6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6"/>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325,077</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325,077</w:t>
            </w:r>
          </w:p>
        </w:tc>
      </w:tr>
      <w:tr>
        <w:trPr>
          <w:trHeight w:val="216"/>
        </w:trPr>
        <w:tc>
          <w:tcPr>
            <w:tcW w:w="32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3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6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6"/>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13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83,925</w:t>
            </w: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940" w:type="dxa"/>
            <w:vAlign w:val="bottom"/>
            <w:gridSpan w:val="2"/>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2B2B2"/>
          </w:tcPr>
          <w:p>
            <w:pPr>
              <w:spacing w:after="0"/>
              <w:rPr>
                <w:sz w:val="18"/>
                <w:szCs w:val="18"/>
                <w:color w:val="auto"/>
              </w:rPr>
            </w:pPr>
          </w:p>
        </w:tc>
        <w:tc>
          <w:tcPr>
            <w:tcW w:w="1180" w:type="dxa"/>
            <w:vAlign w:val="bottom"/>
            <w:shd w:val="clear" w:color="auto" w:fill="B2B2B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860" w:type="dxa"/>
            <w:vAlign w:val="bottom"/>
            <w:gridSpan w:val="2"/>
            <w:shd w:val="clear" w:color="auto" w:fill="B2B2B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68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83,925</w:t>
            </w: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40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24,026</w:t>
            </w:r>
          </w:p>
        </w:tc>
      </w:tr>
      <w:tr>
        <w:trPr>
          <w:trHeight w:val="216"/>
        </w:trPr>
        <w:tc>
          <w:tcPr>
            <w:tcW w:w="32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13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6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318,809</w:t>
            </w:r>
          </w:p>
        </w:tc>
        <w:tc>
          <w:tcPr>
            <w:tcW w:w="40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318,809</w:t>
            </w:r>
          </w:p>
        </w:tc>
      </w:tr>
      <w:tr>
        <w:trPr>
          <w:trHeight w:val="216"/>
        </w:trPr>
        <w:tc>
          <w:tcPr>
            <w:tcW w:w="32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13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940" w:type="dxa"/>
            <w:vAlign w:val="bottom"/>
            <w:gridSpan w:val="2"/>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2B2B2"/>
          </w:tcPr>
          <w:p>
            <w:pPr>
              <w:spacing w:after="0"/>
              <w:rPr>
                <w:sz w:val="18"/>
                <w:szCs w:val="18"/>
                <w:color w:val="auto"/>
              </w:rPr>
            </w:pPr>
          </w:p>
        </w:tc>
        <w:tc>
          <w:tcPr>
            <w:tcW w:w="1180" w:type="dxa"/>
            <w:vAlign w:val="bottom"/>
            <w:shd w:val="clear" w:color="auto" w:fill="B2B2B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860" w:type="dxa"/>
            <w:vAlign w:val="bottom"/>
            <w:gridSpan w:val="2"/>
            <w:shd w:val="clear" w:color="auto" w:fill="B2B2B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68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15,545</w:t>
            </w:r>
          </w:p>
        </w:tc>
      </w:tr>
      <w:tr>
        <w:trPr>
          <w:trHeight w:val="216"/>
        </w:trPr>
        <w:tc>
          <w:tcPr>
            <w:tcW w:w="3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326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767,384</w:t>
            </w:r>
          </w:p>
        </w:tc>
        <w:tc>
          <w:tcPr>
            <w:tcW w:w="400" w:type="dxa"/>
            <w:vAlign w:val="bottom"/>
            <w:tcBorders>
              <w:bottom w:val="single" w:sz="8" w:color="auto"/>
            </w:tcBorders>
            <w:shd w:val="clear" w:color="auto" w:fill="B2B2B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B2B2B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shd w:val="clear" w:color="auto" w:fill="B2B2B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767,384</w:t>
            </w:r>
          </w:p>
        </w:tc>
      </w:tr>
      <w:tr>
        <w:trPr>
          <w:trHeight w:val="209"/>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December 31, 2018</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4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277,091</w:t>
            </w:r>
          </w:p>
        </w:tc>
        <w:tc>
          <w:tcPr>
            <w:tcW w:w="400" w:type="dxa"/>
            <w:vAlign w:val="bottom"/>
            <w:shd w:val="clear" w:color="auto" w:fill="B2B2B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B2B2B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B2B2B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277,091</w:t>
            </w:r>
          </w:p>
        </w:tc>
      </w:tr>
      <w:tr>
        <w:trPr>
          <w:trHeight w:val="216"/>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3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6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95,605</w:t>
            </w:r>
          </w:p>
        </w:tc>
        <w:tc>
          <w:tcPr>
            <w:tcW w:w="40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95,605</w:t>
            </w:r>
          </w:p>
        </w:tc>
      </w:tr>
      <w:tr>
        <w:trPr>
          <w:trHeight w:val="216"/>
        </w:trPr>
        <w:tc>
          <w:tcPr>
            <w:tcW w:w="32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13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940" w:type="dxa"/>
            <w:vAlign w:val="bottom"/>
            <w:gridSpan w:val="2"/>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2B2B2"/>
          </w:tcPr>
          <w:p>
            <w:pPr>
              <w:spacing w:after="0"/>
              <w:rPr>
                <w:sz w:val="18"/>
                <w:szCs w:val="18"/>
                <w:color w:val="auto"/>
              </w:rPr>
            </w:pPr>
          </w:p>
        </w:tc>
        <w:tc>
          <w:tcPr>
            <w:tcW w:w="1180" w:type="dxa"/>
            <w:vAlign w:val="bottom"/>
            <w:shd w:val="clear" w:color="auto" w:fill="B2B2B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860" w:type="dxa"/>
            <w:vAlign w:val="bottom"/>
            <w:gridSpan w:val="2"/>
            <w:shd w:val="clear" w:color="auto" w:fill="B2B2B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68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11,858</w:t>
            </w:r>
          </w:p>
        </w:tc>
      </w:tr>
      <w:tr>
        <w:trPr>
          <w:trHeight w:val="216"/>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13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316,147</w:t>
            </w: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940" w:type="dxa"/>
            <w:vAlign w:val="bottom"/>
            <w:gridSpan w:val="2"/>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2B2B2"/>
          </w:tcPr>
          <w:p>
            <w:pPr>
              <w:spacing w:after="0"/>
              <w:rPr>
                <w:sz w:val="18"/>
                <w:szCs w:val="18"/>
                <w:color w:val="auto"/>
              </w:rPr>
            </w:pPr>
          </w:p>
        </w:tc>
        <w:tc>
          <w:tcPr>
            <w:tcW w:w="1180" w:type="dxa"/>
            <w:vAlign w:val="bottom"/>
            <w:shd w:val="clear" w:color="auto" w:fill="B2B2B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860" w:type="dxa"/>
            <w:vAlign w:val="bottom"/>
            <w:gridSpan w:val="2"/>
            <w:shd w:val="clear" w:color="auto" w:fill="B2B2B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68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316,147</w:t>
            </w: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40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20,576</w:t>
            </w:r>
          </w:p>
        </w:tc>
      </w:tr>
      <w:tr>
        <w:trPr>
          <w:trHeight w:val="216"/>
        </w:trPr>
        <w:tc>
          <w:tcPr>
            <w:tcW w:w="326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gridSpan w:val="2"/>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gridSpan w:val="2"/>
            <w:shd w:val="clear" w:color="auto" w:fill="B2B2B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680" w:type="dxa"/>
            <w:vAlign w:val="bottom"/>
            <w:tcBorders>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3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721,587</w:t>
            </w: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721,587</w:t>
            </w:r>
          </w:p>
        </w:tc>
      </w:tr>
      <w:tr>
        <w:trPr>
          <w:trHeight w:val="647"/>
        </w:trPr>
        <w:tc>
          <w:tcPr>
            <w:tcW w:w="3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3260" w:type="dxa"/>
            <w:vAlign w:val="bottom"/>
            <w:tcBorders>
              <w:bottom w:val="single" w:sz="8" w:color="EEEEEE"/>
            </w:tcBorders>
          </w:tcPr>
          <w:p>
            <w:pPr>
              <w:spacing w:after="0"/>
              <w:rPr>
                <w:sz w:val="11"/>
                <w:szCs w:val="11"/>
                <w:color w:val="auto"/>
              </w:rPr>
            </w:pPr>
          </w:p>
        </w:tc>
        <w:tc>
          <w:tcPr>
            <w:tcW w:w="132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820" w:type="dxa"/>
            <w:vAlign w:val="bottom"/>
            <w:tcBorders>
              <w:bottom w:val="single" w:sz="8" w:color="EEEEEE"/>
            </w:tcBorders>
          </w:tcPr>
          <w:p>
            <w:pPr>
              <w:spacing w:after="0"/>
              <w:rPr>
                <w:sz w:val="11"/>
                <w:szCs w:val="11"/>
                <w:color w:val="auto"/>
              </w:rPr>
            </w:pPr>
          </w:p>
        </w:tc>
        <w:tc>
          <w:tcPr>
            <w:tcW w:w="400" w:type="dxa"/>
            <w:vAlign w:val="bottom"/>
            <w:tcBorders>
              <w:bottom w:val="single" w:sz="8" w:color="EEEEEE"/>
            </w:tcBorders>
          </w:tcPr>
          <w:p>
            <w:pPr>
              <w:spacing w:after="0"/>
              <w:rPr>
                <w:sz w:val="11"/>
                <w:szCs w:val="11"/>
                <w:color w:val="auto"/>
              </w:rPr>
            </w:pPr>
          </w:p>
        </w:tc>
        <w:tc>
          <w:tcPr>
            <w:tcW w:w="820" w:type="dxa"/>
            <w:vAlign w:val="bottom"/>
            <w:tcBorders>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720" w:type="dxa"/>
            <w:vAlign w:val="bottom"/>
            <w:tcBorders>
              <w:bottom w:val="single" w:sz="8" w:color="EEEEEE"/>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280" w:type="dxa"/>
            <w:vAlign w:val="bottom"/>
            <w:tcBorders>
              <w:bottom w:val="single" w:sz="8" w:color="EEEEEE"/>
            </w:tcBorders>
          </w:tcPr>
          <w:p>
            <w:pPr>
              <w:spacing w:after="0"/>
              <w:rPr>
                <w:sz w:val="11"/>
                <w:szCs w:val="11"/>
                <w:color w:val="auto"/>
              </w:rPr>
            </w:pPr>
          </w:p>
        </w:tc>
        <w:tc>
          <w:tcPr>
            <w:tcW w:w="1180" w:type="dxa"/>
            <w:vAlign w:val="bottom"/>
            <w:tcBorders>
              <w:bottom w:val="single" w:sz="8" w:color="EEEEEE"/>
            </w:tcBorders>
          </w:tcPr>
          <w:p>
            <w:pPr>
              <w:spacing w:after="0"/>
              <w:rPr>
                <w:sz w:val="11"/>
                <w:szCs w:val="11"/>
                <w:color w:val="auto"/>
              </w:rPr>
            </w:pPr>
          </w:p>
        </w:tc>
        <w:tc>
          <w:tcPr>
            <w:tcW w:w="240" w:type="dxa"/>
            <w:vAlign w:val="bottom"/>
            <w:tcBorders>
              <w:bottom w:val="single" w:sz="8" w:color="EEEEEE"/>
            </w:tcBorders>
          </w:tcPr>
          <w:p>
            <w:pPr>
              <w:spacing w:after="0"/>
              <w:rPr>
                <w:sz w:val="11"/>
                <w:szCs w:val="11"/>
                <w:color w:val="auto"/>
              </w:rPr>
            </w:pPr>
          </w:p>
        </w:tc>
        <w:tc>
          <w:tcPr>
            <w:tcW w:w="76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240" w:type="dxa"/>
            <w:vAlign w:val="bottom"/>
            <w:tcBorders>
              <w:bottom w:val="single" w:sz="8" w:color="EEEEEE"/>
            </w:tcBorders>
          </w:tcPr>
          <w:p>
            <w:pPr>
              <w:spacing w:after="0"/>
              <w:rPr>
                <w:sz w:val="11"/>
                <w:szCs w:val="11"/>
                <w:color w:val="auto"/>
              </w:rPr>
            </w:pPr>
          </w:p>
        </w:tc>
        <w:tc>
          <w:tcPr>
            <w:tcW w:w="66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72020"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as of September 30, 2019 and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15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32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Subject to</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Loans Subject</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Loans Subject</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0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Normal</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320" w:type="dxa"/>
            <w:vAlign w:val="bottom"/>
          </w:tcPr>
          <w:p>
            <w:pPr>
              <w:spacing w:after="0"/>
              <w:rPr>
                <w:sz w:val="19"/>
                <w:szCs w:val="19"/>
                <w:color w:val="auto"/>
              </w:rPr>
            </w:pPr>
          </w:p>
        </w:tc>
        <w:tc>
          <w:tcPr>
            <w:tcW w:w="11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82"/>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280" w:type="dxa"/>
            <w:vAlign w:val="bottom"/>
            <w:tcBorders>
              <w:bottom w:val="single" w:sz="8" w:color="auto"/>
            </w:tcBorders>
            <w:gridSpan w:val="2"/>
          </w:tcPr>
          <w:p>
            <w:pPr>
              <w:jc w:val="center"/>
              <w:ind w:left="1790"/>
              <w:spacing w:after="0" w:line="274"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9"/>
                <w:szCs w:val="29"/>
                <w:b w:val="1"/>
                <w:bCs w:val="1"/>
                <w:color w:val="auto"/>
                <w:w w:val="98"/>
                <w:vertAlign w:val="superscript"/>
              </w:rPr>
              <w:t>1</w:t>
            </w:r>
          </w:p>
        </w:tc>
        <w:tc>
          <w:tcPr>
            <w:tcW w:w="1360" w:type="dxa"/>
            <w:vAlign w:val="bottom"/>
            <w:tcBorders>
              <w:bottom w:val="single" w:sz="8" w:color="auto"/>
            </w:tcBorders>
            <w:gridSpan w:val="2"/>
          </w:tcPr>
          <w:p>
            <w:pPr>
              <w:jc w:val="center"/>
              <w:spacing w:after="0" w:line="274"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9"/>
                <w:szCs w:val="29"/>
                <w:b w:val="1"/>
                <w:bCs w:val="1"/>
                <w:color w:val="auto"/>
                <w:w w:val="98"/>
                <w:vertAlign w:val="superscript"/>
              </w:rPr>
              <w:t>2</w:t>
            </w:r>
          </w:p>
        </w:tc>
        <w:tc>
          <w:tcPr>
            <w:tcW w:w="1500" w:type="dxa"/>
            <w:vAlign w:val="bottom"/>
            <w:tcBorders>
              <w:bottom w:val="single" w:sz="8" w:color="auto"/>
            </w:tcBorders>
            <w:gridSpan w:val="2"/>
          </w:tcPr>
          <w:p>
            <w:pPr>
              <w:ind w:left="220"/>
              <w:spacing w:after="0" w:line="274" w:lineRule="exact"/>
              <w:rPr>
                <w:sz w:val="20"/>
                <w:szCs w:val="20"/>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29"/>
                <w:szCs w:val="29"/>
                <w:b w:val="1"/>
                <w:bCs w:val="1"/>
                <w:color w:val="auto"/>
                <w:vertAlign w:val="superscript"/>
              </w:rPr>
              <w:t>2</w:t>
            </w: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16"/>
        </w:trPr>
        <w:tc>
          <w:tcPr>
            <w:tcW w:w="40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i w:val="1"/>
                <w:iCs w:val="1"/>
                <w:color w:val="auto"/>
              </w:rPr>
              <w:t>September 30, 2019</w:t>
            </w:r>
          </w:p>
        </w:tc>
        <w:tc>
          <w:tcPr>
            <w:tcW w:w="2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r>
      <w:tr>
        <w:trPr>
          <w:trHeight w:val="216"/>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322,491</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2,586</w:t>
            </w:r>
          </w:p>
        </w:tc>
        <w:tc>
          <w:tcPr>
            <w:tcW w:w="32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325,077</w:t>
            </w:r>
          </w:p>
        </w:tc>
      </w:tr>
      <w:tr>
        <w:trPr>
          <w:trHeight w:val="216"/>
        </w:trPr>
        <w:tc>
          <w:tcPr>
            <w:tcW w:w="40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2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0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22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83,925</w:t>
            </w:r>
          </w:p>
        </w:tc>
        <w:tc>
          <w:tcPr>
            <w:tcW w:w="580" w:type="dxa"/>
            <w:vAlign w:val="bottom"/>
            <w:shd w:val="clear" w:color="auto" w:fill="B2B2B2"/>
          </w:tcPr>
          <w:p>
            <w:pPr>
              <w:spacing w:after="0"/>
              <w:rPr>
                <w:sz w:val="18"/>
                <w:szCs w:val="18"/>
                <w:color w:val="auto"/>
              </w:rPr>
            </w:pPr>
          </w:p>
        </w:tc>
        <w:tc>
          <w:tcPr>
            <w:tcW w:w="7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spacing w:after="0"/>
              <w:rPr>
                <w:sz w:val="18"/>
                <w:szCs w:val="18"/>
                <w:color w:val="auto"/>
              </w:rPr>
            </w:pPr>
          </w:p>
        </w:tc>
        <w:tc>
          <w:tcPr>
            <w:tcW w:w="7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83,925</w:t>
            </w: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2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24,026</w:t>
            </w:r>
          </w:p>
        </w:tc>
        <w:tc>
          <w:tcPr>
            <w:tcW w:w="58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24,026</w:t>
            </w:r>
          </w:p>
        </w:tc>
      </w:tr>
      <w:tr>
        <w:trPr>
          <w:trHeight w:val="216"/>
        </w:trPr>
        <w:tc>
          <w:tcPr>
            <w:tcW w:w="40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2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2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317,479</w:t>
            </w:r>
          </w:p>
        </w:tc>
        <w:tc>
          <w:tcPr>
            <w:tcW w:w="58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1,330</w:t>
            </w:r>
          </w:p>
        </w:tc>
        <w:tc>
          <w:tcPr>
            <w:tcW w:w="32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318,809</w:t>
            </w:r>
          </w:p>
        </w:tc>
      </w:tr>
      <w:tr>
        <w:trPr>
          <w:trHeight w:val="216"/>
        </w:trPr>
        <w:tc>
          <w:tcPr>
            <w:tcW w:w="40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22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15,545</w:t>
            </w:r>
          </w:p>
        </w:tc>
        <w:tc>
          <w:tcPr>
            <w:tcW w:w="580" w:type="dxa"/>
            <w:vAlign w:val="bottom"/>
            <w:shd w:val="clear" w:color="auto" w:fill="B2B2B2"/>
          </w:tcPr>
          <w:p>
            <w:pPr>
              <w:spacing w:after="0"/>
              <w:rPr>
                <w:sz w:val="18"/>
                <w:szCs w:val="18"/>
                <w:color w:val="auto"/>
              </w:rPr>
            </w:pPr>
          </w:p>
        </w:tc>
        <w:tc>
          <w:tcPr>
            <w:tcW w:w="7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spacing w:after="0"/>
              <w:rPr>
                <w:sz w:val="18"/>
                <w:szCs w:val="18"/>
                <w:color w:val="auto"/>
              </w:rPr>
            </w:pPr>
          </w:p>
        </w:tc>
        <w:tc>
          <w:tcPr>
            <w:tcW w:w="7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15,545</w:t>
            </w:r>
          </w:p>
        </w:tc>
      </w:tr>
      <w:tr>
        <w:trPr>
          <w:trHeight w:val="216"/>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06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763,468</w:t>
            </w:r>
          </w:p>
        </w:tc>
        <w:tc>
          <w:tcPr>
            <w:tcW w:w="580" w:type="dxa"/>
            <w:vAlign w:val="bottom"/>
            <w:tcBorders>
              <w:bottom w:val="single" w:sz="8" w:color="auto"/>
            </w:tcBorders>
            <w:shd w:val="clear" w:color="auto" w:fill="B2B2B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3,916</w:t>
            </w:r>
          </w:p>
        </w:tc>
        <w:tc>
          <w:tcPr>
            <w:tcW w:w="320" w:type="dxa"/>
            <w:vAlign w:val="bottom"/>
            <w:tcBorders>
              <w:bottom w:val="single" w:sz="8" w:color="auto"/>
            </w:tcBorders>
            <w:shd w:val="clear" w:color="auto" w:fill="B2B2B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767,384</w:t>
            </w:r>
          </w:p>
        </w:tc>
      </w:tr>
      <w:tr>
        <w:trPr>
          <w:trHeight w:val="209"/>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December 31, 2018</w:t>
            </w:r>
          </w:p>
        </w:tc>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0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275,308</w:t>
            </w:r>
          </w:p>
        </w:tc>
        <w:tc>
          <w:tcPr>
            <w:tcW w:w="580" w:type="dxa"/>
            <w:vAlign w:val="bottom"/>
            <w:shd w:val="clear" w:color="auto" w:fill="B2B2B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1,783</w:t>
            </w:r>
          </w:p>
        </w:tc>
        <w:tc>
          <w:tcPr>
            <w:tcW w:w="320" w:type="dxa"/>
            <w:vAlign w:val="bottom"/>
            <w:shd w:val="clear" w:color="auto" w:fill="B2B2B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277,091</w:t>
            </w:r>
          </w:p>
        </w:tc>
      </w:tr>
      <w:tr>
        <w:trPr>
          <w:trHeight w:val="216"/>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0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2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95,447</w:t>
            </w:r>
          </w:p>
        </w:tc>
        <w:tc>
          <w:tcPr>
            <w:tcW w:w="58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95,605</w:t>
            </w:r>
          </w:p>
        </w:tc>
      </w:tr>
      <w:tr>
        <w:trPr>
          <w:trHeight w:val="216"/>
        </w:trPr>
        <w:tc>
          <w:tcPr>
            <w:tcW w:w="40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22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11,858</w:t>
            </w:r>
          </w:p>
        </w:tc>
        <w:tc>
          <w:tcPr>
            <w:tcW w:w="580" w:type="dxa"/>
            <w:vAlign w:val="bottom"/>
            <w:shd w:val="clear" w:color="auto" w:fill="B2B2B2"/>
          </w:tcPr>
          <w:p>
            <w:pPr>
              <w:spacing w:after="0"/>
              <w:rPr>
                <w:sz w:val="18"/>
                <w:szCs w:val="18"/>
                <w:color w:val="auto"/>
              </w:rPr>
            </w:pPr>
          </w:p>
        </w:tc>
        <w:tc>
          <w:tcPr>
            <w:tcW w:w="7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spacing w:after="0"/>
              <w:rPr>
                <w:sz w:val="18"/>
                <w:szCs w:val="18"/>
                <w:color w:val="auto"/>
              </w:rPr>
            </w:pPr>
          </w:p>
        </w:tc>
        <w:tc>
          <w:tcPr>
            <w:tcW w:w="7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11,858</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0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22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314,940</w:t>
            </w:r>
          </w:p>
        </w:tc>
        <w:tc>
          <w:tcPr>
            <w:tcW w:w="580" w:type="dxa"/>
            <w:vAlign w:val="bottom"/>
            <w:shd w:val="clear" w:color="auto" w:fill="B2B2B2"/>
          </w:tcPr>
          <w:p>
            <w:pPr>
              <w:spacing w:after="0"/>
              <w:rPr>
                <w:sz w:val="18"/>
                <w:szCs w:val="18"/>
                <w:color w:val="auto"/>
              </w:rPr>
            </w:pPr>
          </w:p>
        </w:tc>
        <w:tc>
          <w:tcPr>
            <w:tcW w:w="7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1,207</w:t>
            </w: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spacing w:after="0"/>
              <w:rPr>
                <w:sz w:val="18"/>
                <w:szCs w:val="18"/>
                <w:color w:val="auto"/>
              </w:rPr>
            </w:pPr>
          </w:p>
        </w:tc>
        <w:tc>
          <w:tcPr>
            <w:tcW w:w="7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316,147</w:t>
            </w: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2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20,576</w:t>
            </w:r>
          </w:p>
        </w:tc>
        <w:tc>
          <w:tcPr>
            <w:tcW w:w="58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w:t>
            </w:r>
          </w:p>
        </w:tc>
      </w:tr>
      <w:tr>
        <w:trPr>
          <w:trHeight w:val="216"/>
        </w:trPr>
        <w:tc>
          <w:tcPr>
            <w:tcW w:w="406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58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8"/>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718,439</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3,148</w:t>
            </w:r>
          </w:p>
        </w:tc>
        <w:tc>
          <w:tcPr>
            <w:tcW w:w="32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Loans subject to normal monitoring involve borrowers of acceptable-to-strong credit quality and risk, who have the apparent ability to satisfy their loan obligations.</w:t>
      </w:r>
    </w:p>
    <w:p>
      <w:pPr>
        <w:spacing w:after="0" w:line="2"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4"/>
          <w:szCs w:val="14"/>
          <w:color w:val="auto"/>
        </w:rPr>
        <w:t>Loans subject to special monitoring possess some credit deficiency or potential weakness which requires a high level of management attention.</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Management measures impairment in accordance with FASB ASC 310, “Allowance for Credit Losses.” There were no impaired loans, loans delinquent 90 days or more and still accruing, or loans classified as troubled debt restructuring at September 30, 2019 and December 31, 2018.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foreclosed loans recorded as other real estate owned as of September 30, 2019 and December 31, 2018.</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loan losses from December 31, 2018 to September 30, 2019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5"/>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Offs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auto"/>
            </w:tcBorders>
          </w:tcPr>
          <w:p>
            <w:pPr>
              <w:spacing w:after="0"/>
              <w:rPr>
                <w:sz w:val="21"/>
                <w:szCs w:val="21"/>
                <w:color w:val="auto"/>
              </w:rPr>
            </w:pPr>
          </w:p>
        </w:tc>
      </w:tr>
      <w:tr>
        <w:trPr>
          <w:trHeight w:val="216"/>
        </w:trPr>
        <w:tc>
          <w:tcPr>
            <w:tcW w:w="298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80" w:type="dxa"/>
            <w:vAlign w:val="bottom"/>
            <w:shd w:val="clear" w:color="auto" w:fill="B2B2B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16"/>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180" w:type="dxa"/>
            <w:vAlign w:val="bottom"/>
            <w:shd w:val="clear" w:color="auto" w:fill="B2B2B2"/>
          </w:tcPr>
          <w:p>
            <w:pPr>
              <w:spacing w:after="0"/>
              <w:rPr>
                <w:sz w:val="18"/>
                <w:szCs w:val="18"/>
                <w:color w:val="auto"/>
              </w:rPr>
            </w:pPr>
          </w:p>
        </w:tc>
        <w:tc>
          <w:tcPr>
            <w:tcW w:w="1380" w:type="dxa"/>
            <w:vAlign w:val="bottom"/>
            <w:shd w:val="clear" w:color="auto" w:fill="B2B2B2"/>
          </w:tcPr>
          <w:p>
            <w:pPr>
              <w:spacing w:after="0"/>
              <w:rPr>
                <w:sz w:val="18"/>
                <w:szCs w:val="18"/>
                <w:color w:val="auto"/>
              </w:rPr>
            </w:pPr>
          </w:p>
        </w:tc>
        <w:tc>
          <w:tcPr>
            <w:tcW w:w="1280" w:type="dxa"/>
            <w:vAlign w:val="bottom"/>
            <w:shd w:val="clear" w:color="auto" w:fill="B2B2B2"/>
          </w:tcPr>
          <w:p>
            <w:pPr>
              <w:spacing w:after="0"/>
              <w:rPr>
                <w:sz w:val="18"/>
                <w:szCs w:val="18"/>
                <w:color w:val="auto"/>
              </w:rPr>
            </w:pPr>
          </w:p>
        </w:tc>
        <w:tc>
          <w:tcPr>
            <w:tcW w:w="36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2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6"/>
        </w:trPr>
        <w:tc>
          <w:tcPr>
            <w:tcW w:w="2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1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8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16"/>
        </w:trPr>
        <w:tc>
          <w:tcPr>
            <w:tcW w:w="298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1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80" w:type="dxa"/>
            <w:vAlign w:val="bottom"/>
            <w:shd w:val="clear" w:color="auto" w:fill="B2B2B2"/>
          </w:tcPr>
          <w:p>
            <w:pPr>
              <w:spacing w:after="0"/>
              <w:rPr>
                <w:sz w:val="18"/>
                <w:szCs w:val="18"/>
                <w:color w:val="auto"/>
              </w:rPr>
            </w:pPr>
          </w:p>
        </w:tc>
        <w:tc>
          <w:tcPr>
            <w:tcW w:w="36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spacing w:after="0"/>
              <w:rPr>
                <w:sz w:val="18"/>
                <w:szCs w:val="18"/>
                <w:color w:val="auto"/>
              </w:rPr>
            </w:pP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B2B2B2"/>
          </w:tcPr>
          <w:p>
            <w:pPr>
              <w:spacing w:after="0"/>
              <w:rPr>
                <w:sz w:val="18"/>
                <w:szCs w:val="18"/>
                <w:color w:val="auto"/>
              </w:rPr>
            </w:pPr>
          </w:p>
        </w:tc>
        <w:tc>
          <w:tcPr>
            <w:tcW w:w="134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8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1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280" w:type="dxa"/>
            <w:vAlign w:val="bottom"/>
            <w:shd w:val="clear" w:color="auto" w:fill="B2B2B2"/>
          </w:tcPr>
          <w:p>
            <w:pPr>
              <w:spacing w:after="0"/>
              <w:rPr>
                <w:sz w:val="18"/>
                <w:szCs w:val="18"/>
                <w:color w:val="auto"/>
              </w:rPr>
            </w:pPr>
          </w:p>
        </w:tc>
        <w:tc>
          <w:tcPr>
            <w:tcW w:w="36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spacing w:after="0"/>
              <w:rPr>
                <w:sz w:val="18"/>
                <w:szCs w:val="18"/>
                <w:color w:val="auto"/>
              </w:rPr>
            </w:pP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B2B2B2"/>
          </w:tcPr>
          <w:p>
            <w:pPr>
              <w:spacing w:after="0"/>
              <w:rPr>
                <w:sz w:val="18"/>
                <w:szCs w:val="18"/>
                <w:color w:val="auto"/>
              </w:rPr>
            </w:pPr>
          </w:p>
        </w:tc>
        <w:tc>
          <w:tcPr>
            <w:tcW w:w="134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216"/>
        </w:trPr>
        <w:tc>
          <w:tcPr>
            <w:tcW w:w="2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1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8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298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shd w:val="clear" w:color="auto" w:fill="B2B2B2"/>
          </w:tcPr>
          <w:p>
            <w:pPr>
              <w:spacing w:after="0"/>
              <w:rPr>
                <w:sz w:val="18"/>
                <w:szCs w:val="18"/>
                <w:color w:val="auto"/>
              </w:rPr>
            </w:pPr>
          </w:p>
        </w:tc>
        <w:tc>
          <w:tcPr>
            <w:tcW w:w="13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80" w:type="dxa"/>
            <w:vAlign w:val="bottom"/>
            <w:tcBorders>
              <w:bottom w:val="single" w:sz="8" w:color="auto"/>
            </w:tcBorders>
            <w:shd w:val="clear" w:color="auto" w:fill="B2B2B2"/>
          </w:tcPr>
          <w:p>
            <w:pPr>
              <w:spacing w:after="0"/>
              <w:rPr>
                <w:sz w:val="18"/>
                <w:szCs w:val="18"/>
                <w:color w:val="auto"/>
              </w:rPr>
            </w:pPr>
          </w:p>
        </w:tc>
        <w:tc>
          <w:tcPr>
            <w:tcW w:w="360" w:type="dxa"/>
            <w:vAlign w:val="bottom"/>
            <w:tcBorders>
              <w:bottom w:val="single" w:sz="8" w:color="auto"/>
            </w:tcBorders>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Borders>
              <w:bottom w:val="single" w:sz="8" w:color="auto"/>
            </w:tcBorders>
            <w:shd w:val="clear" w:color="auto" w:fill="B2B2B2"/>
          </w:tcPr>
          <w:p>
            <w:pPr>
              <w:spacing w:after="0"/>
              <w:rPr>
                <w:sz w:val="18"/>
                <w:szCs w:val="18"/>
                <w:color w:val="auto"/>
              </w:rPr>
            </w:pPr>
          </w:p>
        </w:tc>
        <w:tc>
          <w:tcPr>
            <w:tcW w:w="1340" w:type="dxa"/>
            <w:vAlign w:val="bottom"/>
            <w:tcBorders>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2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12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10,509</w:t>
            </w:r>
          </w:p>
        </w:tc>
      </w:tr>
      <w:tr>
        <w:trPr>
          <w:trHeight w:val="647"/>
        </w:trPr>
        <w:tc>
          <w:tcPr>
            <w:tcW w:w="2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9"/>
              </w:rPr>
              <w:t>-12-</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980" w:type="dxa"/>
            <w:vAlign w:val="bottom"/>
            <w:tcBorders>
              <w:bottom w:val="single" w:sz="8" w:color="EEEEEE"/>
            </w:tcBorders>
          </w:tcPr>
          <w:p>
            <w:pPr>
              <w:spacing w:after="0"/>
              <w:rPr>
                <w:sz w:val="11"/>
                <w:szCs w:val="11"/>
                <w:color w:val="auto"/>
              </w:rPr>
            </w:pPr>
          </w:p>
        </w:tc>
        <w:tc>
          <w:tcPr>
            <w:tcW w:w="1180" w:type="dxa"/>
            <w:vAlign w:val="bottom"/>
            <w:tcBorders>
              <w:bottom w:val="single" w:sz="8" w:color="EEEEEE"/>
            </w:tcBorders>
          </w:tcPr>
          <w:p>
            <w:pPr>
              <w:spacing w:after="0"/>
              <w:rPr>
                <w:sz w:val="11"/>
                <w:szCs w:val="11"/>
                <w:color w:val="auto"/>
              </w:rPr>
            </w:pPr>
          </w:p>
        </w:tc>
        <w:tc>
          <w:tcPr>
            <w:tcW w:w="1380" w:type="dxa"/>
            <w:vAlign w:val="bottom"/>
            <w:tcBorders>
              <w:bottom w:val="single" w:sz="8" w:color="EEEEEE"/>
            </w:tcBorders>
          </w:tcPr>
          <w:p>
            <w:pPr>
              <w:spacing w:after="0"/>
              <w:rPr>
                <w:sz w:val="11"/>
                <w:szCs w:val="11"/>
                <w:color w:val="auto"/>
              </w:rPr>
            </w:pPr>
          </w:p>
        </w:tc>
        <w:tc>
          <w:tcPr>
            <w:tcW w:w="1280" w:type="dxa"/>
            <w:vAlign w:val="bottom"/>
            <w:tcBorders>
              <w:bottom w:val="single" w:sz="8" w:color="EEEEEE"/>
            </w:tcBorders>
          </w:tcPr>
          <w:p>
            <w:pPr>
              <w:spacing w:after="0"/>
              <w:rPr>
                <w:sz w:val="11"/>
                <w:szCs w:val="11"/>
                <w:color w:val="auto"/>
              </w:rPr>
            </w:pPr>
          </w:p>
        </w:tc>
        <w:tc>
          <w:tcPr>
            <w:tcW w:w="360" w:type="dxa"/>
            <w:vAlign w:val="bottom"/>
            <w:tcBorders>
              <w:bottom w:val="single" w:sz="8" w:color="EEEEEE"/>
            </w:tcBorders>
          </w:tcPr>
          <w:p>
            <w:pPr>
              <w:spacing w:after="0"/>
              <w:rPr>
                <w:sz w:val="11"/>
                <w:szCs w:val="11"/>
                <w:color w:val="auto"/>
              </w:rPr>
            </w:pPr>
          </w:p>
        </w:tc>
        <w:tc>
          <w:tcPr>
            <w:tcW w:w="1120" w:type="dxa"/>
            <w:vAlign w:val="bottom"/>
            <w:tcBorders>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1120" w:type="dxa"/>
            <w:vAlign w:val="bottom"/>
            <w:tcBorders>
              <w:bottom w:val="single" w:sz="8" w:color="EEEEEE"/>
            </w:tcBorders>
          </w:tcPr>
          <w:p>
            <w:pPr>
              <w:spacing w:after="0"/>
              <w:rPr>
                <w:sz w:val="11"/>
                <w:szCs w:val="11"/>
                <w:color w:val="auto"/>
              </w:rPr>
            </w:pPr>
          </w:p>
        </w:tc>
        <w:tc>
          <w:tcPr>
            <w:tcW w:w="180" w:type="dxa"/>
            <w:vAlign w:val="bottom"/>
            <w:tcBorders>
              <w:bottom w:val="single" w:sz="8" w:color="EEEEEE"/>
            </w:tcBorders>
          </w:tcPr>
          <w:p>
            <w:pPr>
              <w:spacing w:after="0"/>
              <w:rPr>
                <w:sz w:val="11"/>
                <w:szCs w:val="11"/>
                <w:color w:val="auto"/>
              </w:rPr>
            </w:pPr>
          </w:p>
        </w:tc>
        <w:tc>
          <w:tcPr>
            <w:tcW w:w="132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7202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 summary of the activity in the allowance for loan losses from December 31, 2017 to September 30, 2018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Offs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298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260" w:type="dxa"/>
            <w:vAlign w:val="bottom"/>
            <w:shd w:val="clear" w:color="auto" w:fill="B2B2B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4,202</w:t>
            </w:r>
          </w:p>
        </w:tc>
      </w:tr>
      <w:tr>
        <w:trPr>
          <w:trHeight w:val="216"/>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9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180" w:type="dxa"/>
            <w:vAlign w:val="bottom"/>
            <w:shd w:val="clear" w:color="auto" w:fill="B2B2B2"/>
          </w:tcPr>
          <w:p>
            <w:pPr>
              <w:spacing w:after="0"/>
              <w:rPr>
                <w:sz w:val="18"/>
                <w:szCs w:val="18"/>
                <w:color w:val="auto"/>
              </w:rPr>
            </w:pPr>
          </w:p>
        </w:tc>
        <w:tc>
          <w:tcPr>
            <w:tcW w:w="1400" w:type="dxa"/>
            <w:vAlign w:val="bottom"/>
            <w:shd w:val="clear" w:color="auto" w:fill="B2B2B2"/>
          </w:tcPr>
          <w:p>
            <w:pPr>
              <w:spacing w:after="0"/>
              <w:rPr>
                <w:sz w:val="18"/>
                <w:szCs w:val="18"/>
                <w:color w:val="auto"/>
              </w:rPr>
            </w:pPr>
          </w:p>
        </w:tc>
        <w:tc>
          <w:tcPr>
            <w:tcW w:w="1260" w:type="dxa"/>
            <w:vAlign w:val="bottom"/>
            <w:shd w:val="clear" w:color="auto" w:fill="B2B2B2"/>
          </w:tcPr>
          <w:p>
            <w:pPr>
              <w:spacing w:after="0"/>
              <w:rPr>
                <w:sz w:val="18"/>
                <w:szCs w:val="18"/>
                <w:color w:val="auto"/>
              </w:rPr>
            </w:pPr>
          </w:p>
        </w:tc>
        <w:tc>
          <w:tcPr>
            <w:tcW w:w="36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40" w:type="dxa"/>
            <w:vAlign w:val="bottom"/>
            <w:shd w:val="clear" w:color="auto" w:fill="B2B2B2"/>
          </w:tcPr>
          <w:p>
            <w:pPr>
              <w:spacing w:after="0"/>
              <w:rPr>
                <w:sz w:val="18"/>
                <w:szCs w:val="18"/>
                <w:color w:val="auto"/>
              </w:rPr>
            </w:pPr>
          </w:p>
        </w:tc>
      </w:tr>
      <w:tr>
        <w:trPr>
          <w:trHeight w:val="216"/>
        </w:trPr>
        <w:tc>
          <w:tcPr>
            <w:tcW w:w="2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1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26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16"/>
        </w:trPr>
        <w:tc>
          <w:tcPr>
            <w:tcW w:w="298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1180" w:type="dxa"/>
            <w:vAlign w:val="bottom"/>
            <w:shd w:val="clear" w:color="auto" w:fill="B2B2B2"/>
          </w:tcPr>
          <w:p>
            <w:pPr>
              <w:spacing w:after="0"/>
              <w:rPr>
                <w:sz w:val="18"/>
                <w:szCs w:val="18"/>
                <w:color w:val="auto"/>
              </w:rPr>
            </w:pPr>
          </w:p>
        </w:tc>
        <w:tc>
          <w:tcPr>
            <w:tcW w:w="1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shd w:val="clear" w:color="auto" w:fill="B2B2B2"/>
          </w:tcPr>
          <w:p>
            <w:pPr>
              <w:spacing w:after="0"/>
              <w:rPr>
                <w:sz w:val="18"/>
                <w:szCs w:val="18"/>
                <w:color w:val="auto"/>
              </w:rPr>
            </w:pPr>
          </w:p>
        </w:tc>
        <w:tc>
          <w:tcPr>
            <w:tcW w:w="36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spacing w:after="0"/>
              <w:rPr>
                <w:sz w:val="18"/>
                <w:szCs w:val="18"/>
                <w:color w:val="auto"/>
              </w:rPr>
            </w:pP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B2B2B2"/>
          </w:tcPr>
          <w:p>
            <w:pPr>
              <w:spacing w:after="0"/>
              <w:rPr>
                <w:sz w:val="18"/>
                <w:szCs w:val="18"/>
                <w:color w:val="auto"/>
              </w:rPr>
            </w:pPr>
          </w:p>
        </w:tc>
        <w:tc>
          <w:tcPr>
            <w:tcW w:w="13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98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1180" w:type="dxa"/>
            <w:vAlign w:val="bottom"/>
            <w:shd w:val="clear" w:color="auto" w:fill="B2B2B2"/>
          </w:tcPr>
          <w:p>
            <w:pPr>
              <w:spacing w:after="0"/>
              <w:rPr>
                <w:sz w:val="18"/>
                <w:szCs w:val="18"/>
                <w:color w:val="auto"/>
              </w:rPr>
            </w:pPr>
          </w:p>
        </w:tc>
        <w:tc>
          <w:tcPr>
            <w:tcW w:w="1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260" w:type="dxa"/>
            <w:vAlign w:val="bottom"/>
            <w:shd w:val="clear" w:color="auto" w:fill="B2B2B2"/>
          </w:tcPr>
          <w:p>
            <w:pPr>
              <w:spacing w:after="0"/>
              <w:rPr>
                <w:sz w:val="18"/>
                <w:szCs w:val="18"/>
                <w:color w:val="auto"/>
              </w:rPr>
            </w:pPr>
          </w:p>
        </w:tc>
        <w:tc>
          <w:tcPr>
            <w:tcW w:w="36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spacing w:after="0"/>
              <w:rPr>
                <w:sz w:val="18"/>
                <w:szCs w:val="18"/>
                <w:color w:val="auto"/>
              </w:rPr>
            </w:pP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B2B2B2"/>
          </w:tcPr>
          <w:p>
            <w:pPr>
              <w:spacing w:after="0"/>
              <w:rPr>
                <w:sz w:val="18"/>
                <w:szCs w:val="18"/>
                <w:color w:val="auto"/>
              </w:rPr>
            </w:pPr>
          </w:p>
        </w:tc>
        <w:tc>
          <w:tcPr>
            <w:tcW w:w="13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3,857</w:t>
            </w:r>
          </w:p>
        </w:tc>
      </w:tr>
      <w:tr>
        <w:trPr>
          <w:trHeight w:val="216"/>
        </w:trPr>
        <w:tc>
          <w:tcPr>
            <w:tcW w:w="2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1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6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298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Industrial Revenue Bonds</w:t>
            </w:r>
          </w:p>
        </w:tc>
        <w:tc>
          <w:tcPr>
            <w:tcW w:w="1180" w:type="dxa"/>
            <w:vAlign w:val="bottom"/>
            <w:shd w:val="clear" w:color="auto" w:fill="B2B2B2"/>
          </w:tcPr>
          <w:p>
            <w:pPr>
              <w:spacing w:after="0"/>
              <w:rPr>
                <w:sz w:val="18"/>
                <w:szCs w:val="18"/>
                <w:color w:val="auto"/>
              </w:rPr>
            </w:pPr>
          </w:p>
        </w:tc>
        <w:tc>
          <w:tcPr>
            <w:tcW w:w="1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60" w:type="dxa"/>
            <w:vAlign w:val="bottom"/>
            <w:shd w:val="clear" w:color="auto" w:fill="B2B2B2"/>
          </w:tcPr>
          <w:p>
            <w:pPr>
              <w:spacing w:after="0"/>
              <w:rPr>
                <w:sz w:val="18"/>
                <w:szCs w:val="18"/>
                <w:color w:val="auto"/>
              </w:rPr>
            </w:pPr>
          </w:p>
        </w:tc>
        <w:tc>
          <w:tcPr>
            <w:tcW w:w="36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spacing w:after="0"/>
              <w:rPr>
                <w:sz w:val="18"/>
                <w:szCs w:val="18"/>
                <w:color w:val="auto"/>
              </w:rPr>
            </w:pP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B2B2B2"/>
          </w:tcPr>
          <w:p>
            <w:pPr>
              <w:spacing w:after="0"/>
              <w:rPr>
                <w:sz w:val="18"/>
                <w:szCs w:val="18"/>
                <w:color w:val="auto"/>
              </w:rPr>
            </w:pPr>
          </w:p>
        </w:tc>
        <w:tc>
          <w:tcPr>
            <w:tcW w:w="13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298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1260" w:type="dxa"/>
            <w:vAlign w:val="bottom"/>
            <w:tcBorders>
              <w:bottom w:val="single" w:sz="8" w:color="auto"/>
            </w:tcBorders>
            <w:shd w:val="clear" w:color="auto" w:fill="B2B2B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2B2B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10,220</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Commitments and Contingencies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September 30, 2019 and December 31, 2018, no amounts have been accrued for any estimated losses for these instruments.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September 30, 2019, the balance of unused loan commitments, standby and commercial letters of credit were $171,503,000, $10,180,000, and $2,662,000,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contractual cash obligations of the Company related to time deposits at September 30,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Amount of Commitment Expiration per Period</w:t>
            </w:r>
          </w:p>
        </w:tc>
        <w:tc>
          <w:tcPr>
            <w:tcW w:w="780" w:type="dxa"/>
            <w:vAlign w:val="bottom"/>
          </w:tcPr>
          <w:p>
            <w:pPr>
              <w:spacing w:after="0"/>
              <w:rPr>
                <w:sz w:val="21"/>
                <w:szCs w:val="21"/>
                <w:color w:val="auto"/>
              </w:rPr>
            </w:pPr>
          </w:p>
        </w:tc>
      </w:tr>
      <w:tr>
        <w:trPr>
          <w:trHeight w:val="193"/>
        </w:trPr>
        <w:tc>
          <w:tcPr>
            <w:tcW w:w="3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380" w:type="dxa"/>
            <w:vAlign w:val="bottom"/>
          </w:tcPr>
          <w:p>
            <w:pPr>
              <w:jc w:val="center"/>
              <w:ind w:right="2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1-3</w:t>
            </w:r>
          </w:p>
        </w:tc>
        <w:tc>
          <w:tcPr>
            <w:tcW w:w="1300" w:type="dxa"/>
            <w:vAlign w:val="bottom"/>
          </w:tcPr>
          <w:p>
            <w:pPr>
              <w:jc w:val="right"/>
              <w:ind w:right="570"/>
              <w:spacing w:after="0" w:line="194" w:lineRule="exact"/>
              <w:rPr>
                <w:sz w:val="20"/>
                <w:szCs w:val="20"/>
                <w:color w:val="auto"/>
              </w:rPr>
            </w:pPr>
            <w:r>
              <w:rPr>
                <w:rFonts w:ascii="Times New Roman" w:cs="Times New Roman" w:eastAsia="Times New Roman" w:hAnsi="Times New Roman"/>
                <w:sz w:val="18"/>
                <w:szCs w:val="18"/>
                <w:b w:val="1"/>
                <w:bCs w:val="1"/>
                <w:color w:val="auto"/>
              </w:rPr>
              <w:t>3-5</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Over 5</w:t>
            </w:r>
          </w:p>
        </w:tc>
      </w:tr>
      <w:tr>
        <w:trPr>
          <w:trHeight w:val="245"/>
        </w:trPr>
        <w:tc>
          <w:tcPr>
            <w:tcW w:w="3120" w:type="dxa"/>
            <w:vAlign w:val="bottom"/>
            <w:tcBorders>
              <w:bottom w:val="single" w:sz="8" w:color="auto"/>
            </w:tcBorders>
          </w:tcPr>
          <w:p>
            <w:pPr>
              <w:jc w:val="center"/>
              <w:ind w:right="193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3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r>
      <w:tr>
        <w:trPr>
          <w:trHeight w:val="216"/>
        </w:trPr>
        <w:tc>
          <w:tcPr>
            <w:tcW w:w="3120" w:type="dxa"/>
            <w:vAlign w:val="bottom"/>
            <w:tcBorders>
              <w:bottom w:val="single" w:sz="8" w:color="auto"/>
            </w:tcBorders>
            <w:shd w:val="clear" w:color="auto" w:fill="B2B2B2"/>
          </w:tcPr>
          <w:p>
            <w:pPr>
              <w:jc w:val="center"/>
              <w:ind w:right="1950"/>
              <w:spacing w:after="0"/>
              <w:rPr>
                <w:sz w:val="20"/>
                <w:szCs w:val="20"/>
                <w:color w:val="auto"/>
              </w:rPr>
            </w:pPr>
            <w:r>
              <w:rPr>
                <w:rFonts w:ascii="Times New Roman" w:cs="Times New Roman" w:eastAsia="Times New Roman" w:hAnsi="Times New Roman"/>
                <w:sz w:val="18"/>
                <w:szCs w:val="18"/>
                <w:color w:val="auto"/>
                <w:w w:val="98"/>
              </w:rPr>
              <w:t>Time deposits</w:t>
            </w:r>
          </w:p>
        </w:tc>
        <w:tc>
          <w:tcPr>
            <w:tcW w:w="226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74,812</w:t>
            </w:r>
          </w:p>
        </w:tc>
        <w:tc>
          <w:tcPr>
            <w:tcW w:w="1480" w:type="dxa"/>
            <w:vAlign w:val="bottom"/>
            <w:tcBorders>
              <w:bottom w:val="single" w:sz="8" w:color="auto"/>
            </w:tcBorders>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54,261</w:t>
            </w:r>
          </w:p>
        </w:tc>
        <w:tc>
          <w:tcPr>
            <w:tcW w:w="1380" w:type="dxa"/>
            <w:vAlign w:val="bottom"/>
            <w:tcBorders>
              <w:bottom w:val="single" w:sz="8" w:color="auto"/>
            </w:tcBorders>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18,870</w:t>
            </w:r>
          </w:p>
        </w:tc>
        <w:tc>
          <w:tcPr>
            <w:tcW w:w="130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1,681</w:t>
            </w:r>
          </w:p>
        </w:tc>
        <w:tc>
          <w:tcPr>
            <w:tcW w:w="780" w:type="dxa"/>
            <w:vAlign w:val="bottom"/>
            <w:tcBorders>
              <w:bottom w:val="single" w:sz="8" w:color="auto"/>
            </w:tcBorders>
            <w:shd w:val="clear" w:color="auto" w:fill="B2B2B2"/>
          </w:tcPr>
          <w:p>
            <w:pPr>
              <w:ind w:left="60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3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74,812</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54,261</w:t>
            </w: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18,870</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1,681</w:t>
            </w:r>
          </w:p>
        </w:tc>
        <w:tc>
          <w:tcPr>
            <w:tcW w:w="7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Note 8 – Stock-Based Compensation</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Amended and Restated Omnibus Stock and Performance Compensation Plan (the “Omnibus Plan”) permits the issuance of up to 1,500,000 shares of the Company’s common stock in the form of stock options, stock appreciation rights (“SARs”), restricted stock, restricted stock units and performance awards. The Company may issue shares out of treasury stock for these awards. During the nine months ended September 30, 2019, 36,062 restricted shares, 36,801 performance-based restricted shares, and 0 SARs were granted under the Omnibus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Beginning on April 16, 2013, restricted shares granted to Company employees are amortized to expense over a three-year vesting period whereas restricted shares granted to members of the Board of Directors are amortized to expense over a one-year service period, with the exception of those shares granted in lieu of cash payments for retainer fees which are expensed in the period earned. Beginning on February 2, 2017, restricted shares granted to Company employees are amortized to expense over the three-year cliff vesting period.</w:t>
      </w:r>
    </w:p>
    <w:p>
      <w:pPr>
        <w:spacing w:after="0" w:line="7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As of September 30, 2019, the total unrecognized compensation expense related to non-vested restricted shares was $1,827,000, and the related weighted-average period over which it is expected to be recognized is approximately 0.83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activity of the restricted stock:</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6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6780" w:type="dxa"/>
            <w:vAlign w:val="bottom"/>
          </w:tcPr>
          <w:p>
            <w:pPr>
              <w:spacing w:after="0"/>
              <w:rPr>
                <w:sz w:val="21"/>
                <w:szCs w:val="21"/>
                <w:color w:val="auto"/>
              </w:rPr>
            </w:pPr>
          </w:p>
        </w:tc>
        <w:tc>
          <w:tcPr>
            <w:tcW w:w="26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223"/>
        </w:trPr>
        <w:tc>
          <w:tcPr>
            <w:tcW w:w="67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6"/>
        </w:trPr>
        <w:tc>
          <w:tcPr>
            <w:tcW w:w="6780" w:type="dxa"/>
            <w:vAlign w:val="bottom"/>
            <w:shd w:val="clear" w:color="auto" w:fill="B2B2B2"/>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3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99,724</w:t>
            </w: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45.48</w:t>
            </w: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36,062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w:t>
            </w:r>
          </w:p>
        </w:tc>
      </w:tr>
      <w:tr>
        <w:trPr>
          <w:trHeight w:val="216"/>
        </w:trPr>
        <w:tc>
          <w:tcPr>
            <w:tcW w:w="6780" w:type="dxa"/>
            <w:vAlign w:val="bottom"/>
            <w:tcBorders>
              <w:bottom w:val="single" w:sz="8" w:color="auto"/>
            </w:tcBorders>
            <w:shd w:val="clear" w:color="auto" w:fill="B2B2B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(13,264)</w:t>
            </w:r>
          </w:p>
        </w:tc>
        <w:tc>
          <w:tcPr>
            <w:tcW w:w="26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39.76</w:t>
            </w:r>
          </w:p>
        </w:tc>
      </w:tr>
      <w:tr>
        <w:trPr>
          <w:trHeight w:val="216"/>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122,522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of 2017, the Company granted three-year performance based restricted stock (“PBRS”) awards which are contingent upon the Company’s achievement of pre-established financial goals over the period from January 1, 2017 through December 31, 2019. The PBRS awards cliff vest on the three-year anniversary of their grant date at levels ranging from 0% to 150% of the target opportunity based on the actual achievement of financial goals for the three-year performance period. The aggregate target number of these PBRS shares outstanding at September 30, 2019 was 30,057 with a grant date fair value of $49.33 per share. The 2019 expense related to these grants is currently estimated to be $595,000 and is based on the grant date fair value of the awards and the Company’s achievement of 120% of the target financial goals. The estimated expense for 2019 and each future period through the vesting date is subject to prospective adjustment based upon changes in the expected achievement of the financial goals.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and July of 2018, the Company granted three-year PBRS awards which are contingent upon the Company’s achievement of pre-established financial goals over the period from January 1, 2018 through December 31, 2020. The PBRS awards cliff vest on the three-year anniversary of their grant date at levels ranging from 0% to 150% of the target opportunity based on the actual achievement of financial goals for the three-year performance period. The aggregate target number of these PBRS shares outstanding at September 30, 2019 was 35,258 with an average grant date fair value of $49.04 per share. The 2019 expense related to these grants is currently estimated to be $674,000 and is based on the grant date fair value of the awards and the Company’s achievement of 117% of the target financial goals. The estimated expense for 2019 and each future period through the vesting date is subject to prospective adjustment based upon changes in the expected achievement of the financial goals.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and June of 2019, the Company granted three-year PBRS awards which are contingent upon the Company’s achievement of pre-established financial goals over the period from January 1, 2019 through December 31, 2021. The PBRS awards cliff vest on the three-year anniversary of their grant date at levels ranging from 0% to 150% of the target opportunity based on the actual achievement of financial goals for the three-year performance period. The aggregate target number of these PBRS shares outstanding at September 30, 2019 was 36,801 with an average grant date fair value of $49.06 per share. The 2019 expense related to these grants is currently estimated to be $644,000 and is based on the grant date fair value of the awards and the Company’s achievement of 108% of the target financial goals. The estimated expense for 2019 and each future period through the vesting date is subject to prospective adjustment based upon changes in the expected achievement of the financial goals.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SARs granted and no expense recognized during the nine months ended September 30, 2019. Following is a summary of the activity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SARs program for the nine-month period ended September 30, 2019: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6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Intrinsic</w:t>
            </w:r>
          </w:p>
        </w:tc>
      </w:tr>
      <w:tr>
        <w:trPr>
          <w:trHeight w:val="216"/>
        </w:trPr>
        <w:tc>
          <w:tcPr>
            <w:tcW w:w="6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3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5"/>
        </w:trPr>
        <w:tc>
          <w:tcPr>
            <w:tcW w:w="68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r>
      <w:tr>
        <w:trPr>
          <w:trHeight w:val="216"/>
        </w:trPr>
        <w:tc>
          <w:tcPr>
            <w:tcW w:w="68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80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237,121</w:t>
            </w: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29.86</w:t>
            </w:r>
          </w:p>
        </w:tc>
        <w:tc>
          <w:tcPr>
            <w:tcW w:w="11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5,468</w:t>
            </w:r>
          </w:p>
        </w:tc>
      </w:tr>
      <w:tr>
        <w:trPr>
          <w:trHeight w:val="216"/>
        </w:trPr>
        <w:tc>
          <w:tcPr>
            <w:tcW w:w="6860" w:type="dxa"/>
            <w:vAlign w:val="bottom"/>
            <w:tcBorders>
              <w:bottom w:val="single" w:sz="8" w:color="B2B2B2"/>
            </w:tcBorders>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7"/>
              </w:rPr>
              <w:t>(34,518)</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24.22</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Exercisable at September 30, 2019</w:t>
            </w:r>
          </w:p>
        </w:tc>
        <w:tc>
          <w:tcPr>
            <w:tcW w:w="800" w:type="dxa"/>
            <w:vAlign w:val="bottom"/>
            <w:tcBorders>
              <w:bottom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202,603</w:t>
            </w:r>
          </w:p>
        </w:tc>
        <w:tc>
          <w:tcPr>
            <w:tcW w:w="2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30.82</w:t>
            </w:r>
          </w:p>
        </w:tc>
        <w:tc>
          <w:tcPr>
            <w:tcW w:w="118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2.93</w:t>
            </w:r>
          </w:p>
        </w:tc>
        <w:tc>
          <w:tcPr>
            <w:tcW w:w="3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4,694</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non-vested SARs at September 30, 2019.</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Defined Pension Plans</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a noncontributory defined-benefit pension plan, which covers most of its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7"/>
              </w:rPr>
              <w:t>Estimated</w:t>
            </w:r>
          </w:p>
        </w:tc>
        <w:tc>
          <w:tcPr>
            <w:tcW w:w="36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Actual</w:t>
            </w:r>
          </w:p>
        </w:tc>
      </w:tr>
      <w:tr>
        <w:trPr>
          <w:trHeight w:val="245"/>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8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60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28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3,708</w:t>
            </w:r>
          </w:p>
        </w:tc>
        <w:tc>
          <w:tcPr>
            <w:tcW w:w="3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4,017</w:t>
            </w:r>
          </w:p>
        </w:tc>
      </w:tr>
      <w:tr>
        <w:trPr>
          <w:trHeight w:val="216"/>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28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4,083</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r>
      <w:tr>
        <w:trPr>
          <w:trHeight w:val="216"/>
        </w:trPr>
        <w:tc>
          <w:tcPr>
            <w:tcW w:w="60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4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(4,754)</w:t>
            </w:r>
          </w:p>
        </w:tc>
        <w:tc>
          <w:tcPr>
            <w:tcW w:w="36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(5,202)</w:t>
            </w:r>
          </w:p>
        </w:tc>
      </w:tr>
      <w:tr>
        <w:trPr>
          <w:trHeight w:val="216"/>
        </w:trPr>
        <w:tc>
          <w:tcPr>
            <w:tcW w:w="6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2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1,634</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16"/>
        </w:trPr>
        <w:tc>
          <w:tcPr>
            <w:tcW w:w="604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8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4,671</w:t>
            </w:r>
          </w:p>
        </w:tc>
        <w:tc>
          <w:tcPr>
            <w:tcW w:w="36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4,040</w:t>
            </w:r>
          </w:p>
        </w:tc>
      </w:tr>
    </w:tbl>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Pension costs recorded to expense were $1,178,000 and $1,049,000 for the three-month periods ended September 30, 2019 and 2018, respectively, and totaled $3,543,000 and $3,147,000 for the nine-month periods ended September 30, 2019 and 2018, respectively. Pension costs increased in 2019 primarily due to a decrease in the discount rate. The Company made no contribution to the plan during the nine-month period ended September 30, 2019 and is evaluating the amount of additional contributions, if any, in the remainder of 2019.Net periodic pension cost is presented within personnel expense in the Consolidated Statements of Income.</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2018 and an estimate for 2019: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7"/>
              </w:rPr>
              <w:t>Estimated</w:t>
            </w:r>
          </w:p>
        </w:tc>
        <w:tc>
          <w:tcPr>
            <w:tcW w:w="36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Actual</w:t>
            </w:r>
          </w:p>
        </w:tc>
      </w:tr>
      <w:tr>
        <w:trPr>
          <w:trHeight w:val="245"/>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8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60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28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28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408</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604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Net amortization</w:t>
            </w:r>
          </w:p>
        </w:tc>
        <w:tc>
          <w:tcPr>
            <w:tcW w:w="284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276</w:t>
            </w:r>
          </w:p>
        </w:tc>
        <w:tc>
          <w:tcPr>
            <w:tcW w:w="36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781</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r>
    </w:tbl>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Pension costs recorded to expense were $195,000 and $255,000 for the three-month periods ended September 30, 2019 and 2018, respectively, and were $586,000 and $766,000 for the nine-month periods ended September 30, 2019 and 2018,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Note 10 – Income Taxes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September 30, 2019, the Company’s unrecognized tax benefits were approximately $1,438,000, of which $1,310,000 would, if recognized, affect the Company’s effective tax rate. As of December 31, 2018, the Company’s unrecognized tax benefits were approximately $1,403,000, of which $1,272,000 would, if recognized, affect the Company’s effective tax rate. During the next 12 months, the Company may realize a reduction of its unrecognized tax benefits of approximately $207,000 due to the lapse of federal and state statutes of limitations.</w:t>
      </w:r>
    </w:p>
    <w:p>
      <w:pPr>
        <w:spacing w:after="0" w:line="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The Company had $192,000 and $136,000 of gross interest accrued as of September 30, 2019 and December 31, 2018, respectively. There were no penalties for unrecognized tax benefits accrued at September 30, 2019 and December 31, 2018.</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is subject to income tax in the U.S. federal jurisdiction and numerous state jurisdictions. U.S. federal income tax returns for tax years 2016 through 2017 remain subject to examination by the Internal Revenue Service. In addition, the Company is subject to state tax examinations for the tax years 2014 through 2017.</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Investment in Securities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5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3"/>
        </w:trPr>
        <w:tc>
          <w:tcPr>
            <w:tcW w:w="2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center"/>
              <w:ind w:right="33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Pr>
          <w:p>
            <w:pPr>
              <w:spacing w:after="0"/>
              <w:rPr>
                <w:sz w:val="21"/>
                <w:szCs w:val="21"/>
                <w:color w:val="auto"/>
              </w:rPr>
            </w:pPr>
          </w:p>
        </w:tc>
        <w:tc>
          <w:tcPr>
            <w:tcW w:w="9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2920" w:type="dxa"/>
            <w:vAlign w:val="bottom"/>
            <w:tcBorders>
              <w:top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64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1140" w:type="dxa"/>
            <w:vAlign w:val="bottom"/>
            <w:tcBorders>
              <w:top w:val="single" w:sz="8" w:color="auto"/>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1040" w:type="dxa"/>
            <w:vAlign w:val="bottom"/>
            <w:tcBorders>
              <w:top w:val="single" w:sz="8" w:color="auto"/>
            </w:tcBorders>
            <w:gridSpan w:val="2"/>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B2B2B2"/>
          </w:tcPr>
          <w:p>
            <w:pPr>
              <w:spacing w:after="0"/>
              <w:rPr>
                <w:sz w:val="18"/>
                <w:szCs w:val="18"/>
                <w:color w:val="auto"/>
              </w:rPr>
            </w:pPr>
          </w:p>
        </w:tc>
        <w:tc>
          <w:tcPr>
            <w:tcW w:w="720" w:type="dxa"/>
            <w:vAlign w:val="bottom"/>
            <w:tcBorders>
              <w:top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312,826</w:t>
            </w:r>
          </w:p>
        </w:tc>
        <w:tc>
          <w:tcPr>
            <w:tcW w:w="560" w:type="dxa"/>
            <w:vAlign w:val="bottom"/>
            <w:tcBorders>
              <w:top w:val="single" w:sz="8" w:color="auto"/>
            </w:tcBorders>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440" w:type="dxa"/>
            <w:vAlign w:val="bottom"/>
            <w:tcBorders>
              <w:top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B2B2B2"/>
          </w:tcPr>
          <w:p>
            <w:pPr>
              <w:spacing w:after="0"/>
              <w:rPr>
                <w:sz w:val="18"/>
                <w:szCs w:val="18"/>
                <w:color w:val="auto"/>
              </w:rPr>
            </w:pPr>
          </w:p>
        </w:tc>
        <w:tc>
          <w:tcPr>
            <w:tcW w:w="140" w:type="dxa"/>
            <w:vAlign w:val="bottom"/>
            <w:tcBorders>
              <w:top w:val="single" w:sz="8" w:color="auto"/>
            </w:tcBorders>
            <w:shd w:val="clear" w:color="auto" w:fill="B2B2B2"/>
          </w:tcPr>
          <w:p>
            <w:pPr>
              <w:spacing w:after="0"/>
              <w:rPr>
                <w:sz w:val="18"/>
                <w:szCs w:val="18"/>
                <w:color w:val="auto"/>
              </w:rPr>
            </w:pPr>
          </w:p>
        </w:tc>
        <w:tc>
          <w:tcPr>
            <w:tcW w:w="420" w:type="dxa"/>
            <w:vAlign w:val="bottom"/>
            <w:tcBorders>
              <w:top w:val="single" w:sz="8" w:color="auto"/>
            </w:tcBorders>
            <w:shd w:val="clear" w:color="auto" w:fill="B2B2B2"/>
          </w:tcPr>
          <w:p>
            <w:pPr>
              <w:spacing w:after="0"/>
              <w:rPr>
                <w:sz w:val="18"/>
                <w:szCs w:val="18"/>
                <w:color w:val="auto"/>
              </w:rPr>
            </w:pPr>
          </w:p>
        </w:tc>
        <w:tc>
          <w:tcPr>
            <w:tcW w:w="580" w:type="dxa"/>
            <w:vAlign w:val="bottom"/>
            <w:tcBorders>
              <w:top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B2B2B2"/>
          </w:tcPr>
          <w:p>
            <w:pPr>
              <w:spacing w:after="0"/>
              <w:rPr>
                <w:sz w:val="18"/>
                <w:szCs w:val="18"/>
                <w:color w:val="auto"/>
              </w:rPr>
            </w:pPr>
          </w:p>
        </w:tc>
        <w:tc>
          <w:tcPr>
            <w:tcW w:w="920" w:type="dxa"/>
            <w:vAlign w:val="bottom"/>
            <w:tcBorders>
              <w:top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326,506</w:t>
            </w:r>
          </w:p>
        </w:tc>
        <w:tc>
          <w:tcPr>
            <w:tcW w:w="20" w:type="dxa"/>
            <w:vAlign w:val="bottom"/>
          </w:tcPr>
          <w:p>
            <w:pPr>
              <w:spacing w:after="0"/>
              <w:rPr>
                <w:sz w:val="18"/>
                <w:szCs w:val="18"/>
                <w:color w:val="auto"/>
              </w:rPr>
            </w:pPr>
          </w:p>
        </w:tc>
      </w:tr>
      <w:tr>
        <w:trPr>
          <w:trHeight w:val="216"/>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agencies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99,813</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100,085</w:t>
            </w:r>
          </w:p>
        </w:tc>
        <w:tc>
          <w:tcPr>
            <w:tcW w:w="20" w:type="dxa"/>
            <w:vAlign w:val="bottom"/>
          </w:tcPr>
          <w:p>
            <w:pPr>
              <w:spacing w:after="0"/>
              <w:rPr>
                <w:sz w:val="18"/>
                <w:szCs w:val="18"/>
                <w:color w:val="auto"/>
              </w:rPr>
            </w:pPr>
          </w:p>
        </w:tc>
      </w:tr>
      <w:tr>
        <w:trPr>
          <w:trHeight w:val="216"/>
        </w:trPr>
        <w:tc>
          <w:tcPr>
            <w:tcW w:w="292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Certificates of deposit</w:t>
            </w:r>
          </w:p>
        </w:tc>
        <w:tc>
          <w:tcPr>
            <w:tcW w:w="64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540" w:type="dxa"/>
            <w:vAlign w:val="bottom"/>
            <w:tcBorders>
              <w:bottom w:val="single" w:sz="8" w:color="auto"/>
            </w:tcBorders>
            <w:shd w:val="clear" w:color="auto" w:fill="B2B2B2"/>
          </w:tcPr>
          <w:p>
            <w:pPr>
              <w:spacing w:after="0"/>
              <w:rPr>
                <w:sz w:val="18"/>
                <w:szCs w:val="18"/>
                <w:color w:val="auto"/>
              </w:rPr>
            </w:pPr>
          </w:p>
        </w:tc>
        <w:tc>
          <w:tcPr>
            <w:tcW w:w="50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720" w:type="dxa"/>
            <w:vAlign w:val="bottom"/>
            <w:tcBorders>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B2B2B2"/>
          </w:tcPr>
          <w:p>
            <w:pPr>
              <w:spacing w:after="0"/>
              <w:rPr>
                <w:sz w:val="18"/>
                <w:szCs w:val="18"/>
                <w:color w:val="auto"/>
              </w:rPr>
            </w:pPr>
          </w:p>
        </w:tc>
        <w:tc>
          <w:tcPr>
            <w:tcW w:w="8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420" w:type="dxa"/>
            <w:vAlign w:val="bottom"/>
            <w:tcBorders>
              <w:bottom w:val="single" w:sz="8" w:color="auto"/>
            </w:tcBorders>
            <w:shd w:val="clear" w:color="auto" w:fill="B2B2B2"/>
          </w:tcPr>
          <w:p>
            <w:pPr>
              <w:spacing w:after="0"/>
              <w:rPr>
                <w:sz w:val="18"/>
                <w:szCs w:val="18"/>
                <w:color w:val="auto"/>
              </w:rPr>
            </w:pPr>
          </w:p>
        </w:tc>
        <w:tc>
          <w:tcPr>
            <w:tcW w:w="58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r>
      <w:tr>
        <w:trPr>
          <w:trHeight w:val="216"/>
        </w:trPr>
        <w:tc>
          <w:tcPr>
            <w:tcW w:w="2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413,639</w:t>
            </w:r>
          </w:p>
        </w:tc>
        <w:tc>
          <w:tcPr>
            <w:tcW w:w="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427,591</w:t>
            </w:r>
          </w:p>
        </w:tc>
        <w:tc>
          <w:tcPr>
            <w:tcW w:w="20" w:type="dxa"/>
            <w:vAlign w:val="bottom"/>
          </w:tcPr>
          <w:p>
            <w:pPr>
              <w:spacing w:after="0"/>
              <w:rPr>
                <w:sz w:val="18"/>
                <w:szCs w:val="18"/>
                <w:color w:val="auto"/>
              </w:rPr>
            </w:pPr>
          </w:p>
        </w:tc>
      </w:tr>
      <w:tr>
        <w:trPr>
          <w:trHeight w:val="411"/>
        </w:trPr>
        <w:tc>
          <w:tcPr>
            <w:tcW w:w="2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2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center"/>
              <w:ind w:right="33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Pr>
          <w:p>
            <w:pPr>
              <w:spacing w:after="0"/>
              <w:rPr>
                <w:sz w:val="21"/>
                <w:szCs w:val="21"/>
                <w:color w:val="auto"/>
              </w:rPr>
            </w:pPr>
          </w:p>
        </w:tc>
        <w:tc>
          <w:tcPr>
            <w:tcW w:w="9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2920" w:type="dxa"/>
            <w:vAlign w:val="bottom"/>
            <w:tcBorders>
              <w:top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64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1140" w:type="dxa"/>
            <w:vAlign w:val="bottom"/>
            <w:tcBorders>
              <w:top w:val="single" w:sz="8" w:color="auto"/>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1040" w:type="dxa"/>
            <w:vAlign w:val="bottom"/>
            <w:tcBorders>
              <w:top w:val="single" w:sz="8" w:color="auto"/>
            </w:tcBorders>
            <w:gridSpan w:val="2"/>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B2B2B2"/>
          </w:tcPr>
          <w:p>
            <w:pPr>
              <w:spacing w:after="0"/>
              <w:rPr>
                <w:sz w:val="18"/>
                <w:szCs w:val="18"/>
                <w:color w:val="auto"/>
              </w:rPr>
            </w:pPr>
          </w:p>
        </w:tc>
        <w:tc>
          <w:tcPr>
            <w:tcW w:w="720" w:type="dxa"/>
            <w:vAlign w:val="bottom"/>
            <w:tcBorders>
              <w:top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332,732</w:t>
            </w:r>
          </w:p>
        </w:tc>
        <w:tc>
          <w:tcPr>
            <w:tcW w:w="560" w:type="dxa"/>
            <w:vAlign w:val="bottom"/>
            <w:tcBorders>
              <w:top w:val="single" w:sz="8" w:color="auto"/>
            </w:tcBorders>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440" w:type="dxa"/>
            <w:vAlign w:val="bottom"/>
            <w:tcBorders>
              <w:top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B2B2B2"/>
          </w:tcPr>
          <w:p>
            <w:pPr>
              <w:spacing w:after="0"/>
              <w:rPr>
                <w:sz w:val="18"/>
                <w:szCs w:val="18"/>
                <w:color w:val="auto"/>
              </w:rPr>
            </w:pPr>
          </w:p>
        </w:tc>
        <w:tc>
          <w:tcPr>
            <w:tcW w:w="140" w:type="dxa"/>
            <w:vAlign w:val="bottom"/>
            <w:tcBorders>
              <w:top w:val="single" w:sz="8" w:color="auto"/>
            </w:tcBorders>
            <w:shd w:val="clear" w:color="auto" w:fill="B2B2B2"/>
          </w:tcPr>
          <w:p>
            <w:pPr>
              <w:spacing w:after="0"/>
              <w:rPr>
                <w:sz w:val="18"/>
                <w:szCs w:val="18"/>
                <w:color w:val="auto"/>
              </w:rPr>
            </w:pPr>
          </w:p>
        </w:tc>
        <w:tc>
          <w:tcPr>
            <w:tcW w:w="420" w:type="dxa"/>
            <w:vAlign w:val="bottom"/>
            <w:tcBorders>
              <w:top w:val="single" w:sz="8" w:color="auto"/>
            </w:tcBorders>
            <w:shd w:val="clear" w:color="auto" w:fill="B2B2B2"/>
          </w:tcPr>
          <w:p>
            <w:pPr>
              <w:spacing w:after="0"/>
              <w:rPr>
                <w:sz w:val="18"/>
                <w:szCs w:val="18"/>
                <w:color w:val="auto"/>
              </w:rPr>
            </w:pPr>
          </w:p>
        </w:tc>
        <w:tc>
          <w:tcPr>
            <w:tcW w:w="580" w:type="dxa"/>
            <w:vAlign w:val="bottom"/>
            <w:tcBorders>
              <w:top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w w:val="98"/>
              </w:rPr>
              <w:t>1,806</w:t>
            </w:r>
          </w:p>
        </w:tc>
        <w:tc>
          <w:tcPr>
            <w:tcW w:w="260" w:type="dxa"/>
            <w:vAlign w:val="bottom"/>
            <w:tcBorders>
              <w:top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B2B2B2"/>
          </w:tcPr>
          <w:p>
            <w:pPr>
              <w:spacing w:after="0"/>
              <w:rPr>
                <w:sz w:val="18"/>
                <w:szCs w:val="18"/>
                <w:color w:val="auto"/>
              </w:rPr>
            </w:pPr>
          </w:p>
        </w:tc>
        <w:tc>
          <w:tcPr>
            <w:tcW w:w="920" w:type="dxa"/>
            <w:vAlign w:val="bottom"/>
            <w:tcBorders>
              <w:top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334,717</w:t>
            </w:r>
          </w:p>
        </w:tc>
        <w:tc>
          <w:tcPr>
            <w:tcW w:w="20" w:type="dxa"/>
            <w:vAlign w:val="bottom"/>
          </w:tcPr>
          <w:p>
            <w:pPr>
              <w:spacing w:after="0"/>
              <w:rPr>
                <w:sz w:val="18"/>
                <w:szCs w:val="18"/>
                <w:color w:val="auto"/>
              </w:rPr>
            </w:pPr>
          </w:p>
        </w:tc>
      </w:tr>
      <w:tr>
        <w:trPr>
          <w:trHeight w:val="216"/>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agencies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106,153</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1,417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104,822</w:t>
            </w:r>
          </w:p>
        </w:tc>
        <w:tc>
          <w:tcPr>
            <w:tcW w:w="20" w:type="dxa"/>
            <w:vAlign w:val="bottom"/>
          </w:tcPr>
          <w:p>
            <w:pPr>
              <w:spacing w:after="0"/>
              <w:rPr>
                <w:sz w:val="18"/>
                <w:szCs w:val="18"/>
                <w:color w:val="auto"/>
              </w:rPr>
            </w:pPr>
          </w:p>
        </w:tc>
      </w:tr>
      <w:tr>
        <w:trPr>
          <w:trHeight w:val="216"/>
        </w:trPr>
        <w:tc>
          <w:tcPr>
            <w:tcW w:w="292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Certificates of deposit</w:t>
            </w:r>
          </w:p>
        </w:tc>
        <w:tc>
          <w:tcPr>
            <w:tcW w:w="64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540" w:type="dxa"/>
            <w:vAlign w:val="bottom"/>
            <w:tcBorders>
              <w:bottom w:val="single" w:sz="8" w:color="auto"/>
            </w:tcBorders>
            <w:shd w:val="clear" w:color="auto" w:fill="B2B2B2"/>
          </w:tcPr>
          <w:p>
            <w:pPr>
              <w:spacing w:after="0"/>
              <w:rPr>
                <w:sz w:val="18"/>
                <w:szCs w:val="18"/>
                <w:color w:val="auto"/>
              </w:rPr>
            </w:pPr>
          </w:p>
        </w:tc>
        <w:tc>
          <w:tcPr>
            <w:tcW w:w="50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720" w:type="dxa"/>
            <w:vAlign w:val="bottom"/>
            <w:tcBorders>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56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B2B2B2"/>
          </w:tcPr>
          <w:p>
            <w:pPr>
              <w:spacing w:after="0"/>
              <w:rPr>
                <w:sz w:val="18"/>
                <w:szCs w:val="18"/>
                <w:color w:val="auto"/>
              </w:rPr>
            </w:pPr>
          </w:p>
        </w:tc>
        <w:tc>
          <w:tcPr>
            <w:tcW w:w="8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420" w:type="dxa"/>
            <w:vAlign w:val="bottom"/>
            <w:tcBorders>
              <w:bottom w:val="single" w:sz="8" w:color="auto"/>
            </w:tcBorders>
            <w:shd w:val="clear" w:color="auto" w:fill="B2B2B2"/>
          </w:tcPr>
          <w:p>
            <w:pPr>
              <w:spacing w:after="0"/>
              <w:rPr>
                <w:sz w:val="18"/>
                <w:szCs w:val="18"/>
                <w:color w:val="auto"/>
              </w:rPr>
            </w:pPr>
          </w:p>
        </w:tc>
        <w:tc>
          <w:tcPr>
            <w:tcW w:w="58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0" w:type="dxa"/>
            <w:vAlign w:val="bottom"/>
          </w:tcPr>
          <w:p>
            <w:pPr>
              <w:spacing w:after="0"/>
              <w:rPr>
                <w:sz w:val="18"/>
                <w:szCs w:val="18"/>
                <w:color w:val="auto"/>
              </w:rPr>
            </w:pPr>
          </w:p>
        </w:tc>
      </w:tr>
      <w:tr>
        <w:trPr>
          <w:trHeight w:val="216"/>
        </w:trPr>
        <w:tc>
          <w:tcPr>
            <w:tcW w:w="2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440,880</w:t>
            </w:r>
          </w:p>
        </w:tc>
        <w:tc>
          <w:tcPr>
            <w:tcW w:w="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3,223</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441,534</w:t>
            </w:r>
          </w:p>
        </w:tc>
        <w:tc>
          <w:tcPr>
            <w:tcW w:w="20" w:type="dxa"/>
            <w:vAlign w:val="bottom"/>
          </w:tcPr>
          <w:p>
            <w:pPr>
              <w:spacing w:after="0"/>
              <w:rPr>
                <w:sz w:val="18"/>
                <w:szCs w:val="18"/>
                <w:color w:val="auto"/>
              </w:rPr>
            </w:pPr>
          </w:p>
        </w:tc>
      </w:tr>
      <w:tr>
        <w:trPr>
          <w:trHeight w:val="404"/>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fair values of securities with unrealized losses are as follows:</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2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19"/>
                <w:szCs w:val="19"/>
                <w:color w:val="auto"/>
              </w:rPr>
            </w:pPr>
          </w:p>
        </w:tc>
        <w:tc>
          <w:tcPr>
            <w:tcW w:w="20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3"/>
        </w:trPr>
        <w:tc>
          <w:tcPr>
            <w:tcW w:w="2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360" w:type="dxa"/>
            <w:vAlign w:val="bottom"/>
            <w:tcBorders>
              <w:top w:val="single" w:sz="8" w:color="auto"/>
            </w:tcBorders>
            <w:gridSpan w:val="2"/>
          </w:tcPr>
          <w:p>
            <w:pPr>
              <w:jc w:val="center"/>
              <w:ind w:lef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gridSpan w:val="2"/>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6"/>
                <w:szCs w:val="16"/>
                <w:color w:val="auto"/>
              </w:rPr>
            </w:pPr>
          </w:p>
        </w:tc>
      </w:tr>
      <w:tr>
        <w:trPr>
          <w:trHeight w:val="245"/>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1"/>
                <w:szCs w:val="21"/>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6"/>
        </w:trPr>
        <w:tc>
          <w:tcPr>
            <w:tcW w:w="2920" w:type="dxa"/>
            <w:vAlign w:val="bottom"/>
            <w:tcBorders>
              <w:top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760" w:type="dxa"/>
            <w:vAlign w:val="bottom"/>
            <w:tcBorders>
              <w:top w:val="single" w:sz="8" w:color="auto"/>
            </w:tcBorders>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1,117</w:t>
            </w:r>
          </w:p>
        </w:tc>
        <w:tc>
          <w:tcPr>
            <w:tcW w:w="2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3"/>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Borders>
              <w:top w:val="single" w:sz="8" w:color="auto"/>
            </w:tcBorders>
            <w:gridSpan w:val="2"/>
            <w:shd w:val="clear" w:color="auto" w:fill="B2B2B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B2B2B2"/>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gridSpan w:val="2"/>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shd w:val="clear" w:color="auto" w:fill="B2B2B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gridSpan w:val="2"/>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c>
          <w:tcPr>
            <w:tcW w:w="20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6"/>
        </w:trPr>
        <w:tc>
          <w:tcPr>
            <w:tcW w:w="2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 government agencies</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5,967</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25,809</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31,776</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8"/>
                <w:szCs w:val="18"/>
                <w:color w:val="auto"/>
              </w:rPr>
            </w:pPr>
          </w:p>
        </w:tc>
      </w:tr>
      <w:tr>
        <w:trPr>
          <w:trHeight w:val="216"/>
        </w:trPr>
        <w:tc>
          <w:tcPr>
            <w:tcW w:w="292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7,084</w:t>
            </w:r>
          </w:p>
        </w:tc>
        <w:tc>
          <w:tcPr>
            <w:tcW w:w="2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shd w:val="clear" w:color="auto" w:fill="B2B2B2"/>
          </w:tcPr>
          <w:p>
            <w:pPr>
              <w:spacing w:after="0"/>
              <w:rPr>
                <w:sz w:val="18"/>
                <w:szCs w:val="18"/>
                <w:color w:val="auto"/>
              </w:rPr>
            </w:pPr>
          </w:p>
        </w:tc>
        <w:tc>
          <w:tcPr>
            <w:tcW w:w="720" w:type="dxa"/>
            <w:vAlign w:val="bottom"/>
            <w:tcBorders>
              <w:bottom w:val="single" w:sz="8" w:color="auto"/>
            </w:tcBorders>
            <w:gridSpan w:val="2"/>
            <w:shd w:val="clear" w:color="auto" w:fill="B2B2B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25,809</w:t>
            </w:r>
          </w:p>
        </w:tc>
        <w:tc>
          <w:tcPr>
            <w:tcW w:w="920" w:type="dxa"/>
            <w:vAlign w:val="bottom"/>
            <w:tcBorders>
              <w:bottom w:val="single" w:sz="8" w:color="auto"/>
            </w:tcBorders>
            <w:shd w:val="clear" w:color="auto" w:fill="B2B2B2"/>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2"/>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225</w:t>
            </w:r>
          </w:p>
        </w:tc>
        <w:tc>
          <w:tcPr>
            <w:tcW w:w="560" w:type="dxa"/>
            <w:vAlign w:val="bottom"/>
            <w:tcBorders>
              <w:bottom w:val="single" w:sz="8" w:color="auto"/>
            </w:tcBorders>
            <w:gridSpan w:val="2"/>
            <w:shd w:val="clear" w:color="auto" w:fill="B2B2B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32,893</w:t>
            </w:r>
          </w:p>
        </w:tc>
        <w:tc>
          <w:tcPr>
            <w:tcW w:w="2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8"/>
                <w:szCs w:val="18"/>
                <w:color w:val="auto"/>
              </w:rPr>
            </w:pPr>
          </w:p>
        </w:tc>
      </w:tr>
      <w:tr>
        <w:trPr>
          <w:trHeight w:val="398"/>
        </w:trPr>
        <w:tc>
          <w:tcPr>
            <w:tcW w:w="2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19"/>
                <w:szCs w:val="19"/>
                <w:color w:val="auto"/>
              </w:rPr>
            </w:pPr>
          </w:p>
        </w:tc>
        <w:tc>
          <w:tcPr>
            <w:tcW w:w="20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3"/>
        </w:trPr>
        <w:tc>
          <w:tcPr>
            <w:tcW w:w="2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360" w:type="dxa"/>
            <w:vAlign w:val="bottom"/>
            <w:tcBorders>
              <w:top w:val="single" w:sz="8" w:color="auto"/>
            </w:tcBorders>
            <w:gridSpan w:val="2"/>
          </w:tcPr>
          <w:p>
            <w:pPr>
              <w:jc w:val="center"/>
              <w:ind w:lef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gridSpan w:val="2"/>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6"/>
                <w:szCs w:val="16"/>
                <w:color w:val="auto"/>
              </w:rPr>
            </w:pPr>
          </w:p>
        </w:tc>
      </w:tr>
      <w:tr>
        <w:trPr>
          <w:trHeight w:val="245"/>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1"/>
                <w:szCs w:val="21"/>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6"/>
        </w:trPr>
        <w:tc>
          <w:tcPr>
            <w:tcW w:w="2920" w:type="dxa"/>
            <w:vAlign w:val="bottom"/>
            <w:tcBorders>
              <w:top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760" w:type="dxa"/>
            <w:vAlign w:val="bottom"/>
            <w:tcBorders>
              <w:top w:val="single" w:sz="8" w:color="auto"/>
            </w:tcBorders>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91,248</w:t>
            </w:r>
          </w:p>
        </w:tc>
        <w:tc>
          <w:tcPr>
            <w:tcW w:w="2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3"/>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720" w:type="dxa"/>
            <w:vAlign w:val="bottom"/>
            <w:tcBorders>
              <w:top w:val="single" w:sz="8" w:color="auto"/>
            </w:tcBorders>
            <w:gridSpan w:val="2"/>
            <w:shd w:val="clear" w:color="auto" w:fill="B2B2B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920" w:type="dxa"/>
            <w:vAlign w:val="bottom"/>
            <w:tcBorders>
              <w:top w:val="single" w:sz="8" w:color="auto"/>
            </w:tcBorders>
            <w:shd w:val="clear" w:color="auto" w:fill="B2B2B2"/>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gridSpan w:val="2"/>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1,250</w:t>
            </w:r>
          </w:p>
        </w:tc>
        <w:tc>
          <w:tcPr>
            <w:tcW w:w="560" w:type="dxa"/>
            <w:vAlign w:val="bottom"/>
            <w:tcBorders>
              <w:top w:val="single" w:sz="8" w:color="auto"/>
            </w:tcBorders>
            <w:gridSpan w:val="2"/>
            <w:shd w:val="clear" w:color="auto" w:fill="B2B2B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gridSpan w:val="2"/>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151,794</w:t>
            </w:r>
          </w:p>
        </w:tc>
        <w:tc>
          <w:tcPr>
            <w:tcW w:w="20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0" w:type="dxa"/>
            <w:vAlign w:val="bottom"/>
          </w:tcPr>
          <w:p>
            <w:pPr>
              <w:spacing w:after="0"/>
              <w:rPr>
                <w:sz w:val="18"/>
                <w:szCs w:val="18"/>
                <w:color w:val="auto"/>
              </w:rPr>
            </w:pPr>
          </w:p>
        </w:tc>
      </w:tr>
      <w:tr>
        <w:trPr>
          <w:trHeight w:val="216"/>
        </w:trPr>
        <w:tc>
          <w:tcPr>
            <w:tcW w:w="2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 government agencies</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30,409</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38,005</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68,414</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 w:type="dxa"/>
            <w:vAlign w:val="bottom"/>
          </w:tcPr>
          <w:p>
            <w:pPr>
              <w:spacing w:after="0"/>
              <w:rPr>
                <w:sz w:val="18"/>
                <w:szCs w:val="18"/>
                <w:color w:val="auto"/>
              </w:rPr>
            </w:pPr>
          </w:p>
        </w:tc>
      </w:tr>
      <w:tr>
        <w:trPr>
          <w:trHeight w:val="209"/>
        </w:trPr>
        <w:tc>
          <w:tcPr>
            <w:tcW w:w="292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121,657</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c>
          <w:tcPr>
            <w:tcW w:w="720" w:type="dxa"/>
            <w:vAlign w:val="bottom"/>
            <w:gridSpan w:val="2"/>
            <w:shd w:val="clear" w:color="auto" w:fill="B2B2B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98,551</w:t>
            </w:r>
          </w:p>
        </w:tc>
        <w:tc>
          <w:tcPr>
            <w:tcW w:w="920" w:type="dxa"/>
            <w:vAlign w:val="bottom"/>
            <w:shd w:val="clear" w:color="auto" w:fill="B2B2B2"/>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2,537</w:t>
            </w:r>
          </w:p>
        </w:tc>
        <w:tc>
          <w:tcPr>
            <w:tcW w:w="560" w:type="dxa"/>
            <w:vAlign w:val="bottom"/>
            <w:gridSpan w:val="2"/>
            <w:shd w:val="clear" w:color="auto" w:fill="B2B2B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220,208</w:t>
            </w: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0" w:type="dxa"/>
            <w:vAlign w:val="bottom"/>
          </w:tcPr>
          <w:p>
            <w:pPr>
              <w:spacing w:after="0"/>
              <w:rPr>
                <w:sz w:val="18"/>
                <w:szCs w:val="18"/>
                <w:color w:val="auto"/>
              </w:rPr>
            </w:pPr>
          </w:p>
        </w:tc>
      </w:tr>
      <w:tr>
        <w:trPr>
          <w:trHeight w:val="647"/>
        </w:trPr>
        <w:tc>
          <w:tcPr>
            <w:tcW w:w="2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920" w:type="dxa"/>
            <w:vAlign w:val="bottom"/>
            <w:tcBorders>
              <w:bottom w:val="single" w:sz="8" w:color="EEEEEE"/>
            </w:tcBorders>
          </w:tcPr>
          <w:p>
            <w:pPr>
              <w:spacing w:after="0"/>
              <w:rPr>
                <w:sz w:val="11"/>
                <w:szCs w:val="11"/>
                <w:color w:val="auto"/>
              </w:rPr>
            </w:pPr>
          </w:p>
        </w:tc>
        <w:tc>
          <w:tcPr>
            <w:tcW w:w="64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1140" w:type="dxa"/>
            <w:vAlign w:val="bottom"/>
            <w:tcBorders>
              <w:bottom w:val="single" w:sz="8" w:color="EEEEEE"/>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540" w:type="dxa"/>
            <w:vAlign w:val="bottom"/>
            <w:tcBorders>
              <w:bottom w:val="single" w:sz="8" w:color="EEEEEE"/>
            </w:tcBorders>
          </w:tcPr>
          <w:p>
            <w:pPr>
              <w:spacing w:after="0"/>
              <w:rPr>
                <w:sz w:val="11"/>
                <w:szCs w:val="11"/>
                <w:color w:val="auto"/>
              </w:rPr>
            </w:pPr>
          </w:p>
        </w:tc>
        <w:tc>
          <w:tcPr>
            <w:tcW w:w="50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600" w:type="dxa"/>
            <w:vAlign w:val="bottom"/>
            <w:tcBorders>
              <w:bottom w:val="single" w:sz="8" w:color="EEEEEE"/>
            </w:tcBorders>
          </w:tcPr>
          <w:p>
            <w:pPr>
              <w:spacing w:after="0"/>
              <w:rPr>
                <w:sz w:val="11"/>
                <w:szCs w:val="11"/>
                <w:color w:val="auto"/>
              </w:rPr>
            </w:pPr>
          </w:p>
        </w:tc>
        <w:tc>
          <w:tcPr>
            <w:tcW w:w="560" w:type="dxa"/>
            <w:vAlign w:val="bottom"/>
            <w:tcBorders>
              <w:bottom w:val="single" w:sz="8" w:color="EEEEEE"/>
            </w:tcBorders>
          </w:tcPr>
          <w:p>
            <w:pPr>
              <w:spacing w:after="0"/>
              <w:rPr>
                <w:sz w:val="11"/>
                <w:szCs w:val="11"/>
                <w:color w:val="auto"/>
              </w:rPr>
            </w:pPr>
          </w:p>
        </w:tc>
        <w:tc>
          <w:tcPr>
            <w:tcW w:w="920" w:type="dxa"/>
            <w:vAlign w:val="bottom"/>
            <w:tcBorders>
              <w:bottom w:val="single" w:sz="8" w:color="EEEEEE"/>
            </w:tcBorders>
          </w:tcPr>
          <w:p>
            <w:pPr>
              <w:spacing w:after="0"/>
              <w:rPr>
                <w:sz w:val="11"/>
                <w:szCs w:val="11"/>
                <w:color w:val="auto"/>
              </w:rPr>
            </w:pPr>
          </w:p>
        </w:tc>
        <w:tc>
          <w:tcPr>
            <w:tcW w:w="440" w:type="dxa"/>
            <w:vAlign w:val="bottom"/>
            <w:tcBorders>
              <w:bottom w:val="single" w:sz="8" w:color="EEEEEE"/>
            </w:tcBorders>
          </w:tcPr>
          <w:p>
            <w:pPr>
              <w:spacing w:after="0"/>
              <w:rPr>
                <w:sz w:val="11"/>
                <w:szCs w:val="11"/>
                <w:color w:val="auto"/>
              </w:rPr>
            </w:pPr>
          </w:p>
        </w:tc>
        <w:tc>
          <w:tcPr>
            <w:tcW w:w="80" w:type="dxa"/>
            <w:vAlign w:val="bottom"/>
            <w:tcBorders>
              <w:bottom w:val="single" w:sz="8" w:color="EEEEEE"/>
            </w:tcBorders>
          </w:tcPr>
          <w:p>
            <w:pPr>
              <w:spacing w:after="0"/>
              <w:rPr>
                <w:sz w:val="11"/>
                <w:szCs w:val="11"/>
                <w:color w:val="auto"/>
              </w:rPr>
            </w:pPr>
          </w:p>
        </w:tc>
        <w:tc>
          <w:tcPr>
            <w:tcW w:w="140" w:type="dxa"/>
            <w:vAlign w:val="bottom"/>
            <w:tcBorders>
              <w:bottom w:val="single" w:sz="8" w:color="EEEEEE"/>
            </w:tcBorders>
          </w:tcPr>
          <w:p>
            <w:pPr>
              <w:spacing w:after="0"/>
              <w:rPr>
                <w:sz w:val="11"/>
                <w:szCs w:val="11"/>
                <w:color w:val="auto"/>
              </w:rPr>
            </w:pPr>
          </w:p>
        </w:tc>
        <w:tc>
          <w:tcPr>
            <w:tcW w:w="420" w:type="dxa"/>
            <w:vAlign w:val="bottom"/>
            <w:tcBorders>
              <w:bottom w:val="single" w:sz="8" w:color="EEEEEE"/>
            </w:tcBorders>
          </w:tcPr>
          <w:p>
            <w:pPr>
              <w:spacing w:after="0"/>
              <w:rPr>
                <w:sz w:val="11"/>
                <w:szCs w:val="11"/>
                <w:color w:val="auto"/>
              </w:rPr>
            </w:pPr>
          </w:p>
        </w:tc>
        <w:tc>
          <w:tcPr>
            <w:tcW w:w="580" w:type="dxa"/>
            <w:vAlign w:val="bottom"/>
            <w:tcBorders>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90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7202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jc w:val="both"/>
        <w:spacing w:after="0" w:line="260" w:lineRule="auto"/>
        <w:rPr>
          <w:sz w:val="20"/>
          <w:szCs w:val="20"/>
          <w:color w:val="auto"/>
        </w:rPr>
      </w:pPr>
      <w:r>
        <w:rPr>
          <w:rFonts w:ascii="Times New Roman" w:cs="Times New Roman" w:eastAsia="Times New Roman" w:hAnsi="Times New Roman"/>
          <w:sz w:val="18"/>
          <w:szCs w:val="18"/>
          <w:color w:val="auto"/>
        </w:rPr>
        <w:t>There were 15 securities, or 5% of the total (10 greater than 12 months), in an unrealized loss position as of September 30, 2019. There were 136 securities, or 43% of the total (61 greater than 12 months), in an unrealized loss position as of December 31, 2018. All unrealized losses were reviewed to determine whether the losses were other than temporary. Management believes that all unrealized losses are temporary since they were market driven, and it is more likely than not that the Company will not be required to sell prior to recovery of the amortized basis.</w:t>
      </w:r>
    </w:p>
    <w:p>
      <w:pPr>
        <w:spacing w:after="0" w:line="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223"/>
        </w:trPr>
        <w:tc>
          <w:tcPr>
            <w:tcW w:w="8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8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19"/>
                <w:szCs w:val="19"/>
                <w:color w:val="auto"/>
              </w:rPr>
            </w:pPr>
          </w:p>
        </w:tc>
      </w:tr>
      <w:tr>
        <w:trPr>
          <w:trHeight w:val="216"/>
        </w:trPr>
        <w:tc>
          <w:tcPr>
            <w:tcW w:w="86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Due in 1 year or less</w:t>
            </w:r>
          </w:p>
        </w:tc>
        <w:tc>
          <w:tcPr>
            <w:tcW w:w="3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35,337</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35,489</w:t>
            </w:r>
          </w:p>
        </w:tc>
        <w:tc>
          <w:tcPr>
            <w:tcW w:w="20" w:type="dxa"/>
            <w:vAlign w:val="bottom"/>
          </w:tcPr>
          <w:p>
            <w:pPr>
              <w:spacing w:after="0"/>
              <w:rPr>
                <w:sz w:val="18"/>
                <w:szCs w:val="18"/>
                <w:color w:val="auto"/>
              </w:rPr>
            </w:pPr>
          </w:p>
        </w:tc>
      </w:tr>
      <w:tr>
        <w:trPr>
          <w:trHeight w:val="216"/>
        </w:trPr>
        <w:tc>
          <w:tcPr>
            <w:tcW w:w="8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3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106,384</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108,511</w:t>
            </w:r>
          </w:p>
        </w:tc>
        <w:tc>
          <w:tcPr>
            <w:tcW w:w="20" w:type="dxa"/>
            <w:vAlign w:val="bottom"/>
          </w:tcPr>
          <w:p>
            <w:pPr>
              <w:spacing w:after="0"/>
              <w:rPr>
                <w:sz w:val="18"/>
                <w:szCs w:val="18"/>
                <w:color w:val="auto"/>
              </w:rPr>
            </w:pPr>
          </w:p>
        </w:tc>
      </w:tr>
      <w:tr>
        <w:trPr>
          <w:trHeight w:val="216"/>
        </w:trPr>
        <w:tc>
          <w:tcPr>
            <w:tcW w:w="86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3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230,729</w:t>
            </w:r>
          </w:p>
        </w:tc>
        <w:tc>
          <w:tcPr>
            <w:tcW w:w="28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242,078</w:t>
            </w:r>
          </w:p>
        </w:tc>
        <w:tc>
          <w:tcPr>
            <w:tcW w:w="20" w:type="dxa"/>
            <w:vAlign w:val="bottom"/>
          </w:tcPr>
          <w:p>
            <w:pPr>
              <w:spacing w:after="0"/>
              <w:rPr>
                <w:sz w:val="18"/>
                <w:szCs w:val="18"/>
                <w:color w:val="auto"/>
              </w:rPr>
            </w:pPr>
          </w:p>
        </w:tc>
      </w:tr>
      <w:tr>
        <w:trPr>
          <w:trHeight w:val="216"/>
        </w:trPr>
        <w:tc>
          <w:tcPr>
            <w:tcW w:w="8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41,189</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41,513</w:t>
            </w:r>
          </w:p>
        </w:tc>
        <w:tc>
          <w:tcPr>
            <w:tcW w:w="20" w:type="dxa"/>
            <w:vAlign w:val="bottom"/>
          </w:tcPr>
          <w:p>
            <w:pPr>
              <w:spacing w:after="0"/>
              <w:rPr>
                <w:sz w:val="18"/>
                <w:szCs w:val="18"/>
                <w:color w:val="auto"/>
              </w:rPr>
            </w:pPr>
          </w:p>
        </w:tc>
      </w:tr>
      <w:tr>
        <w:trPr>
          <w:trHeight w:val="216"/>
        </w:trPr>
        <w:tc>
          <w:tcPr>
            <w:tcW w:w="864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413,639</w:t>
            </w:r>
          </w:p>
        </w:tc>
        <w:tc>
          <w:tcPr>
            <w:tcW w:w="2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427,591</w:t>
            </w:r>
          </w:p>
        </w:tc>
        <w:tc>
          <w:tcPr>
            <w:tcW w:w="20" w:type="dxa"/>
            <w:vAlign w:val="bottom"/>
          </w:tcPr>
          <w:p>
            <w:pPr>
              <w:spacing w:after="0"/>
              <w:rPr>
                <w:sz w:val="18"/>
                <w:szCs w:val="18"/>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available-for-sale were $0 for each of the three month periods ended September 30, 2019 and 2018, and were $4,648,000 and $58,520,000 for the nine months ended September 30, 2019 and 2018, respectively. There were no gross realized gains for the three months ended September 30, 2019 or 2018. Gross realized gains were $19,000 for the nine months ended September 30, 2019 compared to gross realized losses of $42,000 for the nine months ended September 30, 2018. There were no securities pledged to secure public deposits and for other purposes at September 30, 2019.</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Fair Value of Financial Instruments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80" w:type="dxa"/>
            <w:vAlign w:val="bottom"/>
          </w:tcPr>
          <w:p>
            <w:pPr>
              <w:spacing w:after="0"/>
              <w:rPr>
                <w:sz w:val="21"/>
                <w:szCs w:val="21"/>
                <w:color w:val="auto"/>
              </w:rPr>
            </w:pPr>
          </w:p>
        </w:tc>
        <w:tc>
          <w:tcPr>
            <w:tcW w:w="242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193"/>
        </w:trPr>
        <w:tc>
          <w:tcPr>
            <w:tcW w:w="58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45"/>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6"/>
        </w:trPr>
        <w:tc>
          <w:tcPr>
            <w:tcW w:w="582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Balance sheet assets:</w:t>
            </w:r>
          </w:p>
        </w:tc>
        <w:tc>
          <w:tcPr>
            <w:tcW w:w="20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222,738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222,738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230,933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230,933</w:t>
            </w:r>
          </w:p>
        </w:tc>
      </w:tr>
      <w:tr>
        <w:trPr>
          <w:trHeight w:val="216"/>
        </w:trPr>
        <w:tc>
          <w:tcPr>
            <w:tcW w:w="582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427,591</w:t>
            </w:r>
          </w:p>
        </w:tc>
        <w:tc>
          <w:tcPr>
            <w:tcW w:w="280" w:type="dxa"/>
            <w:vAlign w:val="bottom"/>
            <w:shd w:val="clear" w:color="auto" w:fill="B2B2B2"/>
          </w:tcPr>
          <w:p>
            <w:pPr>
              <w:spacing w:after="0"/>
              <w:rPr>
                <w:sz w:val="18"/>
                <w:szCs w:val="18"/>
                <w:color w:val="auto"/>
              </w:rPr>
            </w:pPr>
          </w:p>
        </w:tc>
        <w:tc>
          <w:tcPr>
            <w:tcW w:w="134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427,591</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441,534</w:t>
            </w:r>
          </w:p>
        </w:tc>
        <w:tc>
          <w:tcPr>
            <w:tcW w:w="24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441,534</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net</w:t>
            </w: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756,875</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769,487</w:t>
            </w: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711,362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711,090</w:t>
            </w:r>
          </w:p>
        </w:tc>
      </w:tr>
      <w:tr>
        <w:trPr>
          <w:trHeight w:val="216"/>
        </w:trPr>
        <w:tc>
          <w:tcPr>
            <w:tcW w:w="582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0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6,535</w:t>
            </w:r>
          </w:p>
        </w:tc>
        <w:tc>
          <w:tcPr>
            <w:tcW w:w="280" w:type="dxa"/>
            <w:vAlign w:val="bottom"/>
            <w:tcBorders>
              <w:bottom w:val="single" w:sz="8" w:color="auto"/>
            </w:tcBorders>
            <w:shd w:val="clear" w:color="auto" w:fill="B2B2B2"/>
          </w:tcPr>
          <w:p>
            <w:pPr>
              <w:spacing w:after="0"/>
              <w:rPr>
                <w:sz w:val="18"/>
                <w:szCs w:val="18"/>
                <w:color w:val="auto"/>
              </w:rPr>
            </w:pPr>
          </w:p>
        </w:tc>
        <w:tc>
          <w:tcPr>
            <w:tcW w:w="1340" w:type="dxa"/>
            <w:vAlign w:val="bottom"/>
            <w:tcBorders>
              <w:bottom w:val="single" w:sz="8" w:color="auto"/>
            </w:tcBorders>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6,535</w:t>
            </w:r>
          </w:p>
        </w:tc>
        <w:tc>
          <w:tcPr>
            <w:tcW w:w="18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7,069</w:t>
            </w:r>
          </w:p>
        </w:tc>
        <w:tc>
          <w:tcPr>
            <w:tcW w:w="24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7,069</w:t>
            </w:r>
          </w:p>
        </w:tc>
      </w:tr>
      <w:tr>
        <w:trPr>
          <w:trHeight w:val="209"/>
        </w:trPr>
        <w:tc>
          <w:tcPr>
            <w:tcW w:w="5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1,413,739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1,426,351</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1,390,898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1,390,626</w:t>
            </w:r>
          </w:p>
        </w:tc>
      </w:tr>
      <w:tr>
        <w:trPr>
          <w:trHeight w:val="209"/>
        </w:trPr>
        <w:tc>
          <w:tcPr>
            <w:tcW w:w="582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Balance sheet liabilities:</w:t>
            </w:r>
          </w:p>
        </w:tc>
        <w:tc>
          <w:tcPr>
            <w:tcW w:w="20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711,233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711,717</w:t>
            </w: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$721,926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722,018</w:t>
            </w:r>
          </w:p>
        </w:tc>
      </w:tr>
      <w:tr>
        <w:trPr>
          <w:trHeight w:val="216"/>
        </w:trPr>
        <w:tc>
          <w:tcPr>
            <w:tcW w:w="582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0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762,075</w:t>
            </w:r>
          </w:p>
        </w:tc>
        <w:tc>
          <w:tcPr>
            <w:tcW w:w="280" w:type="dxa"/>
            <w:vAlign w:val="bottom"/>
            <w:shd w:val="clear" w:color="auto" w:fill="B2B2B2"/>
          </w:tcPr>
          <w:p>
            <w:pPr>
              <w:spacing w:after="0"/>
              <w:rPr>
                <w:sz w:val="18"/>
                <w:szCs w:val="18"/>
                <w:color w:val="auto"/>
              </w:rPr>
            </w:pPr>
          </w:p>
        </w:tc>
        <w:tc>
          <w:tcPr>
            <w:tcW w:w="134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762,075</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694,360</w:t>
            </w:r>
          </w:p>
        </w:tc>
        <w:tc>
          <w:tcPr>
            <w:tcW w:w="24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694,360</w:t>
            </w:r>
          </w:p>
        </w:tc>
      </w:tr>
      <w:tr>
        <w:trPr>
          <w:trHeight w:val="216"/>
        </w:trPr>
        <w:tc>
          <w:tcPr>
            <w:tcW w:w="5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820" w:type="dxa"/>
            <w:vAlign w:val="bottom"/>
            <w:tcBorders>
              <w:bottom w:val="single" w:sz="8" w:color="auto"/>
            </w:tcBorders>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1,473,555</w:t>
            </w:r>
          </w:p>
        </w:tc>
        <w:tc>
          <w:tcPr>
            <w:tcW w:w="2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1,474,039</w:t>
            </w:r>
          </w:p>
        </w:tc>
        <w:tc>
          <w:tcPr>
            <w:tcW w:w="22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1,416,377</w:t>
            </w:r>
          </w:p>
        </w:tc>
        <w:tc>
          <w:tcPr>
            <w:tcW w:w="2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1,416,469</w:t>
            </w:r>
          </w:p>
        </w:tc>
      </w:tr>
    </w:tbl>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carrying amount approximates fair value.</w:t>
      </w:r>
    </w:p>
    <w:p>
      <w:pPr>
        <w:spacing w:after="0" w:line="1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Investment in Securities </w:t>
      </w:r>
      <w:r>
        <w:rPr>
          <w:rFonts w:ascii="Times New Roman" w:cs="Times New Roman" w:eastAsia="Times New Roman" w:hAnsi="Times New Roman"/>
          <w:sz w:val="18"/>
          <w:szCs w:val="18"/>
          <w:color w:val="auto"/>
        </w:rPr>
        <w:t>– The fair value is measured on a recurring basis using Level 2 valuations. Refer to Note 11, “Investment in Securities,” for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unrealized gains and losses by investment type.</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 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loan losses result in a fair valuation.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color w:val="auto"/>
        </w:rPr>
        <w:t>– The carrying amount approximates fair value.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 The fair value of demand deposits, savings deposits and certain money market deposits is the amount payable on demand at the reporting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color w:val="auto"/>
        </w:rPr>
        <w:t>– The carrying amount approximates fair value.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w:t>
      </w:r>
      <w:r>
        <w:rPr>
          <w:rFonts w:ascii="Times New Roman" w:cs="Times New Roman" w:eastAsia="Times New Roman" w:hAnsi="Times New Roman"/>
          <w:sz w:val="18"/>
          <w:szCs w:val="18"/>
          <w:color w:val="auto"/>
        </w:rPr>
        <w:t>– The carrying amount approximates fair value.</w:t>
      </w:r>
    </w:p>
    <w:p>
      <w:pPr>
        <w:spacing w:after="0" w:line="11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There were no transfers between Levels 1 and 2 of the fair value hierarchy for the nine months ended September 30, 2019 and 2018. No financial instruments are measured using Level 3 inputs for the nine months ended September 30, 2019 and 2018.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Revenue from Contracts with Customers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 2018, the Company adopted FASB ASC 606, “Revenue from Contracts with Customers” (“FASB ASC 606”) and selected the modified retrospective transition method. The adoption of this new standard did not impact the Company’s results of operations or balance sheet and there was no cumulative effect of initially applying this new revenue standard to the opening balance of retained earnings. Since interest income on loans and securities are both excluded from this topic, a significant portion of the Company’s revenues are not subject to the new guidance. The services that fall within the scope of FASB ASC 606 are presented within fee revenue and other income in the Consolidated Statements of Income and are recognized as revenue as the obligation to the customer is satisfied. Services within the scope of FASB ASC 606 include invoice processing and payment fees, bank service fees, and other real estate owned (“OREO”).</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Invoice 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Invoice payment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at the point in time when the payment transactions are made, which is when the performance obligation is satisfied. The contracts have no significant impact of variable consideration and no significant financing components.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 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7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OREO </w:t>
      </w:r>
      <w:r>
        <w:rPr>
          <w:rFonts w:ascii="Times New Roman" w:cs="Times New Roman" w:eastAsia="Times New Roman" w:hAnsi="Times New Roman"/>
          <w:sz w:val="18"/>
          <w:szCs w:val="18"/>
          <w:color w:val="auto"/>
        </w:rPr>
        <w:t>– The Company currently does not have any OREO and has not in recent years. Net gains or losses would be recorded when other real estate is sold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third party and substantially all of the consideration for the transfer of property is received.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45"/>
        </w:trPr>
        <w:tc>
          <w:tcPr>
            <w:tcW w:w="6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23"/>
        </w:trPr>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66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In-scope of FASB ASC 606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64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Invoice processing fees</w:t>
            </w:r>
          </w:p>
        </w:tc>
        <w:tc>
          <w:tcPr>
            <w:tcW w:w="26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20,408</w:t>
            </w:r>
          </w:p>
        </w:tc>
        <w:tc>
          <w:tcPr>
            <w:tcW w:w="32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B2B2B2"/>
          </w:tcPr>
          <w:p>
            <w:pPr>
              <w:jc w:val="right"/>
              <w:ind w:right="240"/>
              <w:spacing w:after="0"/>
              <w:rPr>
                <w:sz w:val="20"/>
                <w:szCs w:val="20"/>
                <w:color w:val="auto"/>
              </w:rPr>
            </w:pPr>
            <w:r>
              <w:rPr>
                <w:rFonts w:ascii="Times New Roman" w:cs="Times New Roman" w:eastAsia="Times New Roman" w:hAnsi="Times New Roman"/>
                <w:sz w:val="18"/>
                <w:szCs w:val="18"/>
                <w:color w:val="auto"/>
              </w:rPr>
              <w:t>19,876</w:t>
            </w:r>
          </w:p>
        </w:tc>
        <w:tc>
          <w:tcPr>
            <w:tcW w:w="26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61,397</w:t>
            </w:r>
          </w:p>
        </w:tc>
        <w:tc>
          <w:tcPr>
            <w:tcW w:w="32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58,492</w:t>
            </w: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Invoice payment fees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19,653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17,576</w:t>
            </w:r>
          </w:p>
        </w:tc>
      </w:tr>
      <w:tr>
        <w:trPr>
          <w:trHeight w:val="209"/>
        </w:trPr>
        <w:tc>
          <w:tcPr>
            <w:tcW w:w="6640" w:type="dxa"/>
            <w:vAlign w:val="bottom"/>
            <w:tcBorders>
              <w:top w:val="single" w:sz="8" w:color="B2B2B2"/>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22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auto"/>
            </w:tcBorders>
            <w:shd w:val="clear" w:color="auto" w:fill="B2B2B2"/>
          </w:tcPr>
          <w:p>
            <w:pPr>
              <w:spacing w:after="0"/>
              <w:rPr>
                <w:sz w:val="18"/>
                <w:szCs w:val="18"/>
                <w:color w:val="auto"/>
              </w:rPr>
            </w:pPr>
          </w:p>
        </w:tc>
        <w:tc>
          <w:tcPr>
            <w:tcW w:w="7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180" w:type="dxa"/>
            <w:vAlign w:val="bottom"/>
            <w:tcBorders>
              <w:top w:val="single" w:sz="8" w:color="B2B2B2"/>
            </w:tcBorders>
            <w:shd w:val="clear" w:color="auto" w:fill="B2B2B2"/>
          </w:tcPr>
          <w:p>
            <w:pPr>
              <w:spacing w:after="0"/>
              <w:rPr>
                <w:sz w:val="18"/>
                <w:szCs w:val="18"/>
                <w:color w:val="auto"/>
              </w:rPr>
            </w:pPr>
          </w:p>
        </w:tc>
        <w:tc>
          <w:tcPr>
            <w:tcW w:w="28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auto"/>
            </w:tcBorders>
            <w:shd w:val="clear" w:color="auto" w:fill="B2B2B2"/>
          </w:tcPr>
          <w:p>
            <w:pPr>
              <w:spacing w:after="0"/>
              <w:rPr>
                <w:sz w:val="18"/>
                <w:szCs w:val="18"/>
                <w:color w:val="auto"/>
              </w:rPr>
            </w:pPr>
          </w:p>
        </w:tc>
        <w:tc>
          <w:tcPr>
            <w:tcW w:w="7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24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auto"/>
            </w:tcBorders>
            <w:shd w:val="clear" w:color="auto" w:fill="B2B2B2"/>
          </w:tcPr>
          <w:p>
            <w:pPr>
              <w:spacing w:after="0"/>
              <w:rPr>
                <w:sz w:val="18"/>
                <w:szCs w:val="18"/>
                <w:color w:val="auto"/>
              </w:rPr>
            </w:pPr>
          </w:p>
        </w:tc>
        <w:tc>
          <w:tcPr>
            <w:tcW w:w="7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81,050</w:t>
            </w:r>
          </w:p>
        </w:tc>
        <w:tc>
          <w:tcPr>
            <w:tcW w:w="16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B2B2B2"/>
            </w:tcBorders>
            <w:shd w:val="clear" w:color="auto" w:fill="B2B2B2"/>
          </w:tcPr>
          <w:p>
            <w:pPr>
              <w:spacing w:after="0"/>
              <w:rPr>
                <w:sz w:val="18"/>
                <w:szCs w:val="18"/>
                <w:color w:val="auto"/>
              </w:rPr>
            </w:pPr>
          </w:p>
        </w:tc>
        <w:tc>
          <w:tcPr>
            <w:tcW w:w="60" w:type="dxa"/>
            <w:vAlign w:val="bottom"/>
            <w:tcBorders>
              <w:top w:val="single" w:sz="8" w:color="auto"/>
            </w:tcBorders>
            <w:shd w:val="clear" w:color="auto" w:fill="B2B2B2"/>
          </w:tcPr>
          <w:p>
            <w:pPr>
              <w:spacing w:after="0"/>
              <w:rPr>
                <w:sz w:val="18"/>
                <w:szCs w:val="18"/>
                <w:color w:val="auto"/>
              </w:rPr>
            </w:pPr>
          </w:p>
        </w:tc>
        <w:tc>
          <w:tcPr>
            <w:tcW w:w="74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76,068</w:t>
            </w: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Bank service fees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09"/>
        </w:trPr>
        <w:tc>
          <w:tcPr>
            <w:tcW w:w="6640" w:type="dxa"/>
            <w:vAlign w:val="bottom"/>
            <w:tcBorders>
              <w:top w:val="single" w:sz="8" w:color="B2B2B2"/>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Fee revenue (in-scope of FASB ASC 606)</w:t>
            </w:r>
          </w:p>
        </w:tc>
        <w:tc>
          <w:tcPr>
            <w:tcW w:w="22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auto"/>
            </w:tcBorders>
            <w:shd w:val="clear" w:color="auto" w:fill="B2B2B2"/>
          </w:tcPr>
          <w:p>
            <w:pPr>
              <w:spacing w:after="0"/>
              <w:rPr>
                <w:sz w:val="18"/>
                <w:szCs w:val="18"/>
                <w:color w:val="auto"/>
              </w:rPr>
            </w:pPr>
          </w:p>
        </w:tc>
        <w:tc>
          <w:tcPr>
            <w:tcW w:w="7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28,048</w:t>
            </w:r>
          </w:p>
        </w:tc>
        <w:tc>
          <w:tcPr>
            <w:tcW w:w="180" w:type="dxa"/>
            <w:vAlign w:val="bottom"/>
            <w:tcBorders>
              <w:top w:val="single" w:sz="8" w:color="B2B2B2"/>
            </w:tcBorders>
            <w:shd w:val="clear" w:color="auto" w:fill="B2B2B2"/>
          </w:tcPr>
          <w:p>
            <w:pPr>
              <w:spacing w:after="0"/>
              <w:rPr>
                <w:sz w:val="18"/>
                <w:szCs w:val="18"/>
                <w:color w:val="auto"/>
              </w:rPr>
            </w:pPr>
          </w:p>
        </w:tc>
        <w:tc>
          <w:tcPr>
            <w:tcW w:w="28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auto"/>
            </w:tcBorders>
            <w:shd w:val="clear" w:color="auto" w:fill="B2B2B2"/>
          </w:tcPr>
          <w:p>
            <w:pPr>
              <w:spacing w:after="0"/>
              <w:rPr>
                <w:sz w:val="18"/>
                <w:szCs w:val="18"/>
                <w:color w:val="auto"/>
              </w:rPr>
            </w:pPr>
          </w:p>
        </w:tc>
        <w:tc>
          <w:tcPr>
            <w:tcW w:w="7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26,320</w:t>
            </w:r>
          </w:p>
        </w:tc>
        <w:tc>
          <w:tcPr>
            <w:tcW w:w="24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auto"/>
            </w:tcBorders>
            <w:shd w:val="clear" w:color="auto" w:fill="B2B2B2"/>
          </w:tcPr>
          <w:p>
            <w:pPr>
              <w:spacing w:after="0"/>
              <w:rPr>
                <w:sz w:val="18"/>
                <w:szCs w:val="18"/>
                <w:color w:val="auto"/>
              </w:rPr>
            </w:pPr>
          </w:p>
        </w:tc>
        <w:tc>
          <w:tcPr>
            <w:tcW w:w="7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82,034</w:t>
            </w:r>
          </w:p>
        </w:tc>
        <w:tc>
          <w:tcPr>
            <w:tcW w:w="16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B2B2B2"/>
            </w:tcBorders>
            <w:shd w:val="clear" w:color="auto" w:fill="B2B2B2"/>
          </w:tcPr>
          <w:p>
            <w:pPr>
              <w:spacing w:after="0"/>
              <w:rPr>
                <w:sz w:val="18"/>
                <w:szCs w:val="18"/>
                <w:color w:val="auto"/>
              </w:rPr>
            </w:pPr>
          </w:p>
        </w:tc>
        <w:tc>
          <w:tcPr>
            <w:tcW w:w="60" w:type="dxa"/>
            <w:vAlign w:val="bottom"/>
            <w:tcBorders>
              <w:top w:val="single" w:sz="8" w:color="auto"/>
            </w:tcBorders>
            <w:shd w:val="clear" w:color="auto" w:fill="B2B2B2"/>
          </w:tcPr>
          <w:p>
            <w:pPr>
              <w:spacing w:after="0"/>
              <w:rPr>
                <w:sz w:val="18"/>
                <w:szCs w:val="18"/>
                <w:color w:val="auto"/>
              </w:rPr>
            </w:pPr>
          </w:p>
        </w:tc>
        <w:tc>
          <w:tcPr>
            <w:tcW w:w="74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77,062</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(out-of-scope of FASB ASC 606)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09"/>
        </w:trPr>
        <w:tc>
          <w:tcPr>
            <w:tcW w:w="6640" w:type="dxa"/>
            <w:vAlign w:val="bottom"/>
            <w:tcBorders>
              <w:top w:val="single" w:sz="8" w:color="B2B2B2"/>
              <w:bottom w:val="single" w:sz="8" w:color="B2B2B2"/>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20" w:type="dxa"/>
            <w:vAlign w:val="bottom"/>
            <w:tcBorders>
              <w:top w:val="single" w:sz="8" w:color="B2B2B2"/>
              <w:bottom w:val="single" w:sz="8" w:color="B2B2B2"/>
            </w:tcBorders>
            <w:shd w:val="clear" w:color="auto" w:fill="B2B2B2"/>
          </w:tcPr>
          <w:p>
            <w:pPr>
              <w:spacing w:after="0"/>
              <w:rPr>
                <w:sz w:val="18"/>
                <w:szCs w:val="18"/>
                <w:color w:val="auto"/>
              </w:rPr>
            </w:pPr>
          </w:p>
        </w:tc>
        <w:tc>
          <w:tcPr>
            <w:tcW w:w="40" w:type="dxa"/>
            <w:vAlign w:val="bottom"/>
            <w:tcBorders>
              <w:top w:val="single" w:sz="8" w:color="auto"/>
              <w:bottom w:val="single" w:sz="8" w:color="auto"/>
            </w:tcBorders>
            <w:shd w:val="clear" w:color="auto" w:fill="B2B2B2"/>
          </w:tcPr>
          <w:p>
            <w:pPr>
              <w:spacing w:after="0"/>
              <w:rPr>
                <w:sz w:val="18"/>
                <w:szCs w:val="18"/>
                <w:color w:val="auto"/>
              </w:rPr>
            </w:pPr>
          </w:p>
        </w:tc>
        <w:tc>
          <w:tcPr>
            <w:tcW w:w="7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28,262</w:t>
            </w:r>
          </w:p>
        </w:tc>
        <w:tc>
          <w:tcPr>
            <w:tcW w:w="180" w:type="dxa"/>
            <w:vAlign w:val="bottom"/>
            <w:tcBorders>
              <w:top w:val="single" w:sz="8" w:color="B2B2B2"/>
              <w:bottom w:val="single" w:sz="8" w:color="B2B2B2"/>
            </w:tcBorders>
            <w:shd w:val="clear" w:color="auto" w:fill="B2B2B2"/>
          </w:tcPr>
          <w:p>
            <w:pPr>
              <w:spacing w:after="0"/>
              <w:rPr>
                <w:sz w:val="18"/>
                <w:szCs w:val="18"/>
                <w:color w:val="auto"/>
              </w:rPr>
            </w:pPr>
          </w:p>
        </w:tc>
        <w:tc>
          <w:tcPr>
            <w:tcW w:w="280" w:type="dxa"/>
            <w:vAlign w:val="bottom"/>
            <w:tcBorders>
              <w:top w:val="single" w:sz="8" w:color="B2B2B2"/>
              <w:bottom w:val="single" w:sz="8" w:color="B2B2B2"/>
            </w:tcBorders>
            <w:shd w:val="clear" w:color="auto" w:fill="B2B2B2"/>
          </w:tcPr>
          <w:p>
            <w:pPr>
              <w:spacing w:after="0"/>
              <w:rPr>
                <w:sz w:val="18"/>
                <w:szCs w:val="18"/>
                <w:color w:val="auto"/>
              </w:rPr>
            </w:pPr>
          </w:p>
        </w:tc>
        <w:tc>
          <w:tcPr>
            <w:tcW w:w="40" w:type="dxa"/>
            <w:vAlign w:val="bottom"/>
            <w:tcBorders>
              <w:top w:val="single" w:sz="8" w:color="auto"/>
              <w:bottom w:val="single" w:sz="8" w:color="auto"/>
            </w:tcBorders>
            <w:shd w:val="clear" w:color="auto" w:fill="B2B2B2"/>
          </w:tcPr>
          <w:p>
            <w:pPr>
              <w:spacing w:after="0"/>
              <w:rPr>
                <w:sz w:val="18"/>
                <w:szCs w:val="18"/>
                <w:color w:val="auto"/>
              </w:rPr>
            </w:pPr>
          </w:p>
        </w:tc>
        <w:tc>
          <w:tcPr>
            <w:tcW w:w="7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240" w:type="dxa"/>
            <w:vAlign w:val="bottom"/>
            <w:tcBorders>
              <w:top w:val="single" w:sz="8" w:color="B2B2B2"/>
              <w:bottom w:val="single" w:sz="8" w:color="B2B2B2"/>
            </w:tcBorders>
            <w:shd w:val="clear" w:color="auto" w:fill="B2B2B2"/>
          </w:tcPr>
          <w:p>
            <w:pPr>
              <w:spacing w:after="0"/>
              <w:rPr>
                <w:sz w:val="18"/>
                <w:szCs w:val="18"/>
                <w:color w:val="auto"/>
              </w:rPr>
            </w:pPr>
          </w:p>
        </w:tc>
        <w:tc>
          <w:tcPr>
            <w:tcW w:w="220" w:type="dxa"/>
            <w:vAlign w:val="bottom"/>
            <w:tcBorders>
              <w:top w:val="single" w:sz="8" w:color="B2B2B2"/>
              <w:bottom w:val="single" w:sz="8" w:color="B2B2B2"/>
            </w:tcBorders>
            <w:shd w:val="clear" w:color="auto" w:fill="B2B2B2"/>
          </w:tcPr>
          <w:p>
            <w:pPr>
              <w:spacing w:after="0"/>
              <w:rPr>
                <w:sz w:val="18"/>
                <w:szCs w:val="18"/>
                <w:color w:val="auto"/>
              </w:rPr>
            </w:pPr>
          </w:p>
        </w:tc>
        <w:tc>
          <w:tcPr>
            <w:tcW w:w="40" w:type="dxa"/>
            <w:vAlign w:val="bottom"/>
            <w:tcBorders>
              <w:top w:val="single" w:sz="8" w:color="auto"/>
              <w:bottom w:val="single" w:sz="8" w:color="auto"/>
            </w:tcBorders>
            <w:shd w:val="clear" w:color="auto" w:fill="B2B2B2"/>
          </w:tcPr>
          <w:p>
            <w:pPr>
              <w:spacing w:after="0"/>
              <w:rPr>
                <w:sz w:val="18"/>
                <w:szCs w:val="18"/>
                <w:color w:val="auto"/>
              </w:rPr>
            </w:pPr>
          </w:p>
        </w:tc>
        <w:tc>
          <w:tcPr>
            <w:tcW w:w="7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82,647</w:t>
            </w:r>
          </w:p>
        </w:tc>
        <w:tc>
          <w:tcPr>
            <w:tcW w:w="160" w:type="dxa"/>
            <w:vAlign w:val="bottom"/>
            <w:tcBorders>
              <w:top w:val="single" w:sz="8" w:color="B2B2B2"/>
              <w:bottom w:val="single" w:sz="8" w:color="B2B2B2"/>
            </w:tcBorders>
            <w:shd w:val="clear" w:color="auto" w:fill="B2B2B2"/>
          </w:tcPr>
          <w:p>
            <w:pPr>
              <w:spacing w:after="0"/>
              <w:rPr>
                <w:sz w:val="18"/>
                <w:szCs w:val="18"/>
                <w:color w:val="auto"/>
              </w:rPr>
            </w:pPr>
          </w:p>
        </w:tc>
        <w:tc>
          <w:tcPr>
            <w:tcW w:w="260" w:type="dxa"/>
            <w:vAlign w:val="bottom"/>
            <w:tcBorders>
              <w:top w:val="single" w:sz="8" w:color="B2B2B2"/>
              <w:bottom w:val="single" w:sz="8" w:color="B2B2B2"/>
            </w:tcBorders>
            <w:shd w:val="clear" w:color="auto" w:fill="B2B2B2"/>
          </w:tcPr>
          <w:p>
            <w:pPr>
              <w:spacing w:after="0"/>
              <w:rPr>
                <w:sz w:val="18"/>
                <w:szCs w:val="18"/>
                <w:color w:val="auto"/>
              </w:rPr>
            </w:pPr>
          </w:p>
        </w:tc>
        <w:tc>
          <w:tcPr>
            <w:tcW w:w="60" w:type="dxa"/>
            <w:vAlign w:val="bottom"/>
            <w:tcBorders>
              <w:top w:val="single" w:sz="8" w:color="auto"/>
              <w:bottom w:val="single" w:sz="8" w:color="auto"/>
            </w:tcBorders>
            <w:shd w:val="clear" w:color="auto" w:fill="B2B2B2"/>
          </w:tcPr>
          <w:p>
            <w:pPr>
              <w:spacing w:after="0"/>
              <w:rPr>
                <w:sz w:val="18"/>
                <w:szCs w:val="18"/>
                <w:color w:val="auto"/>
              </w:rPr>
            </w:pPr>
          </w:p>
        </w:tc>
        <w:tc>
          <w:tcPr>
            <w:tcW w:w="7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77,449</w:t>
            </w:r>
          </w:p>
        </w:tc>
      </w:tr>
      <w:tr>
        <w:trPr>
          <w:trHeight w:val="196"/>
        </w:trPr>
        <w:tc>
          <w:tcPr>
            <w:tcW w:w="664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40" w:type="dxa"/>
            <w:vAlign w:val="bottom"/>
            <w:shd w:val="clear" w:color="auto" w:fill="B2B2B2"/>
          </w:tcPr>
          <w:p>
            <w:pPr>
              <w:spacing w:after="0"/>
              <w:rPr>
                <w:sz w:val="17"/>
                <w:szCs w:val="17"/>
                <w:color w:val="auto"/>
              </w:rPr>
            </w:pPr>
          </w:p>
        </w:tc>
        <w:tc>
          <w:tcPr>
            <w:tcW w:w="780" w:type="dxa"/>
            <w:vAlign w:val="bottom"/>
            <w:shd w:val="clear" w:color="auto" w:fill="B2B2B2"/>
          </w:tcPr>
          <w:p>
            <w:pPr>
              <w:spacing w:after="0"/>
              <w:rPr>
                <w:sz w:val="17"/>
                <w:szCs w:val="17"/>
                <w:color w:val="auto"/>
              </w:rPr>
            </w:pPr>
          </w:p>
        </w:tc>
        <w:tc>
          <w:tcPr>
            <w:tcW w:w="180" w:type="dxa"/>
            <w:vAlign w:val="bottom"/>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40" w:type="dxa"/>
            <w:vAlign w:val="bottom"/>
            <w:shd w:val="clear" w:color="auto" w:fill="B2B2B2"/>
          </w:tcPr>
          <w:p>
            <w:pPr>
              <w:spacing w:after="0"/>
              <w:rPr>
                <w:sz w:val="17"/>
                <w:szCs w:val="17"/>
                <w:color w:val="auto"/>
              </w:rPr>
            </w:pPr>
          </w:p>
        </w:tc>
        <w:tc>
          <w:tcPr>
            <w:tcW w:w="76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40" w:type="dxa"/>
            <w:vAlign w:val="bottom"/>
            <w:shd w:val="clear" w:color="auto" w:fill="B2B2B2"/>
          </w:tcPr>
          <w:p>
            <w:pPr>
              <w:spacing w:after="0"/>
              <w:rPr>
                <w:sz w:val="17"/>
                <w:szCs w:val="17"/>
                <w:color w:val="auto"/>
              </w:rPr>
            </w:pPr>
          </w:p>
        </w:tc>
        <w:tc>
          <w:tcPr>
            <w:tcW w:w="760" w:type="dxa"/>
            <w:vAlign w:val="bottom"/>
            <w:shd w:val="clear" w:color="auto" w:fill="B2B2B2"/>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740" w:type="dxa"/>
            <w:vAlign w:val="bottom"/>
            <w:shd w:val="clear" w:color="auto" w:fill="B2B2B2"/>
          </w:tcPr>
          <w:p>
            <w:pPr>
              <w:spacing w:after="0"/>
              <w:rPr>
                <w:sz w:val="17"/>
                <w:szCs w:val="17"/>
                <w:color w:val="auto"/>
              </w:rPr>
            </w:pPr>
          </w:p>
        </w:tc>
      </w:tr>
      <w:tr>
        <w:trPr>
          <w:trHeight w:val="256"/>
        </w:trPr>
        <w:tc>
          <w:tcPr>
            <w:tcW w:w="66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interest income after provision for loan losses (out-of-scope of FASB ASC 606)</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12,274</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35,653</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32,514</w:t>
            </w:r>
          </w:p>
        </w:tc>
      </w:tr>
      <w:tr>
        <w:trPr>
          <w:trHeight w:val="223"/>
        </w:trPr>
        <w:tc>
          <w:tcPr>
            <w:tcW w:w="6640" w:type="dxa"/>
            <w:vAlign w:val="bottom"/>
            <w:tcBorders>
              <w:top w:val="single" w:sz="8" w:color="B2B2B2"/>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Total net revenue</w:t>
            </w:r>
          </w:p>
        </w:tc>
        <w:tc>
          <w:tcPr>
            <w:tcW w:w="220" w:type="dxa"/>
            <w:vAlign w:val="bottom"/>
            <w:tcBorders>
              <w:top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B2B2B2"/>
          </w:tcPr>
          <w:p>
            <w:pPr>
              <w:spacing w:after="0"/>
              <w:rPr>
                <w:sz w:val="19"/>
                <w:szCs w:val="19"/>
                <w:color w:val="auto"/>
              </w:rPr>
            </w:pPr>
          </w:p>
        </w:tc>
        <w:tc>
          <w:tcPr>
            <w:tcW w:w="7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40,536</w:t>
            </w:r>
          </w:p>
        </w:tc>
        <w:tc>
          <w:tcPr>
            <w:tcW w:w="180" w:type="dxa"/>
            <w:vAlign w:val="bottom"/>
            <w:tcBorders>
              <w:top w:val="single" w:sz="8" w:color="B2B2B2"/>
            </w:tcBorders>
            <w:shd w:val="clear" w:color="auto" w:fill="B2B2B2"/>
          </w:tcPr>
          <w:p>
            <w:pPr>
              <w:spacing w:after="0"/>
              <w:rPr>
                <w:sz w:val="19"/>
                <w:szCs w:val="19"/>
                <w:color w:val="auto"/>
              </w:rPr>
            </w:pPr>
          </w:p>
        </w:tc>
        <w:tc>
          <w:tcPr>
            <w:tcW w:w="280" w:type="dxa"/>
            <w:vAlign w:val="bottom"/>
            <w:tcBorders>
              <w:top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B2B2B2"/>
          </w:tcPr>
          <w:p>
            <w:pPr>
              <w:spacing w:after="0"/>
              <w:rPr>
                <w:sz w:val="19"/>
                <w:szCs w:val="19"/>
                <w:color w:val="auto"/>
              </w:rPr>
            </w:pPr>
          </w:p>
        </w:tc>
        <w:tc>
          <w:tcPr>
            <w:tcW w:w="7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37,621</w:t>
            </w:r>
          </w:p>
        </w:tc>
        <w:tc>
          <w:tcPr>
            <w:tcW w:w="240" w:type="dxa"/>
            <w:vAlign w:val="bottom"/>
            <w:tcBorders>
              <w:top w:val="single" w:sz="8" w:color="B2B2B2"/>
            </w:tcBorders>
            <w:shd w:val="clear" w:color="auto" w:fill="B2B2B2"/>
          </w:tcPr>
          <w:p>
            <w:pPr>
              <w:spacing w:after="0"/>
              <w:rPr>
                <w:sz w:val="19"/>
                <w:szCs w:val="19"/>
                <w:color w:val="auto"/>
              </w:rPr>
            </w:pPr>
          </w:p>
        </w:tc>
        <w:tc>
          <w:tcPr>
            <w:tcW w:w="220" w:type="dxa"/>
            <w:vAlign w:val="bottom"/>
            <w:tcBorders>
              <w:top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B2B2B2"/>
          </w:tcPr>
          <w:p>
            <w:pPr>
              <w:spacing w:after="0"/>
              <w:rPr>
                <w:sz w:val="19"/>
                <w:szCs w:val="19"/>
                <w:color w:val="auto"/>
              </w:rPr>
            </w:pPr>
          </w:p>
        </w:tc>
        <w:tc>
          <w:tcPr>
            <w:tcW w:w="7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118,300</w:t>
            </w:r>
          </w:p>
        </w:tc>
        <w:tc>
          <w:tcPr>
            <w:tcW w:w="160" w:type="dxa"/>
            <w:vAlign w:val="bottom"/>
            <w:tcBorders>
              <w:top w:val="single" w:sz="8" w:color="B2B2B2"/>
            </w:tcBorders>
            <w:shd w:val="clear" w:color="auto" w:fill="B2B2B2"/>
          </w:tcPr>
          <w:p>
            <w:pPr>
              <w:spacing w:after="0"/>
              <w:rPr>
                <w:sz w:val="19"/>
                <w:szCs w:val="19"/>
                <w:color w:val="auto"/>
              </w:rPr>
            </w:pPr>
          </w:p>
        </w:tc>
        <w:tc>
          <w:tcPr>
            <w:tcW w:w="260" w:type="dxa"/>
            <w:vAlign w:val="bottom"/>
            <w:tcBorders>
              <w:top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B2B2B2"/>
          </w:tcPr>
          <w:p>
            <w:pPr>
              <w:spacing w:after="0"/>
              <w:rPr>
                <w:sz w:val="19"/>
                <w:szCs w:val="19"/>
                <w:color w:val="auto"/>
              </w:rPr>
            </w:pPr>
          </w:p>
        </w:tc>
        <w:tc>
          <w:tcPr>
            <w:tcW w:w="74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109,963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line="244" w:lineRule="auto"/>
        <w:tabs>
          <w:tab w:leader="none" w:pos="3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Company earns interest income from the balances generated during the invoice processing and payment cycle and on deposit accounts, which is an integral component of the Company’s compensation for services provided, but is out-of-scope of FASB ASC 606.</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Note 14 – Leases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 2019, the Company adopted Accounting Standards Update (“ASU”) No. 2016-02 – “Leases (ASC Topic 842).” The Company leases certain premises under operating leases. As of September 30, 2019, the Company had lease liabilities of $7,019,000 and right-of-use assets of $6,241,000. Lease liabilities and right-of-use assets are reflected in other liabilities and other assets, respectively. Presented within occupancy expense on the Consolidated Statements of Income for the three months ended September 30, 2019, operating lease cost was $419,000, short-term lease cost was $33,000, and there was no variable lease cost. For the nine months ended September 30, 2019, operating lease cost was $1,259,000, short-term lease cost was $107,000, and there was no variable lease cost. For the period ended September 30, 2019, the weighted average remaining lease term for the operating leases was 6.8 years and the weighted average discount rate used in the measurement of operating lease liabilities was 5.5%. Certain of the Company’s leases contain options to renew the lease; however, these renewal options are not included in the calculation of the lease liabilities as they are not reasonably certain to be exercised. There has been no significant change in the Company’s expected future minimum lease payments since December 31, 2018. See the Company’s 2018 Annual Report on Form 10-K for information regarding these commitments.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September 30, 2019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7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6"/>
        </w:trPr>
        <w:tc>
          <w:tcPr>
            <w:tcW w:w="61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Lease payments due</w:t>
            </w:r>
          </w:p>
        </w:tc>
        <w:tc>
          <w:tcPr>
            <w:tcW w:w="3720" w:type="dxa"/>
            <w:vAlign w:val="bottom"/>
            <w:shd w:val="clear" w:color="auto" w:fill="B2B2B2"/>
          </w:tcPr>
          <w:p>
            <w:pPr>
              <w:spacing w:after="0"/>
              <w:rPr>
                <w:sz w:val="18"/>
                <w:szCs w:val="18"/>
                <w:color w:val="auto"/>
              </w:rPr>
            </w:pPr>
          </w:p>
        </w:tc>
        <w:tc>
          <w:tcPr>
            <w:tcW w:w="1560" w:type="dxa"/>
            <w:vAlign w:val="bottom"/>
            <w:shd w:val="clear" w:color="auto" w:fill="B2B2B2"/>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1 year</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16"/>
        </w:trPr>
        <w:tc>
          <w:tcPr>
            <w:tcW w:w="614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1-2 years</w:t>
            </w:r>
          </w:p>
        </w:tc>
        <w:tc>
          <w:tcPr>
            <w:tcW w:w="3720" w:type="dxa"/>
            <w:vAlign w:val="bottom"/>
            <w:shd w:val="clear" w:color="auto" w:fill="B2B2B2"/>
          </w:tcPr>
          <w:p>
            <w:pPr>
              <w:spacing w:after="0"/>
              <w:rPr>
                <w:sz w:val="18"/>
                <w:szCs w:val="18"/>
                <w:color w:val="auto"/>
              </w:rPr>
            </w:pPr>
          </w:p>
        </w:tc>
        <w:tc>
          <w:tcPr>
            <w:tcW w:w="15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 years</w:t>
            </w:r>
          </w:p>
        </w:tc>
        <w:tc>
          <w:tcPr>
            <w:tcW w:w="37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16"/>
        </w:trPr>
        <w:tc>
          <w:tcPr>
            <w:tcW w:w="614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3-4 years</w:t>
            </w:r>
          </w:p>
        </w:tc>
        <w:tc>
          <w:tcPr>
            <w:tcW w:w="3720" w:type="dxa"/>
            <w:vAlign w:val="bottom"/>
            <w:shd w:val="clear" w:color="auto" w:fill="B2B2B2"/>
          </w:tcPr>
          <w:p>
            <w:pPr>
              <w:spacing w:after="0"/>
              <w:rPr>
                <w:sz w:val="18"/>
                <w:szCs w:val="18"/>
                <w:color w:val="auto"/>
              </w:rPr>
            </w:pPr>
          </w:p>
        </w:tc>
        <w:tc>
          <w:tcPr>
            <w:tcW w:w="15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 years</w:t>
            </w:r>
          </w:p>
        </w:tc>
        <w:tc>
          <w:tcPr>
            <w:tcW w:w="37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614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Over 5 years</w:t>
            </w:r>
          </w:p>
        </w:tc>
        <w:tc>
          <w:tcPr>
            <w:tcW w:w="3720" w:type="dxa"/>
            <w:vAlign w:val="bottom"/>
            <w:tcBorders>
              <w:bottom w:val="single" w:sz="8" w:color="auto"/>
            </w:tcBorders>
            <w:shd w:val="clear" w:color="auto" w:fill="B2B2B2"/>
          </w:tcPr>
          <w:p>
            <w:pPr>
              <w:spacing w:after="0"/>
              <w:rPr>
                <w:sz w:val="18"/>
                <w:szCs w:val="18"/>
                <w:color w:val="auto"/>
              </w:rPr>
            </w:pPr>
          </w:p>
        </w:tc>
        <w:tc>
          <w:tcPr>
            <w:tcW w:w="15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09"/>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37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w:t>
            </w:r>
          </w:p>
        </w:tc>
      </w:tr>
      <w:tr>
        <w:trPr>
          <w:trHeight w:val="216"/>
        </w:trPr>
        <w:tc>
          <w:tcPr>
            <w:tcW w:w="614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Discount on cash flows</w:t>
            </w:r>
          </w:p>
        </w:tc>
        <w:tc>
          <w:tcPr>
            <w:tcW w:w="3720" w:type="dxa"/>
            <w:vAlign w:val="bottom"/>
            <w:tcBorders>
              <w:bottom w:val="single" w:sz="8" w:color="auto"/>
            </w:tcBorders>
            <w:shd w:val="clear" w:color="auto" w:fill="B2B2B2"/>
          </w:tcPr>
          <w:p>
            <w:pPr>
              <w:spacing w:after="0"/>
              <w:rPr>
                <w:sz w:val="18"/>
                <w:szCs w:val="18"/>
                <w:color w:val="auto"/>
              </w:rPr>
            </w:pPr>
          </w:p>
        </w:tc>
        <w:tc>
          <w:tcPr>
            <w:tcW w:w="15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16"/>
        </w:trPr>
        <w:tc>
          <w:tcPr>
            <w:tcW w:w="6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w:t>
            </w:r>
          </w:p>
        </w:tc>
      </w:tr>
    </w:tbl>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nine months ended September 30, 2019. At September 30, 2019, the Company had one lease that had not yet commenced, but is expected to create approximately $800,000 of additional lease liabilities and right-of-use assets for the Company. This lease is anticipated to commence in 2020.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Subsequent Events</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accordance with FASB ASC 855, “Subsequent Events,” the Company has evaluated subsequent events after the consolidated balance sheet date of September 30, 2019, and there were no events identified that would require additional disclosures to prevent the Company’s unaudited consolidated financial statements from being misleading.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ind w:right="1420"/>
        <w:spacing w:after="0" w:line="3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jc w:val="both"/>
        <w:spacing w:after="0" w:line="253" w:lineRule="auto"/>
        <w:rPr>
          <w:sz w:val="20"/>
          <w:szCs w:val="20"/>
          <w:color w:val="auto"/>
        </w:rPr>
      </w:pPr>
      <w:r>
        <w:rPr>
          <w:rFonts w:ascii="Times New Roman" w:cs="Times New Roman" w:eastAsia="Times New Roman" w:hAnsi="Times New Roman"/>
          <w:sz w:val="18"/>
          <w:szCs w:val="18"/>
          <w:color w:val="auto"/>
        </w:rPr>
        <w:t>Cass provides payment and information processing services to large manufacturing, distribution and retail enterprises from its offices/locations in St. Louis, Missouri, Columbus, Ohio, Boston, Massachusetts,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Additionally, Cass provides a B2B payment platform for clients that require an agile fintech partner. The Company also, through Cass Commercial Bank, its St. Louis, Missouri-based bank subsidiary provides banking services in the St. Louis metropolitan area, Orange County, California, Colorado Springs, Colorado, and other selected cities in the United States. In addition to supporting the Company’s payment operations, the Bank provides banking services to its target markets, which include privately-owned businesses and faith-based ministries.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2018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 Another negative impact of low fuel prices could be a drop in the number of invoices related to drilling supplies carried by domestic railroads and trucks that move pipes, sand and water for fracking operations.</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Allowance for Loan Losses. </w:t>
      </w:r>
      <w:r>
        <w:rPr>
          <w:rFonts w:ascii="Times New Roman" w:cs="Times New Roman" w:eastAsia="Times New Roman" w:hAnsi="Times New Roman"/>
          <w:sz w:val="18"/>
          <w:szCs w:val="18"/>
          <w:color w:val="auto"/>
        </w:rPr>
        <w:t>The Company performs periodic and systematic detailed reviews of its loan portfolio to assess overall collectability.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and accordingly, the Company expects to continue to utilize the present processes through 2019, after which current expected credit losses methodology will be adopted.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paragraphs more fully discuss the results of operations and changes in financial condition for the three-month period ended September 30, 2019 (“Third Quarter of 2019”) compared to the three-month period ended September 30, 2018 (“Third Quarter of 2018”) and the nine-month period ended September 30, 2019 (“Nine Months Ended 2019”) compared to the nine-month period ended September 30, 2018 (“Nine Months Ended 2018”). The following discussion and analysis should be read in conjunction with the unaudited consolidated financial statements and related notes and with the statistical information and financial data appearing in this report, as well as in the Company’s 2018 Annual Report on Form 10-K. Results of operations for the Third Quarter of 2019 are not necessarily indicative of the results to be attained for any other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operating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Third Quarter of</w:t>
            </w:r>
          </w:p>
        </w:tc>
        <w:tc>
          <w:tcPr>
            <w:tcW w:w="10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40" w:type="dxa"/>
            <w:vAlign w:val="bottom"/>
            <w:tcBorders>
              <w:bottom w:val="single" w:sz="8" w:color="auto"/>
            </w:tcBorders>
          </w:tcPr>
          <w:p>
            <w:pPr>
              <w:spacing w:after="0"/>
              <w:rPr>
                <w:sz w:val="21"/>
                <w:szCs w:val="21"/>
                <w:color w:val="auto"/>
              </w:rPr>
            </w:pPr>
          </w:p>
        </w:tc>
      </w:tr>
      <w:tr>
        <w:trPr>
          <w:trHeight w:val="193"/>
        </w:trPr>
        <w:tc>
          <w:tcPr>
            <w:tcW w:w="3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jc w:val="center"/>
              <w:ind w:lef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t>
            </w:r>
          </w:p>
        </w:tc>
      </w:tr>
      <w:tr>
        <w:trPr>
          <w:trHeight w:val="245"/>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5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6"/>
        </w:trPr>
        <w:tc>
          <w:tcPr>
            <w:tcW w:w="330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8,186</w:t>
            </w:r>
          </w:p>
        </w:tc>
        <w:tc>
          <w:tcPr>
            <w:tcW w:w="52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7,610</w:t>
            </w:r>
          </w:p>
        </w:tc>
        <w:tc>
          <w:tcPr>
            <w:tcW w:w="1020" w:type="dxa"/>
            <w:vAlign w:val="bottom"/>
            <w:shd w:val="clear" w:color="auto" w:fill="B2B2B2"/>
          </w:tcPr>
          <w:p>
            <w:pPr>
              <w:jc w:val="center"/>
              <w:ind w:left="30"/>
              <w:spacing w:after="0"/>
              <w:rPr>
                <w:sz w:val="20"/>
                <w:szCs w:val="20"/>
                <w:color w:val="auto"/>
              </w:rPr>
            </w:pPr>
            <w:r>
              <w:rPr>
                <w:rFonts w:ascii="Times New Roman" w:cs="Times New Roman" w:eastAsia="Times New Roman" w:hAnsi="Times New Roman"/>
                <w:sz w:val="18"/>
                <w:szCs w:val="18"/>
                <w:color w:val="auto"/>
                <w:w w:val="97"/>
              </w:rPr>
              <w:t>7.6</w:t>
            </w:r>
          </w:p>
        </w:tc>
        <w:tc>
          <w:tcPr>
            <w:tcW w:w="220" w:type="dxa"/>
            <w:vAlign w:val="bottom"/>
            <w:shd w:val="clear" w:color="auto" w:fill="B2B2B2"/>
          </w:tcPr>
          <w:p>
            <w:pPr>
              <w:spacing w:after="0"/>
              <w:rPr>
                <w:sz w:val="18"/>
                <w:szCs w:val="18"/>
                <w:color w:val="auto"/>
              </w:rPr>
            </w:pPr>
          </w:p>
        </w:tc>
        <w:tc>
          <w:tcPr>
            <w:tcW w:w="2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24,033</w:t>
            </w:r>
          </w:p>
        </w:tc>
        <w:tc>
          <w:tcPr>
            <w:tcW w:w="4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23,211</w:t>
            </w:r>
          </w:p>
        </w:tc>
        <w:tc>
          <w:tcPr>
            <w:tcW w:w="740" w:type="dxa"/>
            <w:vAlign w:val="bottom"/>
            <w:shd w:val="clear" w:color="auto" w:fill="B2B2B2"/>
          </w:tcPr>
          <w:p>
            <w:pPr>
              <w:jc w:val="center"/>
              <w:ind w:left="70"/>
              <w:spacing w:after="0"/>
              <w:rPr>
                <w:sz w:val="20"/>
                <w:szCs w:val="20"/>
                <w:color w:val="auto"/>
              </w:rPr>
            </w:pPr>
            <w:r>
              <w:rPr>
                <w:rFonts w:ascii="Times New Roman" w:cs="Times New Roman" w:eastAsia="Times New Roman" w:hAnsi="Times New Roman"/>
                <w:sz w:val="18"/>
                <w:szCs w:val="18"/>
                <w:color w:val="auto"/>
                <w:w w:val="97"/>
              </w:rPr>
              <w:t>3.5</w:t>
            </w:r>
          </w:p>
        </w:tc>
      </w:tr>
      <w:tr>
        <w:trPr>
          <w:trHeight w:val="216"/>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w:t>
            </w: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9.8</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1.64</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1.55</w:t>
            </w:r>
          </w:p>
        </w:tc>
        <w:tc>
          <w:tcPr>
            <w:tcW w:w="7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5.8</w:t>
            </w:r>
          </w:p>
        </w:tc>
      </w:tr>
      <w:tr>
        <w:trPr>
          <w:trHeight w:val="216"/>
        </w:trPr>
        <w:tc>
          <w:tcPr>
            <w:tcW w:w="330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Return on average assets</w:t>
            </w:r>
          </w:p>
        </w:tc>
        <w:tc>
          <w:tcPr>
            <w:tcW w:w="58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5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1.84%</w:t>
            </w:r>
          </w:p>
        </w:tc>
        <w:tc>
          <w:tcPr>
            <w:tcW w:w="1240" w:type="dxa"/>
            <w:vAlign w:val="bottom"/>
            <w:gridSpan w:val="2"/>
            <w:shd w:val="clear" w:color="auto" w:fill="B2B2B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4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1.92%</w:t>
            </w:r>
          </w:p>
        </w:tc>
        <w:tc>
          <w:tcPr>
            <w:tcW w:w="740" w:type="dxa"/>
            <w:vAlign w:val="bottom"/>
            <w:shd w:val="clear" w:color="auto" w:fill="B2B2B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3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Return on average equity</w:t>
            </w: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13.31%</w:t>
            </w:r>
          </w:p>
        </w:tc>
        <w:tc>
          <w:tcPr>
            <w:tcW w:w="12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13.76%</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13.96%</w:t>
            </w:r>
          </w:p>
        </w:tc>
        <w:tc>
          <w:tcPr>
            <w:tcW w:w="7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00" w:type="dxa"/>
            <w:vAlign w:val="bottom"/>
            <w:tcBorders>
              <w:bottom w:val="single" w:sz="8" w:color="auto"/>
            </w:tcBorders>
          </w:tcPr>
          <w:p>
            <w:pPr>
              <w:spacing w:after="0"/>
              <w:rPr>
                <w:sz w:val="21"/>
                <w:szCs w:val="21"/>
                <w:color w:val="auto"/>
              </w:rPr>
            </w:pPr>
          </w:p>
        </w:tc>
      </w:tr>
      <w:tr>
        <w:trPr>
          <w:trHeight w:val="193"/>
        </w:trPr>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43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Transportation invoice volume</w:t>
            </w:r>
          </w:p>
        </w:tc>
        <w:tc>
          <w:tcPr>
            <w:tcW w:w="32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9,236</w:t>
            </w:r>
          </w:p>
        </w:tc>
        <w:tc>
          <w:tcPr>
            <w:tcW w:w="3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9,530</w:t>
            </w:r>
          </w:p>
        </w:tc>
        <w:tc>
          <w:tcPr>
            <w:tcW w:w="120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27,406</w:t>
            </w:r>
          </w:p>
        </w:tc>
        <w:tc>
          <w:tcPr>
            <w:tcW w:w="32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28,349</w:t>
            </w:r>
          </w:p>
        </w:tc>
        <w:tc>
          <w:tcPr>
            <w:tcW w:w="7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7,104,771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7,264,898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21,211,746</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21,227,816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3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Facility Expense transaction volume*</w:t>
            </w:r>
          </w:p>
        </w:tc>
        <w:tc>
          <w:tcPr>
            <w:tcW w:w="32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7,143</w:t>
            </w:r>
          </w:p>
        </w:tc>
        <w:tc>
          <w:tcPr>
            <w:tcW w:w="3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7,124</w:t>
            </w:r>
          </w:p>
        </w:tc>
        <w:tc>
          <w:tcPr>
            <w:tcW w:w="120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21,029</w:t>
            </w:r>
          </w:p>
        </w:tc>
        <w:tc>
          <w:tcPr>
            <w:tcW w:w="32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21,414</w:t>
            </w:r>
          </w:p>
        </w:tc>
        <w:tc>
          <w:tcPr>
            <w:tcW w:w="7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Facility Expense dollar volume*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4,118,393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3,667,007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11,468,896</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10,338,979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43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Payment and processing revenue</w:t>
            </w:r>
          </w:p>
        </w:tc>
        <w:tc>
          <w:tcPr>
            <w:tcW w:w="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27,741</w:t>
            </w:r>
          </w:p>
        </w:tc>
        <w:tc>
          <w:tcPr>
            <w:tcW w:w="3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26,020</w:t>
            </w:r>
          </w:p>
        </w:tc>
        <w:tc>
          <w:tcPr>
            <w:tcW w:w="120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81,050</w:t>
            </w:r>
          </w:p>
        </w:tc>
        <w:tc>
          <w:tcPr>
            <w:tcW w:w="3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76,068</w:t>
            </w:r>
          </w:p>
        </w:tc>
        <w:tc>
          <w:tcPr>
            <w:tcW w:w="7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energy, telecom and waste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of 2019 compared to Third Quarter of 2018:</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 and processing fee revenue increased 7%. Factors continuing to influence performance were an expanding customer base and the development and deployment of new revenue-generating services. Transportation invoice volume declined 3% as a historically robust 2018 created a challenging comparison in 2019. Additionally, dollar volume decreased 2% as a result of a softening carrier market. Facility-related (electricity, gas, waste and telecom expense management) dollar volume was up a strong 12% due to significantly increased “spend” by several major clients plus contributions from new customers. Facility expense transactions volume increased slightly as the mix of customers, particularly in telecom expense management, changed from a relatively high transaction/low dollar to a relatively low transaction/high dollar average customer. Actual customer counts increased for the quarter.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There were no gains on sales of securities in either the Third Quarter of 2019 or 2018.</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2019 compared to Nine Months Ended 2018:</w:t>
      </w:r>
    </w:p>
    <w:p>
      <w:pPr>
        <w:spacing w:after="0" w:line="1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Payment and processing fee revenue, transportation invoice and dollar volumes, as well as expense management transaction and dollar volumes, fluctuated for the same reasons as the Third Quarter.</w:t>
      </w:r>
    </w:p>
    <w:p>
      <w:pPr>
        <w:spacing w:after="0" w:line="54" w:lineRule="exact"/>
        <w:rPr>
          <w:sz w:val="20"/>
          <w:szCs w:val="20"/>
          <w:color w:val="auto"/>
        </w:rPr>
      </w:pPr>
    </w:p>
    <w:p>
      <w:pPr>
        <w:ind w:right="140"/>
        <w:spacing w:after="0" w:line="374" w:lineRule="auto"/>
        <w:rPr>
          <w:sz w:val="20"/>
          <w:szCs w:val="20"/>
          <w:color w:val="auto"/>
        </w:rPr>
      </w:pPr>
      <w:r>
        <w:rPr>
          <w:rFonts w:ascii="Times New Roman" w:cs="Times New Roman" w:eastAsia="Times New Roman" w:hAnsi="Times New Roman"/>
          <w:sz w:val="18"/>
          <w:szCs w:val="18"/>
          <w:color w:val="auto"/>
        </w:rPr>
        <w:t xml:space="preserve">Gains of $19,000 on the sales of securities were recognized in the Nine Months Ended 2019, compared to losses of $42,000 in the Nine Months Ended 2018. </w:t>
      </w:r>
      <w:r>
        <w:rPr>
          <w:rFonts w:ascii="Times New Roman" w:cs="Times New Roman" w:eastAsia="Times New Roman" w:hAnsi="Times New Roman"/>
          <w:sz w:val="18"/>
          <w:szCs w:val="18"/>
          <w:b w:val="1"/>
          <w:bCs w:val="1"/>
          <w:color w:val="auto"/>
        </w:rPr>
        <w:t>Net Interest Income</w:t>
      </w:r>
    </w:p>
    <w:p>
      <w:pPr>
        <w:spacing w:after="0" w:line="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80" w:type="dxa"/>
            <w:vAlign w:val="bottom"/>
            <w:tcBorders>
              <w:bottom w:val="single" w:sz="8" w:color="auto"/>
            </w:tcBorders>
          </w:tcPr>
          <w:p>
            <w:pPr>
              <w:spacing w:after="0"/>
              <w:rPr>
                <w:sz w:val="21"/>
                <w:szCs w:val="21"/>
                <w:color w:val="auto"/>
              </w:rPr>
            </w:pPr>
          </w:p>
        </w:tc>
      </w:tr>
      <w:tr>
        <w:trPr>
          <w:trHeight w:val="193"/>
        </w:trPr>
        <w:tc>
          <w:tcPr>
            <w:tcW w:w="4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jc w:val="right"/>
              <w:ind w:right="35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8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43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Average earnings assets</w:t>
            </w: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   1,498,470</w:t>
            </w:r>
          </w:p>
        </w:tc>
        <w:tc>
          <w:tcPr>
            <w:tcW w:w="152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   1,397,477</w:t>
            </w:r>
          </w:p>
        </w:tc>
        <w:tc>
          <w:tcPr>
            <w:tcW w:w="9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360" w:type="dxa"/>
            <w:vAlign w:val="bottom"/>
            <w:gridSpan w:val="2"/>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   1,456,242</w:t>
            </w: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  1,385,488</w:t>
            </w:r>
          </w:p>
        </w:tc>
        <w:tc>
          <w:tcPr>
            <w:tcW w:w="780" w:type="dxa"/>
            <w:vAlign w:val="bottom"/>
            <w:shd w:val="clear" w:color="auto" w:fill="B2B2B2"/>
          </w:tcPr>
          <w:p>
            <w:pPr>
              <w:ind w:left="26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398,982</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359,793</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10.9%</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389,443</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369,016</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3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Net interest income*</w:t>
            </w: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52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11,749</w:t>
            </w:r>
          </w:p>
        </w:tc>
        <w:tc>
          <w:tcPr>
            <w:tcW w:w="9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1360" w:type="dxa"/>
            <w:vAlign w:val="bottom"/>
            <w:gridSpan w:val="2"/>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37,485</w:t>
            </w: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34,389</w:t>
            </w:r>
          </w:p>
        </w:tc>
        <w:tc>
          <w:tcPr>
            <w:tcW w:w="780" w:type="dxa"/>
            <w:vAlign w:val="bottom"/>
            <w:shd w:val="clear" w:color="auto" w:fill="B2B2B2"/>
          </w:tcPr>
          <w:p>
            <w:pPr>
              <w:ind w:left="26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interest margin*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3.34%</w:t>
            </w:r>
          </w:p>
        </w:tc>
        <w:tc>
          <w:tcPr>
            <w:tcW w:w="98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3.32%</w:t>
            </w:r>
          </w:p>
        </w:tc>
        <w:tc>
          <w:tcPr>
            <w:tcW w:w="780" w:type="dxa"/>
            <w:vAlign w:val="bottom"/>
          </w:tcPr>
          <w:p>
            <w:pPr>
              <w:spacing w:after="0"/>
              <w:rPr>
                <w:sz w:val="18"/>
                <w:szCs w:val="18"/>
                <w:color w:val="auto"/>
              </w:rPr>
            </w:pPr>
          </w:p>
        </w:tc>
      </w:tr>
      <w:tr>
        <w:trPr>
          <w:trHeight w:val="216"/>
        </w:trPr>
        <w:tc>
          <w:tcPr>
            <w:tcW w:w="43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Yield on earning assets*</w:t>
            </w: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52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3.63%</w:t>
            </w:r>
          </w:p>
        </w:tc>
        <w:tc>
          <w:tcPr>
            <w:tcW w:w="980" w:type="dxa"/>
            <w:vAlign w:val="bottom"/>
            <w:shd w:val="clear" w:color="auto" w:fill="B2B2B2"/>
          </w:tcPr>
          <w:p>
            <w:pPr>
              <w:spacing w:after="0"/>
              <w:rPr>
                <w:sz w:val="18"/>
                <w:szCs w:val="18"/>
                <w:color w:val="auto"/>
              </w:rPr>
            </w:pPr>
          </w:p>
        </w:tc>
        <w:tc>
          <w:tcPr>
            <w:tcW w:w="1360" w:type="dxa"/>
            <w:vAlign w:val="bottom"/>
            <w:gridSpan w:val="2"/>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136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3.56%</w:t>
            </w:r>
          </w:p>
        </w:tc>
        <w:tc>
          <w:tcPr>
            <w:tcW w:w="780" w:type="dxa"/>
            <w:vAlign w:val="bottom"/>
            <w:shd w:val="clear" w:color="auto" w:fill="B2B2B2"/>
          </w:tcPr>
          <w:p>
            <w:pPr>
              <w:spacing w:after="0"/>
              <w:rPr>
                <w:sz w:val="18"/>
                <w:szCs w:val="18"/>
                <w:color w:val="auto"/>
              </w:rPr>
            </w:pPr>
          </w:p>
        </w:tc>
      </w:tr>
      <w:tr>
        <w:trPr>
          <w:trHeight w:val="234"/>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on interest-bearing liabilities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1.13%</w:t>
            </w:r>
          </w:p>
        </w:tc>
        <w:tc>
          <w:tcPr>
            <w:tcW w:w="98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.91%</w:t>
            </w:r>
          </w:p>
        </w:tc>
        <w:tc>
          <w:tcPr>
            <w:tcW w:w="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on a tax-equivalent basis assuming a tax rate of 21% for both 2019 and 2018.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of 2019 compared to Third Quarter of 2018:</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Third Quarter of 2019 average earning assets increased $100,993,000, or 7.2%, compared to the same period in the prior year. Average federal funds sold and short-term investments increased $132,661,000 and loans increased $56,443,000, or 7.9%. These were partially offset by a decrease in interest-bearing deposits in other financial institutions of $60,648,000, or 37.2%, and average investment securities of $22,400,000, or 5.1%, in the Third Quarter of 2019 compared to the Third Quarter of 2018.</w:t>
      </w:r>
    </w:p>
    <w:p>
      <w:pPr>
        <w:spacing w:after="0" w:line="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Average accounts and drafts payable increased $53,381,000, or 7.1%, and non-interest bearing demand deposits increased $22,162,000, or 8.9%, in the Third Quarter of 2019 compared to the Third Quarter of 2018. Total average interest-bearing liabilities for the Third Quarter of 2019 increased $39,189,000, or 10.9%, compared to the Third Quarter of 2018.</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changes to the interest rate environment also led to an increase in the rate for the yield on earning assets and on interest-bearing liabilities in the Third Quarter of 2019 compared to the Third Quarter of 2018.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2019 compared to Nine Months Ended 2018:</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Nine Months Ended 2019 average earning assets increased $70,754,000, or 5.1%, compared to the same period in the prior year. Average federal funds sold and other short-term investments increased $56,087,000, or 53.2%, and loans increased $49,790,000, or 7.1%. These were partially offset by a decrease in average investment securities of $23,352,000, or 5.2%, for the Nine Months Ended 2019 as compared to the Nine Months Ended 2018.</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Average accounts and drafts payable balances for the Nine Months Ended 2019 increased $41,058,000, or 5.6%, and non-interest bearing demand deposits increased $22,372,000, or 9.1%. Total average interest-bearing liabilities for the Nine Months Ended 2019 increased $20,428,000, or 5.5% compared to the Nine Months Ended 2018.</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income and net interest margin were impacted by the same factors as the Third Quarter.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p>
      <w:pPr>
        <w:ind w:right="3880"/>
        <w:spacing w:after="0" w:line="397" w:lineRule="auto"/>
        <w:rPr>
          <w:sz w:val="20"/>
          <w:szCs w:val="20"/>
          <w:color w:val="auto"/>
        </w:rPr>
      </w:pPr>
      <w:r>
        <w:rPr>
          <w:rFonts w:ascii="Times New Roman" w:cs="Times New Roman" w:eastAsia="Times New Roman" w:hAnsi="Times New Roman"/>
          <w:sz w:val="17"/>
          <w:szCs w:val="17"/>
          <w:color w:val="auto"/>
        </w:rPr>
        <w:t xml:space="preserve">For more information on the changes in net interest income, please refer to the tables that follow. </w:t>
      </w:r>
      <w:r>
        <w:rPr>
          <w:rFonts w:ascii="Times New Roman" w:cs="Times New Roman" w:eastAsia="Times New Roman" w:hAnsi="Times New Roman"/>
          <w:sz w:val="17"/>
          <w:szCs w:val="17"/>
          <w:b w:val="1"/>
          <w:bCs w:val="1"/>
          <w:color w:val="auto"/>
        </w:rPr>
        <w:t>Distribution of Assets, Liabilities and Shareholders’ Equity; Interest Rate and Interest Differential</w:t>
      </w: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tables show the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Third Quarter of 2019</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Third Quarter of 2018</w:t>
            </w:r>
          </w:p>
        </w:tc>
      </w:tr>
      <w:tr>
        <w:trPr>
          <w:trHeight w:val="193"/>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920" w:type="dxa"/>
            <w:vAlign w:val="bottom"/>
          </w:tcPr>
          <w:p>
            <w:pPr>
              <w:spacing w:after="0"/>
              <w:rPr>
                <w:sz w:val="16"/>
                <w:szCs w:val="16"/>
                <w:color w:val="auto"/>
              </w:rPr>
            </w:pPr>
          </w:p>
        </w:tc>
      </w:tr>
      <w:tr>
        <w:trPr>
          <w:trHeight w:val="216"/>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32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32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20" w:type="dxa"/>
            <w:vAlign w:val="bottom"/>
          </w:tcPr>
          <w:p>
            <w:pPr>
              <w:spacing w:after="0"/>
              <w:rPr>
                <w:sz w:val="18"/>
                <w:szCs w:val="18"/>
                <w:color w:val="auto"/>
              </w:rPr>
            </w:pPr>
          </w:p>
        </w:tc>
      </w:tr>
      <w:tr>
        <w:trPr>
          <w:trHeight w:val="245"/>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r>
      <w:tr>
        <w:trPr>
          <w:trHeight w:val="256"/>
        </w:trPr>
        <w:tc>
          <w:tcPr>
            <w:tcW w:w="4240" w:type="dxa"/>
            <w:vAlign w:val="bottom"/>
            <w:shd w:val="clear" w:color="auto" w:fill="B2B2B2"/>
          </w:tcPr>
          <w:p>
            <w:pPr>
              <w:ind w:left="40"/>
              <w:spacing w:after="0" w:line="256" w:lineRule="exact"/>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9"/>
                <w:szCs w:val="29"/>
                <w:color w:val="auto"/>
                <w:vertAlign w:val="superscript"/>
              </w:rPr>
              <w:t>1</w:t>
            </w:r>
          </w:p>
        </w:tc>
        <w:tc>
          <w:tcPr>
            <w:tcW w:w="3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000" w:type="dxa"/>
            <w:vAlign w:val="bottom"/>
            <w:shd w:val="clear" w:color="auto" w:fill="B2B2B2"/>
          </w:tcPr>
          <w:p>
            <w:pPr>
              <w:spacing w:after="0"/>
              <w:rPr>
                <w:sz w:val="22"/>
                <w:szCs w:val="22"/>
                <w:color w:val="auto"/>
              </w:rPr>
            </w:pPr>
          </w:p>
        </w:tc>
        <w:tc>
          <w:tcPr>
            <w:tcW w:w="32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000" w:type="dxa"/>
            <w:vAlign w:val="bottom"/>
            <w:shd w:val="clear" w:color="auto" w:fill="B2B2B2"/>
          </w:tcPr>
          <w:p>
            <w:pPr>
              <w:spacing w:after="0"/>
              <w:rPr>
                <w:sz w:val="22"/>
                <w:szCs w:val="22"/>
                <w:color w:val="auto"/>
              </w:rPr>
            </w:pPr>
          </w:p>
        </w:tc>
        <w:tc>
          <w:tcPr>
            <w:tcW w:w="32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920" w:type="dxa"/>
            <w:vAlign w:val="bottom"/>
            <w:shd w:val="clear" w:color="auto" w:fill="B2B2B2"/>
          </w:tcPr>
          <w:p>
            <w:pPr>
              <w:spacing w:after="0"/>
              <w:rPr>
                <w:sz w:val="22"/>
                <w:szCs w:val="22"/>
                <w:color w:val="auto"/>
              </w:rPr>
            </w:pPr>
          </w:p>
        </w:tc>
      </w:tr>
      <w:tr>
        <w:trPr>
          <w:trHeight w:val="21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6"/>
        </w:trPr>
        <w:tc>
          <w:tcPr>
            <w:tcW w:w="4240" w:type="dxa"/>
            <w:vAlign w:val="bottom"/>
            <w:shd w:val="clear" w:color="auto" w:fill="B2B2B2"/>
          </w:tcPr>
          <w:p>
            <w:pPr>
              <w:ind w:left="4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tc>
        <w:tc>
          <w:tcPr>
            <w:tcW w:w="3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000" w:type="dxa"/>
            <w:vAlign w:val="bottom"/>
            <w:shd w:val="clear" w:color="auto" w:fill="B2B2B2"/>
          </w:tcPr>
          <w:p>
            <w:pPr>
              <w:spacing w:after="0"/>
              <w:rPr>
                <w:sz w:val="22"/>
                <w:szCs w:val="22"/>
                <w:color w:val="auto"/>
              </w:rPr>
            </w:pPr>
          </w:p>
        </w:tc>
        <w:tc>
          <w:tcPr>
            <w:tcW w:w="32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000" w:type="dxa"/>
            <w:vAlign w:val="bottom"/>
            <w:shd w:val="clear" w:color="auto" w:fill="B2B2B2"/>
          </w:tcPr>
          <w:p>
            <w:pPr>
              <w:spacing w:after="0"/>
              <w:rPr>
                <w:sz w:val="22"/>
                <w:szCs w:val="22"/>
                <w:color w:val="auto"/>
              </w:rPr>
            </w:pPr>
          </w:p>
        </w:tc>
        <w:tc>
          <w:tcPr>
            <w:tcW w:w="32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920" w:type="dxa"/>
            <w:vAlign w:val="bottom"/>
            <w:shd w:val="clear" w:color="auto" w:fill="B2B2B2"/>
          </w:tcPr>
          <w:p>
            <w:pPr>
              <w:spacing w:after="0"/>
              <w:rPr>
                <w:sz w:val="22"/>
                <w:szCs w:val="22"/>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Taxable</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774,489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9,549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716,849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8,356</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4.62%</w:t>
            </w:r>
          </w:p>
        </w:tc>
      </w:tr>
      <w:tr>
        <w:trPr>
          <w:trHeight w:val="256"/>
        </w:trPr>
        <w:tc>
          <w:tcPr>
            <w:tcW w:w="4240" w:type="dxa"/>
            <w:vAlign w:val="bottom"/>
            <w:shd w:val="clear" w:color="auto" w:fill="B2B2B2"/>
          </w:tcPr>
          <w:p>
            <w:pPr>
              <w:ind w:left="18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3</w:t>
            </w:r>
          </w:p>
        </w:tc>
        <w:tc>
          <w:tcPr>
            <w:tcW w:w="3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2B2B2"/>
          </w:tcPr>
          <w:p>
            <w:pPr>
              <w:spacing w:after="0"/>
              <w:rPr>
                <w:sz w:val="22"/>
                <w:szCs w:val="22"/>
                <w:color w:val="auto"/>
              </w:rPr>
            </w:pP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1,197</w:t>
            </w:r>
          </w:p>
        </w:tc>
        <w:tc>
          <w:tcPr>
            <w:tcW w:w="320" w:type="dxa"/>
            <w:vAlign w:val="bottom"/>
            <w:shd w:val="clear" w:color="auto" w:fill="B2B2B2"/>
          </w:tcPr>
          <w:p>
            <w:pPr>
              <w:spacing w:after="0"/>
              <w:rPr>
                <w:sz w:val="22"/>
                <w:szCs w:val="22"/>
                <w:color w:val="auto"/>
              </w:rPr>
            </w:pP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4.31</w:t>
            </w:r>
          </w:p>
        </w:tc>
      </w:tr>
      <w:tr>
        <w:trPr>
          <w:trHeight w:val="256"/>
        </w:trPr>
        <w:tc>
          <w:tcPr>
            <w:tcW w:w="424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424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Taxable</w:t>
            </w:r>
          </w:p>
        </w:tc>
        <w:tc>
          <w:tcPr>
            <w:tcW w:w="3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102,507</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603</w:t>
            </w:r>
          </w:p>
        </w:tc>
        <w:tc>
          <w:tcPr>
            <w:tcW w:w="9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100,530</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593</w:t>
            </w:r>
          </w:p>
        </w:tc>
        <w:tc>
          <w:tcPr>
            <w:tcW w:w="9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2.34</w:t>
            </w:r>
          </w:p>
        </w:tc>
      </w:tr>
      <w:tr>
        <w:trPr>
          <w:trHeight w:val="256"/>
        </w:trPr>
        <w:tc>
          <w:tcPr>
            <w:tcW w:w="42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3</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315,381</w:t>
            </w:r>
          </w:p>
        </w:tc>
        <w:tc>
          <w:tcPr>
            <w:tcW w:w="3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2,436</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339,758</w:t>
            </w:r>
          </w:p>
        </w:tc>
        <w:tc>
          <w:tcPr>
            <w:tcW w:w="3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2,671</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42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1,644</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6,707</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102,386</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163,034</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424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30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202,063</w:t>
            </w:r>
          </w:p>
        </w:tc>
        <w:tc>
          <w:tcPr>
            <w:tcW w:w="3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1,079</w:t>
            </w:r>
          </w:p>
        </w:tc>
        <w:tc>
          <w:tcPr>
            <w:tcW w:w="98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69,402</w:t>
            </w:r>
          </w:p>
        </w:tc>
        <w:tc>
          <w:tcPr>
            <w:tcW w:w="3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920" w:type="dxa"/>
            <w:vAlign w:val="bottom"/>
            <w:tcBorders>
              <w:bottom w:val="single" w:sz="8" w:color="auto"/>
            </w:tcBorders>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1.86</w:t>
            </w:r>
          </w:p>
        </w:tc>
      </w:tr>
      <w:tr>
        <w:trPr>
          <w:trHeight w:val="209"/>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earning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1,498,470</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14,177</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1,397,477</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12,778</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42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Non-earning assets:</w:t>
            </w:r>
          </w:p>
        </w:tc>
        <w:tc>
          <w:tcPr>
            <w:tcW w:w="3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due from banks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16,307</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13,398</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4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20,981</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22,583</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Bank-owned life insurance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17,456</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17,197</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4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14,669</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14,300</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222,449</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182,565</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4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30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(10,507)</w:t>
            </w:r>
          </w:p>
        </w:tc>
        <w:tc>
          <w:tcPr>
            <w:tcW w:w="3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(10,218)</w:t>
            </w:r>
          </w:p>
        </w:tc>
        <w:tc>
          <w:tcPr>
            <w:tcW w:w="3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spacing w:after="0"/>
              <w:rPr>
                <w:sz w:val="18"/>
                <w:szCs w:val="18"/>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1,779,825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1,637,302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49"/>
        </w:trPr>
        <w:tc>
          <w:tcPr>
            <w:tcW w:w="4240" w:type="dxa"/>
            <w:vAlign w:val="bottom"/>
            <w:shd w:val="clear" w:color="auto" w:fill="B2B2B2"/>
          </w:tcPr>
          <w:p>
            <w:pPr>
              <w:ind w:left="40"/>
              <w:spacing w:after="0" w:line="249" w:lineRule="exact"/>
              <w:rPr>
                <w:sz w:val="20"/>
                <w:szCs w:val="20"/>
                <w:color w:val="auto"/>
              </w:rPr>
            </w:pPr>
            <w:r>
              <w:rPr>
                <w:rFonts w:ascii="Times New Roman" w:cs="Times New Roman" w:eastAsia="Times New Roman" w:hAnsi="Times New Roman"/>
                <w:sz w:val="17"/>
                <w:szCs w:val="17"/>
                <w:b w:val="1"/>
                <w:bCs w:val="1"/>
                <w:color w:val="auto"/>
              </w:rPr>
              <w:t>Liabilities and Shareholders’ Equity</w:t>
            </w:r>
            <w:r>
              <w:rPr>
                <w:rFonts w:ascii="Times New Roman" w:cs="Times New Roman" w:eastAsia="Times New Roman" w:hAnsi="Times New Roman"/>
                <w:sz w:val="28"/>
                <w:szCs w:val="28"/>
                <w:b w:val="1"/>
                <w:bCs w:val="1"/>
                <w:color w:val="auto"/>
                <w:vertAlign w:val="superscript"/>
              </w:rPr>
              <w:t>1</w:t>
            </w:r>
          </w:p>
        </w:tc>
        <w:tc>
          <w:tcPr>
            <w:tcW w:w="300" w:type="dxa"/>
            <w:vAlign w:val="bottom"/>
            <w:shd w:val="clear" w:color="auto" w:fill="B2B2B2"/>
          </w:tcPr>
          <w:p>
            <w:pPr>
              <w:spacing w:after="0"/>
              <w:rPr>
                <w:sz w:val="21"/>
                <w:szCs w:val="21"/>
                <w:color w:val="auto"/>
              </w:rPr>
            </w:pPr>
          </w:p>
        </w:tc>
        <w:tc>
          <w:tcPr>
            <w:tcW w:w="160" w:type="dxa"/>
            <w:vAlign w:val="bottom"/>
            <w:shd w:val="clear" w:color="auto" w:fill="B2B2B2"/>
          </w:tcPr>
          <w:p>
            <w:pPr>
              <w:spacing w:after="0"/>
              <w:rPr>
                <w:sz w:val="21"/>
                <w:szCs w:val="21"/>
                <w:color w:val="auto"/>
              </w:rPr>
            </w:pPr>
          </w:p>
        </w:tc>
        <w:tc>
          <w:tcPr>
            <w:tcW w:w="1000" w:type="dxa"/>
            <w:vAlign w:val="bottom"/>
            <w:shd w:val="clear" w:color="auto" w:fill="B2B2B2"/>
          </w:tcPr>
          <w:p>
            <w:pPr>
              <w:spacing w:after="0"/>
              <w:rPr>
                <w:sz w:val="21"/>
                <w:szCs w:val="21"/>
                <w:color w:val="auto"/>
              </w:rPr>
            </w:pPr>
          </w:p>
        </w:tc>
        <w:tc>
          <w:tcPr>
            <w:tcW w:w="320" w:type="dxa"/>
            <w:vAlign w:val="bottom"/>
            <w:shd w:val="clear" w:color="auto" w:fill="B2B2B2"/>
          </w:tcPr>
          <w:p>
            <w:pPr>
              <w:spacing w:after="0"/>
              <w:rPr>
                <w:sz w:val="21"/>
                <w:szCs w:val="21"/>
                <w:color w:val="auto"/>
              </w:rPr>
            </w:pPr>
          </w:p>
        </w:tc>
        <w:tc>
          <w:tcPr>
            <w:tcW w:w="900" w:type="dxa"/>
            <w:vAlign w:val="bottom"/>
            <w:shd w:val="clear" w:color="auto" w:fill="B2B2B2"/>
          </w:tcPr>
          <w:p>
            <w:pPr>
              <w:spacing w:after="0"/>
              <w:rPr>
                <w:sz w:val="21"/>
                <w:szCs w:val="21"/>
                <w:color w:val="auto"/>
              </w:rPr>
            </w:pPr>
          </w:p>
        </w:tc>
        <w:tc>
          <w:tcPr>
            <w:tcW w:w="980" w:type="dxa"/>
            <w:vAlign w:val="bottom"/>
            <w:shd w:val="clear" w:color="auto" w:fill="B2B2B2"/>
          </w:tcPr>
          <w:p>
            <w:pPr>
              <w:spacing w:after="0"/>
              <w:rPr>
                <w:sz w:val="21"/>
                <w:szCs w:val="21"/>
                <w:color w:val="auto"/>
              </w:rPr>
            </w:pPr>
          </w:p>
        </w:tc>
        <w:tc>
          <w:tcPr>
            <w:tcW w:w="220" w:type="dxa"/>
            <w:vAlign w:val="bottom"/>
            <w:shd w:val="clear" w:color="auto" w:fill="B2B2B2"/>
          </w:tcPr>
          <w:p>
            <w:pPr>
              <w:spacing w:after="0"/>
              <w:rPr>
                <w:sz w:val="21"/>
                <w:szCs w:val="21"/>
                <w:color w:val="auto"/>
              </w:rPr>
            </w:pPr>
          </w:p>
        </w:tc>
        <w:tc>
          <w:tcPr>
            <w:tcW w:w="160" w:type="dxa"/>
            <w:vAlign w:val="bottom"/>
            <w:shd w:val="clear" w:color="auto" w:fill="B2B2B2"/>
          </w:tcPr>
          <w:p>
            <w:pPr>
              <w:spacing w:after="0"/>
              <w:rPr>
                <w:sz w:val="21"/>
                <w:szCs w:val="21"/>
                <w:color w:val="auto"/>
              </w:rPr>
            </w:pPr>
          </w:p>
        </w:tc>
        <w:tc>
          <w:tcPr>
            <w:tcW w:w="1000" w:type="dxa"/>
            <w:vAlign w:val="bottom"/>
            <w:shd w:val="clear" w:color="auto" w:fill="B2B2B2"/>
          </w:tcPr>
          <w:p>
            <w:pPr>
              <w:spacing w:after="0"/>
              <w:rPr>
                <w:sz w:val="21"/>
                <w:szCs w:val="21"/>
                <w:color w:val="auto"/>
              </w:rPr>
            </w:pPr>
          </w:p>
        </w:tc>
        <w:tc>
          <w:tcPr>
            <w:tcW w:w="320" w:type="dxa"/>
            <w:vAlign w:val="bottom"/>
            <w:shd w:val="clear" w:color="auto" w:fill="B2B2B2"/>
          </w:tcPr>
          <w:p>
            <w:pPr>
              <w:spacing w:after="0"/>
              <w:rPr>
                <w:sz w:val="21"/>
                <w:szCs w:val="21"/>
                <w:color w:val="auto"/>
              </w:rPr>
            </w:pPr>
          </w:p>
        </w:tc>
        <w:tc>
          <w:tcPr>
            <w:tcW w:w="900" w:type="dxa"/>
            <w:vAlign w:val="bottom"/>
            <w:shd w:val="clear" w:color="auto" w:fill="B2B2B2"/>
          </w:tcPr>
          <w:p>
            <w:pPr>
              <w:spacing w:after="0"/>
              <w:rPr>
                <w:sz w:val="21"/>
                <w:szCs w:val="21"/>
                <w:color w:val="auto"/>
              </w:rPr>
            </w:pPr>
          </w:p>
        </w:tc>
        <w:tc>
          <w:tcPr>
            <w:tcW w:w="920" w:type="dxa"/>
            <w:vAlign w:val="bottom"/>
            <w:shd w:val="clear" w:color="auto" w:fill="B2B2B2"/>
          </w:tcPr>
          <w:p>
            <w:pPr>
              <w:spacing w:after="0"/>
              <w:rPr>
                <w:sz w:val="21"/>
                <w:szCs w:val="21"/>
                <w:color w:val="auto"/>
              </w:rPr>
            </w:pPr>
          </w:p>
        </w:tc>
      </w:tr>
      <w:tr>
        <w:trPr>
          <w:trHeight w:val="21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4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460" w:type="dxa"/>
            <w:vAlign w:val="bottom"/>
            <w:gridSpan w:val="2"/>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315,341</w:t>
            </w:r>
          </w:p>
        </w:tc>
        <w:tc>
          <w:tcPr>
            <w:tcW w:w="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996</w:t>
            </w: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80" w:type="dxa"/>
            <w:vAlign w:val="bottom"/>
            <w:gridSpan w:val="2"/>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292,038</w:t>
            </w:r>
          </w:p>
        </w:tc>
        <w:tc>
          <w:tcPr>
            <w:tcW w:w="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802</w:t>
            </w:r>
          </w:p>
        </w:tc>
        <w:tc>
          <w:tcPr>
            <w:tcW w:w="9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9,612</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11,129</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424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Time deposits &gt;= $100</w:t>
            </w:r>
          </w:p>
        </w:tc>
        <w:tc>
          <w:tcPr>
            <w:tcW w:w="3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25,978</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9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24,718</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9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4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48,051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31,908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1.27</w:t>
            </w:r>
          </w:p>
        </w:tc>
      </w:tr>
      <w:tr>
        <w:trPr>
          <w:trHeight w:val="209"/>
        </w:trPr>
        <w:tc>
          <w:tcPr>
            <w:tcW w:w="42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3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398,982</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1,392</w:t>
            </w:r>
          </w:p>
        </w:tc>
        <w:tc>
          <w:tcPr>
            <w:tcW w:w="9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359,793</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1,029</w:t>
            </w:r>
          </w:p>
        </w:tc>
        <w:tc>
          <w:tcPr>
            <w:tcW w:w="9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Non-interest bearing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4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Demand deposits</w:t>
            </w:r>
          </w:p>
        </w:tc>
        <w:tc>
          <w:tcPr>
            <w:tcW w:w="3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272,551</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250,389</w:t>
            </w:r>
          </w:p>
        </w:tc>
        <w:tc>
          <w:tcPr>
            <w:tcW w:w="3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809,078</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755,697</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4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57,646</w:t>
            </w:r>
          </w:p>
        </w:tc>
        <w:tc>
          <w:tcPr>
            <w:tcW w:w="3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44,652</w:t>
            </w:r>
          </w:p>
        </w:tc>
        <w:tc>
          <w:tcPr>
            <w:tcW w:w="3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spacing w:after="0"/>
              <w:rPr>
                <w:sz w:val="18"/>
                <w:szCs w:val="18"/>
                <w:color w:val="auto"/>
              </w:rPr>
            </w:pPr>
          </w:p>
        </w:tc>
      </w:tr>
      <w:tr>
        <w:trPr>
          <w:trHeight w:val="209"/>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1,538,257</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1,410,531</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4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241,568</w:t>
            </w:r>
          </w:p>
        </w:tc>
        <w:tc>
          <w:tcPr>
            <w:tcW w:w="3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226,771</w:t>
            </w:r>
          </w:p>
        </w:tc>
        <w:tc>
          <w:tcPr>
            <w:tcW w:w="3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spacing w:after="0"/>
              <w:rPr>
                <w:sz w:val="18"/>
                <w:szCs w:val="18"/>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1,779,825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1,637,302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42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Net interest income</w:t>
            </w:r>
          </w:p>
        </w:tc>
        <w:tc>
          <w:tcPr>
            <w:tcW w:w="3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12,785</w:t>
            </w:r>
          </w:p>
        </w:tc>
        <w:tc>
          <w:tcPr>
            <w:tcW w:w="9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11,749</w:t>
            </w:r>
          </w:p>
        </w:tc>
        <w:tc>
          <w:tcPr>
            <w:tcW w:w="920" w:type="dxa"/>
            <w:vAlign w:val="bottom"/>
            <w:shd w:val="clear" w:color="auto" w:fill="B2B2B2"/>
          </w:tcPr>
          <w:p>
            <w:pPr>
              <w:spacing w:after="0"/>
              <w:rPr>
                <w:sz w:val="18"/>
                <w:szCs w:val="18"/>
                <w:color w:val="auto"/>
              </w:rPr>
            </w:pPr>
          </w:p>
        </w:tc>
      </w:tr>
      <w:tr>
        <w:trPr>
          <w:trHeight w:val="21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interest margin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424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Interest spread</w:t>
            </w:r>
          </w:p>
        </w:tc>
        <w:tc>
          <w:tcPr>
            <w:tcW w:w="30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1000" w:type="dxa"/>
            <w:vAlign w:val="bottom"/>
            <w:shd w:val="clear" w:color="auto" w:fill="B2B2B2"/>
          </w:tcPr>
          <w:p>
            <w:pPr>
              <w:spacing w:after="0"/>
              <w:rPr>
                <w:sz w:val="19"/>
                <w:szCs w:val="19"/>
                <w:color w:val="auto"/>
              </w:rPr>
            </w:pPr>
          </w:p>
        </w:tc>
        <w:tc>
          <w:tcPr>
            <w:tcW w:w="320" w:type="dxa"/>
            <w:vAlign w:val="bottom"/>
            <w:shd w:val="clear" w:color="auto" w:fill="B2B2B2"/>
          </w:tcPr>
          <w:p>
            <w:pPr>
              <w:spacing w:after="0"/>
              <w:rPr>
                <w:sz w:val="19"/>
                <w:szCs w:val="19"/>
                <w:color w:val="auto"/>
              </w:rPr>
            </w:pPr>
          </w:p>
        </w:tc>
        <w:tc>
          <w:tcPr>
            <w:tcW w:w="900" w:type="dxa"/>
            <w:vAlign w:val="bottom"/>
            <w:shd w:val="clear" w:color="auto" w:fill="B2B2B2"/>
          </w:tcPr>
          <w:p>
            <w:pPr>
              <w:spacing w:after="0"/>
              <w:rPr>
                <w:sz w:val="19"/>
                <w:szCs w:val="19"/>
                <w:color w:val="auto"/>
              </w:rPr>
            </w:pPr>
          </w:p>
        </w:tc>
        <w:tc>
          <w:tcPr>
            <w:tcW w:w="9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1000" w:type="dxa"/>
            <w:vAlign w:val="bottom"/>
            <w:shd w:val="clear" w:color="auto" w:fill="B2B2B2"/>
          </w:tcPr>
          <w:p>
            <w:pPr>
              <w:spacing w:after="0"/>
              <w:rPr>
                <w:sz w:val="19"/>
                <w:szCs w:val="19"/>
                <w:color w:val="auto"/>
              </w:rPr>
            </w:pPr>
          </w:p>
        </w:tc>
        <w:tc>
          <w:tcPr>
            <w:tcW w:w="320" w:type="dxa"/>
            <w:vAlign w:val="bottom"/>
            <w:shd w:val="clear" w:color="auto" w:fill="B2B2B2"/>
          </w:tcPr>
          <w:p>
            <w:pPr>
              <w:spacing w:after="0"/>
              <w:rPr>
                <w:sz w:val="19"/>
                <w:szCs w:val="19"/>
                <w:color w:val="auto"/>
              </w:rPr>
            </w:pPr>
          </w:p>
        </w:tc>
        <w:tc>
          <w:tcPr>
            <w:tcW w:w="900" w:type="dxa"/>
            <w:vAlign w:val="bottom"/>
            <w:shd w:val="clear" w:color="auto" w:fill="B2B2B2"/>
          </w:tcPr>
          <w:p>
            <w:pPr>
              <w:spacing w:after="0"/>
              <w:rPr>
                <w:sz w:val="19"/>
                <w:szCs w:val="19"/>
                <w:color w:val="auto"/>
              </w:rPr>
            </w:pPr>
          </w:p>
        </w:tc>
        <w:tc>
          <w:tcPr>
            <w:tcW w:w="9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20" w:hanging="212"/>
        <w:spacing w:after="0" w:line="231" w:lineRule="auto"/>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ind w:left="220" w:hanging="212"/>
        <w:spacing w:after="0" w:line="220" w:lineRule="auto"/>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$127,000 and $98,000 for the Third Quarter of 2019 and 2018, respectively.</w:t>
      </w:r>
    </w:p>
    <w:p>
      <w:pPr>
        <w:ind w:left="220" w:right="20" w:hanging="212"/>
        <w:spacing w:after="0" w:line="220" w:lineRule="auto"/>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both 2019 and 2018. The tax-equivalent adjustment was approximately $511,000 and $564,000 for the Third Quarter of 2019 and 2018, respectively.</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2019</w:t>
            </w:r>
          </w:p>
        </w:tc>
        <w:tc>
          <w:tcPr>
            <w:tcW w:w="200" w:type="dxa"/>
            <w:vAlign w:val="bottom"/>
          </w:tcPr>
          <w:p>
            <w:pPr>
              <w:spacing w:after="0"/>
              <w:rPr>
                <w:sz w:val="21"/>
                <w:szCs w:val="21"/>
                <w:color w:val="auto"/>
              </w:rPr>
            </w:pPr>
          </w:p>
        </w:tc>
        <w:tc>
          <w:tcPr>
            <w:tcW w:w="32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 2018</w:t>
            </w:r>
          </w:p>
        </w:tc>
      </w:tr>
      <w:tr>
        <w:trPr>
          <w:trHeight w:val="193"/>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4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920" w:type="dxa"/>
            <w:vAlign w:val="bottom"/>
            <w:tcBorders>
              <w:top w:val="single" w:sz="8" w:color="auto"/>
            </w:tcBorders>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50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34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20" w:type="dxa"/>
            <w:vAlign w:val="bottom"/>
          </w:tcPr>
          <w:p>
            <w:pPr>
              <w:spacing w:after="0"/>
              <w:rPr>
                <w:sz w:val="18"/>
                <w:szCs w:val="18"/>
                <w:color w:val="auto"/>
              </w:rPr>
            </w:pPr>
          </w:p>
        </w:tc>
      </w:tr>
      <w:tr>
        <w:trPr>
          <w:trHeight w:val="24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6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Yield/Rate</w:t>
            </w:r>
          </w:p>
        </w:tc>
      </w:tr>
      <w:tr>
        <w:trPr>
          <w:trHeight w:val="256"/>
        </w:trPr>
        <w:tc>
          <w:tcPr>
            <w:tcW w:w="3380" w:type="dxa"/>
            <w:vAlign w:val="bottom"/>
            <w:shd w:val="clear" w:color="auto" w:fill="B2B2B2"/>
          </w:tcPr>
          <w:p>
            <w:pPr>
              <w:ind w:left="40"/>
              <w:spacing w:after="0" w:line="256" w:lineRule="exact"/>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9"/>
                <w:szCs w:val="29"/>
                <w:b w:val="1"/>
                <w:bCs w:val="1"/>
                <w:color w:val="auto"/>
                <w:vertAlign w:val="superscript"/>
              </w:rPr>
              <w:t>1</w:t>
            </w:r>
          </w:p>
        </w:tc>
        <w:tc>
          <w:tcPr>
            <w:tcW w:w="280" w:type="dxa"/>
            <w:vAlign w:val="bottom"/>
            <w:shd w:val="clear" w:color="auto" w:fill="B2B2B2"/>
          </w:tcPr>
          <w:p>
            <w:pPr>
              <w:spacing w:after="0"/>
              <w:rPr>
                <w:sz w:val="22"/>
                <w:szCs w:val="22"/>
                <w:color w:val="auto"/>
              </w:rPr>
            </w:pPr>
          </w:p>
        </w:tc>
        <w:tc>
          <w:tcPr>
            <w:tcW w:w="180" w:type="dxa"/>
            <w:vAlign w:val="bottom"/>
            <w:shd w:val="clear" w:color="auto" w:fill="B2B2B2"/>
          </w:tcPr>
          <w:p>
            <w:pPr>
              <w:spacing w:after="0"/>
              <w:rPr>
                <w:sz w:val="22"/>
                <w:szCs w:val="22"/>
                <w:color w:val="auto"/>
              </w:rPr>
            </w:pPr>
          </w:p>
        </w:tc>
        <w:tc>
          <w:tcPr>
            <w:tcW w:w="860" w:type="dxa"/>
            <w:vAlign w:val="bottom"/>
            <w:shd w:val="clear" w:color="auto" w:fill="B2B2B2"/>
          </w:tcPr>
          <w:p>
            <w:pPr>
              <w:spacing w:after="0"/>
              <w:rPr>
                <w:sz w:val="22"/>
                <w:szCs w:val="22"/>
                <w:color w:val="auto"/>
              </w:rPr>
            </w:pPr>
          </w:p>
        </w:tc>
        <w:tc>
          <w:tcPr>
            <w:tcW w:w="500" w:type="dxa"/>
            <w:vAlign w:val="bottom"/>
            <w:shd w:val="clear" w:color="auto" w:fill="B2B2B2"/>
          </w:tcPr>
          <w:p>
            <w:pPr>
              <w:spacing w:after="0"/>
              <w:rPr>
                <w:sz w:val="22"/>
                <w:szCs w:val="22"/>
                <w:color w:val="auto"/>
              </w:rPr>
            </w:pPr>
          </w:p>
        </w:tc>
        <w:tc>
          <w:tcPr>
            <w:tcW w:w="1120" w:type="dxa"/>
            <w:vAlign w:val="bottom"/>
            <w:shd w:val="clear" w:color="auto" w:fill="B2B2B2"/>
          </w:tcPr>
          <w:p>
            <w:pPr>
              <w:spacing w:after="0"/>
              <w:rPr>
                <w:sz w:val="22"/>
                <w:szCs w:val="22"/>
                <w:color w:val="auto"/>
              </w:rPr>
            </w:pPr>
          </w:p>
        </w:tc>
        <w:tc>
          <w:tcPr>
            <w:tcW w:w="14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34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920" w:type="dxa"/>
            <w:vAlign w:val="bottom"/>
            <w:shd w:val="clear" w:color="auto" w:fill="B2B2B2"/>
          </w:tcPr>
          <w:p>
            <w:pPr>
              <w:spacing w:after="0"/>
              <w:rPr>
                <w:sz w:val="22"/>
                <w:szCs w:val="22"/>
                <w:color w:val="auto"/>
              </w:rPr>
            </w:pPr>
          </w:p>
        </w:tc>
      </w:tr>
      <w:tr>
        <w:trPr>
          <w:trHeight w:val="216"/>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6"/>
        </w:trPr>
        <w:tc>
          <w:tcPr>
            <w:tcW w:w="3380" w:type="dxa"/>
            <w:vAlign w:val="bottom"/>
            <w:shd w:val="clear" w:color="auto" w:fill="B2B2B2"/>
          </w:tcPr>
          <w:p>
            <w:pPr>
              <w:ind w:left="4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tc>
        <w:tc>
          <w:tcPr>
            <w:tcW w:w="280" w:type="dxa"/>
            <w:vAlign w:val="bottom"/>
            <w:shd w:val="clear" w:color="auto" w:fill="B2B2B2"/>
          </w:tcPr>
          <w:p>
            <w:pPr>
              <w:spacing w:after="0"/>
              <w:rPr>
                <w:sz w:val="22"/>
                <w:szCs w:val="22"/>
                <w:color w:val="auto"/>
              </w:rPr>
            </w:pPr>
          </w:p>
        </w:tc>
        <w:tc>
          <w:tcPr>
            <w:tcW w:w="180" w:type="dxa"/>
            <w:vAlign w:val="bottom"/>
            <w:shd w:val="clear" w:color="auto" w:fill="B2B2B2"/>
          </w:tcPr>
          <w:p>
            <w:pPr>
              <w:spacing w:after="0"/>
              <w:rPr>
                <w:sz w:val="22"/>
                <w:szCs w:val="22"/>
                <w:color w:val="auto"/>
              </w:rPr>
            </w:pPr>
          </w:p>
        </w:tc>
        <w:tc>
          <w:tcPr>
            <w:tcW w:w="860" w:type="dxa"/>
            <w:vAlign w:val="bottom"/>
            <w:shd w:val="clear" w:color="auto" w:fill="B2B2B2"/>
          </w:tcPr>
          <w:p>
            <w:pPr>
              <w:spacing w:after="0"/>
              <w:rPr>
                <w:sz w:val="22"/>
                <w:szCs w:val="22"/>
                <w:color w:val="auto"/>
              </w:rPr>
            </w:pPr>
          </w:p>
        </w:tc>
        <w:tc>
          <w:tcPr>
            <w:tcW w:w="500" w:type="dxa"/>
            <w:vAlign w:val="bottom"/>
            <w:shd w:val="clear" w:color="auto" w:fill="B2B2B2"/>
          </w:tcPr>
          <w:p>
            <w:pPr>
              <w:spacing w:after="0"/>
              <w:rPr>
                <w:sz w:val="22"/>
                <w:szCs w:val="22"/>
                <w:color w:val="auto"/>
              </w:rPr>
            </w:pPr>
          </w:p>
        </w:tc>
        <w:tc>
          <w:tcPr>
            <w:tcW w:w="1120" w:type="dxa"/>
            <w:vAlign w:val="bottom"/>
            <w:shd w:val="clear" w:color="auto" w:fill="B2B2B2"/>
          </w:tcPr>
          <w:p>
            <w:pPr>
              <w:spacing w:after="0"/>
              <w:rPr>
                <w:sz w:val="22"/>
                <w:szCs w:val="22"/>
                <w:color w:val="auto"/>
              </w:rPr>
            </w:pPr>
          </w:p>
        </w:tc>
        <w:tc>
          <w:tcPr>
            <w:tcW w:w="14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34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920" w:type="dxa"/>
            <w:vAlign w:val="bottom"/>
            <w:shd w:val="clear" w:color="auto" w:fill="B2B2B2"/>
          </w:tcPr>
          <w:p>
            <w:pPr>
              <w:spacing w:after="0"/>
              <w:rPr>
                <w:sz w:val="22"/>
                <w:szCs w:val="22"/>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Taxable</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755,331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27,564</w:t>
            </w:r>
          </w:p>
        </w:tc>
        <w:tc>
          <w:tcPr>
            <w:tcW w:w="1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703,535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23,786</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r>
      <w:tr>
        <w:trPr>
          <w:trHeight w:val="256"/>
        </w:trPr>
        <w:tc>
          <w:tcPr>
            <w:tcW w:w="3380" w:type="dxa"/>
            <w:vAlign w:val="bottom"/>
            <w:shd w:val="clear" w:color="auto" w:fill="B2B2B2"/>
          </w:tcPr>
          <w:p>
            <w:pPr>
              <w:ind w:left="18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3</w:t>
            </w:r>
          </w:p>
        </w:tc>
        <w:tc>
          <w:tcPr>
            <w:tcW w:w="280" w:type="dxa"/>
            <w:vAlign w:val="bottom"/>
            <w:shd w:val="clear" w:color="auto" w:fill="B2B2B2"/>
          </w:tcPr>
          <w:p>
            <w:pPr>
              <w:spacing w:after="0"/>
              <w:rPr>
                <w:sz w:val="22"/>
                <w:szCs w:val="22"/>
                <w:color w:val="auto"/>
              </w:rPr>
            </w:pPr>
          </w:p>
        </w:tc>
        <w:tc>
          <w:tcPr>
            <w:tcW w:w="180" w:type="dxa"/>
            <w:vAlign w:val="bottom"/>
            <w:shd w:val="clear" w:color="auto" w:fill="B2B2B2"/>
          </w:tcPr>
          <w:p>
            <w:pPr>
              <w:spacing w:after="0"/>
              <w:rPr>
                <w:sz w:val="22"/>
                <w:szCs w:val="22"/>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B2B2B2"/>
          </w:tcPr>
          <w:p>
            <w:pPr>
              <w:spacing w:after="0"/>
              <w:rPr>
                <w:sz w:val="22"/>
                <w:szCs w:val="22"/>
                <w:color w:val="auto"/>
              </w:rPr>
            </w:pPr>
          </w:p>
        </w:tc>
        <w:tc>
          <w:tcPr>
            <w:tcW w:w="112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B2B2B2"/>
          </w:tcPr>
          <w:p>
            <w:pPr>
              <w:ind w:left="38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2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2,006</w:t>
            </w:r>
          </w:p>
        </w:tc>
        <w:tc>
          <w:tcPr>
            <w:tcW w:w="340" w:type="dxa"/>
            <w:vAlign w:val="bottom"/>
            <w:shd w:val="clear" w:color="auto" w:fill="B2B2B2"/>
          </w:tcPr>
          <w:p>
            <w:pPr>
              <w:spacing w:after="0"/>
              <w:rPr>
                <w:sz w:val="22"/>
                <w:szCs w:val="22"/>
                <w:color w:val="auto"/>
              </w:rPr>
            </w:pP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92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3.80</w:t>
            </w:r>
          </w:p>
        </w:tc>
      </w:tr>
      <w:tr>
        <w:trPr>
          <w:trHeight w:val="256"/>
        </w:trPr>
        <w:tc>
          <w:tcPr>
            <w:tcW w:w="338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33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Taxable</w:t>
            </w:r>
          </w:p>
        </w:tc>
        <w:tc>
          <w:tcPr>
            <w:tcW w:w="2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104,614</w:t>
            </w:r>
          </w:p>
        </w:tc>
        <w:tc>
          <w:tcPr>
            <w:tcW w:w="50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1,865</w:t>
            </w:r>
          </w:p>
        </w:tc>
        <w:tc>
          <w:tcPr>
            <w:tcW w:w="1460" w:type="dxa"/>
            <w:vAlign w:val="bottom"/>
            <w:shd w:val="clear" w:color="auto" w:fill="B2B2B2"/>
          </w:tcPr>
          <w:p>
            <w:pPr>
              <w:ind w:left="380"/>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78,609</w:t>
            </w:r>
          </w:p>
        </w:tc>
        <w:tc>
          <w:tcPr>
            <w:tcW w:w="3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1,348</w:t>
            </w:r>
          </w:p>
        </w:tc>
        <w:tc>
          <w:tcPr>
            <w:tcW w:w="92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2.29</w:t>
            </w:r>
          </w:p>
        </w:tc>
      </w:tr>
      <w:tr>
        <w:trPr>
          <w:trHeight w:val="256"/>
        </w:trPr>
        <w:tc>
          <w:tcPr>
            <w:tcW w:w="33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3</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322,682</w:t>
            </w:r>
          </w:p>
        </w:tc>
        <w:tc>
          <w:tcPr>
            <w:tcW w:w="500" w:type="dxa"/>
            <w:vAlign w:val="bottom"/>
          </w:tcPr>
          <w:p>
            <w:pPr>
              <w:spacing w:after="0"/>
              <w:rPr>
                <w:sz w:val="22"/>
                <w:szCs w:val="22"/>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7,538</w:t>
            </w:r>
          </w:p>
        </w:tc>
        <w:tc>
          <w:tcPr>
            <w:tcW w:w="1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372,039</w:t>
            </w:r>
          </w:p>
        </w:tc>
        <w:tc>
          <w:tcPr>
            <w:tcW w:w="34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8,872</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338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50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1460" w:type="dxa"/>
            <w:vAlign w:val="bottom"/>
            <w:shd w:val="clear" w:color="auto" w:fill="B2B2B2"/>
          </w:tcPr>
          <w:p>
            <w:pPr>
              <w:ind w:left="380"/>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7,134</w:t>
            </w:r>
          </w:p>
        </w:tc>
        <w:tc>
          <w:tcPr>
            <w:tcW w:w="3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92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1.50</w:t>
            </w:r>
          </w:p>
        </w:tc>
      </w:tr>
      <w:tr>
        <w:trPr>
          <w:trHeight w:val="197"/>
        </w:trPr>
        <w:tc>
          <w:tcPr>
            <w:tcW w:w="338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Interest-bearing deposits in other financial</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institutions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110,294</w:t>
            </w:r>
          </w:p>
        </w:tc>
        <w:tc>
          <w:tcPr>
            <w:tcW w:w="50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1,789</w:t>
            </w:r>
          </w:p>
        </w:tc>
        <w:tc>
          <w:tcPr>
            <w:tcW w:w="1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116,808</w:t>
            </w:r>
          </w:p>
        </w:tc>
        <w:tc>
          <w:tcPr>
            <w:tcW w:w="3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1,539</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1.76</w:t>
            </w:r>
          </w:p>
        </w:tc>
      </w:tr>
      <w:tr>
        <w:trPr>
          <w:trHeight w:val="197"/>
        </w:trPr>
        <w:tc>
          <w:tcPr>
            <w:tcW w:w="3380" w:type="dxa"/>
            <w:vAlign w:val="bottom"/>
            <w:shd w:val="clear" w:color="auto" w:fill="B2B2B2"/>
          </w:tcPr>
          <w:p>
            <w:pPr>
              <w:ind w:left="40"/>
              <w:spacing w:after="0" w:line="197" w:lineRule="exact"/>
              <w:rPr>
                <w:sz w:val="20"/>
                <w:szCs w:val="20"/>
                <w:color w:val="auto"/>
              </w:rPr>
            </w:pPr>
            <w:r>
              <w:rPr>
                <w:rFonts w:ascii="Times New Roman" w:cs="Times New Roman" w:eastAsia="Times New Roman" w:hAnsi="Times New Roman"/>
                <w:sz w:val="18"/>
                <w:szCs w:val="18"/>
                <w:color w:val="auto"/>
              </w:rPr>
              <w:t>Federal funds sold and other short-term</w:t>
            </w:r>
          </w:p>
        </w:tc>
        <w:tc>
          <w:tcPr>
            <w:tcW w:w="280" w:type="dxa"/>
            <w:vAlign w:val="bottom"/>
            <w:shd w:val="clear" w:color="auto" w:fill="B2B2B2"/>
          </w:tcPr>
          <w:p>
            <w:pPr>
              <w:spacing w:after="0"/>
              <w:rPr>
                <w:sz w:val="17"/>
                <w:szCs w:val="17"/>
                <w:color w:val="auto"/>
              </w:rPr>
            </w:pPr>
          </w:p>
        </w:tc>
        <w:tc>
          <w:tcPr>
            <w:tcW w:w="180" w:type="dxa"/>
            <w:vAlign w:val="bottom"/>
            <w:shd w:val="clear" w:color="auto" w:fill="B2B2B2"/>
          </w:tcPr>
          <w:p>
            <w:pPr>
              <w:spacing w:after="0"/>
              <w:rPr>
                <w:sz w:val="17"/>
                <w:szCs w:val="17"/>
                <w:color w:val="auto"/>
              </w:rPr>
            </w:pPr>
          </w:p>
        </w:tc>
        <w:tc>
          <w:tcPr>
            <w:tcW w:w="860" w:type="dxa"/>
            <w:vAlign w:val="bottom"/>
            <w:shd w:val="clear" w:color="auto" w:fill="B2B2B2"/>
          </w:tcPr>
          <w:p>
            <w:pPr>
              <w:spacing w:after="0"/>
              <w:rPr>
                <w:sz w:val="17"/>
                <w:szCs w:val="17"/>
                <w:color w:val="auto"/>
              </w:rPr>
            </w:pPr>
          </w:p>
        </w:tc>
        <w:tc>
          <w:tcPr>
            <w:tcW w:w="5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46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340" w:type="dxa"/>
            <w:vAlign w:val="bottom"/>
            <w:shd w:val="clear" w:color="auto" w:fill="B2B2B2"/>
          </w:tcPr>
          <w:p>
            <w:pPr>
              <w:spacing w:after="0"/>
              <w:rPr>
                <w:sz w:val="17"/>
                <w:szCs w:val="17"/>
                <w:color w:val="auto"/>
              </w:rPr>
            </w:pPr>
          </w:p>
        </w:tc>
        <w:tc>
          <w:tcPr>
            <w:tcW w:w="960" w:type="dxa"/>
            <w:vAlign w:val="bottom"/>
            <w:shd w:val="clear" w:color="auto" w:fill="B2B2B2"/>
          </w:tcPr>
          <w:p>
            <w:pPr>
              <w:spacing w:after="0"/>
              <w:rPr>
                <w:sz w:val="17"/>
                <w:szCs w:val="17"/>
                <w:color w:val="auto"/>
              </w:rPr>
            </w:pPr>
          </w:p>
        </w:tc>
        <w:tc>
          <w:tcPr>
            <w:tcW w:w="920" w:type="dxa"/>
            <w:vAlign w:val="bottom"/>
            <w:shd w:val="clear" w:color="auto" w:fill="B2B2B2"/>
          </w:tcPr>
          <w:p>
            <w:pPr>
              <w:spacing w:after="0"/>
              <w:rPr>
                <w:sz w:val="17"/>
                <w:szCs w:val="17"/>
                <w:color w:val="auto"/>
              </w:rPr>
            </w:pPr>
          </w:p>
        </w:tc>
      </w:tr>
      <w:tr>
        <w:trPr>
          <w:trHeight w:val="234"/>
        </w:trPr>
        <w:tc>
          <w:tcPr>
            <w:tcW w:w="3380" w:type="dxa"/>
            <w:vAlign w:val="bottom"/>
            <w:tcBorders>
              <w:bottom w:val="single" w:sz="8" w:color="auto"/>
            </w:tcBorders>
            <w:shd w:val="clear" w:color="auto" w:fill="B2B2B2"/>
          </w:tcPr>
          <w:p>
            <w:pPr>
              <w:ind w:left="22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Borders>
              <w:bottom w:val="single" w:sz="8" w:color="auto"/>
            </w:tcBorders>
            <w:shd w:val="clear" w:color="auto" w:fill="B2B2B2"/>
          </w:tcPr>
          <w:p>
            <w:pPr>
              <w:spacing w:after="0"/>
              <w:rPr>
                <w:sz w:val="20"/>
                <w:szCs w:val="20"/>
                <w:color w:val="auto"/>
              </w:rPr>
            </w:pPr>
          </w:p>
        </w:tc>
        <w:tc>
          <w:tcPr>
            <w:tcW w:w="180" w:type="dxa"/>
            <w:vAlign w:val="bottom"/>
            <w:tcBorders>
              <w:bottom w:val="single" w:sz="8" w:color="auto"/>
            </w:tcBorders>
            <w:shd w:val="clear" w:color="auto" w:fill="B2B2B2"/>
          </w:tcPr>
          <w:p>
            <w:pPr>
              <w:spacing w:after="0"/>
              <w:rPr>
                <w:sz w:val="20"/>
                <w:szCs w:val="20"/>
                <w:color w:val="auto"/>
              </w:rPr>
            </w:pPr>
          </w:p>
        </w:tc>
        <w:tc>
          <w:tcPr>
            <w:tcW w:w="8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161,444</w:t>
            </w:r>
          </w:p>
        </w:tc>
        <w:tc>
          <w:tcPr>
            <w:tcW w:w="500" w:type="dxa"/>
            <w:vAlign w:val="bottom"/>
            <w:tcBorders>
              <w:bottom w:val="single" w:sz="8" w:color="auto"/>
            </w:tcBorders>
            <w:shd w:val="clear" w:color="auto" w:fill="B2B2B2"/>
          </w:tcPr>
          <w:p>
            <w:pPr>
              <w:spacing w:after="0"/>
              <w:rPr>
                <w:sz w:val="20"/>
                <w:szCs w:val="20"/>
                <w:color w:val="auto"/>
              </w:rPr>
            </w:pPr>
          </w:p>
        </w:tc>
        <w:tc>
          <w:tcPr>
            <w:tcW w:w="1120" w:type="dxa"/>
            <w:vAlign w:val="bottom"/>
            <w:tcBorders>
              <w:bottom w:val="single" w:sz="8" w:color="auto"/>
            </w:tcBorders>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2,688</w:t>
            </w:r>
          </w:p>
        </w:tc>
        <w:tc>
          <w:tcPr>
            <w:tcW w:w="1460" w:type="dxa"/>
            <w:vAlign w:val="bottom"/>
            <w:tcBorders>
              <w:bottom w:val="single" w:sz="8" w:color="auto"/>
            </w:tcBorders>
            <w:shd w:val="clear" w:color="auto" w:fill="B2B2B2"/>
          </w:tcPr>
          <w:p>
            <w:pPr>
              <w:ind w:left="380"/>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Borders>
              <w:bottom w:val="single" w:sz="8" w:color="auto"/>
            </w:tcBorders>
            <w:shd w:val="clear" w:color="auto" w:fill="B2B2B2"/>
          </w:tcPr>
          <w:p>
            <w:pPr>
              <w:spacing w:after="0"/>
              <w:rPr>
                <w:sz w:val="20"/>
                <w:szCs w:val="20"/>
                <w:color w:val="auto"/>
              </w:rPr>
            </w:pPr>
          </w:p>
        </w:tc>
        <w:tc>
          <w:tcPr>
            <w:tcW w:w="200" w:type="dxa"/>
            <w:vAlign w:val="bottom"/>
            <w:tcBorders>
              <w:bottom w:val="single" w:sz="8" w:color="auto"/>
            </w:tcBorders>
            <w:shd w:val="clear" w:color="auto" w:fill="B2B2B2"/>
          </w:tcPr>
          <w:p>
            <w:pPr>
              <w:spacing w:after="0"/>
              <w:rPr>
                <w:sz w:val="20"/>
                <w:szCs w:val="20"/>
                <w:color w:val="auto"/>
              </w:rPr>
            </w:pPr>
          </w:p>
        </w:tc>
        <w:tc>
          <w:tcPr>
            <w:tcW w:w="102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105,357</w:t>
            </w:r>
          </w:p>
        </w:tc>
        <w:tc>
          <w:tcPr>
            <w:tcW w:w="340" w:type="dxa"/>
            <w:vAlign w:val="bottom"/>
            <w:tcBorders>
              <w:bottom w:val="single" w:sz="8" w:color="auto"/>
            </w:tcBorders>
            <w:shd w:val="clear" w:color="auto" w:fill="B2B2B2"/>
          </w:tcPr>
          <w:p>
            <w:pPr>
              <w:spacing w:after="0"/>
              <w:rPr>
                <w:sz w:val="20"/>
                <w:szCs w:val="20"/>
                <w:color w:val="auto"/>
              </w:rPr>
            </w:pPr>
          </w:p>
        </w:tc>
        <w:tc>
          <w:tcPr>
            <w:tcW w:w="96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1,209</w:t>
            </w:r>
          </w:p>
        </w:tc>
        <w:tc>
          <w:tcPr>
            <w:tcW w:w="920" w:type="dxa"/>
            <w:vAlign w:val="bottom"/>
            <w:tcBorders>
              <w:bottom w:val="single" w:sz="8" w:color="auto"/>
            </w:tcBorders>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1.53</w:t>
            </w:r>
          </w:p>
        </w:tc>
      </w:tr>
      <w:tr>
        <w:trPr>
          <w:trHeight w:val="209"/>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earning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1,456,242</w:t>
            </w:r>
          </w:p>
        </w:tc>
        <w:tc>
          <w:tcPr>
            <w:tcW w:w="50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41,472</w:t>
            </w:r>
          </w:p>
        </w:tc>
        <w:tc>
          <w:tcPr>
            <w:tcW w:w="1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1,385,488</w:t>
            </w:r>
          </w:p>
        </w:tc>
        <w:tc>
          <w:tcPr>
            <w:tcW w:w="3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36,891</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338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Non-earning assets:</w:t>
            </w:r>
          </w:p>
        </w:tc>
        <w:tc>
          <w:tcPr>
            <w:tcW w:w="2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4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due from banks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13,472</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3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21,522</w:t>
            </w:r>
          </w:p>
        </w:tc>
        <w:tc>
          <w:tcPr>
            <w:tcW w:w="5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4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22,322</w:t>
            </w:r>
          </w:p>
        </w:tc>
        <w:tc>
          <w:tcPr>
            <w:tcW w:w="3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Bank-owned life insurance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17,475</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17,084</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3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5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4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14,409</w:t>
            </w:r>
          </w:p>
        </w:tc>
        <w:tc>
          <w:tcPr>
            <w:tcW w:w="3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210,200</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173,833</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38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8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5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spacing w:after="0"/>
              <w:rPr>
                <w:sz w:val="18"/>
                <w:szCs w:val="18"/>
                <w:color w:val="auto"/>
              </w:rPr>
            </w:pPr>
          </w:p>
        </w:tc>
        <w:tc>
          <w:tcPr>
            <w:tcW w:w="146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(10,213)</w:t>
            </w:r>
          </w:p>
        </w:tc>
        <w:tc>
          <w:tcPr>
            <w:tcW w:w="3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spacing w:after="0"/>
              <w:rPr>
                <w:sz w:val="18"/>
                <w:szCs w:val="18"/>
                <w:color w:val="auto"/>
              </w:rPr>
            </w:pPr>
          </w:p>
        </w:tc>
      </w:tr>
      <w:tr>
        <w:trPr>
          <w:trHeight w:val="209"/>
        </w:trPr>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1,723,561</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1,616,395</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49"/>
        </w:trPr>
        <w:tc>
          <w:tcPr>
            <w:tcW w:w="3380" w:type="dxa"/>
            <w:vAlign w:val="bottom"/>
            <w:shd w:val="clear" w:color="auto" w:fill="B2B2B2"/>
          </w:tcPr>
          <w:p>
            <w:pPr>
              <w:ind w:left="40"/>
              <w:spacing w:after="0" w:line="249" w:lineRule="exact"/>
              <w:rPr>
                <w:sz w:val="20"/>
                <w:szCs w:val="20"/>
                <w:color w:val="auto"/>
              </w:rPr>
            </w:pPr>
            <w:r>
              <w:rPr>
                <w:rFonts w:ascii="Times New Roman" w:cs="Times New Roman" w:eastAsia="Times New Roman" w:hAnsi="Times New Roman"/>
                <w:sz w:val="17"/>
                <w:szCs w:val="17"/>
                <w:b w:val="1"/>
                <w:bCs w:val="1"/>
                <w:color w:val="auto"/>
              </w:rPr>
              <w:t>Liabilities and Shareholders’ Equity</w:t>
            </w:r>
            <w:r>
              <w:rPr>
                <w:rFonts w:ascii="Times New Roman" w:cs="Times New Roman" w:eastAsia="Times New Roman" w:hAnsi="Times New Roman"/>
                <w:sz w:val="28"/>
                <w:szCs w:val="28"/>
                <w:b w:val="1"/>
                <w:bCs w:val="1"/>
                <w:color w:val="auto"/>
                <w:vertAlign w:val="superscript"/>
              </w:rPr>
              <w:t>1</w:t>
            </w:r>
          </w:p>
        </w:tc>
        <w:tc>
          <w:tcPr>
            <w:tcW w:w="280" w:type="dxa"/>
            <w:vAlign w:val="bottom"/>
            <w:shd w:val="clear" w:color="auto" w:fill="B2B2B2"/>
          </w:tcPr>
          <w:p>
            <w:pPr>
              <w:spacing w:after="0"/>
              <w:rPr>
                <w:sz w:val="21"/>
                <w:szCs w:val="21"/>
                <w:color w:val="auto"/>
              </w:rPr>
            </w:pPr>
          </w:p>
        </w:tc>
        <w:tc>
          <w:tcPr>
            <w:tcW w:w="180" w:type="dxa"/>
            <w:vAlign w:val="bottom"/>
            <w:shd w:val="clear" w:color="auto" w:fill="B2B2B2"/>
          </w:tcPr>
          <w:p>
            <w:pPr>
              <w:spacing w:after="0"/>
              <w:rPr>
                <w:sz w:val="21"/>
                <w:szCs w:val="21"/>
                <w:color w:val="auto"/>
              </w:rPr>
            </w:pPr>
          </w:p>
        </w:tc>
        <w:tc>
          <w:tcPr>
            <w:tcW w:w="860" w:type="dxa"/>
            <w:vAlign w:val="bottom"/>
            <w:shd w:val="clear" w:color="auto" w:fill="B2B2B2"/>
          </w:tcPr>
          <w:p>
            <w:pPr>
              <w:spacing w:after="0"/>
              <w:rPr>
                <w:sz w:val="21"/>
                <w:szCs w:val="21"/>
                <w:color w:val="auto"/>
              </w:rPr>
            </w:pPr>
          </w:p>
        </w:tc>
        <w:tc>
          <w:tcPr>
            <w:tcW w:w="500" w:type="dxa"/>
            <w:vAlign w:val="bottom"/>
            <w:shd w:val="clear" w:color="auto" w:fill="B2B2B2"/>
          </w:tcPr>
          <w:p>
            <w:pPr>
              <w:spacing w:after="0"/>
              <w:rPr>
                <w:sz w:val="21"/>
                <w:szCs w:val="21"/>
                <w:color w:val="auto"/>
              </w:rPr>
            </w:pPr>
          </w:p>
        </w:tc>
        <w:tc>
          <w:tcPr>
            <w:tcW w:w="1120" w:type="dxa"/>
            <w:vAlign w:val="bottom"/>
            <w:shd w:val="clear" w:color="auto" w:fill="B2B2B2"/>
          </w:tcPr>
          <w:p>
            <w:pPr>
              <w:spacing w:after="0"/>
              <w:rPr>
                <w:sz w:val="21"/>
                <w:szCs w:val="21"/>
                <w:color w:val="auto"/>
              </w:rPr>
            </w:pPr>
          </w:p>
        </w:tc>
        <w:tc>
          <w:tcPr>
            <w:tcW w:w="1460" w:type="dxa"/>
            <w:vAlign w:val="bottom"/>
            <w:shd w:val="clear" w:color="auto" w:fill="B2B2B2"/>
          </w:tcPr>
          <w:p>
            <w:pPr>
              <w:spacing w:after="0"/>
              <w:rPr>
                <w:sz w:val="21"/>
                <w:szCs w:val="21"/>
                <w:color w:val="auto"/>
              </w:rPr>
            </w:pPr>
          </w:p>
        </w:tc>
        <w:tc>
          <w:tcPr>
            <w:tcW w:w="200" w:type="dxa"/>
            <w:vAlign w:val="bottom"/>
            <w:shd w:val="clear" w:color="auto" w:fill="B2B2B2"/>
          </w:tcPr>
          <w:p>
            <w:pPr>
              <w:spacing w:after="0"/>
              <w:rPr>
                <w:sz w:val="21"/>
                <w:szCs w:val="21"/>
                <w:color w:val="auto"/>
              </w:rPr>
            </w:pPr>
          </w:p>
        </w:tc>
        <w:tc>
          <w:tcPr>
            <w:tcW w:w="200" w:type="dxa"/>
            <w:vAlign w:val="bottom"/>
            <w:shd w:val="clear" w:color="auto" w:fill="B2B2B2"/>
          </w:tcPr>
          <w:p>
            <w:pPr>
              <w:spacing w:after="0"/>
              <w:rPr>
                <w:sz w:val="21"/>
                <w:szCs w:val="21"/>
                <w:color w:val="auto"/>
              </w:rPr>
            </w:pPr>
          </w:p>
        </w:tc>
        <w:tc>
          <w:tcPr>
            <w:tcW w:w="1020" w:type="dxa"/>
            <w:vAlign w:val="bottom"/>
            <w:shd w:val="clear" w:color="auto" w:fill="B2B2B2"/>
          </w:tcPr>
          <w:p>
            <w:pPr>
              <w:spacing w:after="0"/>
              <w:rPr>
                <w:sz w:val="21"/>
                <w:szCs w:val="21"/>
                <w:color w:val="auto"/>
              </w:rPr>
            </w:pPr>
          </w:p>
        </w:tc>
        <w:tc>
          <w:tcPr>
            <w:tcW w:w="340" w:type="dxa"/>
            <w:vAlign w:val="bottom"/>
            <w:shd w:val="clear" w:color="auto" w:fill="B2B2B2"/>
          </w:tcPr>
          <w:p>
            <w:pPr>
              <w:spacing w:after="0"/>
              <w:rPr>
                <w:sz w:val="21"/>
                <w:szCs w:val="21"/>
                <w:color w:val="auto"/>
              </w:rPr>
            </w:pPr>
          </w:p>
        </w:tc>
        <w:tc>
          <w:tcPr>
            <w:tcW w:w="960" w:type="dxa"/>
            <w:vAlign w:val="bottom"/>
            <w:shd w:val="clear" w:color="auto" w:fill="B2B2B2"/>
          </w:tcPr>
          <w:p>
            <w:pPr>
              <w:spacing w:after="0"/>
              <w:rPr>
                <w:sz w:val="21"/>
                <w:szCs w:val="21"/>
                <w:color w:val="auto"/>
              </w:rPr>
            </w:pPr>
          </w:p>
        </w:tc>
        <w:tc>
          <w:tcPr>
            <w:tcW w:w="920" w:type="dxa"/>
            <w:vAlign w:val="bottom"/>
            <w:shd w:val="clear" w:color="auto" w:fill="B2B2B2"/>
          </w:tcPr>
          <w:p>
            <w:pPr>
              <w:spacing w:after="0"/>
              <w:rPr>
                <w:sz w:val="21"/>
                <w:szCs w:val="21"/>
                <w:color w:val="auto"/>
              </w:rPr>
            </w:pPr>
          </w:p>
        </w:tc>
      </w:tr>
      <w:tr>
        <w:trPr>
          <w:trHeight w:val="216"/>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3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4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305,454</w:t>
            </w: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2,841</w:t>
            </w:r>
          </w:p>
        </w:tc>
        <w:tc>
          <w:tcPr>
            <w:tcW w:w="1460" w:type="dxa"/>
            <w:vAlign w:val="bottom"/>
            <w:shd w:val="clear" w:color="auto" w:fill="B2B2B2"/>
          </w:tcPr>
          <w:p>
            <w:pPr>
              <w:ind w:left="38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B2B2B2"/>
          </w:tcPr>
          <w:p>
            <w:pPr>
              <w:spacing w:after="0"/>
              <w:rPr>
                <w:sz w:val="18"/>
                <w:szCs w:val="18"/>
                <w:color w:val="auto"/>
              </w:rPr>
            </w:pPr>
          </w:p>
        </w:tc>
        <w:tc>
          <w:tcPr>
            <w:tcW w:w="2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303,976</w:t>
            </w:r>
          </w:p>
        </w:tc>
        <w:tc>
          <w:tcPr>
            <w:tcW w:w="3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1,932</w:t>
            </w:r>
          </w:p>
        </w:tc>
        <w:tc>
          <w:tcPr>
            <w:tcW w:w="9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50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83</w:t>
            </w:r>
          </w:p>
        </w:tc>
        <w:tc>
          <w:tcPr>
            <w:tcW w:w="1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11,230</w:t>
            </w:r>
          </w:p>
        </w:tc>
        <w:tc>
          <w:tcPr>
            <w:tcW w:w="3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3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Time deposits &gt;= $100</w:t>
            </w:r>
          </w:p>
        </w:tc>
        <w:tc>
          <w:tcPr>
            <w:tcW w:w="2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50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364</w:t>
            </w:r>
          </w:p>
        </w:tc>
        <w:tc>
          <w:tcPr>
            <w:tcW w:w="1460" w:type="dxa"/>
            <w:vAlign w:val="bottom"/>
            <w:shd w:val="clear" w:color="auto" w:fill="B2B2B2"/>
          </w:tcPr>
          <w:p>
            <w:pPr>
              <w:ind w:left="38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23,764</w:t>
            </w:r>
          </w:p>
        </w:tc>
        <w:tc>
          <w:tcPr>
            <w:tcW w:w="3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92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3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48,774</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699</w:t>
            </w:r>
          </w:p>
        </w:tc>
        <w:tc>
          <w:tcPr>
            <w:tcW w:w="14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30,046</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1.05</w:t>
            </w:r>
          </w:p>
        </w:tc>
      </w:tr>
      <w:tr>
        <w:trPr>
          <w:trHeight w:val="209"/>
        </w:trPr>
        <w:tc>
          <w:tcPr>
            <w:tcW w:w="338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389,443</w:t>
            </w:r>
          </w:p>
        </w:tc>
        <w:tc>
          <w:tcPr>
            <w:tcW w:w="50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3,987</w:t>
            </w:r>
          </w:p>
        </w:tc>
        <w:tc>
          <w:tcPr>
            <w:tcW w:w="1460" w:type="dxa"/>
            <w:vAlign w:val="bottom"/>
            <w:shd w:val="clear" w:color="auto" w:fill="B2B2B2"/>
          </w:tcPr>
          <w:p>
            <w:pPr>
              <w:ind w:left="38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369,016</w:t>
            </w:r>
          </w:p>
        </w:tc>
        <w:tc>
          <w:tcPr>
            <w:tcW w:w="3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2,502</w:t>
            </w:r>
          </w:p>
        </w:tc>
        <w:tc>
          <w:tcPr>
            <w:tcW w:w="92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Non-interest bearing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3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Demand deposits</w:t>
            </w:r>
          </w:p>
        </w:tc>
        <w:tc>
          <w:tcPr>
            <w:tcW w:w="2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267,374</w:t>
            </w:r>
          </w:p>
        </w:tc>
        <w:tc>
          <w:tcPr>
            <w:tcW w:w="5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4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245,002</w:t>
            </w:r>
          </w:p>
        </w:tc>
        <w:tc>
          <w:tcPr>
            <w:tcW w:w="3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778,141</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737,083</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38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55,007</w:t>
            </w:r>
          </w:p>
        </w:tc>
        <w:tc>
          <w:tcPr>
            <w:tcW w:w="5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spacing w:after="0"/>
              <w:rPr>
                <w:sz w:val="18"/>
                <w:szCs w:val="18"/>
                <w:color w:val="auto"/>
              </w:rPr>
            </w:pPr>
          </w:p>
        </w:tc>
        <w:tc>
          <w:tcPr>
            <w:tcW w:w="146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42,955</w:t>
            </w:r>
          </w:p>
        </w:tc>
        <w:tc>
          <w:tcPr>
            <w:tcW w:w="3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spacing w:after="0"/>
              <w:rPr>
                <w:sz w:val="18"/>
                <w:szCs w:val="18"/>
                <w:color w:val="auto"/>
              </w:rPr>
            </w:pPr>
          </w:p>
        </w:tc>
      </w:tr>
      <w:tr>
        <w:trPr>
          <w:trHeight w:val="209"/>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1,489,965</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1,394,056</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38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233,596</w:t>
            </w:r>
          </w:p>
        </w:tc>
        <w:tc>
          <w:tcPr>
            <w:tcW w:w="5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spacing w:after="0"/>
              <w:rPr>
                <w:sz w:val="18"/>
                <w:szCs w:val="18"/>
                <w:color w:val="auto"/>
              </w:rPr>
            </w:pPr>
          </w:p>
        </w:tc>
        <w:tc>
          <w:tcPr>
            <w:tcW w:w="146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222,339</w:t>
            </w:r>
          </w:p>
        </w:tc>
        <w:tc>
          <w:tcPr>
            <w:tcW w:w="3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spacing w:after="0"/>
              <w:rPr>
                <w:sz w:val="18"/>
                <w:szCs w:val="18"/>
                <w:color w:val="auto"/>
              </w:rPr>
            </w:pPr>
          </w:p>
        </w:tc>
      </w:tr>
      <w:tr>
        <w:trPr>
          <w:trHeight w:val="209"/>
        </w:trPr>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1,723,561</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1,616,395</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338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Net interest income</w:t>
            </w:r>
          </w:p>
        </w:tc>
        <w:tc>
          <w:tcPr>
            <w:tcW w:w="2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37,485</w:t>
            </w:r>
          </w:p>
        </w:tc>
        <w:tc>
          <w:tcPr>
            <w:tcW w:w="14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3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34,389</w:t>
            </w:r>
          </w:p>
        </w:tc>
        <w:tc>
          <w:tcPr>
            <w:tcW w:w="920" w:type="dxa"/>
            <w:vAlign w:val="bottom"/>
            <w:shd w:val="clear" w:color="auto" w:fill="B2B2B2"/>
          </w:tcPr>
          <w:p>
            <w:pPr>
              <w:spacing w:after="0"/>
              <w:rPr>
                <w:sz w:val="18"/>
                <w:szCs w:val="18"/>
                <w:color w:val="auto"/>
              </w:rPr>
            </w:pPr>
          </w:p>
        </w:tc>
      </w:tr>
      <w:tr>
        <w:trPr>
          <w:trHeight w:val="216"/>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interest margin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338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Interest spread</w:t>
            </w:r>
          </w:p>
        </w:tc>
        <w:tc>
          <w:tcPr>
            <w:tcW w:w="280" w:type="dxa"/>
            <w:vAlign w:val="bottom"/>
            <w:shd w:val="clear" w:color="auto" w:fill="B2B2B2"/>
          </w:tcPr>
          <w:p>
            <w:pPr>
              <w:spacing w:after="0"/>
              <w:rPr>
                <w:sz w:val="19"/>
                <w:szCs w:val="19"/>
                <w:color w:val="auto"/>
              </w:rPr>
            </w:pPr>
          </w:p>
        </w:tc>
        <w:tc>
          <w:tcPr>
            <w:tcW w:w="180" w:type="dxa"/>
            <w:vAlign w:val="bottom"/>
            <w:shd w:val="clear" w:color="auto" w:fill="B2B2B2"/>
          </w:tcPr>
          <w:p>
            <w:pPr>
              <w:spacing w:after="0"/>
              <w:rPr>
                <w:sz w:val="19"/>
                <w:szCs w:val="19"/>
                <w:color w:val="auto"/>
              </w:rPr>
            </w:pPr>
          </w:p>
        </w:tc>
        <w:tc>
          <w:tcPr>
            <w:tcW w:w="860" w:type="dxa"/>
            <w:vAlign w:val="bottom"/>
            <w:shd w:val="clear" w:color="auto" w:fill="B2B2B2"/>
          </w:tcPr>
          <w:p>
            <w:pPr>
              <w:spacing w:after="0"/>
              <w:rPr>
                <w:sz w:val="19"/>
                <w:szCs w:val="19"/>
                <w:color w:val="auto"/>
              </w:rPr>
            </w:pPr>
          </w:p>
        </w:tc>
        <w:tc>
          <w:tcPr>
            <w:tcW w:w="500" w:type="dxa"/>
            <w:vAlign w:val="bottom"/>
            <w:shd w:val="clear" w:color="auto" w:fill="B2B2B2"/>
          </w:tcPr>
          <w:p>
            <w:pPr>
              <w:spacing w:after="0"/>
              <w:rPr>
                <w:sz w:val="19"/>
                <w:szCs w:val="19"/>
                <w:color w:val="auto"/>
              </w:rPr>
            </w:pPr>
          </w:p>
        </w:tc>
        <w:tc>
          <w:tcPr>
            <w:tcW w:w="1120" w:type="dxa"/>
            <w:vAlign w:val="bottom"/>
            <w:shd w:val="clear" w:color="auto" w:fill="B2B2B2"/>
          </w:tcPr>
          <w:p>
            <w:pPr>
              <w:spacing w:after="0"/>
              <w:rPr>
                <w:sz w:val="19"/>
                <w:szCs w:val="19"/>
                <w:color w:val="auto"/>
              </w:rPr>
            </w:pPr>
          </w:p>
        </w:tc>
        <w:tc>
          <w:tcPr>
            <w:tcW w:w="1460" w:type="dxa"/>
            <w:vAlign w:val="bottom"/>
            <w:shd w:val="clear" w:color="auto" w:fill="B2B2B2"/>
          </w:tcPr>
          <w:p>
            <w:pPr>
              <w:ind w:left="380"/>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shd w:val="clear" w:color="auto" w:fill="B2B2B2"/>
          </w:tcPr>
          <w:p>
            <w:pPr>
              <w:spacing w:after="0"/>
              <w:rPr>
                <w:sz w:val="19"/>
                <w:szCs w:val="19"/>
                <w:color w:val="auto"/>
              </w:rPr>
            </w:pPr>
          </w:p>
        </w:tc>
        <w:tc>
          <w:tcPr>
            <w:tcW w:w="200" w:type="dxa"/>
            <w:vAlign w:val="bottom"/>
            <w:shd w:val="clear" w:color="auto" w:fill="B2B2B2"/>
          </w:tcPr>
          <w:p>
            <w:pPr>
              <w:spacing w:after="0"/>
              <w:rPr>
                <w:sz w:val="19"/>
                <w:szCs w:val="19"/>
                <w:color w:val="auto"/>
              </w:rPr>
            </w:pPr>
          </w:p>
        </w:tc>
        <w:tc>
          <w:tcPr>
            <w:tcW w:w="1020" w:type="dxa"/>
            <w:vAlign w:val="bottom"/>
            <w:shd w:val="clear" w:color="auto" w:fill="B2B2B2"/>
          </w:tcPr>
          <w:p>
            <w:pPr>
              <w:spacing w:after="0"/>
              <w:rPr>
                <w:sz w:val="19"/>
                <w:szCs w:val="19"/>
                <w:color w:val="auto"/>
              </w:rPr>
            </w:pPr>
          </w:p>
        </w:tc>
        <w:tc>
          <w:tcPr>
            <w:tcW w:w="340" w:type="dxa"/>
            <w:vAlign w:val="bottom"/>
            <w:shd w:val="clear" w:color="auto" w:fill="B2B2B2"/>
          </w:tcPr>
          <w:p>
            <w:pPr>
              <w:spacing w:after="0"/>
              <w:rPr>
                <w:sz w:val="19"/>
                <w:szCs w:val="19"/>
                <w:color w:val="auto"/>
              </w:rPr>
            </w:pPr>
          </w:p>
        </w:tc>
        <w:tc>
          <w:tcPr>
            <w:tcW w:w="960" w:type="dxa"/>
            <w:vAlign w:val="bottom"/>
            <w:shd w:val="clear" w:color="auto" w:fill="B2B2B2"/>
          </w:tcPr>
          <w:p>
            <w:pPr>
              <w:spacing w:after="0"/>
              <w:rPr>
                <w:sz w:val="19"/>
                <w:szCs w:val="19"/>
                <w:color w:val="auto"/>
              </w:rPr>
            </w:pPr>
          </w:p>
        </w:tc>
        <w:tc>
          <w:tcPr>
            <w:tcW w:w="92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2.65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20" w:hanging="212"/>
        <w:spacing w:after="0" w:line="231" w:lineRule="auto"/>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ind w:left="220" w:hanging="212"/>
        <w:spacing w:after="0" w:line="220" w:lineRule="auto"/>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$369,000 and $289,000 for the Nine Months Ended 2019 and 2018, respectively.</w:t>
      </w:r>
    </w:p>
    <w:p>
      <w:pPr>
        <w:ind w:left="220" w:right="20" w:hanging="212"/>
        <w:spacing w:after="0" w:line="220" w:lineRule="auto"/>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both 2019 and 2018. The tax-equivalent adjustment was approximately $1,583,000 and $1,875,000 for the Nine Months Ended 2019 and 2018, respectively.</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Third Quarter of 2019 Over</w:t>
            </w:r>
          </w:p>
        </w:tc>
        <w:tc>
          <w:tcPr>
            <w:tcW w:w="700" w:type="dxa"/>
            <w:vAlign w:val="bottom"/>
          </w:tcPr>
          <w:p>
            <w:pPr>
              <w:spacing w:after="0"/>
              <w:rPr>
                <w:sz w:val="18"/>
                <w:szCs w:val="18"/>
                <w:color w:val="auto"/>
              </w:rPr>
            </w:pPr>
          </w:p>
        </w:tc>
      </w:tr>
      <w:tr>
        <w:trPr>
          <w:trHeight w:val="245"/>
        </w:trPr>
        <w:tc>
          <w:tcPr>
            <w:tcW w:w="7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 of 2018</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r>
      <w:tr>
        <w:trPr>
          <w:trHeight w:val="223"/>
        </w:trPr>
        <w:tc>
          <w:tcPr>
            <w:tcW w:w="7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6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56"/>
        </w:trPr>
        <w:tc>
          <w:tcPr>
            <w:tcW w:w="76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16"/>
        </w:trPr>
        <w:tc>
          <w:tcPr>
            <w:tcW w:w="76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2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694</w:t>
            </w:r>
          </w:p>
        </w:tc>
        <w:tc>
          <w:tcPr>
            <w:tcW w:w="44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56"/>
        </w:trPr>
        <w:tc>
          <w:tcPr>
            <w:tcW w:w="766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22"/>
                <w:szCs w:val="22"/>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6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22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6"/>
        </w:trPr>
        <w:tc>
          <w:tcPr>
            <w:tcW w:w="7660" w:type="dxa"/>
            <w:vAlign w:val="bottom"/>
            <w:shd w:val="clear" w:color="auto" w:fill="B2B2B2"/>
          </w:tcPr>
          <w:p>
            <w:pPr>
              <w:ind w:left="36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2</w:t>
            </w:r>
          </w:p>
        </w:tc>
        <w:tc>
          <w:tcPr>
            <w:tcW w:w="220" w:type="dxa"/>
            <w:vAlign w:val="bottom"/>
            <w:shd w:val="clear" w:color="auto" w:fill="B2B2B2"/>
          </w:tcPr>
          <w:p>
            <w:pPr>
              <w:spacing w:after="0"/>
              <w:rPr>
                <w:sz w:val="22"/>
                <w:szCs w:val="22"/>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(189)</w:t>
            </w:r>
          </w:p>
        </w:tc>
        <w:tc>
          <w:tcPr>
            <w:tcW w:w="440" w:type="dxa"/>
            <w:vAlign w:val="bottom"/>
            <w:shd w:val="clear" w:color="auto" w:fill="B2B2B2"/>
          </w:tcPr>
          <w:p>
            <w:pPr>
              <w:spacing w:after="0"/>
              <w:rPr>
                <w:sz w:val="22"/>
                <w:szCs w:val="22"/>
                <w:color w:val="auto"/>
              </w:rPr>
            </w:pPr>
          </w:p>
        </w:tc>
        <w:tc>
          <w:tcPr>
            <w:tcW w:w="110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B2B2B2"/>
          </w:tcPr>
          <w:p>
            <w:pPr>
              <w:spacing w:after="0"/>
              <w:rPr>
                <w:sz w:val="22"/>
                <w:szCs w:val="22"/>
                <w:color w:val="auto"/>
              </w:rPr>
            </w:pPr>
          </w:p>
        </w:tc>
        <w:tc>
          <w:tcPr>
            <w:tcW w:w="7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6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(297)</w:t>
            </w:r>
          </w:p>
        </w:tc>
        <w:tc>
          <w:tcPr>
            <w:tcW w:w="4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7660" w:type="dxa"/>
            <w:vAlign w:val="bottom"/>
            <w:tcBorders>
              <w:bottom w:val="single" w:sz="8" w:color="B2B2B2"/>
            </w:tcBorders>
          </w:tcPr>
          <w:p>
            <w:pPr>
              <w:ind w:left="180"/>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702</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09"/>
        </w:trPr>
        <w:tc>
          <w:tcPr>
            <w:tcW w:w="766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Total interest income</w:t>
            </w:r>
          </w:p>
        </w:tc>
        <w:tc>
          <w:tcPr>
            <w:tcW w:w="2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886</w:t>
            </w:r>
          </w:p>
        </w:tc>
        <w:tc>
          <w:tcPr>
            <w:tcW w:w="44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09"/>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on:</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6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4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2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6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660" w:type="dxa"/>
            <w:vAlign w:val="bottom"/>
            <w:tcBorders>
              <w:bottom w:val="single" w:sz="8" w:color="B2B2B2"/>
            </w:tcBorders>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9"/>
        </w:trPr>
        <w:tc>
          <w:tcPr>
            <w:tcW w:w="766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133</w:t>
            </w:r>
          </w:p>
        </w:tc>
        <w:tc>
          <w:tcPr>
            <w:tcW w:w="44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8"/>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753</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20" w:hanging="212"/>
        <w:spacing w:after="0" w:line="223" w:lineRule="auto"/>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ind w:left="220" w:hanging="212"/>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Third Quarter of 2019 and 2018.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2019 Over</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7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2018</w:t>
            </w: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r>
      <w:tr>
        <w:trPr>
          <w:trHeight w:val="223"/>
        </w:trPr>
        <w:tc>
          <w:tcPr>
            <w:tcW w:w="7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76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60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r>
      <w:tr>
        <w:trPr>
          <w:trHeight w:val="256"/>
        </w:trPr>
        <w:tc>
          <w:tcPr>
            <w:tcW w:w="76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76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2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1,818</w:t>
            </w:r>
          </w:p>
        </w:tc>
        <w:tc>
          <w:tcPr>
            <w:tcW w:w="44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1,960</w:t>
            </w:r>
          </w:p>
        </w:tc>
        <w:tc>
          <w:tcPr>
            <w:tcW w:w="2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3,778</w:t>
            </w:r>
          </w:p>
        </w:tc>
      </w:tr>
      <w:tr>
        <w:trPr>
          <w:trHeight w:val="256"/>
        </w:trPr>
        <w:tc>
          <w:tcPr>
            <w:tcW w:w="766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tcPr>
          <w:p>
            <w:pPr>
              <w:spacing w:after="0"/>
              <w:rPr>
                <w:sz w:val="22"/>
                <w:szCs w:val="22"/>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6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60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22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462</w:t>
            </w:r>
          </w:p>
        </w:tc>
        <w:tc>
          <w:tcPr>
            <w:tcW w:w="44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w:t>
            </w:r>
          </w:p>
        </w:tc>
      </w:tr>
      <w:tr>
        <w:trPr>
          <w:trHeight w:val="256"/>
        </w:trPr>
        <w:tc>
          <w:tcPr>
            <w:tcW w:w="7660" w:type="dxa"/>
            <w:vAlign w:val="bottom"/>
            <w:shd w:val="clear" w:color="auto" w:fill="B2B2B2"/>
          </w:tcPr>
          <w:p>
            <w:pPr>
              <w:ind w:left="36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2</w:t>
            </w:r>
          </w:p>
        </w:tc>
        <w:tc>
          <w:tcPr>
            <w:tcW w:w="220" w:type="dxa"/>
            <w:vAlign w:val="bottom"/>
            <w:shd w:val="clear" w:color="auto" w:fill="B2B2B2"/>
          </w:tcPr>
          <w:p>
            <w:pPr>
              <w:spacing w:after="0"/>
              <w:rPr>
                <w:sz w:val="22"/>
                <w:szCs w:val="22"/>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(1,156)</w:t>
            </w:r>
          </w:p>
        </w:tc>
        <w:tc>
          <w:tcPr>
            <w:tcW w:w="440" w:type="dxa"/>
            <w:vAlign w:val="bottom"/>
            <w:shd w:val="clear" w:color="auto" w:fill="B2B2B2"/>
          </w:tcPr>
          <w:p>
            <w:pPr>
              <w:spacing w:after="0"/>
              <w:rPr>
                <w:sz w:val="22"/>
                <w:szCs w:val="22"/>
                <w:color w:val="auto"/>
              </w:rPr>
            </w:pPr>
          </w:p>
        </w:tc>
        <w:tc>
          <w:tcPr>
            <w:tcW w:w="116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B2B2B2"/>
          </w:tcPr>
          <w:p>
            <w:pPr>
              <w:spacing w:after="0"/>
              <w:rPr>
                <w:sz w:val="22"/>
                <w:szCs w:val="22"/>
                <w:color w:val="auto"/>
              </w:rPr>
            </w:pPr>
          </w:p>
        </w:tc>
        <w:tc>
          <w:tcPr>
            <w:tcW w:w="66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(72)</w:t>
            </w:r>
          </w:p>
        </w:tc>
        <w:tc>
          <w:tcPr>
            <w:tcW w:w="44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B2B2B2"/>
          </w:tcPr>
          <w:p>
            <w:pPr>
              <w:spacing w:after="0"/>
              <w:rPr>
                <w:sz w:val="18"/>
                <w:szCs w:val="18"/>
                <w:color w:val="auto"/>
              </w:rPr>
            </w:pPr>
          </w:p>
        </w:tc>
        <w:tc>
          <w:tcPr>
            <w:tcW w:w="66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7660" w:type="dxa"/>
            <w:vAlign w:val="bottom"/>
            <w:tcBorders>
              <w:bottom w:val="single" w:sz="8" w:color="B2B2B2"/>
            </w:tcBorders>
          </w:tcPr>
          <w:p>
            <w:pPr>
              <w:ind w:left="180"/>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801</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1,479</w:t>
            </w:r>
          </w:p>
        </w:tc>
      </w:tr>
      <w:tr>
        <w:trPr>
          <w:trHeight w:val="209"/>
        </w:trPr>
        <w:tc>
          <w:tcPr>
            <w:tcW w:w="766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Total interest income</w:t>
            </w:r>
          </w:p>
        </w:tc>
        <w:tc>
          <w:tcPr>
            <w:tcW w:w="2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1,706</w:t>
            </w:r>
          </w:p>
        </w:tc>
        <w:tc>
          <w:tcPr>
            <w:tcW w:w="44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2,875</w:t>
            </w:r>
          </w:p>
        </w:tc>
        <w:tc>
          <w:tcPr>
            <w:tcW w:w="220" w:type="dxa"/>
            <w:vAlign w:val="bottom"/>
            <w:tcBorders>
              <w:bottom w:val="single" w:sz="8" w:color="auto"/>
            </w:tcBorders>
            <w:shd w:val="clear" w:color="auto" w:fill="B2B2B2"/>
          </w:tcPr>
          <w:p>
            <w:pPr>
              <w:spacing w:after="0"/>
              <w:rPr>
                <w:sz w:val="18"/>
                <w:szCs w:val="18"/>
                <w:color w:val="auto"/>
              </w:rPr>
            </w:pPr>
          </w:p>
        </w:tc>
        <w:tc>
          <w:tcPr>
            <w:tcW w:w="660" w:type="dxa"/>
            <w:vAlign w:val="bottom"/>
            <w:tcBorders>
              <w:bottom w:val="single" w:sz="8" w:color="auto"/>
            </w:tcBorders>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4,581</w:t>
            </w:r>
          </w:p>
        </w:tc>
      </w:tr>
      <w:tr>
        <w:trPr>
          <w:trHeight w:val="209"/>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on:</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shd w:val="clear" w:color="auto" w:fill="B2B2B2"/>
          </w:tcPr>
          <w:p>
            <w:pPr>
              <w:spacing w:after="0"/>
              <w:rPr>
                <w:sz w:val="18"/>
                <w:szCs w:val="18"/>
                <w:color w:val="auto"/>
              </w:rPr>
            </w:pPr>
          </w:p>
        </w:tc>
        <w:tc>
          <w:tcPr>
            <w:tcW w:w="66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2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6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B2B2B2"/>
          </w:tcPr>
          <w:p>
            <w:pPr>
              <w:spacing w:after="0"/>
              <w:rPr>
                <w:sz w:val="18"/>
                <w:szCs w:val="18"/>
                <w:color w:val="auto"/>
              </w:rPr>
            </w:pPr>
          </w:p>
        </w:tc>
        <w:tc>
          <w:tcPr>
            <w:tcW w:w="66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22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200</w:t>
            </w:r>
          </w:p>
        </w:tc>
        <w:tc>
          <w:tcPr>
            <w:tcW w:w="44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w:t>
            </w:r>
          </w:p>
        </w:tc>
      </w:tr>
      <w:tr>
        <w:trPr>
          <w:trHeight w:val="209"/>
        </w:trPr>
        <w:tc>
          <w:tcPr>
            <w:tcW w:w="7660" w:type="dxa"/>
            <w:vAlign w:val="bottom"/>
            <w:tcBorders>
              <w:top w:val="single" w:sz="8" w:color="B2B2B2"/>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top w:val="single" w:sz="8" w:color="auto"/>
              <w:bottom w:val="single" w:sz="8" w:color="auto"/>
            </w:tcBorders>
            <w:shd w:val="clear" w:color="auto" w:fill="B2B2B2"/>
          </w:tcPr>
          <w:p>
            <w:pPr>
              <w:spacing w:after="0"/>
              <w:rPr>
                <w:sz w:val="18"/>
                <w:szCs w:val="18"/>
                <w:color w:val="auto"/>
              </w:rPr>
            </w:pPr>
          </w:p>
        </w:tc>
        <w:tc>
          <w:tcPr>
            <w:tcW w:w="1060" w:type="dxa"/>
            <w:vAlign w:val="bottom"/>
            <w:tcBorders>
              <w:top w:val="single" w:sz="8" w:color="auto"/>
              <w:bottom w:val="single" w:sz="8" w:color="auto"/>
            </w:tcBorders>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215</w:t>
            </w:r>
          </w:p>
        </w:tc>
        <w:tc>
          <w:tcPr>
            <w:tcW w:w="440" w:type="dxa"/>
            <w:vAlign w:val="bottom"/>
            <w:tcBorders>
              <w:top w:val="single" w:sz="8" w:color="auto"/>
              <w:bottom w:val="single" w:sz="8" w:color="auto"/>
            </w:tcBorders>
            <w:shd w:val="clear" w:color="auto" w:fill="B2B2B2"/>
          </w:tcPr>
          <w:p>
            <w:pPr>
              <w:spacing w:after="0"/>
              <w:rPr>
                <w:sz w:val="18"/>
                <w:szCs w:val="18"/>
                <w:color w:val="auto"/>
              </w:rPr>
            </w:pPr>
          </w:p>
        </w:tc>
        <w:tc>
          <w:tcPr>
            <w:tcW w:w="1160" w:type="dxa"/>
            <w:vAlign w:val="bottom"/>
            <w:tcBorders>
              <w:top w:val="single" w:sz="8" w:color="auto"/>
              <w:bottom w:val="single" w:sz="8" w:color="auto"/>
            </w:tcBorders>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tcBorders>
              <w:top w:val="single" w:sz="8" w:color="auto"/>
              <w:bottom w:val="single" w:sz="8" w:color="auto"/>
            </w:tcBorders>
            <w:shd w:val="clear" w:color="auto" w:fill="B2B2B2"/>
          </w:tcPr>
          <w:p>
            <w:pPr>
              <w:spacing w:after="0"/>
              <w:rPr>
                <w:sz w:val="18"/>
                <w:szCs w:val="18"/>
                <w:color w:val="auto"/>
              </w:rPr>
            </w:pPr>
          </w:p>
        </w:tc>
        <w:tc>
          <w:tcPr>
            <w:tcW w:w="6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60" w:type="dxa"/>
            <w:vAlign w:val="bottom"/>
            <w:tcBorders>
              <w:top w:val="single" w:sz="8" w:color="B2B2B2"/>
              <w:bottom w:val="single" w:sz="8" w:color="auto"/>
            </w:tcBorders>
            <w:shd w:val="clear" w:color="auto" w:fill="B2B2B2"/>
          </w:tcPr>
          <w:p>
            <w:pPr>
              <w:spacing w:after="0"/>
              <w:rPr>
                <w:sz w:val="18"/>
                <w:szCs w:val="18"/>
                <w:color w:val="auto"/>
              </w:rPr>
            </w:pPr>
          </w:p>
        </w:tc>
      </w:tr>
      <w:tr>
        <w:trPr>
          <w:trHeight w:val="228"/>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1,491</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1,605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20" w:hanging="212"/>
        <w:spacing w:after="0" w:line="223" w:lineRule="auto"/>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Nine Months Ended 2019 and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Loan Losses (“ALLL”)</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determinant of the Company’s operating results can be the provision for loan losses. There was no provision for loan loss recorded during the Third Quarter of 2019 or the Third Quarter of 2018. There was a loan loss provision of $250,000 recorded during the Nine Months Ended 2019 to support the growth in the loan portfolio. There was no loan loss provision in the Nine Months Ended 2018. As discussed below, the Company continually analyzes the outstanding loan portfolio based on the performance, financial condition and collateralization of the credits. Net loan recoveries were $3,000 in the Third Quarter of 2019 and $5,000 in the Third Quarter of 2018. Net loan recoveries were $34,000 in the Nine Months Ended 2019 and $15,000 during the Nine Months Ended 2018.</w:t>
      </w:r>
    </w:p>
    <w:p>
      <w:pPr>
        <w:sectPr>
          <w:pgSz w:w="11900" w:h="16838" w:orient="portrait"/>
          <w:cols w:equalWidth="0" w:num="1">
            <w:col w:w="11420"/>
          </w:cols>
          <w:pgMar w:left="240" w:top="225"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25" w:name="page26"/>
    <w:bookmarkEnd w:id="25"/>
    <w:p>
      <w:pPr>
        <w:jc w:val="both"/>
        <w:spacing w:after="0" w:line="281" w:lineRule="auto"/>
        <w:rPr>
          <w:sz w:val="20"/>
          <w:szCs w:val="20"/>
          <w:color w:val="auto"/>
        </w:rPr>
      </w:pPr>
      <w:r>
        <w:rPr>
          <w:rFonts w:ascii="Times New Roman" w:cs="Times New Roman" w:eastAsia="Times New Roman" w:hAnsi="Times New Roman"/>
          <w:sz w:val="18"/>
          <w:szCs w:val="18"/>
          <w:color w:val="auto"/>
        </w:rPr>
        <w:t>The ALLL at September 30, 2019 was $10,509,000 and at December 31, 2018 was $10,225,000. The ratio of ALLL to total loans outstanding at September 30, 2019 was 1.37% compared to 1.42% at December 31, 2018. There were no nonperforming loans at September 30, 2019 or December 31, 2018.</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“Allowance for Credit Losses,” and 2) estimated credit losses inherent in the remainder of the loan portfolio in accordance with FASB ASC 450, “Contingencies.” Estimated credit losses is an estimate of the current amount of loans that is probable the Company will be unable to collect according to the original terms.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loans that are individually evaluated, the Company uses two impairment measurement methods: 1) the present value of expected future cash flows and 2) 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 trends in credit quality at the Company and in the banking industry and trends in risk-rating agencies are also considered.</w:t>
      </w:r>
    </w:p>
    <w:p>
      <w:pPr>
        <w:spacing w:after="0" w:line="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Asset Quality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Company’s provision for loan losses and analysis of the ALLL: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4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52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Allowance at beginning of period</w:t>
            </w:r>
          </w:p>
        </w:tc>
        <w:tc>
          <w:tcPr>
            <w:tcW w:w="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10,506</w:t>
            </w:r>
          </w:p>
        </w:tc>
        <w:tc>
          <w:tcPr>
            <w:tcW w:w="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10,215</w:t>
            </w:r>
          </w:p>
        </w:tc>
        <w:tc>
          <w:tcPr>
            <w:tcW w:w="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10,225</w:t>
            </w:r>
          </w:p>
        </w:tc>
        <w:tc>
          <w:tcPr>
            <w:tcW w:w="4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10,205</w:t>
            </w:r>
          </w:p>
        </w:tc>
      </w:tr>
      <w:tr>
        <w:trPr>
          <w:trHeight w:val="216"/>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40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250</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Loans charged off</w:t>
            </w:r>
          </w:p>
        </w:tc>
        <w:tc>
          <w:tcPr>
            <w:tcW w:w="40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Recoveries on loans previously charged off</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52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Net recoveries</w:t>
            </w:r>
          </w:p>
        </w:tc>
        <w:tc>
          <w:tcPr>
            <w:tcW w:w="40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Allowance at end of period</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10,509</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10,220</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10,509</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w:t>
            </w:r>
          </w:p>
        </w:tc>
      </w:tr>
      <w:tr>
        <w:trPr>
          <w:trHeight w:val="209"/>
        </w:trPr>
        <w:tc>
          <w:tcPr>
            <w:tcW w:w="52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Loans outstanding:</w:t>
            </w:r>
          </w:p>
        </w:tc>
        <w:tc>
          <w:tcPr>
            <w:tcW w:w="40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774,489</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718,046</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755,331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705,541</w:t>
            </w:r>
          </w:p>
        </w:tc>
      </w:tr>
      <w:tr>
        <w:trPr>
          <w:trHeight w:val="216"/>
        </w:trPr>
        <w:tc>
          <w:tcPr>
            <w:tcW w:w="52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September 30</w:t>
            </w:r>
          </w:p>
        </w:tc>
        <w:tc>
          <w:tcPr>
            <w:tcW w:w="40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767,384</w:t>
            </w: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726,239</w:t>
            </w: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767,384</w:t>
            </w:r>
          </w:p>
        </w:tc>
        <w:tc>
          <w:tcPr>
            <w:tcW w:w="4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726,239</w:t>
            </w:r>
          </w:p>
        </w:tc>
      </w:tr>
      <w:tr>
        <w:trPr>
          <w:trHeight w:val="216"/>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ALLL to loans outstanding:</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Average</w:t>
            </w:r>
          </w:p>
        </w:tc>
        <w:tc>
          <w:tcPr>
            <w:tcW w:w="40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1.36%</w:t>
            </w: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1.42%</w:t>
            </w: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1.39%</w:t>
            </w:r>
          </w:p>
        </w:tc>
        <w:tc>
          <w:tcPr>
            <w:tcW w:w="4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w:t>
            </w:r>
          </w:p>
        </w:tc>
        <w:tc>
          <w:tcPr>
            <w:tcW w:w="40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1.37%</w:t>
            </w:r>
          </w:p>
        </w:tc>
        <w:tc>
          <w:tcPr>
            <w:tcW w:w="4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1.37%</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52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Impaired loans:</w:t>
            </w:r>
          </w:p>
        </w:tc>
        <w:tc>
          <w:tcPr>
            <w:tcW w:w="40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Nonaccrual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Loans past due 90 days or more</w:t>
            </w:r>
          </w:p>
        </w:tc>
        <w:tc>
          <w:tcPr>
            <w:tcW w:w="40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Troubled debt restructurings</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Total impaired loans</w:t>
            </w:r>
          </w:p>
        </w:tc>
        <w:tc>
          <w:tcPr>
            <w:tcW w:w="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Foreclosed assets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Impaired loans as percentage of average loans</w:t>
            </w:r>
          </w:p>
        </w:tc>
        <w:tc>
          <w:tcPr>
            <w:tcW w:w="40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had no property carried as other real estate owned as of September 30, 2019 or September 30, 2018.</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Total operating expenses for the Third Quarter of 2019 were up 7.1%, or $2,033,000, compared to the Third Quarter of 2018 and were up 8.3%, or $6,821,000, for the Nine Months Ended 2019 compared to the Nine Months Ended 2018.</w:t>
      </w:r>
    </w:p>
    <w:p>
      <w:pPr>
        <w:spacing w:after="0" w:line="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Personnel expense for the Third Quarter of 2019 increased $1,767,000 compared to the Third Quarter of 2018 and increased $4,876,000 to $68,594,000 for the Nine Months Ended 2019 compared to the Nine Months Ended 2018 as the Company continued to invest in the technology and staff required to win and support new business, annual salary merit increases, and increased retirement plan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 w:name="page27"/>
    <w:bookmarkEnd w:id="26"/>
    <w:p>
      <w:pPr>
        <w:jc w:val="both"/>
        <w:spacing w:after="0" w:line="260" w:lineRule="auto"/>
        <w:rPr>
          <w:sz w:val="20"/>
          <w:szCs w:val="20"/>
          <w:color w:val="auto"/>
        </w:rPr>
      </w:pPr>
      <w:r>
        <w:rPr>
          <w:rFonts w:ascii="Times New Roman" w:cs="Times New Roman" w:eastAsia="Times New Roman" w:hAnsi="Times New Roman"/>
          <w:sz w:val="18"/>
          <w:szCs w:val="18"/>
          <w:color w:val="auto"/>
        </w:rPr>
        <w:t>Equipment expense for the Third Quarter of 2019 increased $120,000, or 8.4%, compared to the Third Quarter of 2018 and $425,000, or 10.2%, for the Nine Months Ended 2019 from the Nine Months Ended 2018. Outside service expense for the Third Quarter of 2019 increased $243,000, or 12.8%, compared to the Third Quarter of 2018 and $768,000, or 13.6%, for the Nine Months Ended 2019 from the Nine Months Ended 2018. These increases were the result of the continued strategic investment in technology to win and support new business and the ongoing restructuring of the IT organization.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Total assets at September 30, 2019 were $1,781,010,000, an increase of $85,834,000, or 5.1%, from December 31, 2018. The most significant changes in asset balances during this period were increases in payments in excess of funding of $47,448,000 and loans of $45,797,000. These were partially offset by a decrease of $13,943,000 in investment securities and a decrease of $8,195,000 in cash and cash equivalents. Changes in cash and cash equivalents reflect the Company’s daily liquidity position and are affected by the changes in the other asset balances and changes in deposit and accounts and drafts payable balances.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Total liabilities at September 30, 2019 were $1,534,393,000, an increase of $69,065,000, or 4.7%, from December 31, 2018. Accounts and drafts payable at September 30, 2019 were $762,075,000, an increase of $67,715,000, or 9.8%, from December 31, 2018. Total shareholders’ equity at September 30, 2019 was $246,617,000, a $16,769,000, or 7.3%, increase from December 31, 2018. Total shareholders’ equity increased as a result of net income of $24,033,000 and the change in accumulated other comprehensive income of $10,059,000. This was offset by dividends paid of $11,317,000 and share repurchases of $7,799,000.</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balance of liquid assets consisting of cash and cash equivalents, which include cash and due from banks, interest-bearing deposits in other financial institutions, federal funds sold and other short-term investments, was $222,738,000 at September 30, 2019, a decrease of $8,195,000, or 3.5%, from December 31, 2018. At September 30, 2019, these assets represented 12.5% of total assets. These funds are the Company’s and its subsidiaries’ primary source of liquidity to meet future expected and unexpected loan demand, depositor withdrawals or reductions in accounts and drafts payable.</w:t>
      </w:r>
    </w:p>
    <w:p>
      <w:pPr>
        <w:spacing w:after="0" w:line="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in securities was $427,591,000 at September 30, 2019, a decrease of $13,943,000 from December 31, 2018. These assets represented 24.0% of total assets at September 30, 2019. Of this total, 76% were state and political subdivision securities. Of the total portfolio, 8.3% mature in one year or less, 25.4% mature in one to five years, and 66.3% mature in five or more years.</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Bank has unsecured lines of credit at correspondent banks to purchase federal funds up to a maximum of $83,000,000 at the following banks: US Bank, $20,000,000; UMB Bank, $20,000,000; Wells Fargo Bank, $15,000,000; PNC Bank, $12,000,000; Frost National Bank, $10,000,000; and JPM Chase Bank, $6,000,000. The Bank also has secured lines of credit with the Federal Home Loan Bank of $191,241,000 collateralized by commercial mortgage loans. The Company also has secured lines of credit with UMB Bank of $50,000,000 and First Tennessee Bank of $50,000,000 collateralized by state and political subdivision securities. There were no amounts outstanding under any line of credit as of September 30, 2019 or December 31, 2018.</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$50,115,000 of CDARS deposits and interest-bearing demand deposits include $66,160,000 of ICS deposits. These programs offer the Bank’s customers the ability to maximize Federal Deposit Insurance Corporation (“FDIC”) insurance coverage. The Company uses these programs to retain or attract deposits from existing customers.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Net cash flows provided by operating activities were $39,774,000 for the Nine Months Ended 2019 compared with $38,796,000 for the Nine Months ended 2018, an increase of $978,000.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2019, which are estimated to range from $4 million to $6 million.</w:t>
      </w:r>
    </w:p>
    <w:p>
      <w:pPr>
        <w:spacing w:after="0" w:line="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non-advanced approaches institutions like Cass that have exercised a one-time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 phased-in as of January 1, 2019, the Basel III Capital Rules require banking organizations, like Cass, to maintain:</w:t>
      </w:r>
    </w:p>
    <w:p>
      <w:pPr>
        <w:spacing w:after="0" w:line="76" w:lineRule="exact"/>
        <w:rPr>
          <w:sz w:val="20"/>
          <w:szCs w:val="20"/>
          <w:color w:val="auto"/>
        </w:rPr>
      </w:pPr>
    </w:p>
    <w:p>
      <w:pPr>
        <w:ind w:left="580" w:hanging="249"/>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common equity Tier 1 capital to risk-weighted assets of at least 4.5%, plus a 2.5% capital conservation buffer;</w:t>
      </w:r>
    </w:p>
    <w:p>
      <w:pPr>
        <w:spacing w:after="0" w:line="89" w:lineRule="exact"/>
        <w:rPr>
          <w:rFonts w:ascii="Times New Roman" w:cs="Times New Roman" w:eastAsia="Times New Roman" w:hAnsi="Times New Roman"/>
          <w:sz w:val="18"/>
          <w:szCs w:val="18"/>
          <w:color w:val="auto"/>
        </w:rPr>
      </w:pPr>
    </w:p>
    <w:p>
      <w:pPr>
        <w:ind w:left="580" w:hanging="249"/>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Tier 1 capital to risk-weighted assets of at least 6.0%, plus a 2.5% capital conservation buffer;</w:t>
      </w:r>
    </w:p>
    <w:p>
      <w:pPr>
        <w:spacing w:after="0" w:line="75" w:lineRule="exact"/>
        <w:rPr>
          <w:rFonts w:ascii="Times New Roman" w:cs="Times New Roman" w:eastAsia="Times New Roman" w:hAnsi="Times New Roman"/>
          <w:sz w:val="18"/>
          <w:szCs w:val="18"/>
          <w:color w:val="auto"/>
        </w:rPr>
      </w:pPr>
    </w:p>
    <w:p>
      <w:pPr>
        <w:ind w:left="580" w:hanging="249"/>
        <w:spacing w:after="0" w:line="281"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total capital (that is, Tier 1 plus Tier 2 capital) to risk-weighted assets of at least 8.0%, plus the 2.5% capital conservation buffer; and</w:t>
      </w:r>
    </w:p>
    <w:p>
      <w:pPr>
        <w:spacing w:after="0" w:line="13" w:lineRule="exact"/>
        <w:rPr>
          <w:rFonts w:ascii="Times New Roman" w:cs="Times New Roman" w:eastAsia="Times New Roman" w:hAnsi="Times New Roman"/>
          <w:sz w:val="18"/>
          <w:szCs w:val="18"/>
          <w:color w:val="auto"/>
        </w:rPr>
      </w:pPr>
    </w:p>
    <w:p>
      <w:pPr>
        <w:ind w:left="580" w:hanging="249"/>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leverage ratio of 4.0%, calculated as the ratio of Tier 1 capital to adjusted average consolidated assets.</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Bank continue to exceed all regulatory capital requirements, as evidenced by the following capital amounts and ratios: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60" w:type="dxa"/>
            <w:vAlign w:val="bottom"/>
          </w:tcPr>
          <w:p>
            <w:pPr>
              <w:spacing w:after="0"/>
              <w:rPr>
                <w:sz w:val="21"/>
                <w:szCs w:val="21"/>
                <w:color w:val="auto"/>
              </w:rPr>
            </w:pPr>
          </w:p>
        </w:tc>
        <w:tc>
          <w:tcPr>
            <w:tcW w:w="23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23"/>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 w:type="dxa"/>
            <w:vAlign w:val="bottom"/>
          </w:tcPr>
          <w:p>
            <w:pPr>
              <w:spacing w:after="0"/>
              <w:rPr>
                <w:sz w:val="19"/>
                <w:szCs w:val="19"/>
                <w:color w:val="auto"/>
              </w:rPr>
            </w:pPr>
          </w:p>
        </w:tc>
      </w:tr>
      <w:tr>
        <w:trPr>
          <w:trHeight w:val="216"/>
        </w:trPr>
        <w:tc>
          <w:tcPr>
            <w:tcW w:w="6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60" w:type="dxa"/>
            <w:vAlign w:val="bottom"/>
            <w:shd w:val="clear" w:color="auto" w:fill="B2B2B2"/>
          </w:tcPr>
          <w:p>
            <w:pPr>
              <w:spacing w:after="0"/>
              <w:rPr>
                <w:sz w:val="18"/>
                <w:szCs w:val="18"/>
                <w:color w:val="auto"/>
              </w:rPr>
            </w:pPr>
          </w:p>
        </w:tc>
        <w:tc>
          <w:tcPr>
            <w:tcW w:w="124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246,640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244,660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0" w:type="dxa"/>
            <w:vAlign w:val="bottom"/>
          </w:tcPr>
          <w:p>
            <w:pPr>
              <w:spacing w:after="0"/>
              <w:rPr>
                <w:sz w:val="18"/>
                <w:szCs w:val="18"/>
                <w:color w:val="auto"/>
              </w:rPr>
            </w:pPr>
          </w:p>
        </w:tc>
      </w:tr>
      <w:tr>
        <w:trPr>
          <w:trHeight w:val="216"/>
        </w:trPr>
        <w:tc>
          <w:tcPr>
            <w:tcW w:w="61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Cass Commercial Bank</w:t>
            </w:r>
          </w:p>
        </w:tc>
        <w:tc>
          <w:tcPr>
            <w:tcW w:w="260" w:type="dxa"/>
            <w:vAlign w:val="bottom"/>
            <w:shd w:val="clear" w:color="auto" w:fill="B2B2B2"/>
          </w:tcPr>
          <w:p>
            <w:pPr>
              <w:spacing w:after="0"/>
              <w:rPr>
                <w:sz w:val="18"/>
                <w:szCs w:val="18"/>
                <w:color w:val="auto"/>
              </w:rPr>
            </w:pPr>
          </w:p>
        </w:tc>
        <w:tc>
          <w:tcPr>
            <w:tcW w:w="124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150,239</w:t>
            </w:r>
          </w:p>
        </w:tc>
        <w:tc>
          <w:tcPr>
            <w:tcW w:w="12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19.08%</w:t>
            </w:r>
          </w:p>
        </w:tc>
        <w:tc>
          <w:tcPr>
            <w:tcW w:w="260" w:type="dxa"/>
            <w:vAlign w:val="bottom"/>
            <w:shd w:val="clear" w:color="auto" w:fill="B2B2B2"/>
          </w:tcPr>
          <w:p>
            <w:pPr>
              <w:spacing w:after="0"/>
              <w:rPr>
                <w:sz w:val="18"/>
                <w:szCs w:val="18"/>
                <w:color w:val="auto"/>
              </w:rPr>
            </w:pPr>
          </w:p>
        </w:tc>
        <w:tc>
          <w:tcPr>
            <w:tcW w:w="12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137,894</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tcPr>
          <w:p>
            <w:pPr>
              <w:spacing w:after="0"/>
              <w:rPr>
                <w:sz w:val="18"/>
                <w:szCs w:val="18"/>
                <w:color w:val="auto"/>
              </w:rPr>
            </w:pPr>
          </w:p>
        </w:tc>
      </w:tr>
      <w:tr>
        <w:trPr>
          <w:trHeight w:val="216"/>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Equity Tier I Capital (to risk-weighted 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236,131</w:t>
            </w:r>
          </w:p>
        </w:tc>
        <w:tc>
          <w:tcPr>
            <w:tcW w:w="12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18.88%</w:t>
            </w: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234,435</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0" w:type="dxa"/>
            <w:vAlign w:val="bottom"/>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Cass Commercial Bank</w:t>
            </w:r>
          </w:p>
        </w:tc>
        <w:tc>
          <w:tcPr>
            <w:tcW w:w="26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142,198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18.06%</w:t>
            </w:r>
          </w:p>
        </w:tc>
        <w:tc>
          <w:tcPr>
            <w:tcW w:w="26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130,037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 w:type="dxa"/>
            <w:vAlign w:val="bottom"/>
          </w:tcPr>
          <w:p>
            <w:pPr>
              <w:spacing w:after="0"/>
              <w:rPr>
                <w:sz w:val="18"/>
                <w:szCs w:val="18"/>
                <w:color w:val="auto"/>
              </w:rPr>
            </w:pPr>
          </w:p>
        </w:tc>
      </w:tr>
      <w:tr>
        <w:trPr>
          <w:trHeight w:val="216"/>
        </w:trPr>
        <w:tc>
          <w:tcPr>
            <w:tcW w:w="61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260" w:type="dxa"/>
            <w:vAlign w:val="bottom"/>
            <w:shd w:val="clear" w:color="auto" w:fill="B2B2B2"/>
          </w:tcPr>
          <w:p>
            <w:pPr>
              <w:spacing w:after="0"/>
              <w:rPr>
                <w:sz w:val="18"/>
                <w:szCs w:val="18"/>
                <w:color w:val="auto"/>
              </w:rPr>
            </w:pPr>
          </w:p>
        </w:tc>
        <w:tc>
          <w:tcPr>
            <w:tcW w:w="124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236,131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234,435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0" w:type="dxa"/>
            <w:vAlign w:val="bottom"/>
          </w:tcPr>
          <w:p>
            <w:pPr>
              <w:spacing w:after="0"/>
              <w:rPr>
                <w:sz w:val="18"/>
                <w:szCs w:val="18"/>
                <w:color w:val="auto"/>
              </w:rPr>
            </w:pPr>
          </w:p>
        </w:tc>
      </w:tr>
      <w:tr>
        <w:trPr>
          <w:trHeight w:val="216"/>
        </w:trPr>
        <w:tc>
          <w:tcPr>
            <w:tcW w:w="61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Cass Commercial Bank</w:t>
            </w:r>
          </w:p>
        </w:tc>
        <w:tc>
          <w:tcPr>
            <w:tcW w:w="260" w:type="dxa"/>
            <w:vAlign w:val="bottom"/>
            <w:shd w:val="clear" w:color="auto" w:fill="B2B2B2"/>
          </w:tcPr>
          <w:p>
            <w:pPr>
              <w:spacing w:after="0"/>
              <w:rPr>
                <w:sz w:val="18"/>
                <w:szCs w:val="18"/>
                <w:color w:val="auto"/>
              </w:rPr>
            </w:pPr>
          </w:p>
        </w:tc>
        <w:tc>
          <w:tcPr>
            <w:tcW w:w="124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142,198</w:t>
            </w:r>
          </w:p>
        </w:tc>
        <w:tc>
          <w:tcPr>
            <w:tcW w:w="12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18.06%</w:t>
            </w:r>
          </w:p>
        </w:tc>
        <w:tc>
          <w:tcPr>
            <w:tcW w:w="260" w:type="dxa"/>
            <w:vAlign w:val="bottom"/>
            <w:shd w:val="clear" w:color="auto" w:fill="B2B2B2"/>
          </w:tcPr>
          <w:p>
            <w:pPr>
              <w:spacing w:after="0"/>
              <w:rPr>
                <w:sz w:val="18"/>
                <w:szCs w:val="18"/>
                <w:color w:val="auto"/>
              </w:rPr>
            </w:pPr>
          </w:p>
        </w:tc>
        <w:tc>
          <w:tcPr>
            <w:tcW w:w="12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130,037</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 w:type="dxa"/>
            <w:vAlign w:val="bottom"/>
          </w:tcPr>
          <w:p>
            <w:pPr>
              <w:spacing w:after="0"/>
              <w:rPr>
                <w:sz w:val="18"/>
                <w:szCs w:val="18"/>
                <w:color w:val="auto"/>
              </w:rPr>
            </w:pPr>
          </w:p>
        </w:tc>
      </w:tr>
      <w:tr>
        <w:trPr>
          <w:trHeight w:val="216"/>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236,131</w:t>
            </w:r>
          </w:p>
        </w:tc>
        <w:tc>
          <w:tcPr>
            <w:tcW w:w="12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13.41%</w:t>
            </w: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234,435</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0" w:type="dxa"/>
            <w:vAlign w:val="bottom"/>
          </w:tcPr>
          <w:p>
            <w:pPr>
              <w:spacing w:after="0"/>
              <w:rPr>
                <w:sz w:val="18"/>
                <w:szCs w:val="18"/>
                <w:color w:val="auto"/>
              </w:rPr>
            </w:pPr>
          </w:p>
        </w:tc>
      </w:tr>
      <w:tr>
        <w:trPr>
          <w:trHeight w:val="223"/>
        </w:trPr>
        <w:tc>
          <w:tcPr>
            <w:tcW w:w="6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Cass Commercial Bank</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142,198</w:t>
            </w:r>
          </w:p>
        </w:tc>
        <w:tc>
          <w:tcPr>
            <w:tcW w:w="12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16.99%</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130,037</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0" w:type="dxa"/>
            <w:vAlign w:val="bottom"/>
            <w:tcBorders>
              <w:bottom w:val="single" w:sz="8" w:color="auto"/>
            </w:tcBorders>
          </w:tcPr>
          <w:p>
            <w:pPr>
              <w:spacing w:after="0"/>
              <w:rPr>
                <w:sz w:val="19"/>
                <w:szCs w:val="19"/>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and Not Yet Adopted Accounting Pronouncements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No. 2016-02 – “Leases (ASC Topic 842).”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will require both types of leases to be recognized on the balance sheet. The ASU also requires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Company elected to apply ASU 2016-02 as of the beginning of the period of adoption (January 1, 2019) and will not restate comparative periods. The Company has elected to apply the package of practical expedients allowed by the new standard under which the Company need not reassess (i) whether any expired or existing contracts are or contain leases, (ii) the lease classification for any expired or existing leases and (iii) initial direct costs for any existing leases. Adoption of the ASU resulted in the recognition of lease liabilities totaling $7,808,000 and the right-of-use assets totaling $7,383,000. The initial balance sheet gross up upon adoption was related to operating leases of certain real estate properties. See Note 14 – Leases for additional disclosures related to leases.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No. 2016-13 – “Financial Instruments – Credit Losses (Topic 326): Measurement of Credit Losses on Financial Instruments.” The ASU requires measurement and recognition of expected credit losses for financial assets held. Under this standard, the Company will be required to hold an allowance equal to the expected life-of-loan losses on the loan portfolio. The standard is effective for fiscal periods beginning after December 15, 2019. The Company has formed a cross-functional working group under the direction of the Chief Financial Officer comprised of individuals from various functional areas including credit, risk management, finance, and accounting to address the adoption and implementation of the ASU. The group is currently working through the implementation plan and is in the process of developing an in-house solution to use in the adoption of the ASU. The Company is also utilizing an external consultant to assist with the implementation plan. The Company expects to recognize a one-time cumulative effect adjustment to the allowance for loan losses as of the beginning of the first reporting period in which the new standard is effective, but cannot yet determine the magnitude of any such one-time adjustment or the overall impact of the new guidance on the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described in the Company’s Annual Report on Form 10-K for the year ended December 31, 2018,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15.0% from an immediate and sustained parallel change in interest rates of 200 basis points. Based on the Company’s most recent evaluation, management does not believe the Company’s risk position at September 30, 2019 has changed materially from that at December 31, 2018.</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There were no changes in the Third Quarter of 2019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31" w:lineRule="exact"/>
        <w:rPr>
          <w:sz w:val="20"/>
          <w:szCs w:val="20"/>
          <w:color w:val="auto"/>
        </w:rPr>
      </w:pPr>
    </w:p>
    <w:p>
      <w:pPr>
        <w:jc w:val="both"/>
        <w:ind w:left="1040"/>
        <w:spacing w:after="0" w:line="254" w:lineRule="auto"/>
        <w:rPr>
          <w:sz w:val="20"/>
          <w:szCs w:val="20"/>
          <w:color w:val="auto"/>
        </w:rPr>
      </w:pPr>
      <w:r>
        <w:rPr>
          <w:rFonts w:ascii="Times New Roman" w:cs="Times New Roman" w:eastAsia="Times New Roman" w:hAnsi="Times New Roman"/>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8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31" w:lineRule="exact"/>
        <w:rPr>
          <w:sz w:val="20"/>
          <w:szCs w:val="20"/>
          <w:color w:val="auto"/>
        </w:rPr>
      </w:pPr>
    </w:p>
    <w:p>
      <w:pPr>
        <w:jc w:val="both"/>
        <w:ind w:left="1040"/>
        <w:spacing w:after="0" w:line="254" w:lineRule="auto"/>
        <w:rPr>
          <w:sz w:val="20"/>
          <w:szCs w:val="20"/>
          <w:color w:val="auto"/>
        </w:rPr>
      </w:pPr>
      <w:r>
        <w:rPr>
          <w:rFonts w:ascii="Times New Roman" w:cs="Times New Roman" w:eastAsia="Times New Roman" w:hAnsi="Times New Roman"/>
          <w:sz w:val="18"/>
          <w:szCs w:val="18"/>
          <w:color w:val="auto"/>
        </w:rPr>
        <w:t>The Company has included in Part I, Item 1A of its Annual Report on Form 10-K for the year ended December 31, 2018, a description of certain risks and uncertainties that could affect the Company’s business, future performance or financial condition (the “Risk Factors”). There are no material changes to the Risk Factors as disclosed in the Company’s 2018 Annual Report on Form 10-K.</w:t>
      </w:r>
    </w:p>
    <w:p>
      <w:pPr>
        <w:spacing w:after="0" w:line="18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0" w:name="page31"/>
    <w:bookmarkEnd w:id="30"/>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None.</w:t>
      </w:r>
    </w:p>
    <w:p>
      <w:pPr>
        <w:spacing w:after="0" w:line="20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1" w:lineRule="exact"/>
        <w:rPr>
          <w:sz w:val="20"/>
          <w:szCs w:val="20"/>
          <w:color w:val="auto"/>
        </w:rPr>
      </w:pPr>
    </w:p>
    <w:p>
      <w:pPr>
        <w:ind w:left="1440" w:hanging="422"/>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8" w:lineRule="exact"/>
        <w:rPr>
          <w:rFonts w:ascii="Times New Roman" w:cs="Times New Roman" w:eastAsia="Times New Roman" w:hAnsi="Times New Roman"/>
          <w:sz w:val="18"/>
          <w:szCs w:val="18"/>
          <w:color w:val="auto"/>
        </w:rPr>
      </w:pPr>
    </w:p>
    <w:p>
      <w:pPr>
        <w:ind w:left="1440" w:hanging="422"/>
        <w:spacing w:after="0" w:line="259" w:lineRule="auto"/>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implemented in the Third Quarter of 2019.</w:t>
      </w:r>
    </w:p>
    <w:p>
      <w:pPr>
        <w:spacing w:after="0" w:line="17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8" w:lineRule="exact"/>
        <w:rPr>
          <w:sz w:val="20"/>
          <w:szCs w:val="20"/>
          <w:color w:val="auto"/>
        </w:rPr>
      </w:pPr>
    </w:p>
    <w:p>
      <w:pPr>
        <w:ind w:left="104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Exhibit 31.1 Certification Pursuant to Section 302 of the Sarbanes-Oxley Act of 2002.</w:t>
        </w:r>
      </w:hyperlink>
    </w:p>
    <w:p>
      <w:pPr>
        <w:spacing w:after="0" w:line="224" w:lineRule="exact"/>
        <w:rPr>
          <w:sz w:val="20"/>
          <w:szCs w:val="20"/>
          <w:color w:val="auto"/>
        </w:rPr>
      </w:pPr>
    </w:p>
    <w:p>
      <w:pPr>
        <w:ind w:left="104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Exhibit 31.2 Certification Pursuant to Section 302 of the Sarbanes-Oxley Act of 2002.</w:t>
        </w:r>
      </w:hyperlink>
    </w:p>
    <w:p>
      <w:pPr>
        <w:spacing w:after="0" w:line="224" w:lineRule="exact"/>
        <w:rPr>
          <w:sz w:val="20"/>
          <w:szCs w:val="20"/>
          <w:color w:val="auto"/>
        </w:rPr>
      </w:pPr>
    </w:p>
    <w:p>
      <w:pPr>
        <w:ind w:left="104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Exhibit 32.1 Certification Pursuant to 18 U.S.C. Section 1350, as Adopted Pursuant to Section 906 of the Sarbanes-Oxley Act of 2002.</w:t>
        </w:r>
      </w:hyperlink>
    </w:p>
    <w:p>
      <w:pPr>
        <w:spacing w:after="0" w:line="224" w:lineRule="exact"/>
        <w:rPr>
          <w:sz w:val="20"/>
          <w:szCs w:val="20"/>
          <w:color w:val="auto"/>
        </w:rPr>
      </w:pPr>
    </w:p>
    <w:p>
      <w:pPr>
        <w:ind w:left="104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Exhibit 32.2 Certification Pursuant to 18 U.S.C. Section 1350, as Adopted Pursuant to Section 906 of the Sarbanes-Oxley Act of 2002.</w:t>
        </w:r>
      </w:hyperlink>
    </w:p>
    <w:p>
      <w:pPr>
        <w:spacing w:after="0" w:line="224" w:lineRule="exact"/>
        <w:rPr>
          <w:sz w:val="20"/>
          <w:szCs w:val="20"/>
          <w:color w:val="auto"/>
        </w:rPr>
      </w:pPr>
    </w:p>
    <w:p>
      <w:pPr>
        <w:ind w:left="1040"/>
        <w:spacing w:after="0" w:line="281" w:lineRule="auto"/>
        <w:rPr>
          <w:sz w:val="20"/>
          <w:szCs w:val="20"/>
          <w:color w:val="auto"/>
        </w:rPr>
      </w:pPr>
      <w:r>
        <w:rPr>
          <w:rFonts w:ascii="Times New Roman" w:cs="Times New Roman" w:eastAsia="Times New Roman" w:hAnsi="Times New Roman"/>
          <w:sz w:val="18"/>
          <w:szCs w:val="18"/>
          <w:color w:val="auto"/>
        </w:rPr>
        <w:t>Exhibit 101.INS XBRL Instance Document. The instance document does not appear in the Interactive Data File because its XBRL tags are embedded within the Inline XBRL document.</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Exhibit 101.SCH Inline XBRL Taxonomy Extension Schema Document.</w:t>
      </w:r>
    </w:p>
    <w:p>
      <w:pPr>
        <w:spacing w:after="0" w:line="2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 Linkbase Document.</w:t>
      </w:r>
    </w:p>
    <w:p>
      <w:pPr>
        <w:spacing w:after="0" w:line="2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Exhibit 101.LAB Inline XBRL Taxonomy Extension Label Linkbase Document.</w:t>
      </w:r>
    </w:p>
    <w:p>
      <w:pPr>
        <w:spacing w:after="0" w:line="2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 Linkbase Document.</w:t>
      </w:r>
    </w:p>
    <w:p>
      <w:pPr>
        <w:spacing w:after="0" w:line="2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 Linkbase Document.</w:t>
      </w:r>
    </w:p>
    <w:p>
      <w:pPr>
        <w:spacing w:after="0" w:line="2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0" w:lineRule="exact"/>
        <w:rPr>
          <w:sz w:val="20"/>
          <w:szCs w:val="20"/>
          <w:color w:val="auto"/>
        </w:rPr>
      </w:pPr>
    </w:p>
    <w:p>
      <w:pPr>
        <w:ind w:firstLine="323"/>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CASS INFORMATION SYSTEMS, INC.</w:t>
            </w:r>
          </w:p>
        </w:tc>
      </w:tr>
      <w:tr>
        <w:trPr>
          <w:trHeight w:val="64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H. Brunngraber</w:t>
            </w:r>
          </w:p>
        </w:tc>
      </w:tr>
      <w:tr>
        <w:trPr>
          <w:trHeight w:val="191"/>
        </w:trPr>
        <w:tc>
          <w:tcPr>
            <w:tcW w:w="37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Eric H. Brunngraber</w:t>
            </w:r>
          </w:p>
        </w:tc>
      </w:tr>
      <w:tr>
        <w:trPr>
          <w:trHeight w:val="216"/>
        </w:trPr>
        <w:tc>
          <w:tcPr>
            <w:tcW w:w="37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64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P. Stephen Appelbaum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0</wp:posOffset>
            </wp:positionV>
            <wp:extent cx="3379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jc w:val="center"/>
        <w:ind w:left="6100"/>
        <w:spacing w:after="0"/>
        <w:rPr>
          <w:sz w:val="20"/>
          <w:szCs w:val="20"/>
          <w:color w:val="auto"/>
        </w:rPr>
      </w:pPr>
      <w:r>
        <w:rPr>
          <w:rFonts w:ascii="Times New Roman" w:cs="Times New Roman" w:eastAsia="Times New Roman" w:hAnsi="Times New Roman"/>
          <w:sz w:val="18"/>
          <w:szCs w:val="18"/>
          <w:color w:val="auto"/>
        </w:rPr>
        <w:t>P. Stephen Appelbaum</w:t>
      </w:r>
    </w:p>
    <w:p>
      <w:pPr>
        <w:spacing w:after="0" w:line="22"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H. Brunngraber, certify that:</w:t>
      </w:r>
    </w:p>
    <w:p>
      <w:pPr>
        <w:spacing w:after="0" w:line="76"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89"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jc w:val="both"/>
        <w:ind w:left="700" w:hanging="369"/>
        <w:spacing w:after="0" w:line="265"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8"/>
          <w:szCs w:val="18"/>
          <w:color w:val="auto"/>
        </w:rPr>
      </w:pPr>
    </w:p>
    <w:p>
      <w:pPr>
        <w:jc w:val="both"/>
        <w:ind w:left="700" w:hanging="369"/>
        <w:spacing w:after="0" w:line="265"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8"/>
          <w:szCs w:val="18"/>
          <w:color w:val="auto"/>
        </w:rPr>
      </w:pPr>
    </w:p>
    <w:p>
      <w:pPr>
        <w:ind w:left="700" w:hanging="369"/>
        <w:spacing w:after="0" w:line="281"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8"/>
          <w:szCs w:val="18"/>
          <w:color w:val="auto"/>
        </w:rPr>
      </w:pPr>
    </w:p>
    <w:p>
      <w:pPr>
        <w:jc w:val="both"/>
        <w:ind w:left="700" w:hanging="369"/>
        <w:spacing w:after="0" w:line="265"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700" w:right="20" w:hanging="369"/>
        <w:spacing w:after="0" w:line="281"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8"/>
          <w:szCs w:val="18"/>
          <w:color w:val="auto"/>
        </w:rPr>
      </w:pPr>
    </w:p>
    <w:p>
      <w:pPr>
        <w:ind w:left="700" w:right="20" w:hanging="369"/>
        <w:spacing w:after="0" w:line="281"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2900" w:type="dxa"/>
            <w:vAlign w:val="bottom"/>
          </w:tcPr>
          <w:p>
            <w:pPr>
              <w:spacing w:after="0"/>
              <w:rPr>
                <w:sz w:val="20"/>
                <w:szCs w:val="20"/>
                <w:color w:val="auto"/>
              </w:rPr>
            </w:pPr>
          </w:p>
        </w:tc>
        <w:tc>
          <w:tcPr>
            <w:tcW w:w="382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/s/ Eric H. Brunngraber</w:t>
            </w:r>
          </w:p>
        </w:tc>
      </w:tr>
      <w:tr>
        <w:trPr>
          <w:trHeight w:val="191"/>
        </w:trPr>
        <w:tc>
          <w:tcPr>
            <w:tcW w:w="47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Eric H. Brunngraber</w:t>
            </w:r>
          </w:p>
        </w:tc>
      </w:tr>
      <w:tr>
        <w:trPr>
          <w:trHeight w:val="216"/>
        </w:trPr>
        <w:tc>
          <w:tcPr>
            <w:tcW w:w="4700" w:type="dxa"/>
            <w:vAlign w:val="bottom"/>
          </w:tcPr>
          <w:p>
            <w:pPr>
              <w:spacing w:after="0"/>
              <w:rPr>
                <w:sz w:val="18"/>
                <w:szCs w:val="18"/>
                <w:color w:val="auto"/>
              </w:rPr>
            </w:pPr>
          </w:p>
        </w:tc>
        <w:tc>
          <w:tcPr>
            <w:tcW w:w="672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Chairman, President and Chief</w:t>
            </w:r>
          </w:p>
        </w:tc>
      </w:tr>
      <w:tr>
        <w:trPr>
          <w:trHeight w:val="216"/>
        </w:trPr>
        <w:tc>
          <w:tcPr>
            <w:tcW w:w="4700" w:type="dxa"/>
            <w:vAlign w:val="bottom"/>
          </w:tcPr>
          <w:p>
            <w:pPr>
              <w:spacing w:after="0"/>
              <w:rPr>
                <w:sz w:val="18"/>
                <w:szCs w:val="18"/>
                <w:color w:val="auto"/>
              </w:rPr>
            </w:pPr>
          </w:p>
        </w:tc>
        <w:tc>
          <w:tcPr>
            <w:tcW w:w="672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234"/>
        </w:trPr>
        <w:tc>
          <w:tcPr>
            <w:tcW w:w="4700" w:type="dxa"/>
            <w:vAlign w:val="bottom"/>
          </w:tcPr>
          <w:p>
            <w:pPr>
              <w:spacing w:after="0"/>
              <w:rPr>
                <w:sz w:val="20"/>
                <w:szCs w:val="20"/>
                <w:color w:val="auto"/>
              </w:rPr>
            </w:pPr>
          </w:p>
        </w:tc>
        <w:tc>
          <w:tcPr>
            <w:tcW w:w="672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56"/>
        </w:trPr>
        <w:tc>
          <w:tcPr>
            <w:tcW w:w="4700" w:type="dxa"/>
            <w:vAlign w:val="bottom"/>
            <w:tcBorders>
              <w:bottom w:val="single" w:sz="8" w:color="EEEEEE"/>
            </w:tcBorders>
          </w:tcPr>
          <w:p>
            <w:pPr>
              <w:spacing w:after="0"/>
              <w:rPr>
                <w:sz w:val="22"/>
                <w:szCs w:val="22"/>
                <w:color w:val="auto"/>
              </w:rPr>
            </w:pPr>
          </w:p>
        </w:tc>
        <w:tc>
          <w:tcPr>
            <w:tcW w:w="2900" w:type="dxa"/>
            <w:vAlign w:val="bottom"/>
            <w:tcBorders>
              <w:bottom w:val="single" w:sz="8" w:color="EEEEEE"/>
            </w:tcBorders>
          </w:tcPr>
          <w:p>
            <w:pPr>
              <w:spacing w:after="0"/>
              <w:rPr>
                <w:sz w:val="22"/>
                <w:szCs w:val="22"/>
                <w:color w:val="auto"/>
              </w:rPr>
            </w:pPr>
          </w:p>
        </w:tc>
        <w:tc>
          <w:tcPr>
            <w:tcW w:w="3800" w:type="dxa"/>
            <w:vAlign w:val="bottom"/>
            <w:tcBorders>
              <w:bottom w:val="single" w:sz="8" w:color="EEEEEE"/>
            </w:tcBorders>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7202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Stephen Appelbaum, certify that:</w:t>
      </w:r>
    </w:p>
    <w:p>
      <w:pPr>
        <w:spacing w:after="0" w:line="76"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89"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jc w:val="both"/>
        <w:ind w:left="700" w:hanging="369"/>
        <w:spacing w:after="0" w:line="265"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8"/>
          <w:szCs w:val="18"/>
          <w:color w:val="auto"/>
        </w:rPr>
      </w:pPr>
    </w:p>
    <w:p>
      <w:pPr>
        <w:jc w:val="both"/>
        <w:ind w:left="700" w:hanging="369"/>
        <w:spacing w:after="0" w:line="265"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8"/>
          <w:szCs w:val="18"/>
          <w:color w:val="auto"/>
        </w:rPr>
      </w:pPr>
    </w:p>
    <w:p>
      <w:pPr>
        <w:ind w:left="700" w:hanging="369"/>
        <w:spacing w:after="0" w:line="281"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8"/>
          <w:szCs w:val="18"/>
          <w:color w:val="auto"/>
        </w:rPr>
      </w:pPr>
    </w:p>
    <w:p>
      <w:pPr>
        <w:jc w:val="both"/>
        <w:ind w:left="700" w:hanging="369"/>
        <w:spacing w:after="0" w:line="265"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700" w:right="20" w:hanging="369"/>
        <w:spacing w:after="0" w:line="281"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8"/>
          <w:szCs w:val="18"/>
          <w:color w:val="auto"/>
        </w:rPr>
      </w:pPr>
    </w:p>
    <w:p>
      <w:pPr>
        <w:ind w:left="700" w:right="20" w:hanging="369"/>
        <w:spacing w:after="0" w:line="281"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2600" w:type="dxa"/>
            <w:vAlign w:val="bottom"/>
          </w:tcPr>
          <w:p>
            <w:pPr>
              <w:spacing w:after="0"/>
              <w:rPr>
                <w:sz w:val="20"/>
                <w:szCs w:val="20"/>
                <w:color w:val="auto"/>
              </w:rPr>
            </w:pPr>
          </w:p>
        </w:tc>
        <w:tc>
          <w:tcPr>
            <w:tcW w:w="444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8"/>
                <w:szCs w:val="18"/>
                <w:color w:val="auto"/>
              </w:rPr>
              <w:t>/s/ P. Stephen Appelbaum</w:t>
            </w:r>
          </w:p>
        </w:tc>
      </w:tr>
      <w:tr>
        <w:trPr>
          <w:trHeight w:val="191"/>
        </w:trPr>
        <w:tc>
          <w:tcPr>
            <w:tcW w:w="43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4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 Stephen Appelbaum</w:t>
            </w:r>
          </w:p>
        </w:tc>
      </w:tr>
      <w:tr>
        <w:trPr>
          <w:trHeight w:val="216"/>
        </w:trPr>
        <w:tc>
          <w:tcPr>
            <w:tcW w:w="4380" w:type="dxa"/>
            <w:vAlign w:val="bottom"/>
          </w:tcPr>
          <w:p>
            <w:pPr>
              <w:spacing w:after="0"/>
              <w:rPr>
                <w:sz w:val="18"/>
                <w:szCs w:val="18"/>
                <w:color w:val="auto"/>
              </w:rPr>
            </w:pPr>
          </w:p>
        </w:tc>
        <w:tc>
          <w:tcPr>
            <w:tcW w:w="704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16"/>
        </w:trPr>
        <w:tc>
          <w:tcPr>
            <w:tcW w:w="4380" w:type="dxa"/>
            <w:vAlign w:val="bottom"/>
          </w:tcPr>
          <w:p>
            <w:pPr>
              <w:spacing w:after="0"/>
              <w:rPr>
                <w:sz w:val="18"/>
                <w:szCs w:val="18"/>
                <w:color w:val="auto"/>
              </w:rPr>
            </w:pPr>
          </w:p>
        </w:tc>
        <w:tc>
          <w:tcPr>
            <w:tcW w:w="704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234"/>
        </w:trPr>
        <w:tc>
          <w:tcPr>
            <w:tcW w:w="4380" w:type="dxa"/>
            <w:vAlign w:val="bottom"/>
          </w:tcPr>
          <w:p>
            <w:pPr>
              <w:spacing w:after="0"/>
              <w:rPr>
                <w:sz w:val="20"/>
                <w:szCs w:val="20"/>
                <w:color w:val="auto"/>
              </w:rPr>
            </w:pPr>
          </w:p>
        </w:tc>
        <w:tc>
          <w:tcPr>
            <w:tcW w:w="704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56"/>
        </w:trPr>
        <w:tc>
          <w:tcPr>
            <w:tcW w:w="4380" w:type="dxa"/>
            <w:vAlign w:val="bottom"/>
            <w:tcBorders>
              <w:bottom w:val="single" w:sz="8" w:color="EEEEEE"/>
            </w:tcBorders>
          </w:tcPr>
          <w:p>
            <w:pPr>
              <w:spacing w:after="0"/>
              <w:rPr>
                <w:sz w:val="22"/>
                <w:szCs w:val="22"/>
                <w:color w:val="auto"/>
              </w:rPr>
            </w:pPr>
          </w:p>
        </w:tc>
        <w:tc>
          <w:tcPr>
            <w:tcW w:w="2600" w:type="dxa"/>
            <w:vAlign w:val="bottom"/>
            <w:tcBorders>
              <w:bottom w:val="single" w:sz="8" w:color="EEEEEE"/>
            </w:tcBorders>
          </w:tcPr>
          <w:p>
            <w:pPr>
              <w:spacing w:after="0"/>
              <w:rPr>
                <w:sz w:val="22"/>
                <w:szCs w:val="22"/>
                <w:color w:val="auto"/>
              </w:rPr>
            </w:pPr>
          </w:p>
        </w:tc>
        <w:tc>
          <w:tcPr>
            <w:tcW w:w="4420" w:type="dxa"/>
            <w:vAlign w:val="bottom"/>
            <w:tcBorders>
              <w:bottom w:val="single" w:sz="8" w:color="EEEEEE"/>
            </w:tcBorders>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7202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September 30, 2019 as filed with the Securities and Exchange Commission on the date hereof (the “Report”), I, Eric H. Brunngraber, President and Chief Executive Officer of the Company, certify, pursuant to 18 U.S.C. § 1350, as adopted pursuant to § 906 of the Sarbanes-Oxley Act of 2002, that:</w:t>
      </w:r>
    </w:p>
    <w:p>
      <w:pPr>
        <w:spacing w:after="0" w:line="136" w:lineRule="exact"/>
        <w:rPr>
          <w:sz w:val="20"/>
          <w:szCs w:val="20"/>
          <w:color w:val="auto"/>
        </w:rPr>
      </w:pPr>
    </w:p>
    <w:p>
      <w:pPr>
        <w:ind w:left="800" w:hanging="361"/>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9" w:lineRule="exact"/>
        <w:rPr>
          <w:rFonts w:ascii="Times New Roman" w:cs="Times New Roman" w:eastAsia="Times New Roman" w:hAnsi="Times New Roman"/>
          <w:sz w:val="18"/>
          <w:szCs w:val="18"/>
          <w:color w:val="auto"/>
        </w:rPr>
      </w:pPr>
    </w:p>
    <w:p>
      <w:pPr>
        <w:ind w:left="800" w:hanging="361"/>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4317365</wp:posOffset>
            </wp:positionH>
            <wp:positionV relativeFrom="paragraph">
              <wp:posOffset>17145</wp:posOffset>
            </wp:positionV>
            <wp:extent cx="29349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34970" cy="8255"/>
                    </a:xfrm>
                    <a:prstGeom prst="rect">
                      <a:avLst/>
                    </a:prstGeom>
                    <a:noFill/>
                  </pic:spPr>
                </pic:pic>
              </a:graphicData>
            </a:graphic>
          </wp:anchor>
        </w:drawing>
      </w:r>
    </w:p>
    <w:p>
      <w:pPr>
        <w:spacing w:after="0" w:line="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2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November 7, 2019</w:t>
      </w:r>
    </w:p>
    <w:p>
      <w:pPr>
        <w:spacing w:after="0" w:line="1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7202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September 30, 2019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36" w:lineRule="exact"/>
        <w:rPr>
          <w:sz w:val="20"/>
          <w:szCs w:val="20"/>
          <w:color w:val="auto"/>
        </w:rPr>
      </w:pPr>
    </w:p>
    <w:p>
      <w:pPr>
        <w:ind w:left="800" w:hanging="361"/>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9" w:lineRule="exact"/>
        <w:rPr>
          <w:rFonts w:ascii="Times New Roman" w:cs="Times New Roman" w:eastAsia="Times New Roman" w:hAnsi="Times New Roman"/>
          <w:sz w:val="18"/>
          <w:szCs w:val="18"/>
          <w:color w:val="auto"/>
        </w:rPr>
      </w:pPr>
    </w:p>
    <w:p>
      <w:pPr>
        <w:ind w:left="800" w:hanging="361"/>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4317365</wp:posOffset>
            </wp:positionH>
            <wp:positionV relativeFrom="paragraph">
              <wp:posOffset>17145</wp:posOffset>
            </wp:positionV>
            <wp:extent cx="29349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34970" cy="8255"/>
                    </a:xfrm>
                    <a:prstGeom prst="rect">
                      <a:avLst/>
                    </a:prstGeom>
                    <a:noFill/>
                  </pic:spPr>
                </pic:pic>
              </a:graphicData>
            </a:graphic>
          </wp:anchor>
        </w:drawing>
      </w:r>
    </w:p>
    <w:p>
      <w:pPr>
        <w:spacing w:after="0" w:line="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 Stephen Appelbaum</w:t>
      </w:r>
    </w:p>
    <w:p>
      <w:pPr>
        <w:spacing w:after="0" w:line="2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November 7, 2019</w:t>
      </w:r>
    </w:p>
    <w:p>
      <w:pPr>
        <w:spacing w:after="0" w:line="1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7202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50800"/>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1"/>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2019-12-28T02:19:11Z</dcterms:created>
  <dcterms:modified xsi:type="dcterms:W3CDTF">2019-12-28T02:19:11Z</dcterms:modified>
</cp:coreProperties>
</file>