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76" w:before="60" w:after="283"/>
        <w:jc w:val="center"/>
        <w:rPr>
          <w:rFonts w:ascii="Times New Roman;serif" w:hAnsi="Times New Roman;serif"/>
          <w:b/>
          <w:color w:val="000000"/>
          <w:sz w:val="24"/>
        </w:rPr>
      </w:pPr>
      <w:r>
        <w:rPr>
          <w:rFonts w:ascii="Times New Roman;serif" w:hAnsi="Times New Roman;serif"/>
          <w:b/>
          <w:color w:val="000000"/>
          <w:sz w:val="24"/>
        </w:rPr>
        <w:t>FORM 10-Q</w:t>
      </w:r>
    </w:p>
    <w:tbl>
      <w:tblPr>
        <w:tblW w:w="10034" w:type="dxa"/>
        <w:jc w:val="left"/>
        <w:tblInd w:w="0" w:type="dxa"/>
        <w:tblLayout w:type="fixed"/>
        <w:tblCellMar>
          <w:top w:w="28" w:type="dxa"/>
          <w:left w:w="28" w:type="dxa"/>
          <w:bottom w:w="28" w:type="dxa"/>
          <w:right w:w="28" w:type="dxa"/>
        </w:tblCellMar>
      </w:tblPr>
      <w:tblGrid>
        <w:gridCol w:w="190"/>
        <w:gridCol w:w="167"/>
        <w:gridCol w:w="167"/>
        <w:gridCol w:w="2786"/>
        <w:gridCol w:w="2786"/>
        <w:gridCol w:w="393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 xml:space="preserve">x </w:t>
            </w:r>
          </w:p>
        </w:tc>
        <w:tc>
          <w:tcPr>
            <w:tcW w:w="9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QUARTERLY REPORT PURSUANT TO SECTION 13 or 15(d) OF THE SECURITIES EXCHANGE ACT OF 1934 </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For the quarterly period ended </w:t>
            </w:r>
            <w:r>
              <w:rPr>
                <w:rFonts w:ascii="Times New Roman;serif" w:hAnsi="Times New Roman;serif"/>
                <w:b w:val="false"/>
                <w:color w:val="000000"/>
                <w:sz w:val="20"/>
                <w:u w:val="single"/>
              </w:rPr>
              <w:t>June 30, 2026</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34" w:type="dxa"/>
            <w:gridSpan w:val="6"/>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OR </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TRANSITION REPORT PURSUANT TO SECTION 13 OR 15(d) OF THE SECURITIES EXCHANGE ACT OF 1934 </w:t>
            </w:r>
          </w:p>
        </w:tc>
      </w:tr>
      <w:tr>
        <w:trPr/>
        <w:tc>
          <w:tcPr>
            <w:tcW w:w="100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No. 000-20827</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CASS INFORMATION SYSTEMS,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108" w:type="dxa"/>
        <w:jc w:val="center"/>
        <w:tblInd w:w="0" w:type="dxa"/>
        <w:tblLayout w:type="fixed"/>
        <w:tblCellMar>
          <w:top w:w="28" w:type="dxa"/>
          <w:left w:w="28" w:type="dxa"/>
          <w:bottom w:w="28" w:type="dxa"/>
          <w:right w:w="28" w:type="dxa"/>
        </w:tblCellMar>
      </w:tblPr>
      <w:tblGrid>
        <w:gridCol w:w="1458"/>
        <w:gridCol w:w="1281"/>
        <w:gridCol w:w="1295"/>
        <w:gridCol w:w="897"/>
        <w:gridCol w:w="897"/>
        <w:gridCol w:w="1280"/>
      </w:tblGrid>
      <w:tr>
        <w:trPr/>
        <w:tc>
          <w:tcPr>
            <w:tcW w:w="145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Missouri</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43-1265338</w:t>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(State or other jurisdiction of incorporation or </w:t>
              <w:br/>
              <w:t xml:space="preserve">organization) </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Identification No.) </w:t>
            </w:r>
          </w:p>
        </w:tc>
      </w:tr>
      <w:tr>
        <w:trPr/>
        <w:tc>
          <w:tcPr>
            <w:tcW w:w="40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12444 Powerscourt Drive, Suite 550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St. Louis, Missouri</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63131</w:t>
            </w:r>
          </w:p>
        </w:tc>
      </w:tr>
      <w:tr>
        <w:trPr/>
        <w:tc>
          <w:tcPr>
            <w:tcW w:w="40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tc>
        <w:tc>
          <w:tcPr>
            <w:tcW w:w="30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(Zip Code)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(314) 506-5500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57" w:type="dxa"/>
        <w:jc w:val="center"/>
        <w:tblInd w:w="0" w:type="dxa"/>
        <w:tblLayout w:type="fixed"/>
        <w:tblCellMar>
          <w:top w:w="28" w:type="dxa"/>
          <w:left w:w="28" w:type="dxa"/>
          <w:bottom w:w="28" w:type="dxa"/>
          <w:right w:w="28" w:type="dxa"/>
        </w:tblCellMar>
      </w:tblPr>
      <w:tblGrid>
        <w:gridCol w:w="955"/>
        <w:gridCol w:w="836"/>
        <w:gridCol w:w="848"/>
        <w:gridCol w:w="109"/>
        <w:gridCol w:w="109"/>
        <w:gridCol w:w="109"/>
        <w:gridCol w:w="504"/>
        <w:gridCol w:w="504"/>
        <w:gridCol w:w="506"/>
        <w:gridCol w:w="109"/>
        <w:gridCol w:w="109"/>
        <w:gridCol w:w="109"/>
        <w:gridCol w:w="1098"/>
        <w:gridCol w:w="1098"/>
        <w:gridCol w:w="1554"/>
      </w:tblGrid>
      <w:tr>
        <w:trPr/>
        <w:tc>
          <w:tcPr>
            <w:tcW w:w="95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Trading symbols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registered </w:t>
            </w:r>
          </w:p>
        </w:tc>
      </w:tr>
      <w:tr>
        <w:trPr/>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par value $.50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Global Select Market </w:t>
            </w:r>
          </w:p>
        </w:tc>
      </w:tr>
    </w:tbl>
    <w:p>
      <w:pPr>
        <w:pStyle w:val="TextBody"/>
        <w:bidi w:val="0"/>
        <w:spacing w:lineRule="auto" w:line="288" w:before="120" w:after="283"/>
        <w:ind w:left="0" w:right="0" w:firstLine="36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200" w:after="283"/>
        <w:ind w:left="0" w:right="0" w:firstLine="720"/>
        <w:jc w:val="left"/>
        <w:rPr/>
      </w:pPr>
      <w:r>
        <w:rPr>
          <w:rFonts w:ascii="Times New Roman;serif" w:hAnsi="Times New Roman;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516" w:type="dxa"/>
        <w:jc w:val="center"/>
        <w:tblInd w:w="0" w:type="dxa"/>
        <w:tblLayout w:type="fixed"/>
        <w:tblCellMar>
          <w:top w:w="28" w:type="dxa"/>
          <w:left w:w="28" w:type="dxa"/>
          <w:bottom w:w="28" w:type="dxa"/>
          <w:right w:w="28" w:type="dxa"/>
        </w:tblCellMar>
      </w:tblPr>
      <w:tblGrid>
        <w:gridCol w:w="743"/>
        <w:gridCol w:w="654"/>
        <w:gridCol w:w="658"/>
        <w:gridCol w:w="109"/>
        <w:gridCol w:w="109"/>
        <w:gridCol w:w="109"/>
        <w:gridCol w:w="824"/>
        <w:gridCol w:w="824"/>
        <w:gridCol w:w="827"/>
        <w:gridCol w:w="160"/>
        <w:gridCol w:w="160"/>
        <w:gridCol w:w="160"/>
        <w:gridCol w:w="809"/>
        <w:gridCol w:w="809"/>
        <w:gridCol w:w="812"/>
        <w:gridCol w:w="109"/>
        <w:gridCol w:w="109"/>
        <w:gridCol w:w="531"/>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480" w:type="dxa"/>
            <w:gridSpan w:val="3"/>
            <w:tcBorders/>
            <w:tcMar>
              <w:top w:w="0" w:type="dxa"/>
              <w:left w:w="0" w:type="dxa"/>
              <w:bottom w:w="0" w:type="dxa"/>
              <w:right w:w="0" w:type="dxa"/>
            </w:tcMar>
            <w:vAlign w:val="center"/>
          </w:tcPr>
          <w:p>
            <w:pPr>
              <w:pStyle w:val="TableContents"/>
              <w:bidi w:val="0"/>
              <w:spacing w:lineRule="auto" w:line="273" w:before="0" w:after="0"/>
              <w:jc w:val="left"/>
              <w:rPr/>
            </w:pPr>
            <w:r>
              <w:rPr>
                <w:rFonts w:ascii="Wingdings;sans-serif" w:hAnsi="Wingdings;sans-serif"/>
                <w:b w:val="false"/>
                <w:color w:val="000000"/>
                <w:sz w:val="20"/>
              </w:rPr>
              <w:t>x</w:t>
            </w:r>
            <w:r>
              <w:rPr>
                <w:color w:val="000000"/>
              </w:rPr>
              <w:t xml:space="preserve"> </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4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 xml:space="preserve">o </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7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200" w:after="283"/>
        <w:ind w:left="0" w:right="0" w:firstLine="720"/>
        <w:jc w:val="left"/>
        <w:rPr/>
      </w:pPr>
      <w:r>
        <w:rPr>
          <w:rFonts w:ascii="Times New Roman;serif" w:hAnsi="Times New Roman;serif"/>
          <w:b w:val="false"/>
          <w:color w:val="000000"/>
          <w:sz w:val="20"/>
        </w:rPr>
        <w:t>Yes     ☐                 No    </w:t>
      </w:r>
      <w:r>
        <w:rPr>
          <w:rFonts w:ascii="Wingdings;sans-serif" w:hAnsi="Wingdings;sans-serif"/>
          <w:b w:val="false"/>
          <w:color w:val="000000"/>
          <w:sz w:val="20"/>
        </w:rPr>
        <w:t>x</w:t>
      </w:r>
    </w:p>
    <w:p>
      <w:pPr>
        <w:pStyle w:val="TextBody"/>
        <w:bidi w:val="0"/>
        <w:spacing w:lineRule="auto" w:line="288" w:before="2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the registrant's only class of common stock as of August 3, 2026: Common stock, par value $.50 per share – 12,806,149 shares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91"/>
        <w:gridCol w:w="422"/>
        <w:gridCol w:w="422"/>
        <w:gridCol w:w="2835"/>
        <w:gridCol w:w="2817"/>
        <w:gridCol w:w="2843"/>
        <w:gridCol w:w="109"/>
        <w:gridCol w:w="109"/>
        <w:gridCol w:w="157"/>
      </w:tblGrid>
      <w:tr>
        <w:trPr/>
        <w:tc>
          <w:tcPr>
            <w:tcW w:w="49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32d40cbb1e984e4db9720acd9063f3e6_10">
              <w:r>
                <w:rPr>
                  <w:rStyle w:val="InternetLink"/>
                  <w:rFonts w:ascii="Times New Roman;serif" w:hAnsi="Times New Roman;serif"/>
                  <w:b/>
                  <w:color w:val="0000FF"/>
                  <w:sz w:val="20"/>
                  <w:u w:val="single"/>
                </w:rPr>
                <w:t>PART I – Financial Information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73" w:before="0" w:after="0"/>
              <w:ind w:left="0" w:right="0" w:firstLine="180"/>
              <w:jc w:val="left"/>
              <w:rPr/>
            </w:pPr>
            <w:hyperlink w:anchor="i32d40cbb1e984e4db9720acd9063f3e6_13">
              <w:r>
                <w:rPr>
                  <w:rStyle w:val="InternetLink"/>
                  <w:rFonts w:ascii="Times New Roman;serif" w:hAnsi="Times New Roman;serif"/>
                  <w:b w:val="false"/>
                  <w:color w:val="0000FF"/>
                  <w:sz w:val="20"/>
                  <w:u w:val="single"/>
                </w:rPr>
                <w:t>Item 1.</w:t>
              </w:r>
            </w:hyperlink>
          </w:p>
        </w:tc>
        <w:tc>
          <w:tcPr>
            <w:tcW w:w="849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d40cbb1e984e4db9720acd9063f3e6_13">
              <w:r>
                <w:rPr>
                  <w:rStyle w:val="InternetLink"/>
                  <w:rFonts w:ascii="Times New Roman;serif" w:hAnsi="Times New Roman;serif"/>
                  <w:b w:val="false"/>
                  <w:color w:val="0000FF"/>
                  <w:sz w:val="20"/>
                  <w:u w:val="single"/>
                </w:rPr>
                <w:t>FINANCIAL STATEMENTS</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88" w:before="0" w:after="260"/>
              <w:jc w:val="left"/>
              <w:rPr/>
            </w:pPr>
            <w:hyperlink w:anchor="i32d40cbb1e984e4db9720acd9063f3e6_16">
              <w:r>
                <w:rPr>
                  <w:rStyle w:val="InternetLink"/>
                  <w:rFonts w:ascii="Times New Roman;serif" w:hAnsi="Times New Roman;serif"/>
                  <w:b w:val="false"/>
                  <w:color w:val="0000FF"/>
                  <w:sz w:val="20"/>
                  <w:u w:val="single"/>
                </w:rPr>
                <w:t>Consolidated Balance Sheets June 30, 2026 and December 31, 2025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16">
              <w:r>
                <w:rPr>
                  <w:rStyle w:val="InternetLink"/>
                  <w:rFonts w:ascii="Times New Roman;serif" w:hAnsi="Times New Roman;serif"/>
                  <w:b w:val="false"/>
                  <w:color w:val="0000FF"/>
                  <w:sz w:val="20"/>
                  <w:u w:val="single"/>
                </w:rPr>
                <w:t>3</w:t>
              </w:r>
            </w:hyperlink>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shd w:fill="FFFFFF" w:val="clear"/>
            <w:tcMar>
              <w:top w:w="0" w:type="dxa"/>
              <w:left w:w="0" w:type="dxa"/>
              <w:bottom w:w="0" w:type="dxa"/>
              <w:right w:w="0" w:type="dxa"/>
            </w:tcMar>
            <w:vAlign w:val="center"/>
          </w:tcPr>
          <w:p>
            <w:pPr>
              <w:pStyle w:val="TableContents"/>
              <w:bidi w:val="0"/>
              <w:spacing w:lineRule="auto" w:line="288" w:before="0" w:after="260"/>
              <w:ind w:left="0" w:right="0" w:hanging="180"/>
              <w:jc w:val="left"/>
              <w:rPr/>
            </w:pPr>
            <w:hyperlink w:anchor="i32d40cbb1e984e4db9720acd9063f3e6_19">
              <w:r>
                <w:rPr>
                  <w:rStyle w:val="InternetLink"/>
                  <w:rFonts w:ascii="Times New Roman;serif" w:hAnsi="Times New Roman;serif"/>
                  <w:b w:val="false"/>
                  <w:color w:val="0000FF"/>
                  <w:sz w:val="20"/>
                  <w:u w:val="single"/>
                </w:rPr>
                <w:t>Consolidated Statements of Income Three and Six Months Ended June 30, 2026 and 2025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19">
              <w:r>
                <w:rPr>
                  <w:rStyle w:val="InternetLink"/>
                  <w:rFonts w:ascii="Times New Roman;serif" w:hAnsi="Times New Roman;serif"/>
                  <w:b w:val="false"/>
                  <w:color w:val="0000FF"/>
                  <w:sz w:val="20"/>
                  <w:u w:val="single"/>
                </w:rPr>
                <w:t>4</w:t>
              </w:r>
            </w:hyperlink>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32d40cbb1e984e4db9720acd9063f3e6_22">
              <w:r>
                <w:rPr>
                  <w:rStyle w:val="InternetLink"/>
                  <w:rFonts w:ascii="Times New Roman;serif" w:hAnsi="Times New Roman;serif"/>
                  <w:b w:val="false"/>
                  <w:color w:val="0000FF"/>
                  <w:sz w:val="20"/>
                  <w:u w:val="single"/>
                </w:rPr>
                <w:t>Consolidated Statements of Comprehensive Income Three and Six Months Ended June 30, 2026 and 2025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22">
              <w:r>
                <w:rPr>
                  <w:rStyle w:val="InternetLink"/>
                  <w:rFonts w:ascii="Times New Roman;serif" w:hAnsi="Times New Roman;serif"/>
                  <w:b w:val="false"/>
                  <w:color w:val="0000FF"/>
                  <w:sz w:val="20"/>
                  <w:u w:val="single"/>
                </w:rPr>
                <w:t>5</w:t>
              </w:r>
            </w:hyperlink>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32d40cbb1e984e4db9720acd9063f3e6_25">
              <w:r>
                <w:rPr>
                  <w:rStyle w:val="InternetLink"/>
                  <w:rFonts w:ascii="Times New Roman;serif" w:hAnsi="Times New Roman;serif"/>
                  <w:b w:val="false"/>
                  <w:color w:val="0000FF"/>
                  <w:sz w:val="20"/>
                  <w:u w:val="single"/>
                </w:rPr>
                <w:t>Consolidated Statements of Cash Flows Six Months Ended June 30, 2026 and 2025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25">
              <w:r>
                <w:rPr>
                  <w:rStyle w:val="InternetLink"/>
                  <w:rFonts w:ascii="Times New Roman;serif" w:hAnsi="Times New Roman;serif"/>
                  <w:b w:val="false"/>
                  <w:color w:val="0000FF"/>
                  <w:sz w:val="20"/>
                  <w:u w:val="single"/>
                </w:rPr>
                <w:t>6</w:t>
              </w:r>
            </w:hyperlink>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76" w:before="0" w:after="260"/>
              <w:ind w:left="0" w:right="0" w:hanging="180"/>
              <w:jc w:val="left"/>
              <w:rPr/>
            </w:pPr>
            <w:hyperlink w:anchor="i32d40cbb1e984e4db9720acd9063f3e6_28">
              <w:r>
                <w:rPr>
                  <w:rStyle w:val="InternetLink"/>
                  <w:rFonts w:ascii="Times New Roman;serif" w:hAnsi="Times New Roman;serif"/>
                  <w:b w:val="false"/>
                  <w:color w:val="0000FF"/>
                  <w:sz w:val="20"/>
                  <w:u w:val="single"/>
                </w:rPr>
                <w:t>Consolidated Statements of Shareholders’ Equity Three and Six Months Ended June 30, 2026 and 2025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28">
              <w:r>
                <w:rPr>
                  <w:rStyle w:val="InternetLink"/>
                  <w:rFonts w:ascii="Times New Roman;serif" w:hAnsi="Times New Roman;serif"/>
                  <w:b w:val="false"/>
                  <w:color w:val="0000FF"/>
                  <w:sz w:val="20"/>
                  <w:u w:val="single"/>
                </w:rPr>
                <w:t>7</w:t>
              </w:r>
            </w:hyperlink>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2d40cbb1e984e4db9720acd9063f3e6_34">
              <w:r>
                <w:rPr>
                  <w:rStyle w:val="InternetLink"/>
                  <w:rFonts w:ascii="Times New Roman;serif" w:hAnsi="Times New Roman;serif"/>
                  <w:b w:val="false"/>
                  <w:color w:val="0000FF"/>
                  <w:sz w:val="20"/>
                  <w:u w:val="single"/>
                </w:rPr>
                <w:t>Notes to Consolidated Financial Statements (unaudited)</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34">
              <w:r>
                <w:rPr>
                  <w:rStyle w:val="InternetLink"/>
                  <w:rFonts w:ascii="Times New Roman;serif" w:hAnsi="Times New Roman;serif"/>
                  <w:b w:val="false"/>
                  <w:color w:val="0000FF"/>
                  <w:sz w:val="20"/>
                  <w:u w:val="single"/>
                </w:rPr>
                <w:t>9</w:t>
              </w:r>
            </w:hyperlink>
          </w:p>
        </w:tc>
      </w:tr>
      <w:tr>
        <w:trPr/>
        <w:tc>
          <w:tcPr>
            <w:tcW w:w="1335" w:type="dxa"/>
            <w:gridSpan w:val="3"/>
            <w:tcBorders/>
            <w:tcMar>
              <w:top w:w="0" w:type="dxa"/>
              <w:left w:w="0" w:type="dxa"/>
              <w:bottom w:w="0" w:type="dxa"/>
              <w:right w:w="0" w:type="dxa"/>
            </w:tcMar>
            <w:vAlign w:val="center"/>
          </w:tcPr>
          <w:p>
            <w:pPr>
              <w:pStyle w:val="TableContents"/>
              <w:bidi w:val="0"/>
              <w:spacing w:lineRule="auto" w:line="273" w:before="0" w:after="0"/>
              <w:ind w:left="0" w:right="0" w:firstLine="180"/>
              <w:jc w:val="left"/>
              <w:rPr/>
            </w:pPr>
            <w:hyperlink w:anchor="i32d40cbb1e984e4db9720acd9063f3e6_91">
              <w:r>
                <w:rPr>
                  <w:rStyle w:val="InternetLink"/>
                  <w:rFonts w:ascii="Times New Roman;serif" w:hAnsi="Times New Roman;serif"/>
                  <w:b w:val="false"/>
                  <w:color w:val="0000FF"/>
                  <w:sz w:val="20"/>
                  <w:u w:val="single"/>
                </w:rPr>
                <w:t>Item 2.</w:t>
              </w:r>
            </w:hyperlink>
          </w:p>
        </w:tc>
        <w:tc>
          <w:tcPr>
            <w:tcW w:w="8495"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2d40cbb1e984e4db9720acd9063f3e6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91">
              <w:r>
                <w:rPr>
                  <w:rStyle w:val="InternetLink"/>
                  <w:rFonts w:ascii="Times New Roman;serif" w:hAnsi="Times New Roman;serif"/>
                  <w:b w:val="false"/>
                  <w:color w:val="0000FF"/>
                  <w:sz w:val="20"/>
                  <w:u w:val="single"/>
                </w:rPr>
                <w:t>26</w:t>
              </w:r>
            </w:hyperlink>
          </w:p>
        </w:tc>
      </w:tr>
      <w:tr>
        <w:trPr/>
        <w:tc>
          <w:tcPr>
            <w:tcW w:w="1335" w:type="dxa"/>
            <w:gridSpan w:val="3"/>
            <w:tcBorders/>
            <w:tcMar>
              <w:top w:w="0" w:type="dxa"/>
              <w:left w:w="0" w:type="dxa"/>
              <w:bottom w:w="0" w:type="dxa"/>
              <w:right w:w="0" w:type="dxa"/>
            </w:tcMar>
            <w:vAlign w:val="center"/>
          </w:tcPr>
          <w:p>
            <w:pPr>
              <w:pStyle w:val="TableContents"/>
              <w:bidi w:val="0"/>
              <w:spacing w:lineRule="auto" w:line="273" w:before="0" w:after="0"/>
              <w:ind w:left="0" w:right="0" w:firstLine="180"/>
              <w:jc w:val="left"/>
              <w:rPr/>
            </w:pPr>
            <w:hyperlink w:anchor="i32d40cbb1e984e4db9720acd9063f3e6_145">
              <w:r>
                <w:rPr>
                  <w:rStyle w:val="InternetLink"/>
                  <w:rFonts w:ascii="Times New Roman;serif" w:hAnsi="Times New Roman;serif"/>
                  <w:b w:val="false"/>
                  <w:color w:val="0000FF"/>
                  <w:sz w:val="20"/>
                  <w:u w:val="single"/>
                </w:rPr>
                <w:t>Item 3.</w:t>
              </w:r>
            </w:hyperlink>
          </w:p>
        </w:tc>
        <w:tc>
          <w:tcPr>
            <w:tcW w:w="8495"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2d40cbb1e984e4db9720acd9063f3e6_145">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145">
              <w:r>
                <w:rPr>
                  <w:rStyle w:val="InternetLink"/>
                  <w:rFonts w:ascii="Times New Roman;serif" w:hAnsi="Times New Roman;serif"/>
                  <w:b w:val="false"/>
                  <w:color w:val="0000FF"/>
                  <w:sz w:val="20"/>
                  <w:u w:val="single"/>
                </w:rPr>
                <w:t>40</w:t>
              </w:r>
            </w:hyperlink>
          </w:p>
        </w:tc>
      </w:tr>
      <w:tr>
        <w:trPr/>
        <w:tc>
          <w:tcPr>
            <w:tcW w:w="1335" w:type="dxa"/>
            <w:gridSpan w:val="3"/>
            <w:tcBorders/>
            <w:tcMar>
              <w:top w:w="0" w:type="dxa"/>
              <w:left w:w="0" w:type="dxa"/>
              <w:bottom w:w="0" w:type="dxa"/>
              <w:right w:w="0" w:type="dxa"/>
            </w:tcMar>
            <w:vAlign w:val="center"/>
          </w:tcPr>
          <w:p>
            <w:pPr>
              <w:pStyle w:val="TableContents"/>
              <w:bidi w:val="0"/>
              <w:spacing w:lineRule="auto" w:line="273" w:before="0" w:after="0"/>
              <w:ind w:left="0" w:right="0" w:firstLine="180"/>
              <w:jc w:val="left"/>
              <w:rPr/>
            </w:pPr>
            <w:hyperlink w:anchor="i32d40cbb1e984e4db9720acd9063f3e6_148">
              <w:r>
                <w:rPr>
                  <w:rStyle w:val="InternetLink"/>
                  <w:rFonts w:ascii="Times New Roman;serif" w:hAnsi="Times New Roman;serif"/>
                  <w:b w:val="false"/>
                  <w:color w:val="0000FF"/>
                  <w:sz w:val="20"/>
                  <w:u w:val="single"/>
                </w:rPr>
                <w:t>Item 4.</w:t>
              </w:r>
            </w:hyperlink>
          </w:p>
        </w:tc>
        <w:tc>
          <w:tcPr>
            <w:tcW w:w="8495" w:type="dxa"/>
            <w:gridSpan w:val="3"/>
            <w:tcBorders/>
            <w:tcMar>
              <w:top w:w="0" w:type="dxa"/>
              <w:left w:w="0" w:type="dxa"/>
              <w:bottom w:w="0" w:type="dxa"/>
              <w:right w:w="0" w:type="dxa"/>
            </w:tcMar>
            <w:vAlign w:val="center"/>
          </w:tcPr>
          <w:p>
            <w:pPr>
              <w:pStyle w:val="TableContents"/>
              <w:bidi w:val="0"/>
              <w:spacing w:lineRule="auto" w:line="276" w:before="0" w:after="0"/>
              <w:ind w:left="0" w:right="0" w:hanging="180"/>
              <w:jc w:val="left"/>
              <w:rPr/>
            </w:pPr>
            <w:hyperlink w:anchor="i32d40cbb1e984e4db9720acd9063f3e6_148">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148">
              <w:r>
                <w:rPr>
                  <w:rStyle w:val="InternetLink"/>
                  <w:rFonts w:ascii="Times New Roman;serif" w:hAnsi="Times New Roman;serif"/>
                  <w:b w:val="false"/>
                  <w:color w:val="0000FF"/>
                  <w:sz w:val="20"/>
                  <w:u w:val="single"/>
                </w:rPr>
                <w:t>40</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32d40cbb1e984e4db9720acd9063f3e6_151">
              <w:r>
                <w:rPr>
                  <w:rStyle w:val="InternetLink"/>
                  <w:rFonts w:ascii="Times New Roman;serif" w:hAnsi="Times New Roman;serif"/>
                  <w:b/>
                  <w:color w:val="0000FF"/>
                  <w:sz w:val="20"/>
                  <w:u w:val="single"/>
                </w:rPr>
                <w:t>PART II – Other Information – Items 1. – 6.</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151">
              <w:r>
                <w:rPr>
                  <w:rStyle w:val="InternetLink"/>
                  <w:rFonts w:ascii="Times New Roman;serif" w:hAnsi="Times New Roman;serif"/>
                  <w:b w:val="false"/>
                  <w:color w:val="0000FF"/>
                  <w:sz w:val="20"/>
                  <w:u w:val="single"/>
                </w:rPr>
                <w:t>41</w:t>
              </w:r>
            </w:hyperlink>
          </w:p>
        </w:tc>
      </w:tr>
      <w:tr>
        <w:trPr/>
        <w:tc>
          <w:tcPr>
            <w:tcW w:w="9830" w:type="dxa"/>
            <w:gridSpan w:val="6"/>
            <w:tcBorders/>
            <w:tcMar>
              <w:top w:w="0" w:type="dxa"/>
              <w:left w:w="0" w:type="dxa"/>
              <w:bottom w:w="0" w:type="dxa"/>
              <w:right w:w="0" w:type="dxa"/>
            </w:tcMar>
            <w:vAlign w:val="center"/>
          </w:tcPr>
          <w:p>
            <w:pPr>
              <w:pStyle w:val="TableContents"/>
              <w:bidi w:val="0"/>
              <w:spacing w:lineRule="auto" w:line="273" w:before="0" w:after="0"/>
              <w:ind w:left="0" w:right="0" w:hanging="900"/>
              <w:jc w:val="left"/>
              <w:rPr/>
            </w:pPr>
            <w:hyperlink w:anchor="i32d40cbb1e984e4db9720acd9063f3e6_175">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d40cbb1e984e4db9720acd9063f3e6_175">
              <w:r>
                <w:rPr>
                  <w:rStyle w:val="InternetLink"/>
                  <w:rFonts w:ascii="Times New Roman;serif" w:hAnsi="Times New Roman;serif"/>
                  <w:b w:val="false"/>
                  <w:color w:val="0000FF"/>
                  <w:sz w:val="20"/>
                  <w:u w:val="single"/>
                </w:rPr>
                <w:t>43</w:t>
              </w:r>
            </w:hyperlink>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 - Factors That May Affect Future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2025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2875"/>
        <w:gridCol w:w="2291"/>
        <w:gridCol w:w="2067"/>
        <w:gridCol w:w="212"/>
        <w:gridCol w:w="981"/>
        <w:gridCol w:w="109"/>
        <w:gridCol w:w="109"/>
        <w:gridCol w:w="109"/>
        <w:gridCol w:w="109"/>
        <w:gridCol w:w="211"/>
        <w:gridCol w:w="976"/>
        <w:gridCol w:w="156"/>
      </w:tblGrid>
      <w:tr>
        <w:trPr/>
        <w:tc>
          <w:tcPr>
            <w:tcW w:w="2875"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3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02"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due from banks </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187,349 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366,139 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228,473 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392,268 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available-for-sale, at fair value </w:t>
            </w:r>
          </w:p>
        </w:tc>
        <w:tc>
          <w:tcPr>
            <w:tcW w:w="1193"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736,790 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Allowance for credit losses </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net </w:t>
            </w:r>
          </w:p>
        </w:tc>
        <w:tc>
          <w:tcPr>
            <w:tcW w:w="1193"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1,088,665 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1,047,620 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Payments in advance of funding </w:t>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164,514 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Premises and equipment, net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29,449 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bank-owned life insurance </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and drafts receivable from customers</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44,690 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69,425 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59,889 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12"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2,516,212 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2,606,024 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30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Liabilities:</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t>
            </w:r>
          </w:p>
        </w:tc>
        <w:tc>
          <w:tcPr>
            <w:tcW w:w="130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Noninterest-bearing </w:t>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Interest-bearing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634,716 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686,599 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deposits </w:t>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w:t>
            </w:r>
          </w:p>
        </w:tc>
        <w:tc>
          <w:tcPr>
            <w:tcW w:w="1193"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1,028,098 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w:t>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2,271,548 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2,363,026 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Shareholders’ Equity:</w:t>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par value $.50 per share; 2,000,000 shares authorized and no shares issued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par value $.50 per share; 40,000,000 shares authorized and 15,505,772 shares issued at June 30, 2026 and December 31, 2025; 12,806,149 and 12,917,637 shares outstanding at June 30, 2026 and December 31, 2025, respectively.</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 capital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206,971 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207,052 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Common shares in treasury, at cost (2,699,623 shares at June 30, 2026 and 2,588,135 shares at December 31, 2025) </w:t>
            </w:r>
          </w:p>
        </w:tc>
        <w:tc>
          <w:tcPr>
            <w:tcW w:w="119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(117,437)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(112,148)</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shareholders’ equity </w:t>
            </w:r>
          </w:p>
        </w:tc>
        <w:tc>
          <w:tcPr>
            <w:tcW w:w="1193"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244,664 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242,998 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and shareholders’ equity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2,516,212 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2,606,024 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Data)</w:t>
      </w:r>
    </w:p>
    <w:tbl>
      <w:tblPr>
        <w:tblW w:w="9450" w:type="dxa"/>
        <w:jc w:val="center"/>
        <w:tblInd w:w="0" w:type="dxa"/>
        <w:tblLayout w:type="fixed"/>
        <w:tblCellMar>
          <w:top w:w="28" w:type="dxa"/>
          <w:left w:w="28" w:type="dxa"/>
          <w:bottom w:w="28" w:type="dxa"/>
          <w:right w:w="28" w:type="dxa"/>
        </w:tblCellMar>
      </w:tblPr>
      <w:tblGrid>
        <w:gridCol w:w="1674"/>
        <w:gridCol w:w="1467"/>
        <w:gridCol w:w="147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2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Fee Revenue and Other Income:</w:t>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Processing fees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fees</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10,951 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10,161 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20,122 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investment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fee revenue and other income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24,948 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52,986 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fees on loans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15,837 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31,233 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31,187 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dividends on investment securities: </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Taxable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Exempt from federal income taxes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on federal funds sold and other short-term investments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5,402 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6,895 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interest income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47,028 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on deposits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7,744 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on short-term borrowings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interest expense </w:t>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7,946 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8,280 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income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38,748 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 after provision for credit losses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net revenue </w:t>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49,943 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44,398 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99,044 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90,804 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w:t>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commissions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profit sharing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benefits</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4,613 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personnel expenses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54,364 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Occupancy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Equipment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Amortization of intangible assets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recovery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operating expense </w:t>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7,671 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15,204 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13,786 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 </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74,987 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73,649 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from continuing operations, before income tax expense </w:t>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13,174 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24,057 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expense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10,575 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5,160 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19,314 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10,587 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8,855 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19,419 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17,821 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from continuing operations</w:t>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share</w:t>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from continuing operations</w:t>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 from discontinued operations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19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4"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w:t>
      </w:r>
    </w:p>
    <w:tbl>
      <w:tblPr>
        <w:tblW w:w="10205" w:type="dxa"/>
        <w:jc w:val="left"/>
        <w:tblInd w:w="0" w:type="dxa"/>
        <w:tblLayout w:type="fixed"/>
        <w:tblCellMar>
          <w:top w:w="28" w:type="dxa"/>
          <w:left w:w="28" w:type="dxa"/>
          <w:bottom w:w="28" w:type="dxa"/>
          <w:right w:w="28" w:type="dxa"/>
        </w:tblCellMar>
      </w:tblPr>
      <w:tblGrid>
        <w:gridCol w:w="1827"/>
        <w:gridCol w:w="1592"/>
        <w:gridCol w:w="15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2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1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20"/>
              </w:rPr>
              <w:t>Comprehensive Income</w:t>
            </w:r>
            <w:r>
              <w:rPr>
                <w:rFonts w:ascii="Times New Roman;serif" w:hAnsi="Times New Roman;serif"/>
                <w:b w:val="false"/>
                <w:color w:val="000000"/>
                <w:sz w:val="20"/>
              </w:rPr>
              <w:t xml:space="preserve">: </w:t>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comprehensive income: </w:t>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unrealized (loss) gain on securities available-for-sale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(2,919)</w:t>
            </w:r>
          </w:p>
        </w:tc>
        <w:tc>
          <w:tcPr>
            <w:tcW w:w="156" w:type="dxa"/>
            <w:tcBorders/>
            <w:shd w:fill="B6B6B6"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Reclassification adjustments for (gains) losses included in net income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effect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w:t>
            </w:r>
          </w:p>
        </w:tc>
        <w:tc>
          <w:tcPr>
            <w:tcW w:w="156" w:type="dxa"/>
            <w:tcBorders/>
            <w:shd w:fill="B6B6B6"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on supplemental executive retirement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comprehensive income </w:t>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9,876 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15,694 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15,260 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30,334 </w:t>
            </w:r>
          </w:p>
        </w:tc>
        <w:tc>
          <w:tcPr>
            <w:tcW w:w="15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8625" w:type="dxa"/>
        <w:jc w:val="center"/>
        <w:tblInd w:w="0" w:type="dxa"/>
        <w:tblLayout w:type="fixed"/>
        <w:tblCellMar>
          <w:top w:w="28" w:type="dxa"/>
          <w:left w:w="28" w:type="dxa"/>
          <w:bottom w:w="28" w:type="dxa"/>
          <w:right w:w="28" w:type="dxa"/>
        </w:tblCellMar>
      </w:tblPr>
      <w:tblGrid>
        <w:gridCol w:w="2111"/>
        <w:gridCol w:w="1858"/>
        <w:gridCol w:w="1865"/>
        <w:gridCol w:w="196"/>
        <w:gridCol w:w="736"/>
        <w:gridCol w:w="109"/>
        <w:gridCol w:w="109"/>
        <w:gridCol w:w="109"/>
        <w:gridCol w:w="109"/>
        <w:gridCol w:w="196"/>
        <w:gridCol w:w="736"/>
        <w:gridCol w:w="491"/>
      </w:tblGrid>
      <w:tr>
        <w:trPr/>
        <w:tc>
          <w:tcPr>
            <w:tcW w:w="2111"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34"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17,821 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from discontinued operations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4,111 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13,710 </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provided by operating activities: </w:t>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 premium/discount on investment securities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491" w:type="dxa"/>
            <w:tcBorders/>
            <w:shd w:fill="B6B6B6"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loss on sale of investment securities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3,576 </w:t>
            </w:r>
          </w:p>
        </w:tc>
        <w:tc>
          <w:tcPr>
            <w:tcW w:w="491" w:type="dxa"/>
            <w:tcBorders/>
            <w:shd w:fill="B6B6B6"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Share-based compensation expense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491" w:type="dxa"/>
            <w:tcBorders/>
            <w:shd w:fill="B6B6B6"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current income tax liability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Decrease (increase) in accounts receivable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491" w:type="dxa"/>
            <w:tcBorders/>
            <w:shd w:fill="B6B6B6"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operating activities,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31,381 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21,538 </w:t>
            </w:r>
          </w:p>
        </w:tc>
        <w:tc>
          <w:tcPr>
            <w:tcW w:w="49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31,486 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20,274 </w:t>
            </w:r>
          </w:p>
        </w:tc>
        <w:tc>
          <w:tcPr>
            <w:tcW w:w="49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sales of investment securities available-for-sale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53,134 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maturities of investment securities available-for-sale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38,959 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40,037 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of investment securities available-for-sale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loans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(41,822)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(35,015)</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TEM business unit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payments in advance of funding</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(85,100)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30,929 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Purchases of premises and equipment, net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continuing operations</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(103,628)</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(50,038)</w:t>
            </w:r>
          </w:p>
        </w:tc>
        <w:tc>
          <w:tcPr>
            <w:tcW w:w="49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discontinued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investing activities </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(103,628)</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(50,137)</w:t>
            </w:r>
          </w:p>
        </w:tc>
        <w:tc>
          <w:tcPr>
            <w:tcW w:w="49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increase in noninterest-bearing demand deposits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(31,582)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119,377 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interest-bearing demand and savings deposits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(88,138)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time deposits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18,642 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accounts and drafts receivable from customers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increase in short-term borrowings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accounts and drafts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(92,816)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dividends paid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(8,224)</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(8,303)</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of common shares for treasury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financing activities, net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 continuing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(82,035)</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 discontinued operations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(19,665)</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cash used in financing activities </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(101,700)</w:t>
            </w:r>
          </w:p>
        </w:tc>
        <w:tc>
          <w:tcPr>
            <w:tcW w:w="4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decrease in cash and cash equivalents </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(163,795)</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(131,563)</w:t>
            </w:r>
          </w:p>
        </w:tc>
        <w:tc>
          <w:tcPr>
            <w:tcW w:w="49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at beginning of period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349,728 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at end of period </w:t>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228,473 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218,165 </w:t>
            </w:r>
          </w:p>
        </w:tc>
        <w:tc>
          <w:tcPr>
            <w:tcW w:w="49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Supplemental information: </w:t>
            </w:r>
          </w:p>
        </w:tc>
        <w:tc>
          <w:tcPr>
            <w:tcW w:w="10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8,481 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income taxes </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4,673 </w:t>
            </w:r>
          </w:p>
        </w:tc>
        <w:tc>
          <w:tcPr>
            <w:tcW w:w="49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CASS INFORMATION SYSTEMS,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THREE MONTHS ENDED JUNE 30,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except per share data) </w:t>
      </w:r>
    </w:p>
    <w:tbl>
      <w:tblPr>
        <w:tblW w:w="10205" w:type="dxa"/>
        <w:jc w:val="left"/>
        <w:tblInd w:w="0" w:type="dxa"/>
        <w:tblLayout w:type="fixed"/>
        <w:tblCellMar>
          <w:top w:w="28" w:type="dxa"/>
          <w:left w:w="28" w:type="dxa"/>
          <w:bottom w:w="28" w:type="dxa"/>
          <w:right w:w="28" w:type="dxa"/>
        </w:tblCellMar>
      </w:tblPr>
      <w:tblGrid>
        <w:gridCol w:w="887"/>
        <w:gridCol w:w="336"/>
        <w:gridCol w:w="337"/>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843"/>
        <w:gridCol w:w="109"/>
        <w:gridCol w:w="109"/>
        <w:gridCol w:w="109"/>
        <w:gridCol w:w="109"/>
        <w:gridCol w:w="284"/>
        <w:gridCol w:w="993"/>
        <w:gridCol w:w="149"/>
        <w:gridCol w:w="109"/>
        <w:gridCol w:w="109"/>
        <w:gridCol w:w="109"/>
        <w:gridCol w:w="211"/>
        <w:gridCol w:w="826"/>
        <w:gridCol w:w="156"/>
      </w:tblGrid>
      <w:tr>
        <w:trPr/>
        <w:tc>
          <w:tcPr>
            <w:tcW w:w="8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203,755 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153,278 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(91,025)</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(39,514)</w:t>
            </w:r>
          </w:p>
        </w:tc>
        <w:tc>
          <w:tcPr>
            <w:tcW w:w="14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234,247 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($0.31 per share)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24,038 common shares pursuant to share-based compensation plans, net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140,269 common shares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6,839 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June 30, 2025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($0.32 per share)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18,097 common shares pursuant to share-based compensation plans, net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65,557 common shares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June 30, 2026 </w:t>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206,971 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178,287 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(117,437)</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w:t>
            </w:r>
          </w:p>
        </w:tc>
        <w:tc>
          <w:tcPr>
            <w:tcW w:w="14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244,664 </w:t>
            </w:r>
          </w:p>
        </w:tc>
        <w:tc>
          <w:tcPr>
            <w:tcW w:w="15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CASS INFORMATION SYSTEMS, INC. AND SUBSIDIARIES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SIX MONTHS ENDED JUNE 30,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(Dollars in Thousands except per share data) </w:t>
      </w:r>
    </w:p>
    <w:tbl>
      <w:tblPr>
        <w:tblW w:w="10205" w:type="dxa"/>
        <w:jc w:val="left"/>
        <w:tblInd w:w="0" w:type="dxa"/>
        <w:tblLayout w:type="fixed"/>
        <w:tblCellMar>
          <w:top w:w="28" w:type="dxa"/>
          <w:left w:w="28" w:type="dxa"/>
          <w:bottom w:w="28" w:type="dxa"/>
          <w:right w:w="28" w:type="dxa"/>
        </w:tblCellMar>
      </w:tblPr>
      <w:tblGrid>
        <w:gridCol w:w="887"/>
        <w:gridCol w:w="336"/>
        <w:gridCol w:w="337"/>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843"/>
        <w:gridCol w:w="109"/>
        <w:gridCol w:w="109"/>
        <w:gridCol w:w="109"/>
        <w:gridCol w:w="109"/>
        <w:gridCol w:w="284"/>
        <w:gridCol w:w="993"/>
        <w:gridCol w:w="149"/>
        <w:gridCol w:w="109"/>
        <w:gridCol w:w="109"/>
        <w:gridCol w:w="109"/>
        <w:gridCol w:w="211"/>
        <w:gridCol w:w="826"/>
        <w:gridCol w:w="156"/>
      </w:tblGrid>
      <w:tr>
        <w:trPr/>
        <w:tc>
          <w:tcPr>
            <w:tcW w:w="88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2024 </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148,487 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(87,615)</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(45,188)</w:t>
            </w:r>
          </w:p>
        </w:tc>
        <w:tc>
          <w:tcPr>
            <w:tcW w:w="14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229,030 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($0.62 per share)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119,152 common shares pursuant to share-based compensation plan, net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256,378 common shares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gain</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June 30, 2025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(32,675)</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December 31, 2025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Cash dividends ($0.64 per share)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80,069 common shares pursuant to share-based compensation plans, net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Share-based compensation expense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130,359 common shares </w:t>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June 30, 2026 </w:t>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206,971 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178,287 </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(117,437)</w:t>
            </w:r>
          </w:p>
        </w:tc>
        <w:tc>
          <w:tcPr>
            <w:tcW w:w="10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(30,910)</w:t>
            </w:r>
          </w:p>
        </w:tc>
        <w:tc>
          <w:tcPr>
            <w:tcW w:w="149"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244,664 </w:t>
            </w:r>
          </w:p>
        </w:tc>
        <w:tc>
          <w:tcPr>
            <w:tcW w:w="156" w:type="dxa"/>
            <w:tcBorders>
              <w:top w:val="single" w:sz="8" w:space="0" w:color="000000"/>
              <w:bottom w:val="doub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CASS INFORMATION SYSTEMS,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1 - Basis of Presentation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Systems, Inc.’s (the “Company” or “Cass”) Annual Report on Form 10-K for the year ended December 31, 2025 ("2025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2 - Discontinued Operations and Assets and Liabilities Held for Sale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April 7, 2025, the Company signed an Asset Purchase Agreement providing for the sale of its telecom expense management and managed mobility solutions business unit ("TEM Business Unit") to Asignet USA Inc ("Asignet") for a purchase price of $18.0 million. The sale closed on June 30, 2025. The Company also signed a Transition Services Agreement with Asignet to provide certain information technology, data ingestion, and payment processing services for a period of time not to exceed 18 months after closing.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applied discontinued operations accounting in accordance with Accounting Standards Codification, or ASC, Topic 205-20, “Presentation of Financial Statements – Discontinued Operations,” to the assets and liabilities sold related to the Company's TEM Business Unit for the three and six months ended June 30, 2026, and 2025, as applicable. The sale of the TEM Business Unit represents a strategic shift due to the Company completely exiting both the telecom expense management and managed mobility solutions businesses. The Company did not allocate any consolidated interest that is not directly attributable to or related to discontinued operations. All financial information in the consolidated financial statements and notes to the consolidated financial statements is reported on a continuing operations basis, unless otherwise noted. The TEM Business Unit is included in the Information Services operating segment.</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 for the three and six months ended June 30, 2026, and 2025 is as follows:</w:t>
      </w:r>
    </w:p>
    <w:tbl>
      <w:tblPr>
        <w:tblW w:w="10205" w:type="dxa"/>
        <w:jc w:val="left"/>
        <w:tblInd w:w="0" w:type="dxa"/>
        <w:tblLayout w:type="fixed"/>
        <w:tblCellMar>
          <w:top w:w="28" w:type="dxa"/>
          <w:left w:w="28" w:type="dxa"/>
          <w:bottom w:w="28" w:type="dxa"/>
          <w:right w:w="28" w:type="dxa"/>
        </w:tblCellMar>
      </w:tblPr>
      <w:tblGrid>
        <w:gridCol w:w="1809"/>
        <w:gridCol w:w="1562"/>
        <w:gridCol w:w="1567"/>
        <w:gridCol w:w="270"/>
        <w:gridCol w:w="521"/>
        <w:gridCol w:w="139"/>
        <w:gridCol w:w="139"/>
        <w:gridCol w:w="139"/>
        <w:gridCol w:w="139"/>
        <w:gridCol w:w="270"/>
        <w:gridCol w:w="791"/>
        <w:gridCol w:w="139"/>
        <w:gridCol w:w="109"/>
        <w:gridCol w:w="109"/>
        <w:gridCol w:w="109"/>
        <w:gridCol w:w="240"/>
        <w:gridCol w:w="531"/>
        <w:gridCol w:w="124"/>
        <w:gridCol w:w="124"/>
        <w:gridCol w:w="124"/>
        <w:gridCol w:w="124"/>
        <w:gridCol w:w="240"/>
        <w:gridCol w:w="704"/>
        <w:gridCol w:w="182"/>
      </w:tblGrid>
      <w:tr>
        <w:trPr/>
        <w:tc>
          <w:tcPr>
            <w:tcW w:w="18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9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38"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Fee Revenue and Other Income:</w:t>
            </w:r>
          </w:p>
        </w:tc>
        <w:tc>
          <w:tcPr>
            <w:tcW w:w="93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TEM business unit</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 revenue and other income</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personnel expenses</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3,367 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79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3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3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2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8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income tax expense</w:t>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8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3 – Intangible Assets</w:t>
      </w:r>
      <w:r>
        <w:rPr>
          <w:color w:val="000000"/>
        </w:rPr>
        <w:t xml:space="preserve"> </w:t>
      </w:r>
    </w:p>
    <w:p>
      <w:pPr>
        <w:pStyle w:val="TextBody"/>
        <w:bidi w:val="0"/>
        <w:spacing w:lineRule="auto" w:line="288" w:before="200" w:after="283"/>
        <w:jc w:val="both"/>
        <w:rPr/>
      </w:pPr>
      <w:r>
        <w:rPr>
          <w:rFonts w:ascii="Times New Roman;serif" w:hAnsi="Times New Roman;serif"/>
          <w:b w:val="false"/>
          <w:color w:val="000000"/>
          <w:sz w:val="20"/>
        </w:rPr>
        <w:t xml:space="preserve">The Company accounts for intangible assets in accordance with ASC 350, </w:t>
      </w:r>
      <w:r>
        <w:rPr>
          <w:rFonts w:ascii="Times New Roman;serif" w:hAnsi="Times New Roman;serif"/>
          <w:b w:val="false"/>
          <w:i/>
          <w:color w:val="000000"/>
          <w:sz w:val="20"/>
        </w:rPr>
        <w:t>Goodwill and Other Intangible Assets</w:t>
      </w:r>
      <w:r>
        <w:rPr>
          <w:rFonts w:ascii="Times New Roman;serif" w:hAnsi="Times New Roman;serif"/>
          <w:b w:val="false"/>
          <w:color w:val="000000"/>
          <w:sz w:val="20"/>
        </w:rPr>
        <w:t xml:space="preserve">, which requires that intangibles with indefinite useful lives be tested annually for impairment, or when management deems there is a triggering event, and those with finite useful lives be amortized over their useful lives.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Details of the Company’s intangible assets are as follows: </w:t>
      </w:r>
    </w:p>
    <w:tbl>
      <w:tblPr>
        <w:tblW w:w="9229" w:type="dxa"/>
        <w:jc w:val="center"/>
        <w:tblInd w:w="0" w:type="dxa"/>
        <w:tblLayout w:type="fixed"/>
        <w:tblCellMar>
          <w:top w:w="28" w:type="dxa"/>
          <w:left w:w="28" w:type="dxa"/>
          <w:bottom w:w="28" w:type="dxa"/>
          <w:right w:w="28" w:type="dxa"/>
        </w:tblCellMar>
      </w:tblPr>
      <w:tblGrid>
        <w:gridCol w:w="999"/>
        <w:gridCol w:w="878"/>
        <w:gridCol w:w="882"/>
        <w:gridCol w:w="292"/>
        <w:gridCol w:w="998"/>
        <w:gridCol w:w="150"/>
        <w:gridCol w:w="109"/>
        <w:gridCol w:w="109"/>
        <w:gridCol w:w="109"/>
        <w:gridCol w:w="279"/>
        <w:gridCol w:w="835"/>
        <w:gridCol w:w="145"/>
        <w:gridCol w:w="109"/>
        <w:gridCol w:w="109"/>
        <w:gridCol w:w="109"/>
        <w:gridCol w:w="301"/>
        <w:gridCol w:w="1029"/>
        <w:gridCol w:w="155"/>
        <w:gridCol w:w="109"/>
        <w:gridCol w:w="109"/>
        <w:gridCol w:w="109"/>
        <w:gridCol w:w="276"/>
        <w:gridCol w:w="826"/>
        <w:gridCol w:w="203"/>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Gross 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Amortization</w:t>
            </w:r>
          </w:p>
        </w:tc>
      </w:tr>
      <w:tr>
        <w:trPr/>
        <w:tc>
          <w:tcPr>
            <w:tcW w:w="2759"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Assets eligible for amortization: </w:t>
            </w:r>
          </w:p>
        </w:tc>
        <w:tc>
          <w:tcPr>
            <w:tcW w:w="144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lists </w:t>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129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5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(3,686)</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5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20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Unamortized intangible assets: </w:t>
            </w:r>
          </w:p>
        </w:tc>
        <w:tc>
          <w:tcPr>
            <w:tcW w:w="144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intangible assets </w:t>
            </w:r>
          </w:p>
        </w:tc>
        <w:tc>
          <w:tcPr>
            <w:tcW w:w="29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28,264 </w:t>
            </w:r>
          </w:p>
        </w:tc>
        <w:tc>
          <w:tcPr>
            <w:tcW w:w="15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(8,958)</w:t>
            </w:r>
          </w:p>
        </w:tc>
        <w:tc>
          <w:tcPr>
            <w:tcW w:w="145"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28,264 </w:t>
            </w:r>
          </w:p>
        </w:tc>
        <w:tc>
          <w:tcPr>
            <w:tcW w:w="155"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(8,372)</w:t>
            </w:r>
          </w:p>
        </w:tc>
        <w:tc>
          <w:tcPr>
            <w:tcW w:w="20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The customer lists are amortized over 5 to 10 years; software over 3 to 7 years; and trade names over 10 to 20 years. Amortization of intangible assets amounted to $293,000 and $586,000 for both the three and six months ended June 30, 2026, and 2025, respectively. Estimated annual amortization of intangibles is $1.0 million in 2026, $730,000 in 2027 and 2028, $699,000 in</w:t>
      </w:r>
      <w:r>
        <w:rPr>
          <w:color w:val="000000"/>
        </w:rPr>
        <w:t xml:space="preserve"> </w:t>
      </w:r>
      <w:r>
        <w:rPr>
          <w:rFonts w:ascii="Times New Roman;serif" w:hAnsi="Times New Roman;serif"/>
          <w:b w:val="false"/>
          <w:color w:val="000000"/>
          <w:sz w:val="20"/>
        </w:rPr>
        <w:t xml:space="preserve">2029, and $197,000 in 2030.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color w:val="000000"/>
          <w:sz w:val="20"/>
        </w:rPr>
        <w:t>Note 4 – Earnings Per Share</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calculations of basic and diluted earnings per share are as follows: </w:t>
      </w:r>
    </w:p>
    <w:tbl>
      <w:tblPr>
        <w:tblW w:w="10205" w:type="dxa"/>
        <w:jc w:val="left"/>
        <w:tblInd w:w="0" w:type="dxa"/>
        <w:tblLayout w:type="fixed"/>
        <w:tblCellMar>
          <w:top w:w="28" w:type="dxa"/>
          <w:left w:w="28" w:type="dxa"/>
          <w:bottom w:w="28" w:type="dxa"/>
          <w:right w:w="28" w:type="dxa"/>
        </w:tblCellMar>
      </w:tblPr>
      <w:tblGrid>
        <w:gridCol w:w="1712"/>
        <w:gridCol w:w="1350"/>
        <w:gridCol w:w="1355"/>
        <w:gridCol w:w="244"/>
        <w:gridCol w:w="837"/>
        <w:gridCol w:w="109"/>
        <w:gridCol w:w="109"/>
        <w:gridCol w:w="109"/>
        <w:gridCol w:w="109"/>
        <w:gridCol w:w="275"/>
        <w:gridCol w:w="806"/>
        <w:gridCol w:w="109"/>
        <w:gridCol w:w="109"/>
        <w:gridCol w:w="109"/>
        <w:gridCol w:w="109"/>
        <w:gridCol w:w="244"/>
        <w:gridCol w:w="837"/>
        <w:gridCol w:w="109"/>
        <w:gridCol w:w="109"/>
        <w:gridCol w:w="109"/>
        <w:gridCol w:w="109"/>
        <w:gridCol w:w="244"/>
        <w:gridCol w:w="837"/>
        <w:gridCol w:w="156"/>
      </w:tblGrid>
      <w:tr>
        <w:trPr/>
        <w:tc>
          <w:tcPr>
            <w:tcW w:w="171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17"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shares outstanding </w:t>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12,804,520 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13,278,674 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12,839,443 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13,338,721 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from discontinued operations</w:t>
            </w:r>
          </w:p>
        </w:tc>
        <w:tc>
          <w:tcPr>
            <w:tcW w:w="24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share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shares outstanding </w:t>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12,804,520 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13,278,674 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12,839,443 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13,338,721 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281,314 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7"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common shares outstanding assuming dilution </w:t>
            </w:r>
          </w:p>
        </w:tc>
        <w:tc>
          <w:tcPr>
            <w:tcW w:w="108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13,068,708 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13,561,813 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13,110,109 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13,620,035 </w:t>
            </w:r>
          </w:p>
        </w:tc>
        <w:tc>
          <w:tcPr>
            <w:tcW w:w="15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discontinued operations</w:t>
            </w:r>
          </w:p>
        </w:tc>
        <w:tc>
          <w:tcPr>
            <w:tcW w:w="24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w:t>
            </w:r>
          </w:p>
        </w:tc>
        <w:tc>
          <w:tcPr>
            <w:tcW w:w="2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5 – Stock Repurchases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maintains a treasury stock buyback program pursuant to which, on November 6, 2025, the Board of Directors authorized the repurchase of up to 1,000,000 shares of the Company's common stock with no expiration date. The Company repurchased 65,557 and 130,359 shares during the three and six months ended June 30, 2026, respectively and 140,269 and 256,378 shares during the three and six months ended June 30, 2025, respectively. Repurchases may be made in the open market or through negotiated transactions from time to time depending on market conditions. As of June 30, 2026, the Company had 744,611 shares remaining available for repurchase under the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6 – Industry Segment Information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services provided by the Company are classified into two reportable segments: Information Services and Banking Services. Each of these segments provides distinct services that are marketed through different channels and are consistent 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As discussed in Note 2 to the consolidated financial statements, the Company applied discontinued operations accounting to the assets and liabilities sold related to the TEM Business Unit for the three and six months ended June 30, 2026 and 2025, as applicable. The TEM Business Unit is included in the Information Services operating segment. The Banking Services segment provides banking services primarily to privately held businesses, franchise restaurants and faith-based ministries, as well as supporting the banking needs of the Information Services segment.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accounting policies for segments are the same as those described in the summary of significant accounting policies in the Company’s 2025 Form 10-K. Both management and the chief operating decision maker evaluate segment performance based on pre-tax income after allocations for corporate expenses. Transactions between segments are accounted for at what management believes to be fair value.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Substantially all revenue originates from, and all long-lived assets are located within, the United States and no revenue from any customer of any segment exceeds 10% of the Company’s consolidated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Intersegment income (expense) primarily consists of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Any difference between total segment interest income and overall total Company interest income is included in Corporate, Eliminations,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Summarized information about the Company’s operations in each industry segment is as follows: </w:t>
      </w:r>
    </w:p>
    <w:tbl>
      <w:tblPr>
        <w:tblW w:w="9730" w:type="dxa"/>
        <w:jc w:val="center"/>
        <w:tblInd w:w="0" w:type="dxa"/>
        <w:tblLayout w:type="fixed"/>
        <w:tblCellMar>
          <w:top w:w="28" w:type="dxa"/>
          <w:left w:w="28" w:type="dxa"/>
          <w:bottom w:w="28" w:type="dxa"/>
          <w:right w:w="28" w:type="dxa"/>
        </w:tblCellMar>
      </w:tblPr>
      <w:tblGrid>
        <w:gridCol w:w="1363"/>
        <w:gridCol w:w="1199"/>
        <w:gridCol w:w="1203"/>
        <w:gridCol w:w="211"/>
        <w:gridCol w:w="976"/>
        <w:gridCol w:w="109"/>
        <w:gridCol w:w="109"/>
        <w:gridCol w:w="109"/>
        <w:gridCol w:w="109"/>
        <w:gridCol w:w="211"/>
        <w:gridCol w:w="826"/>
        <w:gridCol w:w="109"/>
        <w:gridCol w:w="109"/>
        <w:gridCol w:w="109"/>
        <w:gridCol w:w="109"/>
        <w:gridCol w:w="322"/>
        <w:gridCol w:w="712"/>
        <w:gridCol w:w="167"/>
        <w:gridCol w:w="109"/>
        <w:gridCol w:w="109"/>
        <w:gridCol w:w="109"/>
        <w:gridCol w:w="211"/>
        <w:gridCol w:w="97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6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Three Months Ended June 30, 2026:</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and other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 securities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6,598 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40,500 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49,943 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27,085 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expense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32,251 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1,645,961 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1,197,391 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(327,140)</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2,516,212 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funding sources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1,452,058 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791,043 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2,243,101 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9730" w:type="dxa"/>
        <w:jc w:val="left"/>
        <w:tblInd w:w="0" w:type="dxa"/>
        <w:tblLayout w:type="fixed"/>
        <w:tblCellMar>
          <w:top w:w="28" w:type="dxa"/>
          <w:left w:w="28" w:type="dxa"/>
          <w:bottom w:w="28" w:type="dxa"/>
          <w:right w:w="28" w:type="dxa"/>
        </w:tblCellMar>
      </w:tblPr>
      <w:tblGrid>
        <w:gridCol w:w="1363"/>
        <w:gridCol w:w="1199"/>
        <w:gridCol w:w="1203"/>
        <w:gridCol w:w="211"/>
        <w:gridCol w:w="976"/>
        <w:gridCol w:w="109"/>
        <w:gridCol w:w="109"/>
        <w:gridCol w:w="109"/>
        <w:gridCol w:w="109"/>
        <w:gridCol w:w="211"/>
        <w:gridCol w:w="826"/>
        <w:gridCol w:w="109"/>
        <w:gridCol w:w="109"/>
        <w:gridCol w:w="109"/>
        <w:gridCol w:w="109"/>
        <w:gridCol w:w="322"/>
        <w:gridCol w:w="712"/>
        <w:gridCol w:w="167"/>
        <w:gridCol w:w="109"/>
        <w:gridCol w:w="109"/>
        <w:gridCol w:w="109"/>
        <w:gridCol w:w="211"/>
        <w:gridCol w:w="97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6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Three Months Ended June 30, 2025:</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and other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8,031 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37,978 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9,338 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44,398 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27,752 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expense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7,136 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38,119 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6,279 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funding sources </w:t>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1,339,550 </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766,622 </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2,106,172 </w:t>
            </w:r>
          </w:p>
        </w:tc>
        <w:tc>
          <w:tcPr>
            <w:tcW w:w="154"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9730" w:type="dxa"/>
        <w:jc w:val="left"/>
        <w:tblInd w:w="0" w:type="dxa"/>
        <w:tblLayout w:type="fixed"/>
        <w:tblCellMar>
          <w:top w:w="28" w:type="dxa"/>
          <w:left w:w="28" w:type="dxa"/>
          <w:bottom w:w="28" w:type="dxa"/>
          <w:right w:w="28" w:type="dxa"/>
        </w:tblCellMar>
      </w:tblPr>
      <w:tblGrid>
        <w:gridCol w:w="1364"/>
        <w:gridCol w:w="1197"/>
        <w:gridCol w:w="1204"/>
        <w:gridCol w:w="211"/>
        <w:gridCol w:w="976"/>
        <w:gridCol w:w="109"/>
        <w:gridCol w:w="109"/>
        <w:gridCol w:w="109"/>
        <w:gridCol w:w="109"/>
        <w:gridCol w:w="211"/>
        <w:gridCol w:w="826"/>
        <w:gridCol w:w="109"/>
        <w:gridCol w:w="109"/>
        <w:gridCol w:w="109"/>
        <w:gridCol w:w="109"/>
        <w:gridCol w:w="322"/>
        <w:gridCol w:w="712"/>
        <w:gridCol w:w="167"/>
        <w:gridCol w:w="109"/>
        <w:gridCol w:w="109"/>
        <w:gridCol w:w="109"/>
        <w:gridCol w:w="211"/>
        <w:gridCol w:w="97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6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2026:</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and other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 securities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(5,235)</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79,737 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99,044 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48,137 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54,364 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income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65,660 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74,987 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(1,593)</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1,645,961 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1,197,391 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(327,140)</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2,516,212 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funding sources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1,440,696 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794,251 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2,234,947 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9907" w:type="dxa"/>
        <w:jc w:val="left"/>
        <w:tblInd w:w="0" w:type="dxa"/>
        <w:tblLayout w:type="fixed"/>
        <w:tblCellMar>
          <w:top w:w="28" w:type="dxa"/>
          <w:left w:w="28" w:type="dxa"/>
          <w:bottom w:w="28" w:type="dxa"/>
          <w:right w:w="28" w:type="dxa"/>
        </w:tblCellMar>
      </w:tblPr>
      <w:tblGrid>
        <w:gridCol w:w="1363"/>
        <w:gridCol w:w="1198"/>
        <w:gridCol w:w="1204"/>
        <w:gridCol w:w="211"/>
        <w:gridCol w:w="976"/>
        <w:gridCol w:w="109"/>
        <w:gridCol w:w="109"/>
        <w:gridCol w:w="109"/>
        <w:gridCol w:w="109"/>
        <w:gridCol w:w="211"/>
        <w:gridCol w:w="826"/>
        <w:gridCol w:w="109"/>
        <w:gridCol w:w="109"/>
        <w:gridCol w:w="109"/>
        <w:gridCol w:w="109"/>
        <w:gridCol w:w="322"/>
        <w:gridCol w:w="712"/>
        <w:gridCol w:w="167"/>
        <w:gridCol w:w="109"/>
        <w:gridCol w:w="109"/>
        <w:gridCol w:w="109"/>
        <w:gridCol w:w="211"/>
        <w:gridCol w:w="976"/>
        <w:gridCol w:w="331"/>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Information</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Banking</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br/>
              <w:t>Eliminations</w:t>
              <w:br/>
              <w:t>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6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i/>
                <w:color w:val="000000"/>
                <w:sz w:val="20"/>
              </w:rPr>
            </w:pPr>
            <w:r>
              <w:rPr>
                <w:rFonts w:ascii="Times New Roman;serif" w:hAnsi="Times New Roman;serif"/>
                <w:b/>
                <w:i/>
                <w:color w:val="000000"/>
                <w:sz w:val="20"/>
              </w:rPr>
              <w:t>Six Months Ended June 30, 2025:</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and other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56,562 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sale of investment securities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47,028 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15,741 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(7,986)</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8,280 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75,282 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17,535 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90,804 </w:t>
            </w:r>
          </w:p>
        </w:tc>
        <w:tc>
          <w:tcPr>
            <w:tcW w:w="33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expenses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48,913 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55,031 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income (expense)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65,028 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8,621 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73,649 </w:t>
            </w:r>
          </w:p>
        </w:tc>
        <w:tc>
          <w:tcPr>
            <w:tcW w:w="33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continuing operations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from discontinued operations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intangible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1,438,612 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1,183,758 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(306,352)</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2,316,018 </w:t>
            </w:r>
          </w:p>
        </w:tc>
        <w:tc>
          <w:tcPr>
            <w:tcW w:w="3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funding sources </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1,338,846 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766,947 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2,105,793 </w:t>
            </w:r>
          </w:p>
        </w:tc>
        <w:tc>
          <w:tcPr>
            <w:tcW w:w="3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7 – Loans by Type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loans is as follows: </w:t>
      </w:r>
    </w:p>
    <w:tbl>
      <w:tblPr>
        <w:tblW w:w="5865" w:type="dxa"/>
        <w:jc w:val="center"/>
        <w:tblInd w:w="0" w:type="dxa"/>
        <w:tblLayout w:type="fixed"/>
        <w:tblCellMar>
          <w:top w:w="28" w:type="dxa"/>
          <w:left w:w="28" w:type="dxa"/>
          <w:bottom w:w="28" w:type="dxa"/>
          <w:right w:w="28" w:type="dxa"/>
        </w:tblCellMar>
      </w:tblPr>
      <w:tblGrid>
        <w:gridCol w:w="841"/>
        <w:gridCol w:w="740"/>
        <w:gridCol w:w="743"/>
        <w:gridCol w:w="211"/>
        <w:gridCol w:w="976"/>
        <w:gridCol w:w="109"/>
        <w:gridCol w:w="109"/>
        <w:gridCol w:w="109"/>
        <w:gridCol w:w="109"/>
        <w:gridCol w:w="211"/>
        <w:gridCol w:w="976"/>
        <w:gridCol w:w="731"/>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324" w:type="dxa"/>
            <w:gridSpan w:val="3"/>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595,082 </w:t>
            </w:r>
          </w:p>
        </w:tc>
        <w:tc>
          <w:tcPr>
            <w:tcW w:w="109"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553,107 </w:t>
            </w:r>
          </w:p>
        </w:tc>
        <w:tc>
          <w:tcPr>
            <w:tcW w:w="731"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97,567 </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731" w:type="dxa"/>
            <w:tcBorders/>
            <w:shd w:fill="B6B6B6"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8" w:type="dxa"/>
            <w:gridSpan w:val="3"/>
            <w:tcBorders/>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loans </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73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aging of loans past due by category at June 30, 2026 and December 31, 2025: </w:t>
      </w:r>
    </w:p>
    <w:tbl>
      <w:tblPr>
        <w:tblW w:w="10087" w:type="dxa"/>
        <w:jc w:val="center"/>
        <w:tblInd w:w="0" w:type="dxa"/>
        <w:tblLayout w:type="fixed"/>
        <w:tblCellMar>
          <w:top w:w="28" w:type="dxa"/>
          <w:left w:w="28" w:type="dxa"/>
          <w:bottom w:w="28" w:type="dxa"/>
          <w:right w:w="28" w:type="dxa"/>
        </w:tblCellMar>
      </w:tblPr>
      <w:tblGrid>
        <w:gridCol w:w="841"/>
        <w:gridCol w:w="740"/>
        <w:gridCol w:w="743"/>
        <w:gridCol w:w="211"/>
        <w:gridCol w:w="97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976"/>
        <w:gridCol w:w="531"/>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Nonperforming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w:t>
              <w:br/>
              <w:t>Days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w:t>
              <w:br/>
              <w:t>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w:t>
              <w:br/>
              <w:t>Days</w:t>
              <w:br/>
              <w:t>and</w:t>
              <w:br/>
              <w:t>Over</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Loans</w:t>
            </w:r>
          </w:p>
        </w:tc>
      </w:tr>
      <w:tr>
        <w:trPr/>
        <w:tc>
          <w:tcPr>
            <w:tcW w:w="2324" w:type="dxa"/>
            <w:gridSpan w:val="3"/>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June 30, 2026</w:t>
            </w:r>
          </w:p>
        </w:tc>
        <w:tc>
          <w:tcPr>
            <w:tcW w:w="129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595,082 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92,072 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384,624 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1,101,391 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December 31, 2025</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553,107 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97,567 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1,054,225 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5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credit exposure of the loan portfolio by internally assigned credit grade as of June 30, 2026 and December 31, 2025: </w:t>
      </w:r>
    </w:p>
    <w:tbl>
      <w:tblPr>
        <w:tblW w:w="9035" w:type="dxa"/>
        <w:jc w:val="left"/>
        <w:tblInd w:w="0" w:type="dxa"/>
        <w:tblLayout w:type="fixed"/>
        <w:tblCellMar>
          <w:top w:w="28" w:type="dxa"/>
          <w:left w:w="28" w:type="dxa"/>
          <w:bottom w:w="28" w:type="dxa"/>
          <w:right w:w="28" w:type="dxa"/>
        </w:tblCellMar>
      </w:tblPr>
      <w:tblGrid>
        <w:gridCol w:w="841"/>
        <w:gridCol w:w="740"/>
        <w:gridCol w:w="743"/>
        <w:gridCol w:w="211"/>
        <w:gridCol w:w="976"/>
        <w:gridCol w:w="109"/>
        <w:gridCol w:w="109"/>
        <w:gridCol w:w="109"/>
        <w:gridCol w:w="109"/>
        <w:gridCol w:w="261"/>
        <w:gridCol w:w="893"/>
        <w:gridCol w:w="136"/>
        <w:gridCol w:w="109"/>
        <w:gridCol w:w="109"/>
        <w:gridCol w:w="109"/>
        <w:gridCol w:w="321"/>
        <w:gridCol w:w="938"/>
        <w:gridCol w:w="167"/>
        <w:gridCol w:w="109"/>
        <w:gridCol w:w="109"/>
        <w:gridCol w:w="109"/>
        <w:gridCol w:w="211"/>
        <w:gridCol w:w="976"/>
        <w:gridCol w:w="531"/>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Subject to</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Normal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Performing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 Subject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Special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Nonperforming</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Loans Subject</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to Special</w:t>
            </w:r>
          </w:p>
          <w:p>
            <w:pPr>
              <w:pStyle w:val="TableContents"/>
              <w:bidi w:val="0"/>
              <w:spacing w:lineRule="auto" w:line="276" w:before="0" w:after="0"/>
              <w:jc w:val="center"/>
              <w:rPr/>
            </w:pPr>
            <w:r>
              <w:rPr>
                <w:rFonts w:ascii="Times New Roman;serif" w:hAnsi="Times New Roman;serif"/>
                <w:b/>
                <w:color w:val="000000"/>
                <w:sz w:val="20"/>
              </w:rPr>
              <w:t>Monitoring</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Loans</w:t>
            </w:r>
          </w:p>
        </w:tc>
      </w:tr>
      <w:tr>
        <w:trPr/>
        <w:tc>
          <w:tcPr>
            <w:tcW w:w="2324" w:type="dxa"/>
            <w:gridSpan w:val="3"/>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June 30, 2026</w:t>
            </w:r>
          </w:p>
        </w:tc>
        <w:tc>
          <w:tcPr>
            <w:tcW w:w="129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595,082 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78,799 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12,359 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92,072 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20,669 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384,624 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10,592 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37,826 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December 31, 2025</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and industrial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17,894 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553,107 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 estate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Commercial: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81,744 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12,601 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3,222 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97,567 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12,943 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Faith-based: </w:t>
            </w:r>
          </w:p>
        </w:tc>
        <w:tc>
          <w:tcPr>
            <w:tcW w:w="12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Mortgage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362,312 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24"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5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1,020,109 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34,116 </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6,992 </w:t>
            </w:r>
          </w:p>
        </w:tc>
        <w:tc>
          <w:tcPr>
            <w:tcW w:w="1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1,061,217 </w:t>
            </w:r>
          </w:p>
        </w:tc>
        <w:tc>
          <w:tcPr>
            <w:tcW w:w="5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3"/>
        <w:gridCol w:w="2868"/>
        <w:gridCol w:w="4074"/>
      </w:tblGrid>
      <w:tr>
        <w:trPr/>
        <w:tc>
          <w:tcPr>
            <w:tcW w:w="326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Loans subject to normal monitoring involve borrowers of acceptable-to-strong credit quality and risk, who have the apparent ability to satisfy their loan obligations.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Loans subject to special monitoring possess some credit deficiency or potential weakness which requires a high level of management attention. </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 modifications to borrowers experiencing financial difficulty may be in the form of principal forgiveness, an interest rate reduction, an other-than-insignificant payment delay, a term extension, or a combination thereof, among other things. There were no loans modified during the three and six months ended June 30, 2026. There were two loans modified during the three and six months ended June 30, 2025. Both loans modified during the three and six months ended June 30, 2025 were due to term extensions coupled with an interest rate increase.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modified loans that had a payment default during the six months ended June 30, 2026 that had been modified due to the borrower experiencing financial difficulty within the 12 previous months preceding the default.</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Upon the Company's determination that a modified loan has subsequently been deemed uncollectible, the loan is written off. There were no loans written off during the six months ended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Company had two non-accrual loans totaling $1.6 million that had an allowance for credit losses specifically allocated to them of $288,000 based on an evaluation of expected credit losses. There were three non-accrual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loans at December 31, 2025 totaling $7.0 million. The Company did not record any interest income on non-accrual loans during the three and six months ended June 30, 2026 or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foreclosed loans recorded as other real estate owned as of June 30, 2026 or December 31, 2025.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one loan totaling $1.0 million to executive officers or directors. There were no loans to executive officers or directors at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the activity in the allowance for credit losses (“ACL”) by category for the six months ended June 30, 2026 and year-ended December 31, 2025 is as follows: </w:t>
      </w:r>
    </w:p>
    <w:tbl>
      <w:tblPr>
        <w:tblW w:w="10205" w:type="dxa"/>
        <w:jc w:val="center"/>
        <w:tblInd w:w="0" w:type="dxa"/>
        <w:tblLayout w:type="fixed"/>
        <w:tblCellMar>
          <w:top w:w="28" w:type="dxa"/>
          <w:left w:w="28" w:type="dxa"/>
          <w:bottom w:w="28" w:type="dxa"/>
          <w:right w:w="28" w:type="dxa"/>
        </w:tblCellMar>
      </w:tblPr>
      <w:tblGrid>
        <w:gridCol w:w="1273"/>
        <w:gridCol w:w="1093"/>
        <w:gridCol w:w="1097"/>
        <w:gridCol w:w="211"/>
        <w:gridCol w:w="616"/>
        <w:gridCol w:w="109"/>
        <w:gridCol w:w="109"/>
        <w:gridCol w:w="109"/>
        <w:gridCol w:w="109"/>
        <w:gridCol w:w="211"/>
        <w:gridCol w:w="616"/>
        <w:gridCol w:w="109"/>
        <w:gridCol w:w="109"/>
        <w:gridCol w:w="109"/>
        <w:gridCol w:w="109"/>
        <w:gridCol w:w="247"/>
        <w:gridCol w:w="721"/>
        <w:gridCol w:w="128"/>
        <w:gridCol w:w="109"/>
        <w:gridCol w:w="109"/>
        <w:gridCol w:w="109"/>
        <w:gridCol w:w="322"/>
        <w:gridCol w:w="712"/>
        <w:gridCol w:w="167"/>
        <w:gridCol w:w="109"/>
        <w:gridCol w:w="109"/>
        <w:gridCol w:w="109"/>
        <w:gridCol w:w="211"/>
        <w:gridCol w:w="721"/>
        <w:gridCol w:w="333"/>
      </w:tblGrid>
      <w:tr>
        <w:trPr/>
        <w:tc>
          <w:tcPr>
            <w:tcW w:w="12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C&amp;I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Faith-based</w:t>
              <w:b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Construction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63" w:type="dxa"/>
            <w:gridSpan w:val="3"/>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Balance at January 1, 2025</w:t>
            </w:r>
          </w:p>
        </w:tc>
        <w:tc>
          <w:tcPr>
            <w:tcW w:w="21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5,897 </w:t>
            </w:r>
          </w:p>
        </w:tc>
        <w:tc>
          <w:tcPr>
            <w:tcW w:w="109"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109"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6,258 </w:t>
            </w:r>
          </w:p>
        </w:tc>
        <w:tc>
          <w:tcPr>
            <w:tcW w:w="128"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67"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2"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333" w:type="dxa"/>
            <w:tcBorders>
              <w:top w:val="single" w:sz="12" w:space="0" w:color="000000"/>
            </w:tcBorders>
            <w:shd w:fill="B6B6B6" w:val="clear"/>
            <w:tcMar>
              <w:top w:w="52"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4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(release of) credit losses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6,546 </w:t>
            </w:r>
          </w:p>
        </w:tc>
        <w:tc>
          <w:tcPr>
            <w:tcW w:w="128"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333"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20"/>
              </w:rPr>
              <w:t xml:space="preserve">Provision for (release of) credit losses </w:t>
            </w:r>
            <w:r>
              <w:rPr>
                <w:rFonts w:ascii="Times New Roman;serif" w:hAnsi="Times New Roman;serif"/>
                <w:b w:val="false"/>
                <w:color w:val="000000"/>
                <w:sz w:val="13"/>
              </w:rPr>
              <w:t>(1)</w:t>
            </w:r>
            <w:r>
              <w:rPr>
                <w:color w:val="000000"/>
              </w:rPr>
              <w:t xml:space="preserve">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463"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0"/>
              <w:ind w:left="0" w:right="0" w:firstLine="20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6,105 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128"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6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14,374 </w:t>
            </w:r>
          </w:p>
        </w:tc>
        <w:tc>
          <w:tcPr>
            <w:tcW w:w="3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21" w:type="dxa"/>
        <w:jc w:val="center"/>
        <w:tblInd w:w="0" w:type="dxa"/>
        <w:tblLayout w:type="fixed"/>
        <w:tblCellMar>
          <w:top w:w="28" w:type="dxa"/>
          <w:left w:w="28" w:type="dxa"/>
          <w:bottom w:w="28" w:type="dxa"/>
          <w:right w:w="28" w:type="dxa"/>
        </w:tblCellMar>
      </w:tblPr>
      <w:tblGrid>
        <w:gridCol w:w="124"/>
        <w:gridCol w:w="109"/>
        <w:gridCol w:w="109"/>
        <w:gridCol w:w="2419"/>
        <w:gridCol w:w="2419"/>
        <w:gridCol w:w="34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34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8279"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16"/>
              </w:rPr>
            </w:pPr>
            <w:r>
              <w:rPr>
                <w:rFonts w:ascii="Times New Roman;serif" w:hAnsi="Times New Roman;serif"/>
                <w:b w:val="false"/>
                <w:color w:val="000000"/>
                <w:sz w:val="16"/>
              </w:rPr>
              <w:t>For the six months ended June 30, 2026, there was a release of credit losses of $185,000 for unfunded commitments.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20" w:after="283"/>
        <w:jc w:val="left"/>
        <w:rPr/>
      </w:pPr>
      <w:r>
        <w:rPr>
          <w:rFonts w:ascii="Times New Roman;serif" w:hAnsi="Times New Roman;serif"/>
          <w:b/>
          <w:color w:val="000000"/>
          <w:sz w:val="20"/>
        </w:rPr>
        <w:t>Note 8 – Commitments and Contingencies</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$234,000 and $419,000 had been recorded at June 30, 2026 and December 31, 2025, respectively.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At June 30, 2026, the balances of unfunded commitments, standby and commercial letters of credit were $139.4 million, $12.6 million, and $692,000, respectively. Since some of the financial instruments may expire without being drawn upon, the total amounts do not necessarily represent future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9 – Share-Based Compensation</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six months ended June 30, 2026, 49,705 time-based restricted shares and 45,557 performance-based restricted shares were granted under the 2023 Omnibus Plan. Share-based compensation expense was $1.1 million and $2.6 million for the three and six months ended June 30, 2026, respectively, and $918,000 and $2.2 million for the three and six months ended June 30, 2025, respectively.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Restricted shares granted to Company employees are amortized to expense over a three-year cliff vesting period, or until vesting occurs upon retirement. Restricted shares granted to members of the Board of Directors are amortized to expense over a one-year service period, with the exception of those shares granted in lieu of cash payments for retainer fees which are expensed in the period earned.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total unrecognized compensation expense related to non-vested restricted shares was $2.2 million, and the related weighted-average period over which it is expected to be recognized is approximately 1.44 years.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the activity of the Company's restricted stock for the six months ended June 30, 2026, with total shares and weighted-average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5167" w:type="dxa"/>
        <w:jc w:val="left"/>
        <w:tblInd w:w="0" w:type="dxa"/>
        <w:tblLayout w:type="fixed"/>
        <w:tblCellMar>
          <w:top w:w="28" w:type="dxa"/>
          <w:left w:w="28" w:type="dxa"/>
          <w:bottom w:w="28" w:type="dxa"/>
          <w:right w:w="28" w:type="dxa"/>
        </w:tblCellMar>
      </w:tblPr>
      <w:tblGrid>
        <w:gridCol w:w="956"/>
        <w:gridCol w:w="841"/>
        <w:gridCol w:w="843"/>
        <w:gridCol w:w="449"/>
        <w:gridCol w:w="451"/>
        <w:gridCol w:w="226"/>
        <w:gridCol w:w="112"/>
        <w:gridCol w:w="112"/>
        <w:gridCol w:w="112"/>
        <w:gridCol w:w="228"/>
        <w:gridCol w:w="670"/>
        <w:gridCol w:w="167"/>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64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900"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273,543 </w:t>
            </w:r>
          </w:p>
        </w:tc>
        <w:tc>
          <w:tcPr>
            <w:tcW w:w="22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42.88 </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49,705 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900"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(102,693)</w:t>
            </w:r>
          </w:p>
        </w:tc>
        <w:tc>
          <w:tcPr>
            <w:tcW w:w="2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43.90 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June 30, 2026 </w:t>
            </w:r>
          </w:p>
        </w:tc>
        <w:tc>
          <w:tcPr>
            <w:tcW w:w="900" w:type="dxa"/>
            <w:gridSpan w:val="2"/>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220,199 </w:t>
            </w:r>
          </w:p>
        </w:tc>
        <w:tc>
          <w:tcPr>
            <w:tcW w:w="2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42.81 </w:t>
            </w:r>
          </w:p>
        </w:tc>
        <w:tc>
          <w:tcPr>
            <w:tcW w:w="16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Performance-Based Restricted Stock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granted three-year performance-based restricted stock (“PBRS”) awards which are contingent upon the Company’s achievement of pre-established financial goals over a three-year cliff vesting period. The number of shares issued ranges from 0% to 150% of the target opportunity based on the actual achievement of financial goals for the three-year performance period.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the activity of the PBRS for the six months ended June 30, 2026, based on 100% of target value:</w:t>
      </w:r>
    </w:p>
    <w:tbl>
      <w:tblPr>
        <w:tblW w:w="5093" w:type="dxa"/>
        <w:jc w:val="left"/>
        <w:tblInd w:w="0" w:type="dxa"/>
        <w:tblLayout w:type="fixed"/>
        <w:tblCellMar>
          <w:top w:w="28" w:type="dxa"/>
          <w:left w:w="28" w:type="dxa"/>
          <w:bottom w:w="28" w:type="dxa"/>
          <w:right w:w="28" w:type="dxa"/>
        </w:tblCellMar>
      </w:tblPr>
      <w:tblGrid>
        <w:gridCol w:w="956"/>
        <w:gridCol w:w="841"/>
        <w:gridCol w:w="843"/>
        <w:gridCol w:w="413"/>
        <w:gridCol w:w="413"/>
        <w:gridCol w:w="226"/>
        <w:gridCol w:w="112"/>
        <w:gridCol w:w="112"/>
        <w:gridCol w:w="112"/>
        <w:gridCol w:w="228"/>
        <w:gridCol w:w="670"/>
        <w:gridCol w:w="167"/>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 2026</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64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December 31, 2025 </w:t>
            </w:r>
          </w:p>
        </w:tc>
        <w:tc>
          <w:tcPr>
            <w:tcW w:w="826"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151,780 </w:t>
            </w:r>
          </w:p>
        </w:tc>
        <w:tc>
          <w:tcPr>
            <w:tcW w:w="22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16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Granted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(49,055)</w:t>
            </w:r>
          </w:p>
        </w:tc>
        <w:tc>
          <w:tcPr>
            <w:tcW w:w="2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6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at June 30, 2026 </w:t>
            </w:r>
          </w:p>
        </w:tc>
        <w:tc>
          <w:tcPr>
            <w:tcW w:w="826" w:type="dxa"/>
            <w:gridSpan w:val="2"/>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146,431 </w:t>
            </w:r>
          </w:p>
        </w:tc>
        <w:tc>
          <w:tcPr>
            <w:tcW w:w="2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6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PBRS that vested during the six months ended June 30, 2026 were based on the Company's achievement of 61.9% of target financial goals for the 2023-2025 performance period, resulting in the issuance of 30,364 shares of common stock. The outstanding PBRS at June 30, 2026 will vest at scheduled vesting dates and the actual number of shares of common stock issued will range from 0% to 150% of the target opportunity based on the actual achievement of financial goals for the respective three-year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10 – Employee Benefit Plans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tbl>
      <w:tblPr>
        <w:tblW w:w="6015" w:type="dxa"/>
        <w:jc w:val="left"/>
        <w:tblInd w:w="0" w:type="dxa"/>
        <w:tblLayout w:type="fixed"/>
        <w:tblCellMar>
          <w:top w:w="28" w:type="dxa"/>
          <w:left w:w="28" w:type="dxa"/>
          <w:bottom w:w="28" w:type="dxa"/>
          <w:right w:w="28" w:type="dxa"/>
        </w:tblCellMar>
      </w:tblPr>
      <w:tblGrid>
        <w:gridCol w:w="1346"/>
        <w:gridCol w:w="1184"/>
        <w:gridCol w:w="1189"/>
        <w:gridCol w:w="257"/>
        <w:gridCol w:w="569"/>
        <w:gridCol w:w="135"/>
        <w:gridCol w:w="109"/>
        <w:gridCol w:w="109"/>
        <w:gridCol w:w="109"/>
        <w:gridCol w:w="211"/>
        <w:gridCol w:w="466"/>
        <w:gridCol w:w="331"/>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9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Estimated</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cost on projected benefit obligation </w:t>
            </w:r>
          </w:p>
        </w:tc>
        <w:tc>
          <w:tcPr>
            <w:tcW w:w="25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5"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3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amortization </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719"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pension cost </w:t>
            </w:r>
          </w:p>
        </w:tc>
        <w:tc>
          <w:tcPr>
            <w:tcW w:w="25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35"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3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SERP cost recorded to expense was $108,000 and $216,000 for the three and six months ended June 30, 2026, respectively and $112,000 and $225,000 for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11 – Income Taxes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continuing operations was 19.7% for both the three and six months ended June 30, 2026 and was 17.8% and 20.1% for the three and six months ended June 30, 2025, respectively. The effective tax rate can differ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statutory rate of 21% primarily due to the impact of state income taxes, tax-exempt interest received from municipal bonds, bank-owned life insurance income,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12 – Investment Securities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Investment securities available-for-sale are recorded at fair value on a recurring basis. The Company’s investment securities available-for-sale are measured at fair value using Level 2 inputs including observable trade data, market data, etc.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tbl>
      <w:tblPr>
        <w:tblW w:w="10205" w:type="dxa"/>
        <w:jc w:val="left"/>
        <w:tblInd w:w="0" w:type="dxa"/>
        <w:tblLayout w:type="fixed"/>
        <w:tblCellMar>
          <w:top w:w="28" w:type="dxa"/>
          <w:left w:w="28" w:type="dxa"/>
          <w:bottom w:w="28" w:type="dxa"/>
          <w:right w:w="28" w:type="dxa"/>
        </w:tblCellMar>
      </w:tblPr>
      <w:tblGrid>
        <w:gridCol w:w="1836"/>
        <w:gridCol w:w="1394"/>
        <w:gridCol w:w="1360"/>
        <w:gridCol w:w="211"/>
        <w:gridCol w:w="826"/>
        <w:gridCol w:w="109"/>
        <w:gridCol w:w="109"/>
        <w:gridCol w:w="109"/>
        <w:gridCol w:w="109"/>
        <w:gridCol w:w="233"/>
        <w:gridCol w:w="681"/>
        <w:gridCol w:w="122"/>
        <w:gridCol w:w="109"/>
        <w:gridCol w:w="109"/>
        <w:gridCol w:w="109"/>
        <w:gridCol w:w="211"/>
        <w:gridCol w:w="762"/>
        <w:gridCol w:w="109"/>
        <w:gridCol w:w="109"/>
        <w:gridCol w:w="109"/>
        <w:gridCol w:w="109"/>
        <w:gridCol w:w="211"/>
        <w:gridCol w:w="826"/>
        <w:gridCol w:w="333"/>
      </w:tblGrid>
      <w:tr>
        <w:trPr/>
        <w:tc>
          <w:tcPr>
            <w:tcW w:w="183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459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221,180 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2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(10,941)</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213,460 </w:t>
            </w:r>
          </w:p>
        </w:tc>
        <w:tc>
          <w:tcPr>
            <w:tcW w:w="333"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473,414 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 bonds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30,767 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(2,143)</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28,624 </w:t>
            </w:r>
          </w:p>
        </w:tc>
        <w:tc>
          <w:tcPr>
            <w:tcW w:w="3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21,292 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590"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777,765 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2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(44,385)</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736,790 </w:t>
            </w:r>
          </w:p>
        </w:tc>
        <w:tc>
          <w:tcPr>
            <w:tcW w:w="3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836"/>
        <w:gridCol w:w="1394"/>
        <w:gridCol w:w="1360"/>
        <w:gridCol w:w="211"/>
        <w:gridCol w:w="826"/>
        <w:gridCol w:w="109"/>
        <w:gridCol w:w="109"/>
        <w:gridCol w:w="109"/>
        <w:gridCol w:w="109"/>
        <w:gridCol w:w="233"/>
        <w:gridCol w:w="681"/>
        <w:gridCol w:w="122"/>
        <w:gridCol w:w="109"/>
        <w:gridCol w:w="109"/>
        <w:gridCol w:w="109"/>
        <w:gridCol w:w="211"/>
        <w:gridCol w:w="762"/>
        <w:gridCol w:w="109"/>
        <w:gridCol w:w="109"/>
        <w:gridCol w:w="109"/>
        <w:gridCol w:w="109"/>
        <w:gridCol w:w="211"/>
        <w:gridCol w:w="826"/>
        <w:gridCol w:w="333"/>
      </w:tblGrid>
      <w:tr>
        <w:trPr/>
        <w:tc>
          <w:tcPr>
            <w:tcW w:w="183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59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247,716 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2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(10,733)</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240,211 </w:t>
            </w:r>
          </w:p>
        </w:tc>
        <w:tc>
          <w:tcPr>
            <w:tcW w:w="333"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478,696 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33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4590"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805,504 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5,372 </w:t>
            </w:r>
          </w:p>
        </w:tc>
        <w:tc>
          <w:tcPr>
            <w:tcW w:w="12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(40,104)</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3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fair values of investment securities with unrealized losses are as follows:</w:t>
      </w:r>
    </w:p>
    <w:tbl>
      <w:tblPr>
        <w:tblW w:w="10205" w:type="dxa"/>
        <w:jc w:val="left"/>
        <w:tblInd w:w="0" w:type="dxa"/>
        <w:tblLayout w:type="fixed"/>
        <w:tblCellMar>
          <w:top w:w="28" w:type="dxa"/>
          <w:left w:w="28" w:type="dxa"/>
          <w:bottom w:w="28" w:type="dxa"/>
          <w:right w:w="28" w:type="dxa"/>
        </w:tblCellMar>
      </w:tblPr>
      <w:tblGrid>
        <w:gridCol w:w="950"/>
        <w:gridCol w:w="454"/>
        <w:gridCol w:w="387"/>
        <w:gridCol w:w="211"/>
        <w:gridCol w:w="826"/>
        <w:gridCol w:w="109"/>
        <w:gridCol w:w="109"/>
        <w:gridCol w:w="109"/>
        <w:gridCol w:w="109"/>
        <w:gridCol w:w="233"/>
        <w:gridCol w:w="681"/>
        <w:gridCol w:w="12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332"/>
      </w:tblGrid>
      <w:tr>
        <w:trPr/>
        <w:tc>
          <w:tcPr>
            <w:tcW w:w="9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r>
      <w:tr>
        <w:trPr/>
        <w:tc>
          <w:tcPr>
            <w:tcW w:w="179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105,314 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111,196 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10,941 </w:t>
            </w:r>
          </w:p>
        </w:tc>
        <w:tc>
          <w:tcPr>
            <w:tcW w:w="33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33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791"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295,309 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5,324 </w:t>
            </w:r>
          </w:p>
        </w:tc>
        <w:tc>
          <w:tcPr>
            <w:tcW w:w="12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291,487 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586,796 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44,385 </w:t>
            </w:r>
          </w:p>
        </w:tc>
        <w:tc>
          <w:tcPr>
            <w:tcW w:w="33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50"/>
        <w:gridCol w:w="454"/>
        <w:gridCol w:w="387"/>
        <w:gridCol w:w="211"/>
        <w:gridCol w:w="826"/>
        <w:gridCol w:w="109"/>
        <w:gridCol w:w="109"/>
        <w:gridCol w:w="109"/>
        <w:gridCol w:w="109"/>
        <w:gridCol w:w="233"/>
        <w:gridCol w:w="681"/>
        <w:gridCol w:w="122"/>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332"/>
      </w:tblGrid>
      <w:tr>
        <w:trPr/>
        <w:tc>
          <w:tcPr>
            <w:tcW w:w="95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7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Unrealized</w:t>
              <w:br/>
              <w:t>Losses</w:t>
            </w:r>
          </w:p>
        </w:tc>
      </w:tr>
      <w:tr>
        <w:trPr/>
        <w:tc>
          <w:tcPr>
            <w:tcW w:w="179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State and political subdivisions </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139,379 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139,379 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332"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Mortgage-backed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27,047 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28,896 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33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r>
      <w:tr>
        <w:trPr/>
        <w:tc>
          <w:tcPr>
            <w:tcW w:w="17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backed securities issued or guaranteed by U.S. government agencies or sponsored enterprises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1791"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148,111 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2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346,597 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38,371 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494,708 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40,104 </w:t>
            </w:r>
          </w:p>
        </w:tc>
        <w:tc>
          <w:tcPr>
            <w:tcW w:w="33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217 investment securities, or 75.6% (147 of which for greater than 12 months), in an unrealized loss position as of June 30, 2026. The unrealized losses at June 30, 2026 were primarily attributable to changes in market interest rates after the investment securities were purchased. The Company does not currently intend to sell, and based on current conditions, the Company does not believe it will be required to sell these available-for-sale investment securities before the recovery of the amortized cost basis, which may be the maturity dates of the investment securities. Therefore, the unrealized losses are recorded in accumulated other comprehensive loss. There were 204 investment securities, or 67.3% (177 of which for greater than 12 months), in an unrealized loss position as of December 31, 2025. At June 30, 2026 and December 31, 2025, the Company had not recorded an allowance for credit losses on investment securities.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tbl>
      <w:tblPr>
        <w:tblW w:w="6043" w:type="dxa"/>
        <w:jc w:val="left"/>
        <w:tblInd w:w="0" w:type="dxa"/>
        <w:tblLayout w:type="fixed"/>
        <w:tblCellMar>
          <w:top w:w="28" w:type="dxa"/>
          <w:left w:w="28" w:type="dxa"/>
          <w:bottom w:w="28" w:type="dxa"/>
          <w:right w:w="28" w:type="dxa"/>
        </w:tblCellMar>
      </w:tblPr>
      <w:tblGrid>
        <w:gridCol w:w="1058"/>
        <w:gridCol w:w="931"/>
        <w:gridCol w:w="935"/>
        <w:gridCol w:w="262"/>
        <w:gridCol w:w="1027"/>
        <w:gridCol w:w="135"/>
        <w:gridCol w:w="109"/>
        <w:gridCol w:w="109"/>
        <w:gridCol w:w="109"/>
        <w:gridCol w:w="211"/>
        <w:gridCol w:w="826"/>
        <w:gridCol w:w="331"/>
      </w:tblGrid>
      <w:tr>
        <w:trPr/>
        <w:tc>
          <w:tcPr>
            <w:tcW w:w="105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924"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in 1 year or less </w:t>
            </w:r>
          </w:p>
        </w:tc>
        <w:tc>
          <w:tcPr>
            <w:tcW w:w="262"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9,154 </w:t>
            </w:r>
          </w:p>
        </w:tc>
        <w:tc>
          <w:tcPr>
            <w:tcW w:w="135"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9,099 </w:t>
            </w:r>
          </w:p>
        </w:tc>
        <w:tc>
          <w:tcPr>
            <w:tcW w:w="33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after 1 year through 5 years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64,284 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61,169 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after 5 years through 10 years </w:t>
            </w:r>
          </w:p>
        </w:tc>
        <w:tc>
          <w:tcPr>
            <w:tcW w:w="1289"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152,876 </w:t>
            </w:r>
          </w:p>
        </w:tc>
        <w:tc>
          <w:tcPr>
            <w:tcW w:w="13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141,453 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Due after 10 years </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551,451 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525,069 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924"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62"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777,765 </w:t>
            </w:r>
          </w:p>
        </w:tc>
        <w:tc>
          <w:tcPr>
            <w:tcW w:w="135"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736,790 </w:t>
            </w:r>
          </w:p>
        </w:tc>
        <w:tc>
          <w:tcPr>
            <w:tcW w:w="33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rPr>
        <w:t>Proceeds from sales of investment securities classified as available-for-sale were $28.1 million and $31.6 million for the three and six months ended June 30, 2026, and were $30.1 million and $53.1 million for the three and six months ended June 30, 2025, respectively. Gross realized losses were $120,000 and $177,000</w:t>
      </w:r>
      <w:r>
        <w:rPr>
          <w:color w:val="000000"/>
        </w:rPr>
        <w:t xml:space="preserve"> </w:t>
      </w:r>
      <w:r>
        <w:rPr>
          <w:rFonts w:ascii="Times New Roman;serif" w:hAnsi="Times New Roman;serif"/>
          <w:b w:val="false"/>
          <w:color w:val="000000"/>
          <w:sz w:val="20"/>
        </w:rPr>
        <w:t xml:space="preserve">for the three and six months ended June 30, 2026, respectively, and were $3.6 million for both the three and six months ended June 30, 2025. There were $125,000 and $187,000 realized gains for the three and six months ended June 30, 2026, respectively, and $0 gross realized gains for both the three and six months ended June 30, 2025. There were no investment securities pledged to secure public deposits at June 30, 2026. The Company pledged municipal securities to secure its $80.0 million of short-term borrowings at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before="200" w:after="283"/>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13 – Short-term borrowings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lines of credit from three third party financial institutions up to a maximum of $250.0 million in aggregate collateralized by state and political subdivision securities. As of June 30, 2026, total outstanding borrowings under these facilities were $80.0 million. As such, the Company had future availability of $170.0 million at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lines of credit mature on various dates from November 27, 2026 to June 30, 2027. The lines of credit bear interest at variable rates from a range of the Wall Street Journal ("WSJ") prime rate minus 0.50% to the WSJ prime rate minus 2.40%. All of the lines of credit include either a commitment fee or unused line fee of 0.10% per annum. During the three months ended June 30, 2026, the weighted</w:t>
        <w:noBreakHyphen/>
        <w:t>average interest rate on outstanding short-term borrowings was 5.71%.</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Availability under the lines of credit is subject to customary borrowing base provisions, financial covenants, and other terms as defined in the respective agreements. As of June 30, 2026, the Company was in compliance with all such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14 – Fair Value of Financial Instruments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Following is a summary of the carrying amounts and fair values of the Company’s financial instruments:</w:t>
      </w:r>
    </w:p>
    <w:tbl>
      <w:tblPr>
        <w:tblW w:w="9046" w:type="dxa"/>
        <w:jc w:val="left"/>
        <w:tblInd w:w="0" w:type="dxa"/>
        <w:tblLayout w:type="fixed"/>
        <w:tblCellMar>
          <w:top w:w="28" w:type="dxa"/>
          <w:left w:w="28" w:type="dxa"/>
          <w:bottom w:w="28" w:type="dxa"/>
          <w:right w:w="28" w:type="dxa"/>
        </w:tblCellMar>
      </w:tblPr>
      <w:tblGrid>
        <w:gridCol w:w="890"/>
        <w:gridCol w:w="782"/>
        <w:gridCol w:w="787"/>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531"/>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2459"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sheet assets: </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392,268 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securities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736,790 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736,790 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770,772 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Loans,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1,088,665 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1,047,620 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1,044,045 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receivable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7,939 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9,170 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4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2,061,867 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2,056,343 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2,219,830 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2,216,255 </w:t>
            </w:r>
          </w:p>
        </w:tc>
        <w:tc>
          <w:tcPr>
            <w:tcW w:w="5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Balance sheet liabilities: </w:t>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1,116,568 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1,200,033 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1,028,098 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1,028,098 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1,124,858 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45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payable </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531"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45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2,225,094 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2,225,094 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2,325,497 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2,325,497 </w:t>
            </w:r>
          </w:p>
        </w:tc>
        <w:tc>
          <w:tcPr>
            <w:tcW w:w="5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to estimate the fair value of each class of financial instruments for which it is practicable to estimate that value:</w:t>
      </w:r>
    </w:p>
    <w:p>
      <w:pPr>
        <w:pStyle w:val="TextBody"/>
        <w:bidi w:val="0"/>
        <w:spacing w:lineRule="auto" w:line="288" w:before="200" w:after="283"/>
        <w:jc w:val="both"/>
        <w:rPr/>
      </w:pPr>
      <w:r>
        <w:rPr>
          <w:rFonts w:ascii="Times New Roman;serif" w:hAnsi="Times New Roman;serif"/>
          <w:b w:val="false"/>
          <w:i/>
          <w:color w:val="000000"/>
          <w:sz w:val="20"/>
        </w:rPr>
        <w:t xml:space="preserve">Cash and Cash Equivalents </w:t>
      </w:r>
      <w:r>
        <w:rPr>
          <w:rFonts w:ascii="Times New Roman;serif" w:hAnsi="Times New Roman;serif"/>
          <w:b w:val="false"/>
          <w:color w:val="000000"/>
          <w:sz w:val="20"/>
        </w:rPr>
        <w:t>- The carrying amount approximates fair value.</w:t>
      </w:r>
    </w:p>
    <w:p>
      <w:pPr>
        <w:pStyle w:val="TextBody"/>
        <w:bidi w:val="0"/>
        <w:spacing w:lineRule="auto" w:line="288" w:before="200" w:after="283"/>
        <w:jc w:val="both"/>
        <w:rPr/>
      </w:pPr>
      <w:r>
        <w:rPr>
          <w:rFonts w:ascii="Times New Roman;serif" w:hAnsi="Times New Roman;serif"/>
          <w:b w:val="false"/>
          <w:i/>
          <w:color w:val="000000"/>
          <w:sz w:val="20"/>
        </w:rPr>
        <w:t xml:space="preserve">Investment Securities </w:t>
      </w:r>
      <w:r>
        <w:rPr>
          <w:rFonts w:ascii="Times New Roman;serif" w:hAnsi="Times New Roman;serif"/>
          <w:b w:val="false"/>
          <w:color w:val="000000"/>
          <w:sz w:val="20"/>
        </w:rPr>
        <w:t>- The fair value is measured on a recurring basis using Level 2 inputs including observable trade data, market data, etc. Refer to Note 12, “Investment Securities,” for fair value and unrealized gains and losses by investment type.</w:t>
      </w:r>
    </w:p>
    <w:p>
      <w:pPr>
        <w:pStyle w:val="TextBody"/>
        <w:bidi w:val="0"/>
        <w:spacing w:lineRule="auto" w:line="288" w:before="200" w:after="283"/>
        <w:jc w:val="both"/>
        <w:rPr/>
      </w:pPr>
      <w:r>
        <w:rPr>
          <w:rFonts w:ascii="Times New Roman;serif" w:hAnsi="Times New Roman;serif"/>
          <w:b w:val="false"/>
          <w:i/>
          <w:color w:val="000000"/>
          <w:sz w:val="20"/>
        </w:rPr>
        <w:t xml:space="preserve">Loans </w:t>
      </w:r>
      <w:r>
        <w:rPr>
          <w:rFonts w:ascii="Times New Roman;serif" w:hAnsi="Times New Roman;serif"/>
          <w:b w:val="false"/>
          <w:color w:val="000000"/>
          <w:sz w:val="20"/>
        </w:rPr>
        <w:t>- The fair value is estimated using present values of future cash flows discounted at risk-adjusted interest rates for each loan category designated by management and is therefore a Level 3 valuation. Management believes that the risk factor embedded in the interest rates along with the allowance for credit losses result in a fair valuation.</w:t>
      </w:r>
    </w:p>
    <w:p>
      <w:pPr>
        <w:pStyle w:val="TextBody"/>
        <w:bidi w:val="0"/>
        <w:spacing w:lineRule="auto" w:line="288" w:before="200" w:after="283"/>
        <w:jc w:val="both"/>
        <w:rPr/>
      </w:pPr>
      <w:r>
        <w:rPr>
          <w:rFonts w:ascii="Times New Roman;serif" w:hAnsi="Times New Roman;serif"/>
          <w:b w:val="false"/>
          <w:i/>
          <w:color w:val="000000"/>
          <w:sz w:val="20"/>
        </w:rPr>
        <w:t xml:space="preserve">Accrued Interest Receivable </w:t>
      </w:r>
      <w:r>
        <w:rPr>
          <w:rFonts w:ascii="Times New Roman;serif" w:hAnsi="Times New Roman;serif"/>
          <w:b w:val="false"/>
          <w:color w:val="000000"/>
          <w:sz w:val="20"/>
        </w:rPr>
        <w:t>- The carrying amount approximates fair value.</w:t>
      </w:r>
    </w:p>
    <w:p>
      <w:pPr>
        <w:pStyle w:val="TextBody"/>
        <w:bidi w:val="0"/>
        <w:spacing w:lineRule="auto" w:line="288" w:before="200" w:after="283"/>
        <w:jc w:val="both"/>
        <w:rPr/>
      </w:pPr>
      <w:r>
        <w:rPr>
          <w:rFonts w:ascii="Times New Roman;serif" w:hAnsi="Times New Roman;serif"/>
          <w:b w:val="false"/>
          <w:i/>
          <w:color w:val="000000"/>
          <w:sz w:val="20"/>
        </w:rPr>
        <w:t xml:space="preserve">Deposits </w:t>
      </w:r>
      <w:r>
        <w:rPr>
          <w:rFonts w:ascii="Times New Roman;serif" w:hAnsi="Times New Roman;serif"/>
          <w:b w:val="false"/>
          <w:color w:val="000000"/>
          <w:sz w:val="20"/>
        </w:rPr>
        <w:t>- The fair value of demand deposits, savings deposits and certain money market deposits is the amount payable on demand at the reporting date. The fair value of fixed-maturity certificates of deposit is estimated using the rates currently offered for deposits of similar remaining maturities and therefore, is a Level 2 valuation. The fair value estimates above do not include the benefit that results from the low-cost funding provided by the deposit liabilities compared to the cost of borrowing funds in the market or the benefit derived from the customer relationship inherent in existing deposits.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i/>
          <w:color w:val="000000"/>
          <w:sz w:val="20"/>
        </w:rPr>
        <w:t xml:space="preserve">Accounts and Drafts Payable </w:t>
      </w:r>
      <w:r>
        <w:rPr>
          <w:rFonts w:ascii="Times New Roman;serif" w:hAnsi="Times New Roman;serif"/>
          <w:b w:val="false"/>
          <w:color w:val="000000"/>
          <w:sz w:val="20"/>
        </w:rPr>
        <w:t>- The carrying amount approximates fair value.</w:t>
      </w:r>
    </w:p>
    <w:p>
      <w:pPr>
        <w:pStyle w:val="TextBody"/>
        <w:bidi w:val="0"/>
        <w:spacing w:lineRule="auto" w:line="288" w:before="200" w:after="283"/>
        <w:jc w:val="left"/>
        <w:rPr/>
      </w:pPr>
      <w:r>
        <w:rPr>
          <w:rFonts w:ascii="Times New Roman;serif" w:hAnsi="Times New Roman;serif"/>
          <w:b w:val="false"/>
          <w:i/>
          <w:color w:val="000000"/>
          <w:sz w:val="20"/>
        </w:rPr>
        <w:t xml:space="preserve">Short-term borrowings - </w:t>
      </w:r>
      <w:r>
        <w:rPr>
          <w:rFonts w:ascii="Times New Roman;serif" w:hAnsi="Times New Roman;serif"/>
          <w:b w:val="false"/>
          <w:color w:val="000000"/>
          <w:sz w:val="20"/>
        </w:rPr>
        <w:t>The carrying amount approximates fair value.</w:t>
      </w:r>
    </w:p>
    <w:p>
      <w:pPr>
        <w:pStyle w:val="TextBody"/>
        <w:bidi w:val="0"/>
        <w:spacing w:lineRule="auto" w:line="288" w:before="200" w:after="283"/>
        <w:jc w:val="left"/>
        <w:rPr/>
      </w:pPr>
      <w:r>
        <w:rPr>
          <w:rFonts w:ascii="Times New Roman;serif" w:hAnsi="Times New Roman;serif"/>
          <w:b w:val="false"/>
          <w:i/>
          <w:color w:val="000000"/>
          <w:sz w:val="20"/>
        </w:rPr>
        <w:t xml:space="preserve">Accrued Interest Payable </w:t>
      </w:r>
      <w:r>
        <w:rPr>
          <w:rFonts w:ascii="Times New Roman;serif" w:hAnsi="Times New Roman;serif"/>
          <w:b w:val="false"/>
          <w:color w:val="000000"/>
          <w:sz w:val="20"/>
        </w:rPr>
        <w:t>- The carrying amount approximates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Note 15 – Revenue from Contracts with Customers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Revenue is recognized as the obligation to the customer is satisfied. The Company’s revenue from contracts with clients is as follows:</w:t>
      </w:r>
    </w:p>
    <w:p>
      <w:pPr>
        <w:pStyle w:val="TextBody"/>
        <w:bidi w:val="0"/>
        <w:spacing w:lineRule="auto" w:line="288" w:before="200" w:after="283"/>
        <w:jc w:val="both"/>
        <w:rPr/>
      </w:pPr>
      <w:r>
        <w:rPr>
          <w:rFonts w:ascii="Times New Roman;serif" w:hAnsi="Times New Roman;serif"/>
          <w:b w:val="false"/>
          <w:i/>
          <w:color w:val="000000"/>
          <w:sz w:val="20"/>
        </w:rPr>
        <w:t xml:space="preserve">Processing fees </w:t>
      </w:r>
      <w:r>
        <w:rPr>
          <w:color w:val="000000"/>
        </w:rPr>
        <w:t xml:space="preserve">– </w:t>
      </w:r>
      <w:r>
        <w:rPr>
          <w:rFonts w:ascii="Times New Roman;serif" w:hAnsi="Times New Roman;serif"/>
          <w:b w:val="false"/>
          <w:color w:val="000000"/>
          <w:sz w:val="20"/>
        </w:rPr>
        <w:t>The Company earns fees on a per-item or monthly basis for the invoice processing services rendered on behalf of customers. Per-item fees are recognized at the point in time when the performance obligation is satisfied. Monthly fees are earned over the course of a month, representing the period over which the performance obligation is satisfied. The contracts have no significant variable consideration or financing components.</w:t>
      </w:r>
    </w:p>
    <w:p>
      <w:pPr>
        <w:pStyle w:val="TextBody"/>
        <w:bidi w:val="0"/>
        <w:spacing w:lineRule="auto" w:line="288" w:before="200" w:after="283"/>
        <w:jc w:val="both"/>
        <w:rPr/>
      </w:pPr>
      <w:r>
        <w:rPr>
          <w:rFonts w:ascii="Times New Roman;serif" w:hAnsi="Times New Roman;serif"/>
          <w:b w:val="false"/>
          <w:i/>
          <w:color w:val="000000"/>
          <w:sz w:val="20"/>
        </w:rPr>
        <w:t xml:space="preserve">Financial fees </w:t>
      </w:r>
      <w:r>
        <w:rPr>
          <w:color w:val="000000"/>
        </w:rPr>
        <w:t xml:space="preserve">– </w:t>
      </w:r>
      <w:r>
        <w:rPr>
          <w:rFonts w:ascii="Times New Roman;serif" w:hAnsi="Times New Roman;serif"/>
          <w:b w:val="false"/>
          <w:color w:val="000000"/>
          <w:sz w:val="20"/>
        </w:rPr>
        <w:t>The Company earns fees on a transaction level basis for invoice payment services when making customer payments. Fees are recognized at the point in time when the payment transactions are made, which is when the performance obligation is satisfied. The contracts have no significant impact of variable consideration and no significant financing components.</w:t>
      </w:r>
    </w:p>
    <w:p>
      <w:pPr>
        <w:pStyle w:val="TextBody"/>
        <w:bidi w:val="0"/>
        <w:spacing w:lineRule="auto" w:line="288" w:before="200" w:after="283"/>
        <w:jc w:val="both"/>
        <w:rPr/>
      </w:pPr>
      <w:r>
        <w:rPr>
          <w:rFonts w:ascii="Times New Roman;serif" w:hAnsi="Times New Roman;serif"/>
          <w:b w:val="false"/>
          <w:i/>
          <w:color w:val="000000"/>
          <w:sz w:val="20"/>
        </w:rPr>
        <w:t xml:space="preserve">Bank service fees </w:t>
      </w:r>
      <w:r>
        <w:rPr>
          <w:color w:val="000000"/>
        </w:rPr>
        <w:t xml:space="preserve">– </w:t>
      </w:r>
      <w:r>
        <w:rPr>
          <w:rFonts w:ascii="Times New Roman;serif" w:hAnsi="Times New Roman;serif"/>
          <w:b w:val="false"/>
          <w:color w:val="000000"/>
          <w:sz w:val="20"/>
        </w:rPr>
        <w:t>Revenue from service fees consists of service charges and fees on deposit accounts under depository agreements with customers to 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non-interest income, segregated by revenue streams in-scope and out-of-scope for the periods ended June 30, 2026 and 2025.</w:t>
      </w:r>
    </w:p>
    <w:tbl>
      <w:tblPr>
        <w:tblW w:w="10205" w:type="dxa"/>
        <w:jc w:val="left"/>
        <w:tblInd w:w="0" w:type="dxa"/>
        <w:tblLayout w:type="fixed"/>
        <w:tblCellMar>
          <w:top w:w="28" w:type="dxa"/>
          <w:left w:w="28" w:type="dxa"/>
          <w:bottom w:w="28" w:type="dxa"/>
          <w:right w:w="28" w:type="dxa"/>
        </w:tblCellMar>
      </w:tblPr>
      <w:tblGrid>
        <w:gridCol w:w="1397"/>
        <w:gridCol w:w="1180"/>
        <w:gridCol w:w="1186"/>
        <w:gridCol w:w="269"/>
        <w:gridCol w:w="923"/>
        <w:gridCol w:w="139"/>
        <w:gridCol w:w="139"/>
        <w:gridCol w:w="139"/>
        <w:gridCol w:w="139"/>
        <w:gridCol w:w="269"/>
        <w:gridCol w:w="923"/>
        <w:gridCol w:w="139"/>
        <w:gridCol w:w="109"/>
        <w:gridCol w:w="109"/>
        <w:gridCol w:w="109"/>
        <w:gridCol w:w="225"/>
        <w:gridCol w:w="772"/>
        <w:gridCol w:w="116"/>
        <w:gridCol w:w="116"/>
        <w:gridCol w:w="116"/>
        <w:gridCol w:w="116"/>
        <w:gridCol w:w="225"/>
        <w:gridCol w:w="772"/>
        <w:gridCol w:w="578"/>
      </w:tblGrid>
      <w:tr>
        <w:trPr/>
        <w:tc>
          <w:tcPr>
            <w:tcW w:w="139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7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6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and other income </w:t>
            </w:r>
          </w:p>
        </w:tc>
        <w:tc>
          <w:tcPr>
            <w:tcW w:w="133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In-scope of FASB ASC 606</w:t>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Processing fees </w:t>
            </w:r>
          </w:p>
        </w:tc>
        <w:tc>
          <w:tcPr>
            <w:tcW w:w="269"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16,700 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33,169 </w:t>
            </w:r>
          </w:p>
        </w:tc>
        <w:tc>
          <w:tcPr>
            <w:tcW w:w="578" w:type="dxa"/>
            <w:tcBorders/>
            <w:shd w:fill="B6B6B6"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Information services payment and processing revenue </w:t>
            </w:r>
          </w:p>
        </w:tc>
        <w:tc>
          <w:tcPr>
            <w:tcW w:w="11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27,037 </w:t>
            </w:r>
          </w:p>
        </w:tc>
        <w:tc>
          <w:tcPr>
            <w:tcW w:w="13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26,861 </w:t>
            </w:r>
          </w:p>
        </w:tc>
        <w:tc>
          <w:tcPr>
            <w:tcW w:w="13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53,196 </w:t>
            </w:r>
          </w:p>
        </w:tc>
        <w:tc>
          <w:tcPr>
            <w:tcW w:w="11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53,291 </w:t>
            </w:r>
          </w:p>
        </w:tc>
        <w:tc>
          <w:tcPr>
            <w:tcW w:w="578"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Bank service fees </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Fee revenue (in-scope of FASB ASC 606) </w:t>
            </w:r>
          </w:p>
        </w:tc>
        <w:tc>
          <w:tcPr>
            <w:tcW w:w="11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27,435 </w:t>
            </w:r>
          </w:p>
        </w:tc>
        <w:tc>
          <w:tcPr>
            <w:tcW w:w="13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27,211 </w:t>
            </w:r>
          </w:p>
        </w:tc>
        <w:tc>
          <w:tcPr>
            <w:tcW w:w="13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53,966 </w:t>
            </w:r>
          </w:p>
        </w:tc>
        <w:tc>
          <w:tcPr>
            <w:tcW w:w="11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53,977 </w:t>
            </w:r>
          </w:p>
        </w:tc>
        <w:tc>
          <w:tcPr>
            <w:tcW w:w="578"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(out-of-scope of FASB ASC 606) </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w:t>
            </w:r>
          </w:p>
        </w:tc>
        <w:tc>
          <w:tcPr>
            <w:tcW w:w="11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3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578"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fee revenue and other income </w:t>
            </w:r>
          </w:p>
        </w:tc>
        <w:tc>
          <w:tcPr>
            <w:tcW w:w="2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28,927 </w:t>
            </w:r>
          </w:p>
        </w:tc>
        <w:tc>
          <w:tcPr>
            <w:tcW w:w="1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24,948 </w:t>
            </w:r>
          </w:p>
        </w:tc>
        <w:tc>
          <w:tcPr>
            <w:tcW w:w="1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56,873 </w:t>
            </w:r>
          </w:p>
        </w:tc>
        <w:tc>
          <w:tcPr>
            <w:tcW w:w="1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52,986 </w:t>
            </w:r>
          </w:p>
        </w:tc>
        <w:tc>
          <w:tcPr>
            <w:tcW w:w="57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16 – Leases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leases certain premises under operating leases. As of June 30, 2026, the Company had lease liabilities of $4.1 million and right-of-use assets of $4.0 million. Lease liabilities and right-of-use assets are reflected in other liabilities and other assets, respectively. Presented within occupancy expense on the Consolidated Statements of Income for the three and six months ended June 30, 2026, operating lease cost was $214,000 and $428,000, short-term lease cost was $42,000 and $88,000, and there was no variable lease cost. At June 30, 2026, the weighted-average remaining lease term for the operating leases was 5.7 years and the weighted-average discount rate used in the measurement of operating lease liabilities was 2.75%. Certain of the Company’s leases contain options to renew the lease; however, these renewal options are not included in the calculation of the lease liabilities as they are not reasonably certain to be exercised. See the Company’s 2025 Form 10-K for information regarding these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maturity analysis of operating lease liabilities and undiscounted cash flows as of June 30, 2026 is as follows:</w:t>
      </w:r>
    </w:p>
    <w:tbl>
      <w:tblPr>
        <w:tblW w:w="3621" w:type="dxa"/>
        <w:jc w:val="left"/>
        <w:tblInd w:w="0" w:type="dxa"/>
        <w:tblLayout w:type="fixed"/>
        <w:tblCellMar>
          <w:top w:w="28" w:type="dxa"/>
          <w:left w:w="28" w:type="dxa"/>
          <w:bottom w:w="28" w:type="dxa"/>
          <w:right w:w="28" w:type="dxa"/>
        </w:tblCellMar>
      </w:tblPr>
      <w:tblGrid>
        <w:gridCol w:w="955"/>
        <w:gridCol w:w="841"/>
        <w:gridCol w:w="844"/>
        <w:gridCol w:w="211"/>
        <w:gridCol w:w="616"/>
        <w:gridCol w:w="154"/>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64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 payments due </w:t>
            </w:r>
          </w:p>
        </w:tc>
        <w:tc>
          <w:tcPr>
            <w:tcW w:w="98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than 1 year </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1-2 years</w:t>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2-3 years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3-4 years </w:t>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4-5 years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Over 5 years </w:t>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undiscounted cash flows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Discount on cash flows </w:t>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liability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 and leaseback transactions, leveraged leases, or lease transactions with related parties during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Note 17 – Subsequent Events</w:t>
      </w:r>
    </w:p>
    <w:p>
      <w:pPr>
        <w:pStyle w:val="TextBody"/>
        <w:bidi w:val="0"/>
        <w:spacing w:lineRule="auto" w:line="288" w:before="200" w:after="283"/>
        <w:jc w:val="both"/>
        <w:rPr/>
      </w:pPr>
      <w:r>
        <w:rPr>
          <w:rFonts w:ascii="Times New Roman;serif" w:hAnsi="Times New Roman;serif"/>
          <w:b w:val="false"/>
          <w:color w:val="000000"/>
          <w:sz w:val="20"/>
        </w:rPr>
        <w:t xml:space="preserve">In accordance with FASB ASC 855, </w:t>
      </w:r>
      <w:r>
        <w:rPr>
          <w:rFonts w:ascii="Times New Roman;serif" w:hAnsi="Times New Roman;serif"/>
          <w:b w:val="false"/>
          <w:i/>
          <w:color w:val="000000"/>
          <w:sz w:val="20"/>
        </w:rPr>
        <w:t>Subsequent Events</w:t>
      </w:r>
      <w:r>
        <w:rPr>
          <w:rFonts w:ascii="Times New Roman;serif" w:hAnsi="Times New Roman;serif"/>
          <w:b w:val="false"/>
          <w:color w:val="000000"/>
          <w:sz w:val="20"/>
        </w:rPr>
        <w:t>, the Company has evaluated subsequent events after the consolidated balance sheet date of June 30, 2026. There were no other events identified that would require additional disclosures to prevent the Company’s unaudited consolidated financial statements from being misleading.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and the general level of transportation and energy costs; and economic factors that include the general level of economic activity, the ability to hire and retain qualified staff, the growth and quality of the Bank’s loan portfolio, and the effects of tariffs or other domestic or international governmental policies. For a more detailed discussion of the Company’s revenue drivers and factors that impact the Company’s results of operation and financial condition generally, see Item 7, “Management’s Discussion and Analysis of Financial Condition and Results of Operations” in the Company’s 2025 Form 10-K.</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Industry Developments and Items of Note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 freight rates have recently begun to increase, and, together with fuel surcharges from rising diesel prices, are contributing to higher Transportation dollars processed and paid. The increase in Transportation dollars paid is expected to increase the overall level of average accounts and drafts payable, which results in increased interest income, and average payments in advance of funding, which results in increased financial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paragraphs more fully discuss the results of operations and changes in financial condition for the three months ended June 30, 2026 (“second quarter of 2026”) compared to the three months ended June 30, 2025 (“second quarter of 2025”) and the six months ended June 30, 2026 ("first half of 2026") compared to the six months ended June 30, 2025 ("first half of 2025"). The following discussion and analysis should be read in conjunction with the unaudited consolidated financial statements and related notes and with the statistical information and financial data appearing in this report, as well as in the Company’s 2025 Form 10-K. Results of operations for the three and six months ended June 30, 2026 are not necessarily indicative of the results to be attained for any other period.</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applied discontinued operations accounting in accordance with Accounting Standards Codification, or ASC, Topic 205-20, “Presentation of Financial Statements – Discontinued Operations,” to the assets and liabilities sold related to the Company's TEM Business Unit for the three and six months ended June 30, 2026, and 2025, as applicable. All financial information in this Quarterly Report on Form 10-Q is reported on a continuing operations basis, unless otherwise noted. See Note 2 to our consolidated financial statements for further discussion regarding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 of Results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operating results:</w:t>
      </w:r>
    </w:p>
    <w:tbl>
      <w:tblPr>
        <w:tblW w:w="10205" w:type="dxa"/>
        <w:jc w:val="left"/>
        <w:tblInd w:w="0" w:type="dxa"/>
        <w:tblLayout w:type="fixed"/>
        <w:tblCellMar>
          <w:top w:w="28" w:type="dxa"/>
          <w:left w:w="28" w:type="dxa"/>
          <w:bottom w:w="28" w:type="dxa"/>
          <w:right w:w="28" w:type="dxa"/>
        </w:tblCellMar>
      </w:tblPr>
      <w:tblGrid>
        <w:gridCol w:w="751"/>
        <w:gridCol w:w="494"/>
        <w:gridCol w:w="496"/>
        <w:gridCol w:w="211"/>
        <w:gridCol w:w="721"/>
        <w:gridCol w:w="271"/>
        <w:gridCol w:w="109"/>
        <w:gridCol w:w="109"/>
        <w:gridCol w:w="109"/>
        <w:gridCol w:w="211"/>
        <w:gridCol w:w="721"/>
        <w:gridCol w:w="271"/>
        <w:gridCol w:w="109"/>
        <w:gridCol w:w="109"/>
        <w:gridCol w:w="109"/>
        <w:gridCol w:w="358"/>
        <w:gridCol w:w="363"/>
        <w:gridCol w:w="417"/>
        <w:gridCol w:w="109"/>
        <w:gridCol w:w="109"/>
        <w:gridCol w:w="109"/>
        <w:gridCol w:w="211"/>
        <w:gridCol w:w="721"/>
        <w:gridCol w:w="271"/>
        <w:gridCol w:w="109"/>
        <w:gridCol w:w="109"/>
        <w:gridCol w:w="109"/>
        <w:gridCol w:w="211"/>
        <w:gridCol w:w="721"/>
        <w:gridCol w:w="271"/>
        <w:gridCol w:w="109"/>
        <w:gridCol w:w="109"/>
        <w:gridCol w:w="109"/>
        <w:gridCol w:w="265"/>
        <w:gridCol w:w="269"/>
        <w:gridCol w:w="345"/>
      </w:tblGrid>
      <w:tr>
        <w:trPr/>
        <w:tc>
          <w:tcPr>
            <w:tcW w:w="75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except per share data)</w:t>
            </w:r>
          </w:p>
        </w:tc>
        <w:tc>
          <w:tcPr>
            <w:tcW w:w="4198" w:type="dxa"/>
            <w:gridSpan w:val="15"/>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Second Quarter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9"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 of</w:t>
            </w:r>
          </w:p>
        </w:tc>
      </w:tr>
      <w:tr>
        <w:trPr/>
        <w:tc>
          <w:tcPr>
            <w:tcW w:w="1741"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17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16,700 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33,169 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45"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21,547 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42,763 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38,748 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45" w:type="dxa"/>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2024.0 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49,943 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44,398 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99,044 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90,804 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45"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74,987 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6,279 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109.8 </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24,057 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17,155 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45"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345"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13,710 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345"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10,587 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8,855 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19,419 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17,821 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45"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ind w:left="0" w:right="0" w:hanging="36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 from discontinued operations</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(96.7)</w:t>
            </w:r>
          </w:p>
        </w:tc>
        <w:tc>
          <w:tcPr>
            <w:tcW w:w="345"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4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assets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5"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Return on average equity</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16.17 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Second quarter of 2026 compared to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net revenue of $49.9 million during the second quarter of 2026, an increase of 12.5% from the second quarter of 2025, primarily driven by an increase in net interest income and financial fees, partially offset by lower processing fees. Operating expense decreased 3.5% compared to the second quarter of 2025 primarily due to $1.8 million bad debt recovery. Net income was $10.6 million, an increase of 19.6% and diluted EPS was $0.81 per share, an increase of 22.7% from the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posted a 1.67% return on average assets and 17.72% return on average equity.</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First half of 2026 compared to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net revenue of $99.0 million during the first half of 2026, an increase of 9.1% from the first half of 2025, primarily driven by an increase in net interest income and financial fees, partially offset by lower processing fees. Operating expense increased 1.8% compared to the first half of 2025. Net income was $19.4 million, an increase of 9.0% and diluted EPS was $1.48 per share, an increase of 13.0% from the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posted a 1.54% return on average assets and 16.17% return on average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Fee Revenue and Other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generated in the payment process which can be used to generate interest income. Processing volumes, average payments in advance of funding, and fee revenue were as follows:</w:t>
      </w:r>
    </w:p>
    <w:tbl>
      <w:tblPr>
        <w:tblW w:w="10516" w:type="dxa"/>
        <w:jc w:val="left"/>
        <w:tblInd w:w="0" w:type="dxa"/>
        <w:tblLayout w:type="fixed"/>
        <w:tblCellMar>
          <w:top w:w="28" w:type="dxa"/>
          <w:left w:w="28" w:type="dxa"/>
          <w:bottom w:w="28" w:type="dxa"/>
          <w:right w:w="28" w:type="dxa"/>
        </w:tblCellMar>
      </w:tblPr>
      <w:tblGrid>
        <w:gridCol w:w="523"/>
        <w:gridCol w:w="420"/>
        <w:gridCol w:w="423"/>
        <w:gridCol w:w="211"/>
        <w:gridCol w:w="1081"/>
        <w:gridCol w:w="109"/>
        <w:gridCol w:w="109"/>
        <w:gridCol w:w="109"/>
        <w:gridCol w:w="109"/>
        <w:gridCol w:w="211"/>
        <w:gridCol w:w="976"/>
        <w:gridCol w:w="109"/>
        <w:gridCol w:w="109"/>
        <w:gridCol w:w="109"/>
        <w:gridCol w:w="109"/>
        <w:gridCol w:w="109"/>
        <w:gridCol w:w="254"/>
        <w:gridCol w:w="257"/>
        <w:gridCol w:w="417"/>
        <w:gridCol w:w="109"/>
        <w:gridCol w:w="109"/>
        <w:gridCol w:w="109"/>
        <w:gridCol w:w="211"/>
        <w:gridCol w:w="1081"/>
        <w:gridCol w:w="109"/>
        <w:gridCol w:w="109"/>
        <w:gridCol w:w="109"/>
        <w:gridCol w:w="109"/>
        <w:gridCol w:w="211"/>
        <w:gridCol w:w="1081"/>
        <w:gridCol w:w="109"/>
        <w:gridCol w:w="109"/>
        <w:gridCol w:w="109"/>
        <w:gridCol w:w="109"/>
        <w:gridCol w:w="109"/>
        <w:gridCol w:w="254"/>
        <w:gridCol w:w="257"/>
        <w:gridCol w:w="359"/>
      </w:tblGrid>
      <w:tr>
        <w:trPr/>
        <w:tc>
          <w:tcPr>
            <w:tcW w:w="52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3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46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Second Quarter of</w:t>
            </w:r>
          </w:p>
        </w:tc>
        <w:tc>
          <w:tcPr>
            <w:tcW w:w="928" w:type="dxa"/>
            <w:gridSpan w:val="3"/>
            <w:tcBorders/>
            <w:tcMar>
              <w:top w:w="0" w:type="dxa"/>
              <w:left w:w="0" w:type="dxa"/>
              <w:bottom w:w="0" w:type="dxa"/>
              <w:right w:w="0" w:type="dxa"/>
            </w:tcMar>
            <w:vAlign w:val="center"/>
          </w:tcPr>
          <w:p>
            <w:pPr>
              <w:pStyle w:val="TableContents"/>
              <w:bidi w:val="0"/>
              <w:spacing w:before="0" w:after="283"/>
              <w:ind w:left="0" w:right="0" w:firstLine="108"/>
              <w:jc w:val="left"/>
              <w:rPr>
                <w:sz w:val="4"/>
                <w:szCs w:val="4"/>
              </w:rPr>
            </w:pPr>
            <w:r>
              <w:rPr>
                <w:sz w:val="4"/>
                <w:szCs w:val="4"/>
              </w:rPr>
            </w:r>
          </w:p>
        </w:tc>
        <w:tc>
          <w:tcPr>
            <w:tcW w:w="3783"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First Half of</w:t>
            </w:r>
          </w:p>
        </w:tc>
        <w:tc>
          <w:tcPr>
            <w:tcW w:w="979" w:type="dxa"/>
            <w:gridSpan w:val="4"/>
            <w:tcBorders/>
          </w:tcPr>
          <w:p>
            <w:pPr>
              <w:pStyle w:val="TableContents"/>
              <w:bidi w:val="0"/>
              <w:spacing w:before="0" w:after="283"/>
              <w:jc w:val="left"/>
              <w:rPr>
                <w:sz w:val="4"/>
                <w:szCs w:val="4"/>
              </w:rPr>
            </w:pPr>
            <w:r>
              <w:rPr>
                <w:sz w:val="4"/>
                <w:szCs w:val="4"/>
              </w:rPr>
            </w:r>
          </w:p>
        </w:tc>
      </w:tr>
      <w:tr>
        <w:trPr/>
        <w:tc>
          <w:tcPr>
            <w:tcW w:w="1366" w:type="dxa"/>
            <w:gridSpan w:val="3"/>
            <w:vMerge w:val="continue"/>
            <w:tcBorders/>
            <w:tcMar>
              <w:top w:w="0" w:type="dxa"/>
              <w:left w:w="0" w:type="dxa"/>
              <w:bottom w:w="0" w:type="dxa"/>
              <w:right w:w="0" w:type="dxa"/>
            </w:tcMar>
            <w:vAlign w:val="center"/>
          </w:tcPr>
          <w:p>
            <w:pPr>
              <w:pStyle w:val="Normal"/>
              <w:bidi w:val="0"/>
              <w:jc w:val="left"/>
              <w:rPr/>
            </w:pPr>
            <w:r>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91"/>
              <w:jc w:val="center"/>
              <w:rPr>
                <w:rFonts w:ascii="Times New Roman;serif" w:hAnsi="Times New Roman;serif"/>
                <w:b/>
                <w:color w:val="000000"/>
                <w:sz w:val="20"/>
              </w:rPr>
            </w:pPr>
            <w:r>
              <w:rPr>
                <w:rFonts w:ascii="Times New Roman;serif" w:hAnsi="Times New Roman;serif"/>
                <w:b/>
                <w:color w:val="000000"/>
                <w:sz w:val="20"/>
              </w:rPr>
              <w:t>%</w:t>
              <w:br/>
              <w:t>Change</w:t>
            </w:r>
          </w:p>
        </w:tc>
      </w:tr>
      <w:tr>
        <w:trPr/>
        <w:tc>
          <w:tcPr>
            <w:tcW w:w="136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invoice volume</w:t>
            </w:r>
          </w:p>
        </w:tc>
        <w:tc>
          <w:tcPr>
            <w:tcW w:w="12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8,670 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8,837 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17,192 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59"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ind w:left="0" w:right="0" w:hanging="191"/>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invoice dollar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10,062,357 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91"/>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Facility-related transaction volume</w:t>
            </w:r>
          </w:p>
        </w:tc>
        <w:tc>
          <w:tcPr>
            <w:tcW w:w="129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59" w:type="dxa"/>
            <w:tcBorders/>
            <w:shd w:fill="B6B6B6" w:val="clear"/>
            <w:tcMar>
              <w:top w:w="0" w:type="dxa"/>
              <w:left w:w="0" w:type="dxa"/>
              <w:bottom w:w="0" w:type="dxa"/>
              <w:right w:w="0" w:type="dxa"/>
            </w:tcMar>
            <w:vAlign w:val="center"/>
          </w:tcPr>
          <w:p>
            <w:pPr>
              <w:pStyle w:val="TableContents"/>
              <w:bidi w:val="0"/>
              <w:spacing w:lineRule="auto" w:line="273" w:before="0" w:after="283"/>
              <w:ind w:left="0" w:right="0" w:hanging="191"/>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Facility-related dollar volume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91"/>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payments in advance of funding</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176,191 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193,779 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174,898 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59"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10,951 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10,161 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4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59"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5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66"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investment securities</w:t>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(3,558)</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Second quarter of 2026 compared to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Processing fees decreased $614,000, or 3.7% over the same period in the prior year reflecting lower transportation and facility invoice volumes.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Financial fees increased $790,000, or 7.8%, primarily attributable to an increase in average payments in advance of funding of 19.4% compared to the prior period.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sold $34.0 million of corporate investment securities with a weighted-average yield of 2.29% at a loss of $3.6 million during the second quarter of 2025.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First half of 2026 compared to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Processing fees decreased $1.4 million, or 4.1%, reflecting lower transportation and facility invoice volumes.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Financial fees increased $1.3 million, or 6.3%, primarily attributable to an increase in average payments in advance of funding of 10.8% compared to the prior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Interest Income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tbl>
      <w:tblPr>
        <w:tblW w:w="10205" w:type="dxa"/>
        <w:jc w:val="left"/>
        <w:tblInd w:w="0" w:type="dxa"/>
        <w:tblLayout w:type="fixed"/>
        <w:tblCellMar>
          <w:top w:w="28" w:type="dxa"/>
          <w:left w:w="28" w:type="dxa"/>
          <w:bottom w:w="28" w:type="dxa"/>
          <w:right w:w="28" w:type="dxa"/>
        </w:tblCellMar>
      </w:tblPr>
      <w:tblGrid>
        <w:gridCol w:w="925"/>
        <w:gridCol w:w="715"/>
        <w:gridCol w:w="691"/>
        <w:gridCol w:w="211"/>
        <w:gridCol w:w="976"/>
        <w:gridCol w:w="271"/>
        <w:gridCol w:w="109"/>
        <w:gridCol w:w="109"/>
        <w:gridCol w:w="109"/>
        <w:gridCol w:w="211"/>
        <w:gridCol w:w="976"/>
        <w:gridCol w:w="271"/>
        <w:gridCol w:w="109"/>
        <w:gridCol w:w="181"/>
        <w:gridCol w:w="181"/>
        <w:gridCol w:w="181"/>
        <w:gridCol w:w="181"/>
        <w:gridCol w:w="181"/>
        <w:gridCol w:w="211"/>
        <w:gridCol w:w="976"/>
        <w:gridCol w:w="271"/>
        <w:gridCol w:w="109"/>
        <w:gridCol w:w="109"/>
        <w:gridCol w:w="109"/>
        <w:gridCol w:w="211"/>
        <w:gridCol w:w="976"/>
        <w:gridCol w:w="271"/>
        <w:gridCol w:w="109"/>
        <w:gridCol w:w="109"/>
        <w:gridCol w:w="156"/>
      </w:tblGrid>
      <w:tr>
        <w:trPr/>
        <w:tc>
          <w:tcPr>
            <w:tcW w:w="92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2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Second Quarter of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 of</w:t>
            </w:r>
          </w:p>
        </w:tc>
        <w:tc>
          <w:tcPr>
            <w:tcW w:w="3617" w:type="dxa"/>
            <w:gridSpan w:val="12"/>
            <w:tcBorders/>
          </w:tcPr>
          <w:p>
            <w:pPr>
              <w:pStyle w:val="TableContents"/>
              <w:bidi w:val="0"/>
              <w:spacing w:before="0" w:after="283"/>
              <w:jc w:val="left"/>
              <w:rPr>
                <w:sz w:val="4"/>
                <w:szCs w:val="4"/>
              </w:rPr>
            </w:pPr>
            <w:r>
              <w:rPr>
                <w:sz w:val="4"/>
                <w:szCs w:val="4"/>
              </w:rPr>
            </w:r>
          </w:p>
        </w:tc>
      </w:tr>
      <w:tr>
        <w:trPr/>
        <w:tc>
          <w:tcPr>
            <w:tcW w:w="2331" w:type="dxa"/>
            <w:gridSpan w:val="3"/>
            <w:vMerge w:val="continue"/>
            <w:tcBorders/>
            <w:tcMar>
              <w:top w:w="0" w:type="dxa"/>
              <w:left w:w="0" w:type="dxa"/>
              <w:bottom w:w="0" w:type="dxa"/>
              <w:right w:w="0" w:type="dxa"/>
            </w:tcMar>
            <w:vAlign w:val="center"/>
          </w:tcPr>
          <w:p>
            <w:pPr>
              <w:pStyle w:val="Normal"/>
              <w:bidi w:val="0"/>
              <w:jc w:val="left"/>
              <w:rPr/>
            </w:pPr>
            <w:r>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3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earning assets</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2,199,091 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2,090,366 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2,206,922 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2,097,445 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 interest-bearing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652,859 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615,932 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652,595 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622,045 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21,907 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19,690 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43,496 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39,132 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Yield on earning assets*</w:t>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interest-bearing liabilities</w:t>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*Presented on a tax-equivalent basis assuming a tax rate of 21% for both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Second quarter of 2026 compared to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net interest income is primarily attributable to the net interest margin improving to 4.00% as compared to 3.78% in the same period last year, in addition to an increase in average earning assets of $108.7 million, or 5.2%. The yield on interest-earning assets increased 16 basis points from 4.58% to 4.74% while the cost of interest-bearing liabilities decreased 22 basis points from 2.71% to 2.49%.</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Average loans decreased $35.1 million, or 3.1%, to $1.09 billion. The average yield on loans increased 23 basis points to 5.87%, primarily due to the continued maturity and subsequent re-pricing of fixed rate loans originated in the years 2021 and 2022 to current market interest rates.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Average investment securities increased $136.9 million, or 20.6%, to $802.5 million. The increase was primarily driven by the partial repositioning of the portfolio at the end of the second quarter of 2025 as well as purchases of investments at current market rates. The average yield on taxable investment securities increased 58 basis points to 3.63% and the average yield on tax-exempt investment securities increased 113 basis points to 4.04%.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Average short-term investments, consisting of interest-bearing deposits in other financial institutions and federal funds sold, increased $6.9 million, or 2.3%, to $305.8 million. The average yield on short-term investments decreased 66 basis points to 3.37%, primarily due to the decrease in the Federal Funds rate. The majority of these short-term investments are held at the Federal Reserve Bank.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average balance of interest-bearing deposits increased $27.0 million, or 4.4%, to $642.9 million. Average non-interest-bearing demand deposits increased $39.1 million, or 10.0%, to $432.2 million. The increase in average non-interest bearing deposits is primarily due to growth within CassPay. The average rate paid on interest-bearing deposits decreased 27 basis points to 2.44% due to the reduction in short-term interest rates.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Average accounts and drafts payable increased $56.0 million, or 5.0%, to $1.18 billion. The increase in average accounts and drafts payable was primarily driven by the increase in transportation dollar volumes of 7.4% as well as the increase in facility dollar volumes of 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First half of 2026 compared to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increase in net interest income is primarily attributable to the net interest margin improving to 3.97% as compared to 3.76% in the same period last year, in addition to an increase in average earning assets of $109.5 million, or 5.2%. The yield on interest-earning assets increased 14 basis points from 4.56% to 4.70% while the cost of interest-bearing liabilities decreased 22 basis points from 2.68% to 2.46%.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Average loans decreased $39.1 million, or 3.5%, to $1.08 billion. The average yield on loans increased 21 basis points to 5.84%, primarily due to the continued maturity and subsequent re-pricing of fixed rate loans originated in the years 2021 and 2022 to current market interest rates.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Average investment securities increased $167.1 million, or 26.2%, to $805.7 million due to the utilization of available liquidity to purchase investment securities. The average yield on taxable investment securities increased 63 basis points to 3.63% and the average yield on tax-exempt investment securities increased 123 basis points to 3.97%. The increase in yield was primarily driven by the partial repositioning of the portfolio at the end of the second quarter of 2025 as well as purchases of investments at current market rates.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Average short-term investments, consisting of interest-bearing deposits in other financial institutions and federal funds sold, decreased $18.5 million, or 5.4%, to $322.6 million. The average yield on short-term investments decreased 70 basis points to 3.38%, primarily due to the decrease in the Federal Funds rate. The majority of these short-term investments are held at the Federal Reserve Bank.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average balance of interest-bearing deposits increased $23.5 million, or 3.8%, to $645.6 million. Average non-interest-bearing demand deposits increased $27.9 million, or 7.0%, to $427.0 million. The increase in non-interest bearing demand deposits is primarily due to the growth in average CassPay deposits compared to the first half of 2025. The average rate paid on interest-bearing deposits decreased 26 basis points to 2.42% due to the reduction in short-term interest rates.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Average accounts and drafts payable increased $68.4 million, or 6.2%, to $1.18 billion. The increase in average accounts and drafts payable was primarily driven by the increase in facility dollar volumes of 5.1% as well as the increase in transportation dollar volumes of 6.0%.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Distribution of Assets, Liabilities and Shareholders' Equity; Interest Rate and Interest Differential</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tbl>
      <w:tblPr>
        <w:tblW w:w="10205" w:type="dxa"/>
        <w:jc w:val="left"/>
        <w:tblInd w:w="0" w:type="dxa"/>
        <w:tblLayout w:type="fixed"/>
        <w:tblCellMar>
          <w:top w:w="28" w:type="dxa"/>
          <w:left w:w="28" w:type="dxa"/>
          <w:bottom w:w="28" w:type="dxa"/>
          <w:right w:w="28" w:type="dxa"/>
        </w:tblCellMar>
      </w:tblPr>
      <w:tblGrid>
        <w:gridCol w:w="941"/>
        <w:gridCol w:w="759"/>
        <w:gridCol w:w="745"/>
        <w:gridCol w:w="196"/>
        <w:gridCol w:w="871"/>
        <w:gridCol w:w="109"/>
        <w:gridCol w:w="109"/>
        <w:gridCol w:w="109"/>
        <w:gridCol w:w="109"/>
        <w:gridCol w:w="196"/>
        <w:gridCol w:w="646"/>
        <w:gridCol w:w="109"/>
        <w:gridCol w:w="109"/>
        <w:gridCol w:w="109"/>
        <w:gridCol w:w="109"/>
        <w:gridCol w:w="233"/>
        <w:gridCol w:w="233"/>
        <w:gridCol w:w="282"/>
        <w:gridCol w:w="109"/>
        <w:gridCol w:w="109"/>
        <w:gridCol w:w="109"/>
        <w:gridCol w:w="196"/>
        <w:gridCol w:w="871"/>
        <w:gridCol w:w="109"/>
        <w:gridCol w:w="109"/>
        <w:gridCol w:w="109"/>
        <w:gridCol w:w="109"/>
        <w:gridCol w:w="196"/>
        <w:gridCol w:w="646"/>
        <w:gridCol w:w="109"/>
        <w:gridCol w:w="109"/>
        <w:gridCol w:w="109"/>
        <w:gridCol w:w="109"/>
        <w:gridCol w:w="233"/>
        <w:gridCol w:w="233"/>
        <w:gridCol w:w="282"/>
        <w:gridCol w:w="109"/>
        <w:gridCol w:w="109"/>
        <w:gridCol w:w="157"/>
      </w:tblGrid>
      <w:tr>
        <w:trPr/>
        <w:tc>
          <w:tcPr>
            <w:tcW w:w="94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529" w:type="dxa"/>
            <w:gridSpan w:val="15"/>
            <w:tcBorders/>
            <w:tcMar>
              <w:top w:w="0" w:type="dxa"/>
              <w:left w:w="0" w:type="dxa"/>
              <w:bottom w:w="0" w:type="dxa"/>
              <w:right w:w="0" w:type="dxa"/>
            </w:tcMar>
            <w:vAlign w:val="center"/>
          </w:tcPr>
          <w:p>
            <w:pPr>
              <w:pStyle w:val="TableContents"/>
              <w:bidi w:val="0"/>
              <w:spacing w:lineRule="auto" w:line="288" w:before="200" w:after="283"/>
              <w:jc w:val="center"/>
              <w:rPr/>
            </w:pPr>
            <w:r>
              <w:rPr>
                <w:rFonts w:ascii="Times New Roman;serif" w:hAnsi="Times New Roman;serif"/>
                <w:b/>
                <w:color w:val="000000"/>
                <w:sz w:val="16"/>
              </w:rPr>
              <w:t>Second Quarter of 2026</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15"/>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Second Quarter of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 xml:space="preserve">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 xml:space="preserve">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16"/>
              </w:rPr>
              <w:t>Assets</w:t>
            </w:r>
            <w:r>
              <w:rPr>
                <w:rFonts w:ascii="Times New Roman;serif" w:hAnsi="Times New Roman;serif"/>
                <w:b w:val="false"/>
                <w:color w:val="000000"/>
                <w:sz w:val="10"/>
              </w:rPr>
              <w:t>1</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Loans</w:t>
            </w:r>
            <w:r>
              <w:rPr>
                <w:rFonts w:ascii="Times New Roman;serif" w:hAnsi="Times New Roman;serif"/>
                <w:b w:val="false"/>
                <w:color w:val="000000"/>
                <w:sz w:val="10"/>
              </w:rPr>
              <w:t>2</w:t>
            </w:r>
            <w:r>
              <w:rPr>
                <w:rFonts w:ascii="Times New Roman;serif" w:hAnsi="Times New Roman;serif"/>
                <w:b w:val="false"/>
                <w:color w:val="000000"/>
                <w:sz w:val="16"/>
              </w:rPr>
              <w:t>:</w:t>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1,090,796 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15,956 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1,125,899 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15,837 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Investment securities</w:t>
            </w:r>
            <w:r>
              <w:rPr>
                <w:rFonts w:ascii="Times New Roman;serif" w:hAnsi="Times New Roman;serif"/>
                <w:b w:val="false"/>
                <w:color w:val="000000"/>
                <w:sz w:val="10"/>
              </w:rPr>
              <w:t>3</w:t>
            </w:r>
            <w:r>
              <w:rPr>
                <w:rFonts w:ascii="Times New Roman;serif" w:hAnsi="Times New Roman;serif"/>
                <w:b w:val="false"/>
                <w:color w:val="000000"/>
                <w:sz w:val="16"/>
              </w:rPr>
              <w: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Taxable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632,032 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5,724 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524,666 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Tax-exempt</w:t>
            </w:r>
            <w:r>
              <w:rPr>
                <w:rFonts w:ascii="Times New Roman;serif" w:hAnsi="Times New Roman;serif"/>
                <w:b w:val="false"/>
                <w:color w:val="000000"/>
                <w:sz w:val="10"/>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305,759 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298,875 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2,199,091 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2,090,366 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19,446 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20,634 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in advance of 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investment securities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(40,829)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(51,810)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(13,867)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(14,287)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2,546,593 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2,402,508 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color w:val="000000"/>
                <w:sz w:val="16"/>
              </w:rPr>
              <w:t>Liabilities and Shareholders’ Equity</w:t>
            </w:r>
            <w:r>
              <w:rPr>
                <w:rFonts w:ascii="Times New Roman;serif" w:hAnsi="Times New Roman;serif"/>
                <w:b/>
                <w:color w:val="000000"/>
                <w:sz w:val="10"/>
              </w:rPr>
              <w:t>1</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 &gt;= $100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time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78,210 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3.40 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60,055 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642,892 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615,921 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9,967 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5.71 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615,932 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Non-interest bearing liabilities </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Demand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and drafts payable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1,178,774 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1,122,739 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2,306,980 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2,171,094 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239,613 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231,414 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2,546,593 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2,402,508 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21,907 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19,690 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spread</w:t>
            </w:r>
          </w:p>
        </w:tc>
        <w:tc>
          <w:tcPr>
            <w:tcW w:w="117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282"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82"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1.Balances shown are daily averages.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2.Interest income on loans includes net loan fees of $121,000 and $118,000 for the second quarter of 2026 and 2025,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3.Yields on investment securities are computed as interest income divided by the average amortized cost of the investments.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4.Interest income is presented on a tax-equivalent basis assuming a tax rate of 21% for both 2026 and 2025. The tax-equivalent adjustment was approximately $360,000 and $215,000 for the second quarter of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41"/>
        <w:gridCol w:w="759"/>
        <w:gridCol w:w="745"/>
        <w:gridCol w:w="196"/>
        <w:gridCol w:w="871"/>
        <w:gridCol w:w="109"/>
        <w:gridCol w:w="109"/>
        <w:gridCol w:w="109"/>
        <w:gridCol w:w="109"/>
        <w:gridCol w:w="196"/>
        <w:gridCol w:w="646"/>
        <w:gridCol w:w="109"/>
        <w:gridCol w:w="109"/>
        <w:gridCol w:w="109"/>
        <w:gridCol w:w="109"/>
        <w:gridCol w:w="233"/>
        <w:gridCol w:w="233"/>
        <w:gridCol w:w="282"/>
        <w:gridCol w:w="109"/>
        <w:gridCol w:w="109"/>
        <w:gridCol w:w="109"/>
        <w:gridCol w:w="196"/>
        <w:gridCol w:w="871"/>
        <w:gridCol w:w="109"/>
        <w:gridCol w:w="109"/>
        <w:gridCol w:w="109"/>
        <w:gridCol w:w="109"/>
        <w:gridCol w:w="196"/>
        <w:gridCol w:w="646"/>
        <w:gridCol w:w="109"/>
        <w:gridCol w:w="109"/>
        <w:gridCol w:w="109"/>
        <w:gridCol w:w="109"/>
        <w:gridCol w:w="233"/>
        <w:gridCol w:w="233"/>
        <w:gridCol w:w="282"/>
        <w:gridCol w:w="109"/>
        <w:gridCol w:w="109"/>
        <w:gridCol w:w="157"/>
      </w:tblGrid>
      <w:tr>
        <w:trPr/>
        <w:tc>
          <w:tcPr>
            <w:tcW w:w="94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5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First Half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First Half of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 xml:space="preserve"> 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 Income/</w:t>
              <w:br/>
              <w: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Yield/</w:t>
              <w:br/>
              <w:t xml:space="preserve">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Assets</w:t>
            </w:r>
            <w:r>
              <w:rPr>
                <w:rFonts w:ascii="Times New Roman;serif" w:hAnsi="Times New Roman;serif"/>
                <w:b w:val="false"/>
                <w:color w:val="000000"/>
                <w:sz w:val="10"/>
              </w:rPr>
              <w:t>1</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Interest-earning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Loans</w:t>
            </w:r>
            <w:r>
              <w:rPr>
                <w:rFonts w:ascii="Times New Roman;serif" w:hAnsi="Times New Roman;serif"/>
                <w:b w:val="false"/>
                <w:color w:val="000000"/>
                <w:sz w:val="10"/>
              </w:rPr>
              <w:t>2</w:t>
            </w:r>
            <w:r>
              <w:rPr>
                <w:rFonts w:ascii="Times New Roman;serif" w:hAnsi="Times New Roman;serif"/>
                <w:b w:val="false"/>
                <w:color w:val="000000"/>
                <w:sz w:val="16"/>
              </w:rPr>
              <w:t>:</w:t>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1,078,651 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31,233 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1,117,758 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31,187 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Investment securities</w:t>
            </w:r>
            <w:r>
              <w:rPr>
                <w:rFonts w:ascii="Times New Roman;serif" w:hAnsi="Times New Roman;serif"/>
                <w:b w:val="false"/>
                <w:color w:val="000000"/>
                <w:sz w:val="10"/>
              </w:rPr>
              <w:t>3</w:t>
            </w:r>
            <w:r>
              <w:rPr>
                <w:rFonts w:ascii="Times New Roman;serif" w:hAnsi="Times New Roman;serif"/>
                <w:b w:val="false"/>
                <w:color w:val="000000"/>
                <w:sz w:val="16"/>
              </w:rPr>
              <w: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Taxable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628,361 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11,318 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504,215 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Tax-exempt</w:t>
            </w:r>
            <w:r>
              <w:rPr>
                <w:rFonts w:ascii="Times New Roman;serif" w:hAnsi="Times New Roman;serif"/>
                <w:b w:val="false"/>
                <w:color w:val="000000"/>
                <w:sz w:val="10"/>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322,619 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5,402 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341,120 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interest-earning assets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2,206,922 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2,097,445 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4.56 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Non-interest-earning assets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Premises and equipment, net</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30,121 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31,395 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Bank-owned life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20,846 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in advance of funding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investment securities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(35,954)</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(54,061)</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(13,734)</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(13,848)</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2,535,289 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2,405,441 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ind w:left="0" w:right="0" w:hanging="180"/>
              <w:jc w:val="left"/>
              <w:rPr/>
            </w:pPr>
            <w:r>
              <w:rPr>
                <w:rFonts w:ascii="Times New Roman;serif" w:hAnsi="Times New Roman;serif"/>
                <w:b/>
                <w:color w:val="000000"/>
                <w:sz w:val="16"/>
              </w:rPr>
              <w:t>Liabilities and Shareholders’ Equity</w:t>
            </w:r>
            <w:r>
              <w:rPr>
                <w:rFonts w:ascii="Times New Roman;serif" w:hAnsi="Times New Roman;serif"/>
                <w:b/>
                <w:color w:val="000000"/>
                <w:sz w:val="10"/>
              </w:rPr>
              <w:t>1</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liabilities: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Interest-bearing demand deposits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526,153 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Savings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Time deposits &gt;= $100</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time deposits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77,426 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58,388 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deposits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645,562 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622,034 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5.76 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82"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interest-bearing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652,595 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622,045 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bearing liabilities:</w:t>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Demand deposits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and drafts payable</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1,175,456 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1,107,031 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2,293,072 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2,175,419 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Shareholders’ equity</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242,217 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230,022 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2,535,289 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2,405,441 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income</w:t>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43,496 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39,132 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interest margin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2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45"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spread</w:t>
            </w:r>
          </w:p>
        </w:tc>
        <w:tc>
          <w:tcPr>
            <w:tcW w:w="117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282"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282"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1.Balances shown are daily averages.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2.Interest income on loans includes net loan fees of $223,000 and $485,000 for the six months ended June 30, 2026 and 2025, respectively.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3.Yields on investment securities are computed as interest income divided by the average amortized cost of the investments.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4.Interest income is presented on a tax-equivalent basis assuming a tax rate of 21% for both the six months ended June 30, 2026 and 2025. The tax-equivalent adjustment was approximately $732,000 and $383,000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Analysis of Net Interest Income Changes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 </w:t>
      </w:r>
    </w:p>
    <w:tbl>
      <w:tblPr>
        <w:tblW w:w="8620" w:type="dxa"/>
        <w:jc w:val="left"/>
        <w:tblInd w:w="0" w:type="dxa"/>
        <w:tblLayout w:type="fixed"/>
        <w:tblCellMar>
          <w:top w:w="28" w:type="dxa"/>
          <w:left w:w="28" w:type="dxa"/>
          <w:bottom w:w="28" w:type="dxa"/>
          <w:right w:w="28" w:type="dxa"/>
        </w:tblCellMar>
      </w:tblPr>
      <w:tblGrid>
        <w:gridCol w:w="1178"/>
        <w:gridCol w:w="1036"/>
        <w:gridCol w:w="1041"/>
        <w:gridCol w:w="330"/>
        <w:gridCol w:w="846"/>
        <w:gridCol w:w="170"/>
        <w:gridCol w:w="170"/>
        <w:gridCol w:w="170"/>
        <w:gridCol w:w="170"/>
        <w:gridCol w:w="330"/>
        <w:gridCol w:w="964"/>
        <w:gridCol w:w="170"/>
        <w:gridCol w:w="170"/>
        <w:gridCol w:w="170"/>
        <w:gridCol w:w="170"/>
        <w:gridCol w:w="330"/>
        <w:gridCol w:w="964"/>
        <w:gridCol w:w="241"/>
      </w:tblGrid>
      <w:tr>
        <w:trPr/>
        <w:tc>
          <w:tcPr>
            <w:tcW w:w="117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25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536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Second Quarter of 2026 Compared to Second Quarter of 2025</w:t>
            </w:r>
          </w:p>
        </w:tc>
      </w:tr>
      <w:tr>
        <w:trPr/>
        <w:tc>
          <w:tcPr>
            <w:tcW w:w="3255" w:type="dxa"/>
            <w:gridSpan w:val="3"/>
            <w:vMerge w:val="continue"/>
            <w:tcBorders/>
            <w:tcMar>
              <w:top w:w="0" w:type="dxa"/>
              <w:left w:w="0" w:type="dxa"/>
              <w:bottom w:w="0" w:type="dxa"/>
              <w:right w:w="0" w:type="dxa"/>
            </w:tcMar>
            <w:vAlign w:val="center"/>
          </w:tcPr>
          <w:p>
            <w:pPr>
              <w:pStyle w:val="Normal"/>
              <w:bidi w:val="0"/>
              <w:jc w:val="left"/>
              <w:rPr/>
            </w:pPr>
            <w:r>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5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interest income:</w:t>
            </w:r>
          </w:p>
        </w:tc>
        <w:tc>
          <w:tcPr>
            <w:tcW w:w="13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Loans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3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Taxable</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Tax-exempt</w:t>
            </w:r>
            <w:r>
              <w:rPr>
                <w:rFonts w:ascii="Times New Roman;serif" w:hAnsi="Times New Roman;serif"/>
                <w:b w:val="false"/>
                <w:color w:val="000000"/>
                <w:sz w:val="13"/>
              </w:rPr>
              <w:t>2</w:t>
            </w:r>
          </w:p>
        </w:tc>
        <w:tc>
          <w:tcPr>
            <w:tcW w:w="117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2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176"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70"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70"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24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interest expense:</w:t>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demand deposits</w:t>
            </w:r>
          </w:p>
        </w:tc>
        <w:tc>
          <w:tcPr>
            <w:tcW w:w="117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Savings deposits</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&gt;=$100 </w:t>
            </w:r>
          </w:p>
        </w:tc>
        <w:tc>
          <w:tcPr>
            <w:tcW w:w="117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time deposits </w:t>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7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1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3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7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7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2,217 </w:t>
            </w:r>
          </w:p>
        </w:tc>
        <w:tc>
          <w:tcPr>
            <w:tcW w:w="24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1.Interest income includes net loan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2.Interest income is presented on a tax-equivalent basis assuming a tax rate of 21% for the three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77" w:type="dxa"/>
        <w:jc w:val="left"/>
        <w:tblInd w:w="0" w:type="dxa"/>
        <w:tblLayout w:type="fixed"/>
        <w:tblCellMar>
          <w:top w:w="28" w:type="dxa"/>
          <w:left w:w="28" w:type="dxa"/>
          <w:bottom w:w="28" w:type="dxa"/>
          <w:right w:w="28" w:type="dxa"/>
        </w:tblCellMar>
      </w:tblPr>
      <w:tblGrid>
        <w:gridCol w:w="1156"/>
        <w:gridCol w:w="1017"/>
        <w:gridCol w:w="1022"/>
        <w:gridCol w:w="211"/>
        <w:gridCol w:w="691"/>
        <w:gridCol w:w="109"/>
        <w:gridCol w:w="109"/>
        <w:gridCol w:w="109"/>
        <w:gridCol w:w="109"/>
        <w:gridCol w:w="211"/>
        <w:gridCol w:w="616"/>
        <w:gridCol w:w="109"/>
        <w:gridCol w:w="109"/>
        <w:gridCol w:w="109"/>
        <w:gridCol w:w="109"/>
        <w:gridCol w:w="211"/>
        <w:gridCol w:w="61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582" w:type="dxa"/>
            <w:gridSpan w:val="15"/>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 xml:space="preserve">First Half of 2026 Compared to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First Half of 2025</w:t>
            </w:r>
          </w:p>
        </w:tc>
      </w:tr>
      <w:tr>
        <w:trPr/>
        <w:tc>
          <w:tcPr>
            <w:tcW w:w="3195"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9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interest income:</w:t>
            </w:r>
          </w:p>
        </w:tc>
        <w:tc>
          <w:tcPr>
            <w:tcW w:w="101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Loans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01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Tax-exempt</w:t>
            </w:r>
            <w:r>
              <w:rPr>
                <w:rFonts w:ascii="Times New Roman;serif" w:hAnsi="Times New Roman;serif"/>
                <w:b w:val="false"/>
                <w:color w:val="000000"/>
                <w:sz w:val="13"/>
              </w:rPr>
              <w:t>2</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902"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4,030 </w:t>
            </w:r>
          </w:p>
        </w:tc>
        <w:tc>
          <w:tcPr>
            <w:tcW w:w="15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w:t>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demand deposits</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Savings deposits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Time deposits &gt;=$100 </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time deposits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902"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4,364 </w:t>
            </w:r>
          </w:p>
        </w:tc>
        <w:tc>
          <w:tcPr>
            <w:tcW w:w="154"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1.Interest income includes net loan fees.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2.Interest income is presented on a tax-equivalent basis assuming a tax rate of 21% for the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Provision and Allowance for Credit Losses and Allowance for Unfunded Commitments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credit losses and off-balance sheet credit exposures of $531,000 and $25,000 for the second quarter of 2026 and 2025, respectively. The Company recorded a provision for credit losses and off-balance sheet credit exposures of $592,000 and $930,000 for the first half of 2026 and 2025, respectively. The amount of the provision for (release of) credit losses is derived from the Company’s quarterly Current Expected Credit Loss (“CECL”) model. The amount of the provision for (release of) credit losses will fluctuate as determined by these quarterly analyses. The provision for credit losses in the second quarter of 2026 was driven by a specific reserve on a nonperforming commercial real estate loan and an increase in total loans of $41.8 million, or 3.9%, as compared to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experienced no loan charge-offs in the first half of 2026 or 2025. The ACL was $14.4 million at June 30, 2026 and $13.6 million at December 31, 2025. The ACL represented 1.30% of outstanding loans at June 30, 2026 and 1.28% of outstanding loans at December 31, 2025. The allowance for unfunded commitments was $234,000 at June 30, 2026 and $419,000 at December 31, 2025. There were $1.6 million of nonperforming loans outstanding at June 30, 2026 and $7.0 million at December 31, 2025. The Company has a specific allowance for credit losses of $288,000 allocated to its non-accrual loans at June 30, 2026.</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Summary of Credit Loss Experience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on the Company's provision for (release of) credit losses and analysis of the ACL:</w:t>
      </w:r>
    </w:p>
    <w:tbl>
      <w:tblPr>
        <w:tblW w:w="10205" w:type="dxa"/>
        <w:jc w:val="left"/>
        <w:tblInd w:w="0" w:type="dxa"/>
        <w:tblLayout w:type="fixed"/>
        <w:tblCellMar>
          <w:top w:w="28" w:type="dxa"/>
          <w:left w:w="28" w:type="dxa"/>
          <w:bottom w:w="28" w:type="dxa"/>
          <w:right w:w="28" w:type="dxa"/>
        </w:tblCellMar>
      </w:tblPr>
      <w:tblGrid>
        <w:gridCol w:w="1293"/>
        <w:gridCol w:w="1024"/>
        <w:gridCol w:w="1029"/>
        <w:gridCol w:w="211"/>
        <w:gridCol w:w="976"/>
        <w:gridCol w:w="271"/>
        <w:gridCol w:w="109"/>
        <w:gridCol w:w="109"/>
        <w:gridCol w:w="109"/>
        <w:gridCol w:w="211"/>
        <w:gridCol w:w="976"/>
        <w:gridCol w:w="271"/>
        <w:gridCol w:w="109"/>
        <w:gridCol w:w="109"/>
        <w:gridCol w:w="109"/>
        <w:gridCol w:w="211"/>
        <w:gridCol w:w="976"/>
        <w:gridCol w:w="271"/>
        <w:gridCol w:w="109"/>
        <w:gridCol w:w="109"/>
        <w:gridCol w:w="109"/>
        <w:gridCol w:w="211"/>
        <w:gridCol w:w="976"/>
        <w:gridCol w:w="317"/>
      </w:tblGrid>
      <w:tr>
        <w:trPr/>
        <w:tc>
          <w:tcPr>
            <w:tcW w:w="129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Second Quarter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First Half of</w:t>
            </w:r>
          </w:p>
        </w:tc>
      </w:tr>
      <w:tr>
        <w:trPr/>
        <w:tc>
          <w:tcPr>
            <w:tcW w:w="33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4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period</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13,861 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14,286 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13,597 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13,395 </w:t>
            </w:r>
          </w:p>
        </w:tc>
        <w:tc>
          <w:tcPr>
            <w:tcW w:w="31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Allowance for credit losses at end of period</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14,374 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14,296 </w:t>
            </w:r>
          </w:p>
        </w:tc>
        <w:tc>
          <w:tcPr>
            <w:tcW w:w="31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46"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unfunded commitments at beginning of period</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(release of)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unfunded commitments at end of period</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7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17"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3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outstanding:</w:t>
            </w:r>
          </w:p>
        </w:tc>
        <w:tc>
          <w:tcPr>
            <w:tcW w:w="145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B6B6B6"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Average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1,090,796 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1,125,899 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1,078,651 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1,117,758 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B6B6B6" w:val="clear"/>
            <w:tcMar>
              <w:top w:w="0" w:type="dxa"/>
              <w:left w:w="0" w:type="dxa"/>
              <w:bottom w:w="0" w:type="dxa"/>
              <w:right w:w="0" w:type="dxa"/>
            </w:tcMar>
            <w:vAlign w:val="center"/>
          </w:tcPr>
          <w:p>
            <w:pPr>
              <w:pStyle w:val="TableContents"/>
              <w:bidi w:val="0"/>
              <w:spacing w:lineRule="auto" w:line="273"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June 30</w:t>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1,117,004 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1,103,039 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1,117,004 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Ratio of allowance for credit losses to loans outstanding at June 30</w:t>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operating expenses for the second quarter of 2026 decreased $1.4 million, or 3.5%, as compared to the second quarter of 2025. Total operating expenses for the first half of 2026 increased $1.3 million, or 1.8%, as compared to the first half of 2025. The following table details the components of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tbl>
      <w:tblPr>
        <w:tblW w:w="8430" w:type="dxa"/>
        <w:jc w:val="left"/>
        <w:tblInd w:w="0" w:type="dxa"/>
        <w:tblLayout w:type="fixed"/>
        <w:tblCellMar>
          <w:top w:w="28" w:type="dxa"/>
          <w:left w:w="28" w:type="dxa"/>
          <w:bottom w:w="28" w:type="dxa"/>
          <w:right w:w="28" w:type="dxa"/>
        </w:tblCellMar>
      </w:tblPr>
      <w:tblGrid>
        <w:gridCol w:w="1015"/>
        <w:gridCol w:w="894"/>
        <w:gridCol w:w="895"/>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721"/>
        <w:gridCol w:w="109"/>
        <w:gridCol w:w="109"/>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200" w:after="283"/>
              <w:jc w:val="center"/>
              <w:rPr>
                <w:rFonts w:ascii="Times New Roman;serif" w:hAnsi="Times New Roman;serif"/>
                <w:b/>
                <w:color w:val="000000"/>
                <w:sz w:val="20"/>
              </w:rPr>
            </w:pPr>
            <w:r>
              <w:rPr>
                <w:rFonts w:ascii="Times New Roman;serif" w:hAnsi="Times New Roman;serif"/>
                <w:b/>
                <w:color w:val="000000"/>
                <w:sz w:val="20"/>
              </w:rPr>
              <w:t>Second Quarter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commissions</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20,638 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profit sharing</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55,031 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recovery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38,119 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74,987 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73,649 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Second quarter of 2026 compared to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Salaries and commissions decreased $397,000, or 1.9%, as a result of a decrease in average full-time equivalent employees ("FTEs") of 9.0% due to automation and the ongoing consolidation within the Company's Facilities division, partially offset by merit increases. Share-based compensation and employee profit sharing increased $212,000 and $376,000, respectively, due to the improvement in net income from continuing operations. Other benefits decreased $858,000, or 18.6%, due to the decrease in FTEs in addition to lower health insurance claims and related expenses as compared to the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Equipment expense increased $214,000, primarily due to an increase in depreciation and licensing and maintenance expense on software related to technology initiatives.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 bad debt recovery of $1.8 million related to the second annual payment in a litigation settlement. Three annual payments remaining of $1.25 million each, plus interest, remain under the settlement agreement.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increased $828,000, or 12.1%. The increase is primarily due to higher business development costs and professional fees. </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First half of 2026 compared to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Salaries and commissions decreased $792,000, or 2.0%, as a result of a decrease in average full-time equivalent employees ("FTEs") of 8.4% due to automation and the ongoing consolidation within the Company's Facilities division, partially offset by merit increases. Share-based compensation and employee profit sharing increased $410,000 and $508,000, respectively, due to the improvement in net income from continuing operations. Other benefits decreased $793,000, or 8.4%, due to the decrease in FTEs in addition to lower health insurance claims and related expenses.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Equipment expense increased $352,000, primarily due to an increase in depreciation and licensing and maintenance expense on software related to technology initiatives.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recorded a bad debt recovery of $1.8 million during the first half of 2026 compared to $2.0 million during the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increased $1.4 million, or 10.3%. The increase is primarily due to higher business development costs and professional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Net Income from Discontinued Operations</w:t>
      </w:r>
    </w:p>
    <w:tbl>
      <w:tblPr>
        <w:tblW w:w="10205" w:type="dxa"/>
        <w:jc w:val="left"/>
        <w:tblInd w:w="0" w:type="dxa"/>
        <w:tblLayout w:type="fixed"/>
        <w:tblCellMar>
          <w:top w:w="28" w:type="dxa"/>
          <w:left w:w="28" w:type="dxa"/>
          <w:bottom w:w="28" w:type="dxa"/>
          <w:right w:w="28" w:type="dxa"/>
        </w:tblCellMar>
      </w:tblPr>
      <w:tblGrid>
        <w:gridCol w:w="1018"/>
        <w:gridCol w:w="826"/>
        <w:gridCol w:w="828"/>
        <w:gridCol w:w="211"/>
        <w:gridCol w:w="406"/>
        <w:gridCol w:w="109"/>
        <w:gridCol w:w="109"/>
        <w:gridCol w:w="109"/>
        <w:gridCol w:w="109"/>
        <w:gridCol w:w="211"/>
        <w:gridCol w:w="616"/>
        <w:gridCol w:w="109"/>
        <w:gridCol w:w="109"/>
        <w:gridCol w:w="109"/>
        <w:gridCol w:w="109"/>
        <w:gridCol w:w="109"/>
        <w:gridCol w:w="282"/>
        <w:gridCol w:w="282"/>
        <w:gridCol w:w="551"/>
        <w:gridCol w:w="109"/>
        <w:gridCol w:w="109"/>
        <w:gridCol w:w="109"/>
        <w:gridCol w:w="211"/>
        <w:gridCol w:w="466"/>
        <w:gridCol w:w="109"/>
        <w:gridCol w:w="109"/>
        <w:gridCol w:w="109"/>
        <w:gridCol w:w="109"/>
        <w:gridCol w:w="211"/>
        <w:gridCol w:w="616"/>
        <w:gridCol w:w="109"/>
        <w:gridCol w:w="109"/>
        <w:gridCol w:w="109"/>
        <w:gridCol w:w="109"/>
        <w:gridCol w:w="109"/>
        <w:gridCol w:w="282"/>
        <w:gridCol w:w="282"/>
        <w:gridCol w:w="617"/>
      </w:tblGrid>
      <w:tr>
        <w:trPr/>
        <w:tc>
          <w:tcPr>
            <w:tcW w:w="101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67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c>
          <w:tcPr>
            <w:tcW w:w="2425" w:type="dxa"/>
            <w:gridSpan w:val="13"/>
            <w:tcBorders/>
            <w:tcMar>
              <w:top w:w="0" w:type="dxa"/>
              <w:left w:w="0" w:type="dxa"/>
              <w:bottom w:w="0" w:type="dxa"/>
              <w:right w:w="0" w:type="dxa"/>
            </w:tcMar>
            <w:vAlign w:val="center"/>
          </w:tcPr>
          <w:p>
            <w:pPr>
              <w:pStyle w:val="TableContents"/>
              <w:bidi w:val="0"/>
              <w:spacing w:lineRule="auto" w:line="273" w:before="200" w:after="283"/>
              <w:jc w:val="center"/>
              <w:rPr>
                <w:rFonts w:ascii="Times New Roman;serif" w:hAnsi="Times New Roman;serif"/>
                <w:b/>
                <w:color w:val="000000"/>
                <w:sz w:val="20"/>
              </w:rPr>
            </w:pPr>
            <w:r>
              <w:rPr>
                <w:rFonts w:ascii="Times New Roman;serif" w:hAnsi="Times New Roman;serif"/>
                <w:b/>
                <w:color w:val="000000"/>
                <w:sz w:val="20"/>
              </w:rPr>
              <w:t>Second Quarter of</w:t>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15"/>
            <w:tcBorders/>
            <w:tcMar>
              <w:top w:w="0" w:type="dxa"/>
              <w:left w:w="0" w:type="dxa"/>
              <w:bottom w:w="0" w:type="dxa"/>
              <w:right w:w="0" w:type="dxa"/>
            </w:tcMar>
            <w:vAlign w:val="center"/>
          </w:tcPr>
          <w:p>
            <w:pPr>
              <w:pStyle w:val="TableContents"/>
              <w:bidi w:val="0"/>
              <w:spacing w:lineRule="auto" w:line="273" w:before="200" w:after="283"/>
              <w:jc w:val="center"/>
              <w:rPr>
                <w:rFonts w:ascii="Times New Roman;serif" w:hAnsi="Times New Roman;serif"/>
                <w:b/>
                <w:color w:val="000000"/>
                <w:sz w:val="20"/>
              </w:rPr>
            </w:pPr>
            <w:r>
              <w:rPr>
                <w:rFonts w:ascii="Times New Roman;serif" w:hAnsi="Times New Roman;serif"/>
                <w:b/>
                <w:color w:val="000000"/>
                <w:sz w:val="20"/>
              </w:rPr>
              <w:t>First Half of</w:t>
            </w:r>
          </w:p>
        </w:tc>
        <w:tc>
          <w:tcPr>
            <w:tcW w:w="1290" w:type="dxa"/>
            <w:gridSpan w:val="4"/>
            <w:tcBorders/>
          </w:tcPr>
          <w:p>
            <w:pPr>
              <w:pStyle w:val="TableContents"/>
              <w:bidi w:val="0"/>
              <w:spacing w:before="0" w:after="283"/>
              <w:jc w:val="left"/>
              <w:rPr>
                <w:sz w:val="4"/>
                <w:szCs w:val="4"/>
              </w:rPr>
            </w:pPr>
            <w:r>
              <w:rPr>
                <w:sz w:val="4"/>
                <w:szCs w:val="4"/>
              </w:rPr>
            </w:r>
          </w:p>
        </w:tc>
      </w:tr>
      <w:tr>
        <w:trPr/>
        <w:tc>
          <w:tcPr>
            <w:tcW w:w="2672"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672"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Processing fees</w:t>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fees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672"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61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551"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617" w:type="dxa"/>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TEM business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672"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61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w:t>
            </w:r>
          </w:p>
        </w:tc>
        <w:tc>
          <w:tcPr>
            <w:tcW w:w="55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13,904 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6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(83.5)</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6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2"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61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4,927 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551"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5,456 </w:t>
            </w:r>
          </w:p>
        </w:tc>
        <w:tc>
          <w:tcPr>
            <w:tcW w:w="109"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617"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5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61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2" w:type="dxa"/>
            <w:gridSpan w:val="3"/>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w:t>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3,695 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(99.7)</w:t>
            </w:r>
          </w:p>
        </w:tc>
        <w:tc>
          <w:tcPr>
            <w:tcW w:w="55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B6B6B6"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gridSpan w:val="2"/>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617" w:type="dxa"/>
            <w:tcBorders>
              <w:top w:val="single" w:sz="8" w:space="0" w:color="000000"/>
              <w:bottom w:val="single" w:sz="8" w:space="0" w:color="000000"/>
            </w:tcBorders>
            <w:shd w:fill="B6B6B6"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Second quarter of 2026 compared to second quarter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income from discontinued operations was $12,000, a decrease of $3.7 million, or 99.7% over the same period in the prior year. The decrease is primarily due to the gain on sale of the TEM Business Unit of $3.6 million in the second quarter of 2025.</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First half of 2026 compared to first half of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Net income from discontinued operations was $105,000, a decrease of $4.0 million, or 97.4% over the same period in the prior year. The decrease is primarily due to the gain on sale of the TEM Business Unit of $3.6 million in the first half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assets at June 30, 2026 were $2.52 billion, a decrease of $89.8 million, or 3.4%, from December 31, 2025.</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experienced a decrease in cash and cash equivalents of $163.8 million, or 41.8%, during the first half of 2026. The change in cash and cash equivalents reflects the Company’s daily liquidity position and is primarily impacted by changes in funding sources, mainly accounts and drafts payable, deposits and short-term borrowings, cash flows in and out of loans, investment securities, accounts and drafts receivable, and payments in advance of funding.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investment securities portfolio decreased $34.0 million, or 4.4%, during the first half of 2026. The decrease is primarily due to sales of $31.6 million, and maturities of $39.0 million, partially offset by purchases of $42.3 million.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Loans increased $41.8 million, or 3.9%, from December 31, 2025. The Company experienced growth in its commercial and industrial loan portfolio during the first half of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Payments in advance of funding increased $85.1 million, or 51.7%, primarily due to a higher level of demand for the Company's early payment solutions as well as timing of quarter end advances.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Accounts and drafts receivable from customers decreased $24.7 million, or 35.6%, from December 31, 2025. The decrease is solely due to timing of customer funding.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deposits at June 30, 2026 were $1.12 billion, a decrease of $83.5 million, or 7.0%, from December 31, 2025. Given the nature of the Company's deposit base being larger commercial clients, the ending balance of deposits will fluctuate from period end to period end due to liquidity needs of these clients. Average balances are generally a more meaningful measure of deposits.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Accounts and drafts payable at June 30, 2026 were $1.03 billion, a decrease of $96.8 million, or 8.6%, from December 31, 2025. Accounts and drafts payable are a stable source of funding generated by payment float from transportation and facility clients. The ending balance of accounts and drafts payable will fluctuate from period to period due to the payment processing cycle, which results in lower balances on days when payments clear and higher balances on days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payments are issued. For this reason, average balances are generally a more meaningful measure of accounts and drafts payable.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Short-term borrowings were $80.0 million at June 30, 2026. The Company borrowed on its lines of credit primarily to fund the $85.1 million increase in payments as compared to December 31, 2025.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liabilities at June 30, 2026 were $2.27 billion, a decrease of $91.5 million, or 3.9%, from December 31, 2025, reflective of the decrease in accounts and drafts payable and total deposits, partially offset by the increase in short-term borrowings.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Total shareholders’ equity at June 30, 2026 was $244.7 million, a $1.7 million increase from December 31, 2025. The increase in shareholders’ equity is a result of net income of $19.4 million, partially offset by dividends paid of $8.2 million, the repurchase of Company stock of $6.0 million, and an increase in accumulated other comprehensive loss of $4.2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liquidity management discipline seeks to ensure funds are available to meet all obligations as they come due. These obligations include processing invoice payments, satisfying depositor withdrawal requests, and funding borrower credit demands. A primary goal of this practice is to achieve these objectives while maximizing profitability. This is accomplished by balancing changes in demand for funds with changes in supply of funds. Primary liquidity to meet demand is provided by short-term liquid assets that can be converted to cash, maturing investment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balance of liquid assets consists of cash and cash equivalents, which include cash and due from banks, interest-bearing deposits in other financial institutions, federal funds sold and money market funds. Cash and cash equivalents totaled $228.5 million at June 30, 2026, a decrease of $163.8 million, or 41.8%, from December 31, 2025. At June 30, 2026, these assets represented 9.1% of total assets and are the Company’s and its subsidiaries’ primary source of liquidity to meet future expected and unexpected loan demand, depositor withdrawals or reductions in accounts and drafts payable.</w:t>
      </w:r>
    </w:p>
    <w:p>
      <w:pPr>
        <w:pStyle w:val="TextBody"/>
        <w:bidi w:val="0"/>
        <w:spacing w:lineRule="auto" w:line="288" w:before="200" w:after="283"/>
        <w:jc w:val="both"/>
        <w:rPr/>
      </w:pPr>
      <w:r>
        <w:rPr>
          <w:rFonts w:ascii="Times New Roman;serif" w:hAnsi="Times New Roman;serif"/>
          <w:b w:val="false"/>
          <w:color w:val="000000"/>
          <w:sz w:val="20"/>
        </w:rPr>
        <w:t>Secondary sources of liquidity include the investment portfolio and borrowing lines. Total investment securities were $736.8 million at June 30, 2026, a decrease of $34.0 million from December 31, 2025. These assets represented 29.3% of total assets at June 30, 2026. Of the total portfolio, 1.2% mature in one year, 8.3% mature in one to five years, and 90.5% mature in five or more years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Company maintains a weighted average duration of its investment securities portfolio of approximately five years given the Company's asset sensitivity with approximately 70% of its funding sources being non-interest bearing.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Bank has unsecured lines of credit at six correspondent banks to purchase federal funds up to a maximum of $83.0 million in aggregate. As of June 30, 2026, the Bank also has secured lines of credit with the Federal Home Loan Bank of $224.1 million collateralized by mortgage loans. The Bank had no amounts outstanding under any line of credit as of December 31, 2025.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secured lines of credit from three banks up to a maximum of $250.0 million in aggregate collateralized by investment securities. There was $80.0 million total outstanding on the Company's lines of credit as of June 30,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$75.7 million of CDARS deposits and interest-bearing demand deposits include $176.1 million of ICS deposits. These programs offer the Bank’s customers the ability to maximize Federal Deposit Insurance Corporation (“FDIC”) insurance coverage. The Company uses these programs to retain or attract deposits from existing customers.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Net cash flows provided by operating activities were $31.5 million for the first half of 2026, compared to $20.3 million for the first half of 2025, an increase of $11.2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 and cash equivalents, maturing investments and cash from operations will continue to be sufficient to fund the Company’s operations and capital expenditures in 2026, which are estimated to be approximately $6.0 million. Capital expenditures in 2026 are expected to primarily consist of purchases of equipment and software related to the payment and information processing services business.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Net income plus amortization of intangible assets, net amortization of premium/discount on investment securities and depreciation of premises and equipment was $22.5 million and $22.2 million for the first half of 2026 and 2025, respectively. The increase was primarily due to higher net income of $1.6 million, partially offset by lower net amortization of premiums/discounts on investment securities of $1.3 million and lower depreciation of $32,000. The net amortization of premium/discount on investment securities is dependent on the type of securities purchased and changes in the prevailing market interest rate environment.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Other factors impacting the $11.2 million increase in net cash provided by operating activities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change in the current income tax liability of $5.7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change in other operating activities of $3.3 million;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 increase in stock-based compensation of $410,000.</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2025 Form 10-K.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As a bank holding company, the Company and the Bank are subject to capital requirements administered by state and federal banking agencies. Capital adequacy guidelines, and, for banks, prompt corrective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2025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and the Bank continue to exceed all regulatory capital requirements, as evidenced by the following capital amounts and ratios:</w:t>
      </w:r>
    </w:p>
    <w:tbl>
      <w:tblPr>
        <w:tblW w:w="10205" w:type="dxa"/>
        <w:jc w:val="left"/>
        <w:tblInd w:w="0" w:type="dxa"/>
        <w:tblLayout w:type="fixed"/>
        <w:tblCellMar>
          <w:top w:w="28" w:type="dxa"/>
          <w:left w:w="28" w:type="dxa"/>
          <w:bottom w:w="28" w:type="dxa"/>
          <w:right w:w="28" w:type="dxa"/>
        </w:tblCellMar>
      </w:tblPr>
      <w:tblGrid>
        <w:gridCol w:w="942"/>
        <w:gridCol w:w="721"/>
        <w:gridCol w:w="680"/>
        <w:gridCol w:w="211"/>
        <w:gridCol w:w="826"/>
        <w:gridCol w:w="109"/>
        <w:gridCol w:w="109"/>
        <w:gridCol w:w="109"/>
        <w:gridCol w:w="109"/>
        <w:gridCol w:w="308"/>
        <w:gridCol w:w="308"/>
        <w:gridCol w:w="317"/>
        <w:gridCol w:w="109"/>
        <w:gridCol w:w="109"/>
        <w:gridCol w:w="109"/>
        <w:gridCol w:w="211"/>
        <w:gridCol w:w="826"/>
        <w:gridCol w:w="109"/>
        <w:gridCol w:w="109"/>
        <w:gridCol w:w="109"/>
        <w:gridCol w:w="109"/>
        <w:gridCol w:w="255"/>
        <w:gridCol w:w="256"/>
        <w:gridCol w:w="317"/>
        <w:gridCol w:w="109"/>
        <w:gridCol w:w="109"/>
        <w:gridCol w:w="109"/>
        <w:gridCol w:w="413"/>
        <w:gridCol w:w="413"/>
        <w:gridCol w:w="273"/>
        <w:gridCol w:w="172"/>
        <w:gridCol w:w="172"/>
        <w:gridCol w:w="172"/>
        <w:gridCol w:w="308"/>
        <w:gridCol w:w="308"/>
        <w:gridCol w:w="270"/>
      </w:tblGrid>
      <w:tr>
        <w:trPr/>
        <w:tc>
          <w:tcPr>
            <w:tcW w:w="94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w:t>
              <w:br/>
              <w:t>Requirements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Requirement to be</w:t>
              <w:br/>
              <w:t>Well-Capitalized</w:t>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1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Ratio</w:t>
            </w:r>
          </w:p>
        </w:tc>
      </w:tr>
      <w:tr>
        <w:trPr/>
        <w:tc>
          <w:tcPr>
            <w:tcW w:w="234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At June 30, 2026</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(to risk-weighted assets) </w:t>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w:t>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114,572 </w:t>
            </w:r>
          </w:p>
        </w:tc>
        <w:tc>
          <w:tcPr>
            <w:tcW w:w="27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0" w:type="dxa"/>
            <w:tcBorders/>
            <w:shd w:fill="B6B6B6"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Equity 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risk-weighted assets) </w:t>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91,657 </w:t>
            </w:r>
          </w:p>
        </w:tc>
        <w:tc>
          <w:tcPr>
            <w:tcW w:w="27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average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101,091 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At December 31, 2025</w:t>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262,792 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317"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131,837 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N/A</w:t>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 %</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Equity Tier I Capital (to risk-weighted assets) </w:t>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49,881 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72,050 </w:t>
            </w:r>
          </w:p>
        </w:tc>
        <w:tc>
          <w:tcPr>
            <w:tcW w:w="27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7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risk-weighted assets) </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98,878 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Tier I capital (to average assets) </w:t>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Information Systems, Inc.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Cass Commercial Bank </w:t>
            </w:r>
          </w:p>
        </w:tc>
        <w:tc>
          <w:tcPr>
            <w:tcW w:w="1037"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203,943 </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317"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56,357 </w:t>
            </w:r>
          </w:p>
        </w:tc>
        <w:tc>
          <w:tcPr>
            <w:tcW w:w="109"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17"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70,446 </w:t>
            </w:r>
          </w:p>
        </w:tc>
        <w:tc>
          <w:tcPr>
            <w:tcW w:w="273"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0" w:type="dxa"/>
            <w:tcBorders>
              <w:bottom w:val="single" w:sz="8" w:space="0" w:color="000000"/>
            </w:tcBorders>
            <w:shd w:fill="B6B6B6"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Impact of New or Not Yet Adopted Accounting Pronouncements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In July 2025, the FASB issued Accounting Standards Update 2025-05,</w:t>
      </w:r>
      <w:r>
        <w:rPr>
          <w:color w:val="000000"/>
        </w:rPr>
        <w:t xml:space="preserve"> </w:t>
      </w:r>
      <w:r>
        <w:rPr>
          <w:rFonts w:ascii="Times New Roman;serif" w:hAnsi="Times New Roman;serif"/>
          <w:b w:val="false"/>
          <w:i/>
          <w:color w:val="000000"/>
          <w:sz w:val="20"/>
        </w:rPr>
        <w:t>Financial Instruments - Credit Losses (Topic 326): Measurement of Credit Losses for Accounts Receivable and Contract Asset</w:t>
      </w:r>
      <w:r>
        <w:rPr>
          <w:rFonts w:ascii="Times New Roman;serif" w:hAnsi="Times New Roman;serif"/>
          <w:b w:val="false"/>
          <w:color w:val="000000"/>
          <w:sz w:val="20"/>
        </w:rPr>
        <w:t>s ("ASU 2025-05"). ASU 2025-05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ASU 2025-05 was effective for the Company on January 1, 2026 and did not have a material impact on its consolidated financial statements.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September 2025, the FASB issued Accounting Standards Update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ASU 2025-06 clarified and modernizes the accounting for costs 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consolidated financial statements.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In December 2025, the FASB issued Accounting Standards Update 2025-11, </w:t>
      </w:r>
      <w:r>
        <w:rPr>
          <w:rFonts w:ascii="Times New Roman;serif" w:hAnsi="Times New Roman;serif"/>
          <w:b w:val="false"/>
          <w:i/>
          <w:color w:val="000000"/>
          <w:sz w:val="20"/>
        </w:rPr>
        <w:t>Interim Reporting (Topic 720): Narrow-Scope Improvements</w:t>
      </w:r>
      <w:r>
        <w:rPr>
          <w:color w:val="000000"/>
        </w:rPr>
        <w:t xml:space="preserve"> </w:t>
      </w:r>
      <w:r>
        <w:rPr>
          <w:rFonts w:ascii="Times New Roman;serif" w:hAnsi="Times New Roman;serif"/>
          <w:b w:val="false"/>
          <w:color w:val="000000"/>
          <w:sz w:val="20"/>
        </w:rPr>
        <w:t>("ASU 2025-11"). ASU 2025-11 clarifies and enhances guidance under ASC 720 on interim financial reporting by (i) clarifying the scope of ASC 270 such that it now explicitly applies only to entities that issue complete interim financial statements and related notes under U.S. GAAP, (ii) establishing clear guidance on the form of interim statements and notes, incorporating a comprehensive list of required interim disclosures drawn from across the ASC, and (iii) introducing a requirement to disclose material events and changes occurring after the end of the last annual period that could impact interim results. ASU 2025-11 will be effective for the Company for interim periods beginning in 2028, though early adoption is permitted. The Company does not expect the adoption of 2025-11 to have a material impact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pStyle w:val="TextBody"/>
        <w:bidi w:val="0"/>
        <w:spacing w:lineRule="auto" w:line="288" w:before="200" w:after="283"/>
        <w:jc w:val="both"/>
        <w:rPr/>
      </w:pPr>
      <w:r>
        <w:rPr>
          <w:rFonts w:ascii="Times New Roman;serif" w:hAnsi="Times New Roman;serif"/>
          <w:b w:val="false"/>
          <w:i/>
          <w:color w:val="000000"/>
          <w:sz w:val="20"/>
        </w:rPr>
        <w:t>Allowance for Credit Losses.</w:t>
      </w:r>
      <w:r>
        <w:rPr>
          <w:color w:val="000000"/>
        </w:rPr>
        <w:t xml:space="preserve"> </w:t>
      </w:r>
      <w:r>
        <w:rPr>
          <w:rFonts w:ascii="Times New Roman;serif" w:hAnsi="Times New Roman;serif"/>
          <w:b w:val="false"/>
          <w:color w:val="000000"/>
          <w:sz w:val="20"/>
        </w:rPr>
        <w:t>The Company performs periodic and systematic detailed reviews of its loan portfolio to determine management’s estimate of 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the Company’s 2025 Form 10-K for the year ended December 31, 2025, the Company manages its interest rate risk through measurement techniques that include gap analysis and a simulation model. As part of the risk management process, asset/liability management policies are established and monitored by management.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simulated changes in net interest income versus unchanged rates over the next 12 months as of June 30, 2026 and December 31, 2025.</w:t>
      </w:r>
    </w:p>
    <w:tbl>
      <w:tblPr>
        <w:tblW w:w="6015" w:type="dxa"/>
        <w:jc w:val="left"/>
        <w:tblInd w:w="0" w:type="dxa"/>
        <w:tblLayout w:type="fixed"/>
        <w:tblCellMar>
          <w:top w:w="28" w:type="dxa"/>
          <w:left w:w="28" w:type="dxa"/>
          <w:bottom w:w="28" w:type="dxa"/>
          <w:right w:w="28" w:type="dxa"/>
        </w:tblCellMar>
      </w:tblPr>
      <w:tblGrid>
        <w:gridCol w:w="558"/>
        <w:gridCol w:w="492"/>
        <w:gridCol w:w="494"/>
        <w:gridCol w:w="238"/>
        <w:gridCol w:w="238"/>
        <w:gridCol w:w="238"/>
        <w:gridCol w:w="283"/>
        <w:gridCol w:w="283"/>
        <w:gridCol w:w="708"/>
        <w:gridCol w:w="238"/>
        <w:gridCol w:w="238"/>
        <w:gridCol w:w="238"/>
        <w:gridCol w:w="360"/>
        <w:gridCol w:w="360"/>
        <w:gridCol w:w="1049"/>
      </w:tblGrid>
      <w:tr>
        <w:trPr/>
        <w:tc>
          <w:tcPr>
            <w:tcW w:w="55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 in projected net interest income</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basis points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08"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49"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08"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49"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Flat rates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08"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49"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points</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4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basis points</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708"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49"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generally asset sensitive as average interest-earning assets of $2.20 billion for the second quarter of 2026 greatly exceeded average interest-bearing liabilities of $652.9 million. The table above on the projected impact of interest rate shocks results from a static balance sheet at June 30, 2026. Primarily as a result of $80.0 million in short-term borrowings at June 30, 2026, the simulated changes in projected net interest income from a static balance sheet are not indicative of what would occur in the next 12 months as the Company is not forecasting a significant balance in average short-term borrowings for the remainder of 2026. The Company believes that the interest rate shock results shown for December 31, 2025 are more indicative of what would happen in the various interest rate scenarios.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under the supervision and with the participation of the principal executive officer and the principal financial officer, evaluated the effectiveness of the Company’s disclosure controls and procedures (as defined in Rules 13a-15(e) and 15d-15(e) under the Securities Exchange Act of 1934, as amended) as of the end of the period covered by this report and concluded that, as of such date, these controls and procedures were effective.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second quarter of 2026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included in Part I, Item 1A of its 2025 Form 10-K, a description of certain risks and uncertainties that could affect the Company’s business, future performance or financial condition (the “Risk Factors”). There are no material changes to the Risk Factors as disclosed in the Company’s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shares of its common stock as follows:</w:t>
      </w:r>
    </w:p>
    <w:tbl>
      <w:tblPr>
        <w:tblW w:w="8890" w:type="dxa"/>
        <w:jc w:val="left"/>
        <w:tblInd w:w="0" w:type="dxa"/>
        <w:tblLayout w:type="fixed"/>
        <w:tblCellMar>
          <w:top w:w="28" w:type="dxa"/>
          <w:left w:w="28" w:type="dxa"/>
          <w:bottom w:w="28" w:type="dxa"/>
          <w:right w:w="28" w:type="dxa"/>
        </w:tblCellMar>
      </w:tblPr>
      <w:tblGrid>
        <w:gridCol w:w="901"/>
        <w:gridCol w:w="793"/>
        <w:gridCol w:w="796"/>
        <w:gridCol w:w="404"/>
        <w:gridCol w:w="404"/>
        <w:gridCol w:w="406"/>
        <w:gridCol w:w="109"/>
        <w:gridCol w:w="109"/>
        <w:gridCol w:w="109"/>
        <w:gridCol w:w="318"/>
        <w:gridCol w:w="928"/>
        <w:gridCol w:w="164"/>
        <w:gridCol w:w="109"/>
        <w:gridCol w:w="109"/>
        <w:gridCol w:w="109"/>
        <w:gridCol w:w="449"/>
        <w:gridCol w:w="449"/>
        <w:gridCol w:w="451"/>
        <w:gridCol w:w="109"/>
        <w:gridCol w:w="109"/>
        <w:gridCol w:w="109"/>
        <w:gridCol w:w="109"/>
        <w:gridCol w:w="413"/>
        <w:gridCol w:w="413"/>
        <w:gridCol w:w="511"/>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Total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 xml:space="preserve">Number of </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 xml:space="preserve">Shares </w:t>
            </w:r>
          </w:p>
          <w:p>
            <w:pPr>
              <w:pStyle w:val="TableContents"/>
              <w:bidi w:val="0"/>
              <w:spacing w:lineRule="auto" w:line="240" w:before="0" w:after="0"/>
              <w:jc w:val="center"/>
              <w:rPr/>
            </w:pPr>
            <w:r>
              <w:rPr>
                <w:color w:val="000000"/>
              </w:rPr>
              <w:t> </w:t>
            </w:r>
            <w:r>
              <w:rPr>
                <w:rFonts w:ascii="Times New Roman;serif" w:hAnsi="Times New Roman;serif"/>
                <w:b/>
                <w:color w:val="000000"/>
                <w:sz w:val="20"/>
              </w:rPr>
              <w:t>Purchased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Average Price </w:t>
              <w:br/>
              <w:t>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Total Number </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of Shares </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Purchased as </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Part of </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Publicly </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 xml:space="preserve">Announced </w:t>
            </w:r>
          </w:p>
          <w:p>
            <w:pPr>
              <w:pStyle w:val="TableContents"/>
              <w:bidi w:val="0"/>
              <w:spacing w:lineRule="auto" w:line="276" w:before="0" w:after="0"/>
              <w:jc w:val="center"/>
              <w:rPr>
                <w:color w:val="000000"/>
              </w:rPr>
            </w:pPr>
            <w:r>
              <w:rPr>
                <w:color w:val="000000"/>
              </w:rPr>
              <w:t> </w:t>
            </w:r>
            <w:r>
              <w:rPr>
                <w:rFonts w:ascii="Times New Roman;serif" w:hAnsi="Times New Roman;serif"/>
                <w:b/>
                <w:color w:val="000000"/>
                <w:sz w:val="20"/>
              </w:rPr>
              <w:t>Plans or</w:t>
            </w:r>
          </w:p>
          <w:p>
            <w:pPr>
              <w:pStyle w:val="TableContents"/>
              <w:bidi w:val="0"/>
              <w:spacing w:lineRule="auto" w:line="276" w:before="0" w:after="0"/>
              <w:jc w:val="center"/>
              <w:rPr/>
            </w:pPr>
            <w:r>
              <w:rPr>
                <w:color w:val="000000"/>
              </w:rPr>
              <w:t> </w:t>
            </w:r>
            <w:r>
              <w:rPr>
                <w:rFonts w:ascii="Times New Roman;serif" w:hAnsi="Times New Roman;serif"/>
                <w:b/>
                <w:color w:val="000000"/>
                <w:sz w:val="20"/>
              </w:rPr>
              <w:t>Programs</w:t>
            </w:r>
            <w:r>
              <w:rPr>
                <w:rFonts w:ascii="Times New Roman;serif" w:hAnsi="Times New Roman;serif"/>
                <w:b/>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Maximum </w:t>
              <w:br/>
              <w:t xml:space="preserve"> Number of </w:t>
              <w:br/>
              <w:t xml:space="preserve"> Shares that </w:t>
              <w:br/>
              <w:t xml:space="preserve"> May Yet Be </w:t>
              <w:br/>
              <w:t xml:space="preserve"> Purchased </w:t>
              <w:br/>
              <w:t xml:space="preserve"> Under the </w:t>
              <w:br/>
              <w:t xml:space="preserve"> Plans or </w:t>
              <w:br/>
              <w:t> Programs</w:t>
            </w:r>
          </w:p>
        </w:tc>
      </w:tr>
      <w:tr>
        <w:trPr/>
        <w:tc>
          <w:tcPr>
            <w:tcW w:w="2490" w:type="dxa"/>
            <w:gridSpan w:val="3"/>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2026–April 30, 2026</w:t>
            </w:r>
          </w:p>
        </w:tc>
        <w:tc>
          <w:tcPr>
            <w:tcW w:w="808"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20,566 </w:t>
            </w:r>
          </w:p>
        </w:tc>
        <w:tc>
          <w:tcPr>
            <w:tcW w:w="406"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48.09 </w:t>
            </w:r>
          </w:p>
        </w:tc>
        <w:tc>
          <w:tcPr>
            <w:tcW w:w="164"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5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B6B6B6"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809,668 </w:t>
            </w:r>
          </w:p>
        </w:tc>
        <w:tc>
          <w:tcPr>
            <w:tcW w:w="511" w:type="dxa"/>
            <w:tcBorders>
              <w:top w:val="single" w:sz="8" w:space="0" w:color="000000"/>
            </w:tcBorders>
            <w:shd w:fill="B6B6B6"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2026–May 31, 2026</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45,057 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45,057 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764,611 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B6B6B6"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2026–June 30, 2026</w:t>
            </w:r>
          </w:p>
        </w:tc>
        <w:tc>
          <w:tcPr>
            <w:tcW w:w="80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40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6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4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B6B6B6"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744,611 </w:t>
            </w:r>
          </w:p>
        </w:tc>
        <w:tc>
          <w:tcPr>
            <w:tcW w:w="51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0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85,623 </w:t>
            </w:r>
          </w:p>
        </w:tc>
        <w:tc>
          <w:tcPr>
            <w:tcW w:w="4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6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65,557 </w:t>
            </w:r>
          </w:p>
        </w:tc>
        <w:tc>
          <w:tcPr>
            <w:tcW w:w="4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744,611 </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(1)During the quarter ended June 30, 2026, there were 65,557 shares repurchased pursuant to the Company's publicly announced treasury stock buyback program and 20,066 shares transferred from employees in satisfaction of tax withholding obligations upon the vesting of restricted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(2)On November 6, 2025, the Board of Directors authorized the repurchase of up to 1,000,000 shares of the Company's common stock with no expiration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(b)There have been no material changes to the procedures by which security holders may recommend nominees to the Company’s Board of Directors implemented in the second quarter of 2026.</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(c)During the three months ended June 30, 2026, none of the Company's officers or directors adopted or terminated any "Rule 10b5-1 trading arrangement" or any “non-Rule 10b5-1 trading arrangement,” as such terms are defined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60630xex311.htm">
              <w:r>
                <w:rPr>
                  <w:rStyle w:val="InternetLink"/>
                  <w:rFonts w:ascii="Times New Roman;serif" w:hAnsi="Times New Roman;serif"/>
                  <w:b w:val="false"/>
                  <w:color w:val="0000FF"/>
                  <w:sz w:val="20"/>
                  <w:u w:val="single"/>
                </w:rPr>
                <w:t>Exhibit 31.1 Certification Pursuant to Section 302 of the Sarbanes-Oxley Act of 2002</w:t>
              </w:r>
            </w:hyperlink>
            <w:r>
              <w:rPr>
                <w:rFonts w:ascii="Times New Roman;serif" w:hAnsi="Times New Roman;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60630xex312.htm">
              <w:r>
                <w:rPr>
                  <w:rStyle w:val="InternetLink"/>
                  <w:rFonts w:ascii="Times New Roman;serif" w:hAnsi="Times New Roman;serif"/>
                  <w:b w:val="false"/>
                  <w:color w:val="0000FF"/>
                  <w:sz w:val="20"/>
                  <w:u w:val="single"/>
                </w:rPr>
                <w:t>Exhibit 31.2 Certification Pursuant to Section 302 of the Sarbanes-Oxley Act of 2002</w:t>
              </w:r>
            </w:hyperlink>
            <w:r>
              <w:rPr>
                <w:rFonts w:ascii="Times New Roman;serif" w:hAnsi="Times New Roman;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60630xex321.htm">
              <w:r>
                <w:rPr>
                  <w:rStyle w:val="InternetLink"/>
                  <w:rFonts w:ascii="Times New Roman;serif" w:hAnsi="Times New Roman;serif"/>
                  <w:b w:val="false"/>
                  <w:color w:val="0000FF"/>
                  <w:sz w:val="20"/>
                  <w:u w:val="single"/>
                </w:rPr>
                <w:t>Exhibit 32.1 Certification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ass-20260630xex322.htm">
              <w:r>
                <w:rPr>
                  <w:rStyle w:val="InternetLink"/>
                  <w:rFonts w:ascii="Times New Roman;serif" w:hAnsi="Times New Roman;serif"/>
                  <w:b w:val="false"/>
                  <w:color w:val="0000FF"/>
                  <w:sz w:val="20"/>
                  <w:u w:val="single"/>
                </w:rPr>
                <w:t>Exhibit 32.2 Certification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101.INS XBRL Instance Document. The instance document does not appear in the Interactive Data File because its XBRL tags are embedded within the Inline XBRL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101.SCH Inline XBRL Taxonomy Extension Schema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101.CAL Inline XBRL Taxonomy Extension Calculation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101.LAB Inline XBRL Taxonomy Extension Label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101.PRE Inline XBRL Taxonomy Extension Presentation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101.DEF Inline XBRL Taxonomy Extension Definition Linkbase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 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32d40cbb1e984e4db9720acd9063f3e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99" w:type="dxa"/>
        <w:jc w:val="left"/>
        <w:tblInd w:w="0" w:type="dxa"/>
        <w:tblLayout w:type="fixed"/>
        <w:tblCellMar>
          <w:top w:w="28" w:type="dxa"/>
          <w:left w:w="28" w:type="dxa"/>
          <w:bottom w:w="28" w:type="dxa"/>
          <w:right w:w="28" w:type="dxa"/>
        </w:tblCellMar>
      </w:tblPr>
      <w:tblGrid>
        <w:gridCol w:w="716"/>
        <w:gridCol w:w="630"/>
        <w:gridCol w:w="633"/>
        <w:gridCol w:w="527"/>
        <w:gridCol w:w="527"/>
        <w:gridCol w:w="527"/>
        <w:gridCol w:w="1293"/>
        <w:gridCol w:w="1293"/>
        <w:gridCol w:w="1853"/>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CASS INFORMATION SYSTEMS, INC.</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5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58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Martin H. Resch,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Cass Information Systems,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54" w:type="dxa"/>
        <w:jc w:val="left"/>
        <w:tblInd w:w="0" w:type="dxa"/>
        <w:tblLayout w:type="fixed"/>
        <w:tblCellMar>
          <w:top w:w="28" w:type="dxa"/>
          <w:left w:w="28" w:type="dxa"/>
          <w:bottom w:w="28" w:type="dxa"/>
          <w:right w:w="28" w:type="dxa"/>
        </w:tblCellMar>
      </w:tblPr>
      <w:tblGrid>
        <w:gridCol w:w="667"/>
        <w:gridCol w:w="587"/>
        <w:gridCol w:w="590"/>
        <w:gridCol w:w="939"/>
        <w:gridCol w:w="939"/>
        <w:gridCol w:w="133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Michael J. Normile,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Cass Information Systems, Inc.;</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608" w:type="dxa"/>
        <w:jc w:val="left"/>
        <w:tblInd w:w="0" w:type="dxa"/>
        <w:tblLayout w:type="fixed"/>
        <w:tblCellMar>
          <w:top w:w="28" w:type="dxa"/>
          <w:left w:w="28" w:type="dxa"/>
          <w:bottom w:w="28" w:type="dxa"/>
          <w:right w:w="28" w:type="dxa"/>
        </w:tblCellMar>
      </w:tblPr>
      <w:tblGrid>
        <w:gridCol w:w="667"/>
        <w:gridCol w:w="587"/>
        <w:gridCol w:w="590"/>
        <w:gridCol w:w="1099"/>
        <w:gridCol w:w="1099"/>
        <w:gridCol w:w="156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Cass Information Systems, Inc. (“the Company”) on Form 10-Q for the period ended June 30, 2026 as filed with the Securities and Exchange Commission on the date hereof (the “Report”), I, Martin H. Resch, President and Chief Executive Officer of the Company, certify, pursuant to 18 U.S.C. § 1350, as adopted pursuant to §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Martin H. Resch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Cass Information Systems, Inc. (“the Company”) on Form 10-Q for the period ended June 30, 2026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2" w:type="dxa"/>
        <w:jc w:val="left"/>
        <w:tblInd w:w="0" w:type="dxa"/>
        <w:tblLayout w:type="fixed"/>
        <w:tblCellMar>
          <w:top w:w="28" w:type="dxa"/>
          <w:left w:w="28" w:type="dxa"/>
          <w:bottom w:w="28" w:type="dxa"/>
          <w:right w:w="28" w:type="dxa"/>
        </w:tblCellMar>
      </w:tblPr>
      <w:tblGrid>
        <w:gridCol w:w="124"/>
        <w:gridCol w:w="109"/>
        <w:gridCol w:w="109"/>
        <w:gridCol w:w="1297"/>
        <w:gridCol w:w="1297"/>
        <w:gridCol w:w="18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Michael J. Normile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Cass Information Systems, Inc. and will be retained by Cass Information Systems,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17990</Words>
  <Characters>99466</Characters>
  <CharactersWithSpaces>115891</CharactersWithSpaces>
  <Paragraphs>4079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