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UNITED STATES</w:t>
      </w:r>
    </w:p>
    <w:p>
      <w:pPr>
        <w:spacing w:after="0" w:line="2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6" w:lineRule="exact"/>
        <w:rPr>
          <w:sz w:val="24"/>
          <w:szCs w:val="24"/>
          <w:color w:val="auto"/>
        </w:rPr>
      </w:pPr>
    </w:p>
    <w:p>
      <w:pPr>
        <w:ind w:left="580" w:right="2080" w:hanging="554"/>
        <w:spacing w:after="0" w:line="609" w:lineRule="auto"/>
        <w:tabs>
          <w:tab w:leader="none" w:pos="5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March 31,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320" w:lineRule="exact"/>
        <w:rPr>
          <w:sz w:val="24"/>
          <w:szCs w:val="24"/>
          <w:color w:val="auto"/>
        </w:rPr>
      </w:pPr>
    </w:p>
    <w:p>
      <w:pPr>
        <w:ind w:left="580" w:hanging="554"/>
        <w:spacing w:after="0"/>
        <w:tabs>
          <w:tab w:leader="none" w:pos="58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1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000-20827</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CASS INFORMATION SYSTEMS, INC.</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160" w:type="dxa"/>
        <w:tblCellMar>
          <w:top w:w="0" w:type="dxa"/>
          <w:left w:w="0" w:type="dxa"/>
          <w:bottom w:w="0" w:type="dxa"/>
          <w:right w:w="0" w:type="dxa"/>
        </w:tblCellMar>
      </w:tblPr>
      <w:tr>
        <w:trPr>
          <w:trHeight w:val="238"/>
        </w:trPr>
        <w:tc>
          <w:tcPr>
            <w:tcW w:w="464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39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38"/>
        </w:trPr>
        <w:tc>
          <w:tcPr>
            <w:tcW w:w="464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9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64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organization)</w:t>
            </w:r>
          </w:p>
        </w:tc>
        <w:tc>
          <w:tcPr>
            <w:tcW w:w="3940" w:type="dxa"/>
            <w:vAlign w:val="bottom"/>
          </w:tcPr>
          <w:p>
            <w:pPr>
              <w:spacing w:after="0"/>
              <w:rPr>
                <w:sz w:val="20"/>
                <w:szCs w:val="20"/>
                <w:color w:val="auto"/>
              </w:rPr>
            </w:pPr>
          </w:p>
        </w:tc>
      </w:tr>
      <w:tr>
        <w:trPr>
          <w:trHeight w:val="234"/>
        </w:trPr>
        <w:tc>
          <w:tcPr>
            <w:tcW w:w="464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rPr>
              <w:t>12444 Powerscourt Drive, Suite 550</w:t>
            </w:r>
          </w:p>
        </w:tc>
        <w:tc>
          <w:tcPr>
            <w:tcW w:w="3940" w:type="dxa"/>
            <w:vAlign w:val="bottom"/>
          </w:tcPr>
          <w:p>
            <w:pPr>
              <w:spacing w:after="0"/>
              <w:rPr>
                <w:sz w:val="20"/>
                <w:szCs w:val="20"/>
                <w:color w:val="auto"/>
              </w:rPr>
            </w:pPr>
          </w:p>
        </w:tc>
      </w:tr>
      <w:tr>
        <w:trPr>
          <w:trHeight w:val="238"/>
        </w:trPr>
        <w:tc>
          <w:tcPr>
            <w:tcW w:w="464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9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57"/>
        </w:trPr>
        <w:tc>
          <w:tcPr>
            <w:tcW w:w="464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(314) 506-5500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404"/>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2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Common stock, par value $.50</w:t>
            </w:r>
          </w:p>
        </w:tc>
        <w:tc>
          <w:tcPr>
            <w:tcW w:w="272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color w:val="auto"/>
                <w:w w:val="97"/>
              </w:rPr>
              <w:t>CASS</w:t>
            </w:r>
          </w:p>
        </w:tc>
        <w:tc>
          <w:tcPr>
            <w:tcW w:w="42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86"/>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gridSpan w:val="3"/>
          </w:tcPr>
          <w:p>
            <w:pPr>
              <w:jc w:val="right"/>
              <w:ind w:right="180"/>
              <w:spacing w:after="0"/>
              <w:rPr>
                <w:sz w:val="20"/>
                <w:szCs w:val="20"/>
                <w:color w:val="auto"/>
              </w:rPr>
            </w:pPr>
            <w:r>
              <w:rPr>
                <w:rFonts w:ascii="Arial" w:cs="Arial" w:eastAsia="Arial" w:hAnsi="Arial"/>
                <w:sz w:val="22"/>
                <w:szCs w:val="22"/>
                <w:color w:val="auto"/>
              </w:rPr>
              <w:t>____________________</w:t>
            </w:r>
          </w:p>
        </w:tc>
        <w:tc>
          <w:tcPr>
            <w:tcW w:w="4220" w:type="dxa"/>
            <w:vAlign w:val="bottom"/>
          </w:tcPr>
          <w:p>
            <w:pPr>
              <w:spacing w:after="0"/>
              <w:rPr>
                <w:sz w:val="24"/>
                <w:szCs w:val="24"/>
                <w:color w:val="auto"/>
              </w:rPr>
            </w:pPr>
          </w:p>
        </w:tc>
      </w:tr>
    </w:tbl>
    <w:p>
      <w:pPr>
        <w:spacing w:after="0" w:line="15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3240"/>
        <w:spacing w:after="0"/>
        <w:tabs>
          <w:tab w:leader="none" w:pos="3720" w:val="left"/>
          <w:tab w:leader="none" w:pos="4560" w:val="left"/>
          <w:tab w:leader="none" w:pos="49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Arial" w:cs="Arial" w:eastAsia="Arial" w:hAnsi="Arial"/>
          <w:sz w:val="17"/>
          <w:szCs w:val="17"/>
          <w:color w:val="auto"/>
        </w:rPr>
        <w:t>o</w:t>
      </w:r>
    </w:p>
    <w:p>
      <w:pPr>
        <w:spacing w:after="0" w:line="18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34" w:lineRule="exact"/>
        <w:rPr>
          <w:sz w:val="24"/>
          <w:szCs w:val="24"/>
          <w:color w:val="auto"/>
        </w:rPr>
      </w:pPr>
    </w:p>
    <w:p>
      <w:pPr>
        <w:ind w:left="3240"/>
        <w:spacing w:after="0"/>
        <w:tabs>
          <w:tab w:leader="none" w:pos="3720" w:val="left"/>
          <w:tab w:leader="none" w:pos="4560" w:val="left"/>
          <w:tab w:leader="none" w:pos="50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Arial" w:cs="Arial" w:eastAsia="Arial" w:hAnsi="Arial"/>
          <w:sz w:val="17"/>
          <w:szCs w:val="17"/>
          <w:color w:val="auto"/>
        </w:rPr>
        <w:t>o</w:t>
      </w:r>
    </w:p>
    <w:p>
      <w:pPr>
        <w:spacing w:after="0" w:line="18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0" w:gutter="0" w:footer="0" w:header="0"/>
        </w:sectPr>
      </w:pPr>
    </w:p>
    <w:p>
      <w:pPr>
        <w:spacing w:after="0" w:line="18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840" w:space="640"/>
            <w:col w:w="100" w:space="340"/>
            <w:col w:w="2040" w:space="720"/>
            <w:col w:w="4560"/>
          </w:cols>
          <w:pgMar w:left="320" w:top="225" w:right="339" w:bottom="0" w:gutter="0" w:footer="0" w:header="0"/>
          <w:type w:val="continuous"/>
        </w:sectPr>
      </w:pPr>
    </w:p>
    <w:p>
      <w:pPr>
        <w:spacing w:after="0" w:line="10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6">
            <w:col w:w="2760" w:space="720"/>
            <w:col w:w="100" w:space="340"/>
            <w:col w:w="2060" w:space="700"/>
            <w:col w:w="100" w:space="380"/>
            <w:col w:w="2220" w:space="720"/>
            <w:col w:w="1140"/>
          </w:cols>
          <w:pgMar w:left="320" w:top="225" w:right="339" w:bottom="0" w:gutter="0" w:footer="0" w:header="0"/>
          <w:type w:val="continuous"/>
        </w:sectPr>
      </w:pPr>
    </w:p>
    <w:p>
      <w:pPr>
        <w:spacing w:after="0" w:line="10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2" w:lineRule="exact"/>
        <w:rPr>
          <w:sz w:val="24"/>
          <w:szCs w:val="24"/>
          <w:color w:val="auto"/>
        </w:rPr>
      </w:pPr>
    </w:p>
    <w:p>
      <w:pPr>
        <w:jc w:val="center"/>
        <w:ind w:right="30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56" w:lineRule="exact"/>
        <w:rPr>
          <w:sz w:val="24"/>
          <w:szCs w:val="24"/>
          <w:color w:val="auto"/>
        </w:rPr>
      </w:pPr>
    </w:p>
    <w:p>
      <w:pPr>
        <w:ind w:left="3240"/>
        <w:spacing w:after="0" w:line="207" w:lineRule="exact"/>
        <w:tabs>
          <w:tab w:leader="none" w:pos="372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Arial" w:cs="Arial" w:eastAsia="Arial" w:hAnsi="Arial"/>
          <w:sz w:val="18"/>
          <w:szCs w:val="18"/>
          <w:color w:val="auto"/>
        </w:rPr>
        <w:t>x</w:t>
      </w:r>
    </w:p>
    <w:p>
      <w:pPr>
        <w:spacing w:after="0" w:line="21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April 22, 2022: Common stock, par value $.50 per share – 13,652,849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54" w:lineRule="exact"/>
        <w:rPr>
          <w:sz w:val="20"/>
          <w:szCs w:val="20"/>
          <w:color w:val="auto"/>
        </w:rPr>
      </w:pPr>
    </w:p>
    <w:p>
      <w:pPr>
        <w:ind w:left="30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March 31, 2022 (unaudited) and December 31, 2021</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 Three months ended March 31,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7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Three months ended March 31, 2022 and 2021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Three months ended March 31,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7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Shareholders’ Equity Three months ended March 31, 2022 and 2021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6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 Other Information – Items 1.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34</w:t>
      </w:r>
    </w:p>
    <w:p>
      <w:pPr>
        <w:spacing w:after="0" w:line="684" w:lineRule="exact"/>
        <w:rPr>
          <w:sz w:val="20"/>
          <w:szCs w:val="20"/>
          <w:color w:val="auto"/>
        </w:rPr>
      </w:pPr>
    </w:p>
    <w:p>
      <w:pPr>
        <w:sectPr>
          <w:pgSz w:w="11900" w:h="16838" w:orient="portrait"/>
          <w:cols w:equalWidth="0" w:num="2">
            <w:col w:w="10340" w:space="420"/>
            <w:col w:w="480"/>
          </w:cols>
          <w:pgMar w:left="320" w:top="117" w:right="339" w:bottom="1440" w:gutter="0" w:footer="0" w:header="0"/>
        </w:sect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2021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B2B2B2"/>
          </w:tcPr>
          <w:p>
            <w:pPr>
              <w:spacing w:after="0"/>
              <w:rPr>
                <w:sz w:val="21"/>
                <w:szCs w:val="21"/>
                <w:color w:val="auto"/>
              </w:rPr>
            </w:pPr>
          </w:p>
        </w:tc>
        <w:tc>
          <w:tcPr>
            <w:tcW w:w="804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B2B2B2"/>
          </w:tcPr>
          <w:p>
            <w:pPr>
              <w:spacing w:after="0"/>
              <w:rPr>
                <w:sz w:val="21"/>
                <w:szCs w:val="21"/>
                <w:color w:val="auto"/>
              </w:rPr>
            </w:pPr>
          </w:p>
        </w:tc>
        <w:tc>
          <w:tcPr>
            <w:tcW w:w="144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160" w:type="dxa"/>
            <w:vAlign w:val="bottom"/>
            <w:shd w:val="clear" w:color="auto" w:fill="B2B2B2"/>
          </w:tcPr>
          <w:p>
            <w:pPr>
              <w:spacing w:after="0"/>
              <w:rPr>
                <w:sz w:val="21"/>
                <w:szCs w:val="21"/>
                <w:color w:val="auto"/>
              </w:rPr>
            </w:pPr>
          </w:p>
        </w:tc>
        <w:tc>
          <w:tcPr>
            <w:tcW w:w="1320" w:type="dxa"/>
            <w:vAlign w:val="bottom"/>
            <w:shd w:val="clear" w:color="auto" w:fill="B2B2B2"/>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w:t>
            </w:r>
          </w:p>
        </w:tc>
      </w:tr>
      <w:tr>
        <w:trPr>
          <w:trHeight w:val="257"/>
        </w:trPr>
        <w:tc>
          <w:tcPr>
            <w:tcW w:w="20" w:type="dxa"/>
            <w:vAlign w:val="bottom"/>
            <w:shd w:val="clear" w:color="auto" w:fill="B2B2B2"/>
          </w:tcPr>
          <w:p>
            <w:pPr>
              <w:spacing w:after="0"/>
              <w:rPr>
                <w:sz w:val="22"/>
                <w:szCs w:val="22"/>
                <w:color w:val="auto"/>
              </w:rPr>
            </w:pPr>
          </w:p>
        </w:tc>
        <w:tc>
          <w:tcPr>
            <w:tcW w:w="804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auto"/>
            </w:tcBorders>
            <w:shd w:val="clear" w:color="auto" w:fill="B2B2B2"/>
          </w:tcPr>
          <w:p>
            <w:pPr>
              <w:spacing w:after="0"/>
              <w:rPr>
                <w:sz w:val="22"/>
                <w:szCs w:val="22"/>
                <w:color w:val="auto"/>
              </w:rPr>
            </w:pPr>
          </w:p>
        </w:tc>
        <w:tc>
          <w:tcPr>
            <w:tcW w:w="14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169,033</w:t>
            </w:r>
          </w:p>
        </w:tc>
        <w:tc>
          <w:tcPr>
            <w:tcW w:w="100" w:type="dxa"/>
            <w:vAlign w:val="bottom"/>
            <w:shd w:val="clear" w:color="auto" w:fill="B2B2B2"/>
          </w:tcPr>
          <w:p>
            <w:pPr>
              <w:spacing w:after="0"/>
              <w:rPr>
                <w:sz w:val="22"/>
                <w:szCs w:val="22"/>
                <w:color w:val="auto"/>
              </w:rPr>
            </w:pPr>
          </w:p>
        </w:tc>
        <w:tc>
          <w:tcPr>
            <w:tcW w:w="160" w:type="dxa"/>
            <w:vAlign w:val="bottom"/>
            <w:tcBorders>
              <w:bottom w:val="single" w:sz="8" w:color="auto"/>
            </w:tcBorders>
            <w:shd w:val="clear" w:color="auto" w:fill="B2B2B2"/>
          </w:tcPr>
          <w:p>
            <w:pPr>
              <w:spacing w:after="0"/>
              <w:rPr>
                <w:sz w:val="22"/>
                <w:szCs w:val="22"/>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502,627</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191,449</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514,928</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774,610</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673,453</w:t>
            </w: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7"/>
        </w:trPr>
        <w:tc>
          <w:tcPr>
            <w:tcW w:w="20" w:type="dxa"/>
            <w:vAlign w:val="bottom"/>
            <w:shd w:val="clear" w:color="auto" w:fill="B2B2B2"/>
          </w:tcPr>
          <w:p>
            <w:pPr>
              <w:spacing w:after="0"/>
              <w:rPr>
                <w:sz w:val="22"/>
                <w:szCs w:val="22"/>
                <w:color w:val="auto"/>
              </w:rPr>
            </w:pPr>
          </w:p>
        </w:tc>
        <w:tc>
          <w:tcPr>
            <w:tcW w:w="804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B2B2B2"/>
          </w:tcPr>
          <w:p>
            <w:pPr>
              <w:spacing w:after="0"/>
              <w:rPr>
                <w:sz w:val="22"/>
                <w:szCs w:val="22"/>
                <w:color w:val="auto"/>
              </w:rPr>
            </w:pPr>
          </w:p>
        </w:tc>
        <w:tc>
          <w:tcPr>
            <w:tcW w:w="1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977,202</w:t>
            </w: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960,567</w:t>
            </w:r>
          </w:p>
        </w:tc>
      </w:tr>
      <w:tr>
        <w:trPr>
          <w:trHeight w:val="250"/>
        </w:trPr>
        <w:tc>
          <w:tcPr>
            <w:tcW w:w="20" w:type="dxa"/>
            <w:vAlign w:val="bottom"/>
            <w:tcBorders>
              <w:bottom w:val="single" w:sz="8" w:color="B2B2B2"/>
            </w:tcBorders>
          </w:tcPr>
          <w:p>
            <w:pPr>
              <w:spacing w:after="0"/>
              <w:rPr>
                <w:sz w:val="21"/>
                <w:szCs w:val="21"/>
                <w:color w:val="auto"/>
              </w:rPr>
            </w:pPr>
          </w:p>
        </w:tc>
        <w:tc>
          <w:tcPr>
            <w:tcW w:w="8040" w:type="dxa"/>
            <w:vAlign w:val="bottom"/>
            <w:tcBorders>
              <w:bottom w:val="single" w:sz="8" w:color="B2B2B2"/>
            </w:tcBorders>
            <w:gridSpan w:val="3"/>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12,041</w:t>
            </w:r>
          </w:p>
        </w:tc>
      </w:tr>
      <w:tr>
        <w:trPr>
          <w:trHeight w:val="250"/>
        </w:trPr>
        <w:tc>
          <w:tcPr>
            <w:tcW w:w="20" w:type="dxa"/>
            <w:vAlign w:val="bottom"/>
            <w:shd w:val="clear" w:color="auto" w:fill="B2B2B2"/>
          </w:tcPr>
          <w:p>
            <w:pPr>
              <w:spacing w:after="0"/>
              <w:rPr>
                <w:sz w:val="21"/>
                <w:szCs w:val="21"/>
                <w:color w:val="auto"/>
              </w:rPr>
            </w:pPr>
          </w:p>
        </w:tc>
        <w:tc>
          <w:tcPr>
            <w:tcW w:w="8040" w:type="dxa"/>
            <w:vAlign w:val="bottom"/>
            <w:gridSpan w:val="3"/>
            <w:shd w:val="clear" w:color="auto" w:fill="B2B2B2"/>
          </w:tcPr>
          <w:p>
            <w:pPr>
              <w:ind w:left="720"/>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Borders>
              <w:bottom w:val="single" w:sz="8" w:color="auto"/>
            </w:tcBorders>
            <w:shd w:val="clear" w:color="auto" w:fill="B2B2B2"/>
          </w:tcPr>
          <w:p>
            <w:pPr>
              <w:spacing w:after="0"/>
              <w:rPr>
                <w:sz w:val="21"/>
                <w:szCs w:val="21"/>
                <w:color w:val="auto"/>
              </w:rPr>
            </w:pPr>
          </w:p>
        </w:tc>
        <w:tc>
          <w:tcPr>
            <w:tcW w:w="14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964,796</w:t>
            </w:r>
          </w:p>
        </w:tc>
        <w:tc>
          <w:tcPr>
            <w:tcW w:w="100" w:type="dxa"/>
            <w:vAlign w:val="bottom"/>
            <w:shd w:val="clear" w:color="auto" w:fill="B2B2B2"/>
          </w:tcPr>
          <w:p>
            <w:pPr>
              <w:spacing w:after="0"/>
              <w:rPr>
                <w:sz w:val="21"/>
                <w:szCs w:val="21"/>
                <w:color w:val="auto"/>
              </w:rPr>
            </w:pPr>
          </w:p>
        </w:tc>
        <w:tc>
          <w:tcPr>
            <w:tcW w:w="160" w:type="dxa"/>
            <w:vAlign w:val="bottom"/>
            <w:tcBorders>
              <w:bottom w:val="single" w:sz="8" w:color="auto"/>
            </w:tcBorders>
            <w:shd w:val="clear" w:color="auto" w:fill="B2B2B2"/>
          </w:tcPr>
          <w:p>
            <w:pPr>
              <w:spacing w:after="0"/>
              <w:rPr>
                <w:sz w:val="21"/>
                <w:szCs w:val="21"/>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948,526</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in advance of funding</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291,427</w:t>
            </w:r>
          </w:p>
        </w:tc>
      </w:tr>
      <w:tr>
        <w:trPr>
          <w:trHeight w:val="263"/>
        </w:trPr>
        <w:tc>
          <w:tcPr>
            <w:tcW w:w="20" w:type="dxa"/>
            <w:vAlign w:val="bottom"/>
            <w:shd w:val="clear" w:color="auto" w:fill="B2B2B2"/>
          </w:tcPr>
          <w:p>
            <w:pPr>
              <w:spacing w:after="0"/>
              <w:rPr>
                <w:sz w:val="22"/>
                <w:szCs w:val="22"/>
                <w:color w:val="auto"/>
              </w:rPr>
            </w:pPr>
          </w:p>
        </w:tc>
        <w:tc>
          <w:tcPr>
            <w:tcW w:w="804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shd w:val="clear" w:color="auto" w:fill="B2B2B2"/>
          </w:tcPr>
          <w:p>
            <w:pPr>
              <w:spacing w:after="0"/>
              <w:rPr>
                <w:sz w:val="22"/>
                <w:szCs w:val="22"/>
                <w:color w:val="auto"/>
              </w:rPr>
            </w:pPr>
          </w:p>
        </w:tc>
        <w:tc>
          <w:tcPr>
            <w:tcW w:w="1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18,113</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bank-owned life insurance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43,176</w:t>
            </w:r>
          </w:p>
        </w:tc>
      </w:tr>
      <w:tr>
        <w:trPr>
          <w:trHeight w:val="263"/>
        </w:trPr>
        <w:tc>
          <w:tcPr>
            <w:tcW w:w="20" w:type="dxa"/>
            <w:vAlign w:val="bottom"/>
            <w:shd w:val="clear" w:color="auto" w:fill="B2B2B2"/>
          </w:tcPr>
          <w:p>
            <w:pPr>
              <w:spacing w:after="0"/>
              <w:rPr>
                <w:sz w:val="22"/>
                <w:szCs w:val="22"/>
                <w:color w:val="auto"/>
              </w:rPr>
            </w:pPr>
          </w:p>
        </w:tc>
        <w:tc>
          <w:tcPr>
            <w:tcW w:w="804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B2B2B2"/>
          </w:tcPr>
          <w:p>
            <w:pPr>
              <w:spacing w:after="0"/>
              <w:rPr>
                <w:sz w:val="22"/>
                <w:szCs w:val="22"/>
                <w:color w:val="auto"/>
              </w:rPr>
            </w:pPr>
          </w:p>
        </w:tc>
        <w:tc>
          <w:tcPr>
            <w:tcW w:w="1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14,262</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57"/>
        </w:trPr>
        <w:tc>
          <w:tcPr>
            <w:tcW w:w="20" w:type="dxa"/>
            <w:vAlign w:val="bottom"/>
            <w:shd w:val="clear" w:color="auto" w:fill="B2B2B2"/>
          </w:tcPr>
          <w:p>
            <w:pPr>
              <w:spacing w:after="0"/>
              <w:rPr>
                <w:sz w:val="22"/>
                <w:szCs w:val="22"/>
                <w:color w:val="auto"/>
              </w:rPr>
            </w:pPr>
          </w:p>
        </w:tc>
        <w:tc>
          <w:tcPr>
            <w:tcW w:w="804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B2B2B2"/>
          </w:tcPr>
          <w:p>
            <w:pPr>
              <w:spacing w:after="0"/>
              <w:rPr>
                <w:sz w:val="22"/>
                <w:szCs w:val="22"/>
                <w:color w:val="auto"/>
              </w:rPr>
            </w:pPr>
          </w:p>
        </w:tc>
        <w:tc>
          <w:tcPr>
            <w:tcW w:w="14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78,626</w:t>
            </w:r>
          </w:p>
        </w:tc>
        <w:tc>
          <w:tcPr>
            <w:tcW w:w="100" w:type="dxa"/>
            <w:vAlign w:val="bottom"/>
            <w:shd w:val="clear" w:color="auto" w:fill="B2B2B2"/>
          </w:tcPr>
          <w:p>
            <w:pPr>
              <w:spacing w:after="0"/>
              <w:rPr>
                <w:sz w:val="22"/>
                <w:szCs w:val="22"/>
                <w:color w:val="auto"/>
              </w:rPr>
            </w:pPr>
          </w:p>
        </w:tc>
        <w:tc>
          <w:tcPr>
            <w:tcW w:w="160" w:type="dxa"/>
            <w:vAlign w:val="bottom"/>
            <w:tcBorders>
              <w:bottom w:val="single" w:sz="8" w:color="auto"/>
            </w:tcBorders>
            <w:shd w:val="clear" w:color="auto" w:fill="B2B2B2"/>
          </w:tcPr>
          <w:p>
            <w:pPr>
              <w:spacing w:after="0"/>
              <w:rPr>
                <w:sz w:val="22"/>
                <w:szCs w:val="22"/>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48,452</w:t>
            </w:r>
          </w:p>
        </w:tc>
      </w:tr>
      <w:tr>
        <w:trPr>
          <w:trHeight w:val="256"/>
        </w:trPr>
        <w:tc>
          <w:tcPr>
            <w:tcW w:w="20" w:type="dxa"/>
            <w:vAlign w:val="bottom"/>
          </w:tcPr>
          <w:p>
            <w:pPr>
              <w:spacing w:after="0"/>
              <w:rPr>
                <w:sz w:val="22"/>
                <w:szCs w:val="22"/>
                <w:color w:val="auto"/>
              </w:rPr>
            </w:pPr>
          </w:p>
        </w:tc>
        <w:tc>
          <w:tcPr>
            <w:tcW w:w="8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2,422,043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2,554,901</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7"/>
        </w:trPr>
        <w:tc>
          <w:tcPr>
            <w:tcW w:w="20" w:type="dxa"/>
            <w:vAlign w:val="bottom"/>
            <w:shd w:val="clear" w:color="auto" w:fill="B2B2B2"/>
          </w:tcPr>
          <w:p>
            <w:pPr>
              <w:spacing w:after="0"/>
              <w:rPr>
                <w:sz w:val="22"/>
                <w:szCs w:val="22"/>
                <w:color w:val="auto"/>
              </w:rPr>
            </w:pPr>
          </w:p>
        </w:tc>
        <w:tc>
          <w:tcPr>
            <w:tcW w:w="804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B2B2B2"/>
          </w:tcPr>
          <w:p>
            <w:pPr>
              <w:spacing w:after="0"/>
              <w:rPr>
                <w:sz w:val="22"/>
                <w:szCs w:val="22"/>
                <w:color w:val="auto"/>
              </w:rPr>
            </w:pPr>
          </w:p>
        </w:tc>
        <w:tc>
          <w:tcPr>
            <w:tcW w:w="144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20" w:type="dxa"/>
            <w:vAlign w:val="bottom"/>
            <w:shd w:val="clear" w:color="auto" w:fill="B2B2B2"/>
          </w:tcPr>
          <w:p>
            <w:pPr>
              <w:spacing w:after="0"/>
              <w:rPr>
                <w:sz w:val="22"/>
                <w:szCs w:val="22"/>
                <w:color w:val="auto"/>
              </w:rPr>
            </w:pPr>
          </w:p>
        </w:tc>
        <w:tc>
          <w:tcPr>
            <w:tcW w:w="804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B2B2B2"/>
          </w:tcPr>
          <w:p>
            <w:pPr>
              <w:spacing w:after="0"/>
              <w:rPr>
                <w:sz w:val="22"/>
                <w:szCs w:val="22"/>
                <w:color w:val="auto"/>
              </w:rPr>
            </w:pPr>
          </w:p>
        </w:tc>
        <w:tc>
          <w:tcPr>
            <w:tcW w:w="144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Noninterest-bearing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582,642</w:t>
            </w:r>
          </w:p>
        </w:tc>
      </w:tr>
      <w:tr>
        <w:trPr>
          <w:trHeight w:val="257"/>
        </w:trPr>
        <w:tc>
          <w:tcPr>
            <w:tcW w:w="20" w:type="dxa"/>
            <w:vAlign w:val="bottom"/>
            <w:shd w:val="clear" w:color="auto" w:fill="B2B2B2"/>
          </w:tcPr>
          <w:p>
            <w:pPr>
              <w:spacing w:after="0"/>
              <w:rPr>
                <w:sz w:val="22"/>
                <w:szCs w:val="22"/>
                <w:color w:val="auto"/>
              </w:rPr>
            </w:pPr>
          </w:p>
        </w:tc>
        <w:tc>
          <w:tcPr>
            <w:tcW w:w="8040" w:type="dxa"/>
            <w:vAlign w:val="bottom"/>
            <w:gridSpan w:val="3"/>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Borders>
              <w:bottom w:val="single" w:sz="8" w:color="auto"/>
            </w:tcBorders>
            <w:shd w:val="clear" w:color="auto" w:fill="B2B2B2"/>
          </w:tcPr>
          <w:p>
            <w:pPr>
              <w:spacing w:after="0"/>
              <w:rPr>
                <w:sz w:val="22"/>
                <w:szCs w:val="22"/>
                <w:color w:val="auto"/>
              </w:rPr>
            </w:pPr>
          </w:p>
        </w:tc>
        <w:tc>
          <w:tcPr>
            <w:tcW w:w="14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555,116</w:t>
            </w:r>
          </w:p>
        </w:tc>
        <w:tc>
          <w:tcPr>
            <w:tcW w:w="100" w:type="dxa"/>
            <w:vAlign w:val="bottom"/>
            <w:shd w:val="clear" w:color="auto" w:fill="B2B2B2"/>
          </w:tcPr>
          <w:p>
            <w:pPr>
              <w:spacing w:after="0"/>
              <w:rPr>
                <w:sz w:val="22"/>
                <w:szCs w:val="22"/>
                <w:color w:val="auto"/>
              </w:rPr>
            </w:pPr>
          </w:p>
        </w:tc>
        <w:tc>
          <w:tcPr>
            <w:tcW w:w="160" w:type="dxa"/>
            <w:vAlign w:val="bottom"/>
            <w:tcBorders>
              <w:bottom w:val="single" w:sz="8" w:color="auto"/>
            </w:tcBorders>
            <w:shd w:val="clear" w:color="auto" w:fill="B2B2B2"/>
          </w:tcPr>
          <w:p>
            <w:pPr>
              <w:spacing w:after="0"/>
              <w:rPr>
                <w:sz w:val="22"/>
                <w:szCs w:val="22"/>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638,861</w:t>
            </w:r>
          </w:p>
        </w:tc>
      </w:tr>
      <w:tr>
        <w:trPr>
          <w:trHeight w:val="250"/>
        </w:trPr>
        <w:tc>
          <w:tcPr>
            <w:tcW w:w="20" w:type="dxa"/>
            <w:vAlign w:val="bottom"/>
            <w:tcBorders>
              <w:bottom w:val="single" w:sz="8" w:color="B2B2B2"/>
            </w:tcBorders>
          </w:tcPr>
          <w:p>
            <w:pPr>
              <w:spacing w:after="0"/>
              <w:rPr>
                <w:sz w:val="21"/>
                <w:szCs w:val="21"/>
                <w:color w:val="auto"/>
              </w:rPr>
            </w:pPr>
          </w:p>
        </w:tc>
        <w:tc>
          <w:tcPr>
            <w:tcW w:w="8040" w:type="dxa"/>
            <w:vAlign w:val="bottom"/>
            <w:tcBorders>
              <w:bottom w:val="single" w:sz="8" w:color="B2B2B2"/>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1,176,935</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1,221,503</w:t>
            </w:r>
          </w:p>
        </w:tc>
      </w:tr>
      <w:tr>
        <w:trPr>
          <w:trHeight w:val="257"/>
        </w:trPr>
        <w:tc>
          <w:tcPr>
            <w:tcW w:w="20" w:type="dxa"/>
            <w:vAlign w:val="bottom"/>
            <w:shd w:val="clear" w:color="auto" w:fill="B2B2B2"/>
          </w:tcPr>
          <w:p>
            <w:pPr>
              <w:spacing w:after="0"/>
              <w:rPr>
                <w:sz w:val="22"/>
                <w:szCs w:val="22"/>
                <w:color w:val="auto"/>
              </w:rPr>
            </w:pPr>
          </w:p>
        </w:tc>
        <w:tc>
          <w:tcPr>
            <w:tcW w:w="804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60" w:type="dxa"/>
            <w:vAlign w:val="bottom"/>
            <w:shd w:val="clear" w:color="auto" w:fill="B2B2B2"/>
          </w:tcPr>
          <w:p>
            <w:pPr>
              <w:spacing w:after="0"/>
              <w:rPr>
                <w:sz w:val="22"/>
                <w:szCs w:val="22"/>
                <w:color w:val="auto"/>
              </w:rPr>
            </w:pPr>
          </w:p>
        </w:tc>
        <w:tc>
          <w:tcPr>
            <w:tcW w:w="1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989,733</w:t>
            </w: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1,050,396</w:t>
            </w:r>
          </w:p>
        </w:tc>
      </w:tr>
      <w:tr>
        <w:trPr>
          <w:trHeight w:val="250"/>
        </w:trPr>
        <w:tc>
          <w:tcPr>
            <w:tcW w:w="20" w:type="dxa"/>
            <w:vAlign w:val="bottom"/>
            <w:tcBorders>
              <w:bottom w:val="single" w:sz="8" w:color="B2B2B2"/>
            </w:tcBorders>
          </w:tcPr>
          <w:p>
            <w:pPr>
              <w:spacing w:after="0"/>
              <w:rPr>
                <w:sz w:val="21"/>
                <w:szCs w:val="21"/>
                <w:color w:val="auto"/>
              </w:rPr>
            </w:pPr>
          </w:p>
        </w:tc>
        <w:tc>
          <w:tcPr>
            <w:tcW w:w="8040" w:type="dxa"/>
            <w:vAlign w:val="bottom"/>
            <w:tcBorders>
              <w:bottom w:val="single" w:sz="8" w:color="B2B2B2"/>
            </w:tcBorders>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38,297</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37,204</w:t>
            </w:r>
          </w:p>
        </w:tc>
      </w:tr>
      <w:tr>
        <w:trPr>
          <w:trHeight w:val="250"/>
        </w:trPr>
        <w:tc>
          <w:tcPr>
            <w:tcW w:w="20" w:type="dxa"/>
            <w:vAlign w:val="bottom"/>
            <w:tcBorders>
              <w:bottom w:val="single" w:sz="8" w:color="B2B2B2"/>
            </w:tcBorders>
            <w:shd w:val="clear" w:color="auto" w:fill="B2B2B2"/>
          </w:tcPr>
          <w:p>
            <w:pPr>
              <w:spacing w:after="0"/>
              <w:rPr>
                <w:sz w:val="21"/>
                <w:szCs w:val="21"/>
                <w:color w:val="auto"/>
              </w:rPr>
            </w:pPr>
          </w:p>
        </w:tc>
        <w:tc>
          <w:tcPr>
            <w:tcW w:w="8040" w:type="dxa"/>
            <w:vAlign w:val="bottom"/>
            <w:tcBorders>
              <w:bottom w:val="single" w:sz="8" w:color="B2B2B2"/>
            </w:tcBorders>
            <w:gridSpan w:val="3"/>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B2B2B2"/>
          </w:tcPr>
          <w:p>
            <w:pPr>
              <w:spacing w:after="0"/>
              <w:rPr>
                <w:sz w:val="21"/>
                <w:szCs w:val="21"/>
                <w:color w:val="auto"/>
              </w:rPr>
            </w:pPr>
          </w:p>
        </w:tc>
        <w:tc>
          <w:tcPr>
            <w:tcW w:w="14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2,204,965</w:t>
            </w:r>
          </w:p>
        </w:tc>
        <w:tc>
          <w:tcPr>
            <w:tcW w:w="100" w:type="dxa"/>
            <w:vAlign w:val="bottom"/>
            <w:tcBorders>
              <w:bottom w:val="single" w:sz="8" w:color="B2B2B2"/>
            </w:tcBorders>
            <w:shd w:val="clear" w:color="auto" w:fill="B2B2B2"/>
          </w:tcPr>
          <w:p>
            <w:pPr>
              <w:spacing w:after="0"/>
              <w:rPr>
                <w:sz w:val="21"/>
                <w:szCs w:val="21"/>
                <w:color w:val="auto"/>
              </w:rPr>
            </w:pPr>
          </w:p>
        </w:tc>
        <w:tc>
          <w:tcPr>
            <w:tcW w:w="160" w:type="dxa"/>
            <w:vAlign w:val="bottom"/>
            <w:tcBorders>
              <w:bottom w:val="single" w:sz="8" w:color="auto"/>
            </w:tcBorders>
            <w:shd w:val="clear" w:color="auto" w:fill="B2B2B2"/>
          </w:tcPr>
          <w:p>
            <w:pPr>
              <w:spacing w:after="0"/>
              <w:rPr>
                <w:sz w:val="21"/>
                <w:szCs w:val="21"/>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2,309,103</w:t>
            </w:r>
          </w:p>
        </w:tc>
      </w:tr>
      <w:tr>
        <w:trPr>
          <w:trHeight w:val="95"/>
        </w:trPr>
        <w:tc>
          <w:tcPr>
            <w:tcW w:w="20" w:type="dxa"/>
            <w:vAlign w:val="bottom"/>
            <w:shd w:val="clear" w:color="auto" w:fill="B2B2B2"/>
          </w:tcPr>
          <w:p>
            <w:pPr>
              <w:spacing w:after="0"/>
              <w:rPr>
                <w:sz w:val="8"/>
                <w:szCs w:val="8"/>
                <w:color w:val="auto"/>
              </w:rPr>
            </w:pPr>
          </w:p>
        </w:tc>
        <w:tc>
          <w:tcPr>
            <w:tcW w:w="780" w:type="dxa"/>
            <w:vAlign w:val="bottom"/>
            <w:shd w:val="clear" w:color="auto" w:fill="B2B2B2"/>
          </w:tcPr>
          <w:p>
            <w:pPr>
              <w:spacing w:after="0"/>
              <w:rPr>
                <w:sz w:val="8"/>
                <w:szCs w:val="8"/>
                <w:color w:val="auto"/>
              </w:rPr>
            </w:pPr>
          </w:p>
        </w:tc>
        <w:tc>
          <w:tcPr>
            <w:tcW w:w="800" w:type="dxa"/>
            <w:vAlign w:val="bottom"/>
            <w:shd w:val="clear" w:color="auto" w:fill="B2B2B2"/>
          </w:tcPr>
          <w:p>
            <w:pPr>
              <w:spacing w:after="0"/>
              <w:rPr>
                <w:sz w:val="8"/>
                <w:szCs w:val="8"/>
                <w:color w:val="auto"/>
              </w:rPr>
            </w:pPr>
          </w:p>
        </w:tc>
        <w:tc>
          <w:tcPr>
            <w:tcW w:w="6460" w:type="dxa"/>
            <w:vAlign w:val="bottom"/>
            <w:shd w:val="clear" w:color="auto" w:fill="B2B2B2"/>
          </w:tcPr>
          <w:p>
            <w:pPr>
              <w:spacing w:after="0"/>
              <w:rPr>
                <w:sz w:val="8"/>
                <w:szCs w:val="8"/>
                <w:color w:val="auto"/>
              </w:rPr>
            </w:pPr>
          </w:p>
        </w:tc>
        <w:tc>
          <w:tcPr>
            <w:tcW w:w="160" w:type="dxa"/>
            <w:vAlign w:val="bottom"/>
            <w:shd w:val="clear" w:color="auto" w:fill="B2B2B2"/>
          </w:tcPr>
          <w:p>
            <w:pPr>
              <w:spacing w:after="0"/>
              <w:rPr>
                <w:sz w:val="8"/>
                <w:szCs w:val="8"/>
                <w:color w:val="auto"/>
              </w:rPr>
            </w:pPr>
          </w:p>
        </w:tc>
        <w:tc>
          <w:tcPr>
            <w:tcW w:w="1440" w:type="dxa"/>
            <w:vAlign w:val="bottom"/>
            <w:shd w:val="clear" w:color="auto" w:fill="B2B2B2"/>
          </w:tcPr>
          <w:p>
            <w:pPr>
              <w:spacing w:after="0"/>
              <w:rPr>
                <w:sz w:val="8"/>
                <w:szCs w:val="8"/>
                <w:color w:val="auto"/>
              </w:rPr>
            </w:pPr>
          </w:p>
        </w:tc>
        <w:tc>
          <w:tcPr>
            <w:tcW w:w="100" w:type="dxa"/>
            <w:vAlign w:val="bottom"/>
            <w:shd w:val="clear" w:color="auto" w:fill="B2B2B2"/>
          </w:tcPr>
          <w:p>
            <w:pPr>
              <w:spacing w:after="0"/>
              <w:rPr>
                <w:sz w:val="8"/>
                <w:szCs w:val="8"/>
                <w:color w:val="auto"/>
              </w:rPr>
            </w:pPr>
          </w:p>
        </w:tc>
        <w:tc>
          <w:tcPr>
            <w:tcW w:w="160" w:type="dxa"/>
            <w:vAlign w:val="bottom"/>
            <w:shd w:val="clear" w:color="auto" w:fill="B2B2B2"/>
          </w:tcPr>
          <w:p>
            <w:pPr>
              <w:spacing w:after="0"/>
              <w:rPr>
                <w:sz w:val="8"/>
                <w:szCs w:val="8"/>
                <w:color w:val="auto"/>
              </w:rPr>
            </w:pPr>
          </w:p>
        </w:tc>
        <w:tc>
          <w:tcPr>
            <w:tcW w:w="1320" w:type="dxa"/>
            <w:vAlign w:val="bottom"/>
            <w:shd w:val="clear" w:color="auto" w:fill="B2B2B2"/>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20" w:type="dxa"/>
            <w:vAlign w:val="bottom"/>
            <w:shd w:val="clear" w:color="auto" w:fill="B2B2B2"/>
          </w:tcPr>
          <w:p>
            <w:pPr>
              <w:spacing w:after="0"/>
              <w:rPr>
                <w:sz w:val="22"/>
                <w:szCs w:val="22"/>
                <w:color w:val="auto"/>
              </w:rPr>
            </w:pPr>
          </w:p>
        </w:tc>
        <w:tc>
          <w:tcPr>
            <w:tcW w:w="804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160" w:type="dxa"/>
            <w:vAlign w:val="bottom"/>
            <w:shd w:val="clear" w:color="auto" w:fill="B2B2B2"/>
          </w:tcPr>
          <w:p>
            <w:pPr>
              <w:spacing w:after="0"/>
              <w:rPr>
                <w:sz w:val="22"/>
                <w:szCs w:val="22"/>
                <w:color w:val="auto"/>
              </w:rPr>
            </w:pPr>
          </w:p>
        </w:tc>
        <w:tc>
          <w:tcPr>
            <w:tcW w:w="154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040" w:type="dxa"/>
            <w:vAlign w:val="bottom"/>
            <w:gridSpan w:val="3"/>
          </w:tcPr>
          <w:p>
            <w:pPr>
              <w:ind w:left="160"/>
              <w:spacing w:after="0" w:line="202" w:lineRule="exact"/>
              <w:rPr>
                <w:sz w:val="20"/>
                <w:szCs w:val="20"/>
                <w:color w:val="auto"/>
              </w:rPr>
            </w:pPr>
            <w:r>
              <w:rPr>
                <w:rFonts w:ascii="Times New Roman" w:cs="Times New Roman" w:eastAsia="Times New Roman" w:hAnsi="Times New Roman"/>
                <w:sz w:val="18"/>
                <w:szCs w:val="18"/>
                <w:color w:val="auto"/>
              </w:rPr>
              <w:t>March 31, 2022 and December 31, 2021; 13,644,741 and 13,734,295 shares outstanding at March 31, 2022</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8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r>
      <w:tr>
        <w:trPr>
          <w:trHeight w:val="263"/>
        </w:trPr>
        <w:tc>
          <w:tcPr>
            <w:tcW w:w="20" w:type="dxa"/>
            <w:vAlign w:val="bottom"/>
            <w:shd w:val="clear" w:color="auto" w:fill="B2B2B2"/>
          </w:tcPr>
          <w:p>
            <w:pPr>
              <w:spacing w:after="0"/>
              <w:rPr>
                <w:sz w:val="22"/>
                <w:szCs w:val="22"/>
                <w:color w:val="auto"/>
              </w:rPr>
            </w:pPr>
          </w:p>
        </w:tc>
        <w:tc>
          <w:tcPr>
            <w:tcW w:w="804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B2B2B2"/>
          </w:tcPr>
          <w:p>
            <w:pPr>
              <w:spacing w:after="0"/>
              <w:rPr>
                <w:sz w:val="22"/>
                <w:szCs w:val="22"/>
                <w:color w:val="auto"/>
              </w:rPr>
            </w:pPr>
          </w:p>
        </w:tc>
        <w:tc>
          <w:tcPr>
            <w:tcW w:w="1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203,149</w:t>
            </w:r>
          </w:p>
        </w:tc>
        <w:tc>
          <w:tcPr>
            <w:tcW w:w="1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204,276</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112,220</w:t>
            </w:r>
          </w:p>
        </w:tc>
      </w:tr>
      <w:tr>
        <w:trPr>
          <w:trHeight w:val="218"/>
        </w:trPr>
        <w:tc>
          <w:tcPr>
            <w:tcW w:w="20" w:type="dxa"/>
            <w:vAlign w:val="bottom"/>
            <w:shd w:val="clear" w:color="auto" w:fill="B2B2B2"/>
          </w:tcPr>
          <w:p>
            <w:pPr>
              <w:spacing w:after="0"/>
              <w:rPr>
                <w:sz w:val="18"/>
                <w:szCs w:val="18"/>
                <w:color w:val="auto"/>
              </w:rPr>
            </w:pPr>
          </w:p>
        </w:tc>
        <w:tc>
          <w:tcPr>
            <w:tcW w:w="804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Common shares in treasury, at cost (1,861,031 shares at March 31, 2022 and 1,771,477 shares at December 31,</w:t>
            </w:r>
          </w:p>
        </w:tc>
        <w:tc>
          <w:tcPr>
            <w:tcW w:w="160" w:type="dxa"/>
            <w:vAlign w:val="bottom"/>
            <w:shd w:val="clear" w:color="auto" w:fill="B2B2B2"/>
          </w:tcPr>
          <w:p>
            <w:pPr>
              <w:spacing w:after="0"/>
              <w:rPr>
                <w:sz w:val="18"/>
                <w:szCs w:val="18"/>
                <w:color w:val="auto"/>
              </w:rPr>
            </w:pPr>
          </w:p>
        </w:tc>
        <w:tc>
          <w:tcPr>
            <w:tcW w:w="14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r>
      <w:tr>
        <w:trPr>
          <w:trHeight w:val="248"/>
        </w:trPr>
        <w:tc>
          <w:tcPr>
            <w:tcW w:w="800" w:type="dxa"/>
            <w:vAlign w:val="bottom"/>
            <w:gridSpan w:val="2"/>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shd w:val="clear" w:color="auto" w:fill="B2B2B2"/>
          </w:tcPr>
          <w:p>
            <w:pPr>
              <w:spacing w:after="0"/>
              <w:rPr>
                <w:sz w:val="21"/>
                <w:szCs w:val="21"/>
                <w:color w:val="auto"/>
              </w:rPr>
            </w:pPr>
          </w:p>
        </w:tc>
        <w:tc>
          <w:tcPr>
            <w:tcW w:w="6460" w:type="dxa"/>
            <w:vAlign w:val="bottom"/>
            <w:shd w:val="clear" w:color="auto" w:fill="B2B2B2"/>
          </w:tcPr>
          <w:p>
            <w:pPr>
              <w:spacing w:after="0"/>
              <w:rPr>
                <w:sz w:val="21"/>
                <w:szCs w:val="21"/>
                <w:color w:val="auto"/>
              </w:rPr>
            </w:pPr>
          </w:p>
        </w:tc>
        <w:tc>
          <w:tcPr>
            <w:tcW w:w="160" w:type="dxa"/>
            <w:vAlign w:val="bottom"/>
            <w:shd w:val="clear" w:color="auto" w:fill="B2B2B2"/>
          </w:tcPr>
          <w:p>
            <w:pPr>
              <w:spacing w:after="0"/>
              <w:rPr>
                <w:sz w:val="21"/>
                <w:szCs w:val="21"/>
                <w:color w:val="auto"/>
              </w:rPr>
            </w:pPr>
          </w:p>
        </w:tc>
        <w:tc>
          <w:tcPr>
            <w:tcW w:w="1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(82,348)</w:t>
            </w:r>
          </w:p>
        </w:tc>
        <w:tc>
          <w:tcPr>
            <w:tcW w:w="100" w:type="dxa"/>
            <w:vAlign w:val="bottom"/>
            <w:shd w:val="clear" w:color="auto" w:fill="B2B2B2"/>
          </w:tcPr>
          <w:p>
            <w:pPr>
              <w:spacing w:after="0"/>
              <w:rPr>
                <w:sz w:val="21"/>
                <w:szCs w:val="21"/>
                <w:color w:val="auto"/>
              </w:rPr>
            </w:pPr>
          </w:p>
        </w:tc>
        <w:tc>
          <w:tcPr>
            <w:tcW w:w="160" w:type="dxa"/>
            <w:vAlign w:val="bottom"/>
            <w:shd w:val="clear" w:color="auto" w:fill="B2B2B2"/>
          </w:tcPr>
          <w:p>
            <w:pPr>
              <w:spacing w:after="0"/>
              <w:rPr>
                <w:sz w:val="21"/>
                <w:szCs w:val="21"/>
                <w:color w:val="auto"/>
              </w:rPr>
            </w:pP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(78,904)</w:t>
            </w:r>
          </w:p>
        </w:tc>
      </w:tr>
      <w:tr>
        <w:trPr>
          <w:trHeight w:val="250"/>
        </w:trPr>
        <w:tc>
          <w:tcPr>
            <w:tcW w:w="20" w:type="dxa"/>
            <w:vAlign w:val="bottom"/>
            <w:tcBorders>
              <w:bottom w:val="single" w:sz="8" w:color="B2B2B2"/>
            </w:tcBorders>
          </w:tcPr>
          <w:p>
            <w:pPr>
              <w:spacing w:after="0"/>
              <w:rPr>
                <w:sz w:val="21"/>
                <w:szCs w:val="21"/>
                <w:color w:val="auto"/>
              </w:rPr>
            </w:pPr>
          </w:p>
        </w:tc>
        <w:tc>
          <w:tcPr>
            <w:tcW w:w="8040" w:type="dxa"/>
            <w:vAlign w:val="bottom"/>
            <w:tcBorders>
              <w:bottom w:val="single" w:sz="8" w:color="B2B2B2"/>
            </w:tcBorders>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(28,122)</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50"/>
        </w:trPr>
        <w:tc>
          <w:tcPr>
            <w:tcW w:w="20" w:type="dxa"/>
            <w:vAlign w:val="bottom"/>
            <w:shd w:val="clear" w:color="auto" w:fill="B2B2B2"/>
          </w:tcPr>
          <w:p>
            <w:pPr>
              <w:spacing w:after="0"/>
              <w:rPr>
                <w:sz w:val="21"/>
                <w:szCs w:val="21"/>
                <w:color w:val="auto"/>
              </w:rPr>
            </w:pPr>
          </w:p>
        </w:tc>
        <w:tc>
          <w:tcPr>
            <w:tcW w:w="8040" w:type="dxa"/>
            <w:vAlign w:val="bottom"/>
            <w:gridSpan w:val="3"/>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shd w:val="clear" w:color="auto" w:fill="B2B2B2"/>
          </w:tcPr>
          <w:p>
            <w:pPr>
              <w:spacing w:after="0"/>
              <w:rPr>
                <w:sz w:val="21"/>
                <w:szCs w:val="21"/>
                <w:color w:val="auto"/>
              </w:rPr>
            </w:pPr>
          </w:p>
        </w:tc>
        <w:tc>
          <w:tcPr>
            <w:tcW w:w="14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217,078</w:t>
            </w:r>
          </w:p>
        </w:tc>
        <w:tc>
          <w:tcPr>
            <w:tcW w:w="100" w:type="dxa"/>
            <w:vAlign w:val="bottom"/>
            <w:shd w:val="clear" w:color="auto" w:fill="B2B2B2"/>
          </w:tcPr>
          <w:p>
            <w:pPr>
              <w:spacing w:after="0"/>
              <w:rPr>
                <w:sz w:val="21"/>
                <w:szCs w:val="21"/>
                <w:color w:val="auto"/>
              </w:rPr>
            </w:pPr>
          </w:p>
        </w:tc>
        <w:tc>
          <w:tcPr>
            <w:tcW w:w="160" w:type="dxa"/>
            <w:vAlign w:val="bottom"/>
            <w:tcBorders>
              <w:bottom w:val="single" w:sz="8" w:color="auto"/>
            </w:tcBorders>
            <w:shd w:val="clear" w:color="auto" w:fill="B2B2B2"/>
          </w:tcPr>
          <w:p>
            <w:pPr>
              <w:spacing w:after="0"/>
              <w:rPr>
                <w:sz w:val="21"/>
                <w:szCs w:val="21"/>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245,798</w:t>
            </w:r>
          </w:p>
        </w:tc>
      </w:tr>
      <w:tr>
        <w:trPr>
          <w:trHeight w:val="256"/>
        </w:trPr>
        <w:tc>
          <w:tcPr>
            <w:tcW w:w="20" w:type="dxa"/>
            <w:vAlign w:val="bottom"/>
          </w:tcPr>
          <w:p>
            <w:pPr>
              <w:spacing w:after="0"/>
              <w:rPr>
                <w:sz w:val="22"/>
                <w:szCs w:val="22"/>
                <w:color w:val="auto"/>
              </w:rPr>
            </w:pP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2,422,043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2,554,901</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808"/>
        </w:trPr>
        <w:tc>
          <w:tcPr>
            <w:tcW w:w="1360" w:type="dxa"/>
            <w:vAlign w:val="bottom"/>
            <w:tcBorders>
              <w:top w:val="single" w:sz="8" w:color="0000FF"/>
            </w:tcBorders>
          </w:tcPr>
          <w:p>
            <w:pPr>
              <w:spacing w:after="0"/>
              <w:rPr>
                <w:sz w:val="24"/>
                <w:szCs w:val="24"/>
                <w:color w:val="auto"/>
              </w:rPr>
            </w:pPr>
          </w:p>
        </w:tc>
        <w:tc>
          <w:tcPr>
            <w:tcW w:w="1760" w:type="dxa"/>
            <w:vAlign w:val="bottom"/>
          </w:tcPr>
          <w:p>
            <w:pPr>
              <w:spacing w:after="0"/>
              <w:rPr>
                <w:sz w:val="24"/>
                <w:szCs w:val="24"/>
                <w:color w:val="auto"/>
              </w:rPr>
            </w:pPr>
          </w:p>
        </w:tc>
        <w:tc>
          <w:tcPr>
            <w:tcW w:w="51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CASS INFORMATION SYSTEMS, INC. AND SUBSIDIARIES</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7"/>
        </w:trPr>
        <w:tc>
          <w:tcPr>
            <w:tcW w:w="1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1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(Unaudited)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2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(Dollars in Thousands except Per Share Data)</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69"/>
        </w:trPr>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Pr>
          <w:p>
            <w:pPr>
              <w:spacing w:after="0"/>
              <w:rPr>
                <w:sz w:val="24"/>
                <w:szCs w:val="24"/>
                <w:color w:val="auto"/>
              </w:rPr>
            </w:pPr>
          </w:p>
        </w:tc>
      </w:tr>
      <w:tr>
        <w:trPr>
          <w:trHeight w:val="238"/>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r>
      <w:tr>
        <w:trPr>
          <w:trHeight w:val="243"/>
        </w:trPr>
        <w:tc>
          <w:tcPr>
            <w:tcW w:w="1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7"/>
        </w:trPr>
        <w:tc>
          <w:tcPr>
            <w:tcW w:w="31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29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74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78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r>
      <w:tr>
        <w:trPr>
          <w:trHeight w:val="25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420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19,036</w:t>
            </w:r>
          </w:p>
        </w:tc>
        <w:tc>
          <w:tcPr>
            <w:tcW w:w="220" w:type="dxa"/>
            <w:vAlign w:val="bottom"/>
          </w:tcPr>
          <w:p>
            <w:pPr>
              <w:spacing w:after="0"/>
              <w:rPr>
                <w:sz w:val="21"/>
                <w:szCs w:val="21"/>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18,375</w:t>
            </w:r>
          </w:p>
        </w:tc>
      </w:tr>
      <w:tr>
        <w:trPr>
          <w:trHeight w:val="263"/>
        </w:trPr>
        <w:tc>
          <w:tcPr>
            <w:tcW w:w="31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29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220" w:type="dxa"/>
            <w:vAlign w:val="bottom"/>
            <w:shd w:val="clear" w:color="auto" w:fill="B6B6B6"/>
          </w:tcPr>
          <w:p>
            <w:pPr>
              <w:spacing w:after="0"/>
              <w:rPr>
                <w:sz w:val="22"/>
                <w:szCs w:val="22"/>
                <w:color w:val="auto"/>
              </w:rPr>
            </w:pPr>
          </w:p>
        </w:tc>
        <w:tc>
          <w:tcPr>
            <w:tcW w:w="780" w:type="dxa"/>
            <w:vAlign w:val="bottom"/>
            <w:shd w:val="clear" w:color="auto" w:fill="B6B6B6"/>
          </w:tcPr>
          <w:p>
            <w:pPr>
              <w:spacing w:after="0"/>
              <w:rPr>
                <w:sz w:val="22"/>
                <w:szCs w:val="22"/>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6,997</w:t>
            </w:r>
          </w:p>
        </w:tc>
      </w:tr>
      <w:tr>
        <w:trPr>
          <w:trHeight w:val="250"/>
        </w:trPr>
        <w:tc>
          <w:tcPr>
            <w:tcW w:w="312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Borders>
              <w:bottom w:val="single" w:sz="8" w:color="B6B6B6"/>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Borders>
              <w:bottom w:val="single" w:sz="8" w:color="B6B6B6"/>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57"/>
        </w:trPr>
        <w:tc>
          <w:tcPr>
            <w:tcW w:w="3120" w:type="dxa"/>
            <w:vAlign w:val="bottom"/>
            <w:gridSpan w:val="2"/>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940" w:type="dxa"/>
            <w:vAlign w:val="bottom"/>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spacing w:after="0"/>
              <w:rPr>
                <w:sz w:val="22"/>
                <w:szCs w:val="22"/>
                <w:color w:val="auto"/>
              </w:rPr>
            </w:pPr>
          </w:p>
        </w:tc>
        <w:tc>
          <w:tcPr>
            <w:tcW w:w="7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220" w:type="dxa"/>
            <w:vAlign w:val="bottom"/>
            <w:shd w:val="clear" w:color="auto" w:fill="B6B6B6"/>
          </w:tcPr>
          <w:p>
            <w:pPr>
              <w:spacing w:after="0"/>
              <w:rPr>
                <w:sz w:val="22"/>
                <w:szCs w:val="22"/>
                <w:color w:val="auto"/>
              </w:rPr>
            </w:pPr>
          </w:p>
        </w:tc>
        <w:tc>
          <w:tcPr>
            <w:tcW w:w="78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26,175</w:t>
            </w:r>
          </w:p>
        </w:tc>
      </w:tr>
      <w:tr>
        <w:trPr>
          <w:trHeight w:val="34"/>
        </w:trPr>
        <w:tc>
          <w:tcPr>
            <w:tcW w:w="1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31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9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74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78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r>
      <w:tr>
        <w:trPr>
          <w:trHeight w:val="25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2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r>
      <w:tr>
        <w:trPr>
          <w:trHeight w:val="263"/>
        </w:trPr>
        <w:tc>
          <w:tcPr>
            <w:tcW w:w="31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and dividends on securities:</w:t>
            </w:r>
          </w:p>
        </w:tc>
        <w:tc>
          <w:tcPr>
            <w:tcW w:w="29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74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78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r>
      <w:tr>
        <w:trPr>
          <w:trHeight w:val="250"/>
        </w:trPr>
        <w:tc>
          <w:tcPr>
            <w:tcW w:w="3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Taxable</w:t>
            </w:r>
          </w:p>
        </w:tc>
        <w:tc>
          <w:tcPr>
            <w:tcW w:w="2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63"/>
        </w:trPr>
        <w:tc>
          <w:tcPr>
            <w:tcW w:w="3120" w:type="dxa"/>
            <w:vAlign w:val="bottom"/>
            <w:gridSpan w:val="2"/>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Exempt from federal income taxes</w:t>
            </w:r>
          </w:p>
        </w:tc>
        <w:tc>
          <w:tcPr>
            <w:tcW w:w="29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20" w:type="dxa"/>
            <w:vAlign w:val="bottom"/>
            <w:shd w:val="clear" w:color="auto" w:fill="B6B6B6"/>
          </w:tcPr>
          <w:p>
            <w:pPr>
              <w:spacing w:after="0"/>
              <w:rPr>
                <w:sz w:val="22"/>
                <w:szCs w:val="22"/>
                <w:color w:val="auto"/>
              </w:rPr>
            </w:pPr>
          </w:p>
        </w:tc>
        <w:tc>
          <w:tcPr>
            <w:tcW w:w="780" w:type="dxa"/>
            <w:vAlign w:val="bottom"/>
            <w:shd w:val="clear" w:color="auto" w:fill="B6B6B6"/>
          </w:tcPr>
          <w:p>
            <w:pPr>
              <w:spacing w:after="0"/>
              <w:rPr>
                <w:sz w:val="22"/>
                <w:szCs w:val="22"/>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50"/>
        </w:trPr>
        <w:tc>
          <w:tcPr>
            <w:tcW w:w="7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on federal funds sold and other short-term investments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56"/>
        </w:trPr>
        <w:tc>
          <w:tcPr>
            <w:tcW w:w="3120" w:type="dxa"/>
            <w:vAlign w:val="bottom"/>
            <w:tcBorders>
              <w:top w:val="single" w:sz="8" w:color="B6B6B6"/>
            </w:tcBorders>
            <w:gridSpan w:val="2"/>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interest income</w:t>
            </w:r>
          </w:p>
        </w:tc>
        <w:tc>
          <w:tcPr>
            <w:tcW w:w="2940" w:type="dxa"/>
            <w:vAlign w:val="bottom"/>
            <w:tcBorders>
              <w:top w:val="single" w:sz="8" w:color="B6B6B6"/>
            </w:tcBorders>
            <w:shd w:val="clear" w:color="auto" w:fill="B6B6B6"/>
          </w:tcPr>
          <w:p>
            <w:pPr>
              <w:spacing w:after="0"/>
              <w:rPr>
                <w:sz w:val="22"/>
                <w:szCs w:val="22"/>
                <w:color w:val="auto"/>
              </w:rPr>
            </w:pPr>
          </w:p>
        </w:tc>
        <w:tc>
          <w:tcPr>
            <w:tcW w:w="1260" w:type="dxa"/>
            <w:vAlign w:val="bottom"/>
            <w:tcBorders>
              <w:top w:val="single" w:sz="8" w:color="auto"/>
              <w:bottom w:val="single" w:sz="8" w:color="auto"/>
            </w:tcBorders>
            <w:shd w:val="clear" w:color="auto" w:fill="B6B6B6"/>
          </w:tcPr>
          <w:p>
            <w:pPr>
              <w:spacing w:after="0"/>
              <w:rPr>
                <w:sz w:val="22"/>
                <w:szCs w:val="22"/>
                <w:color w:val="auto"/>
              </w:rPr>
            </w:pPr>
          </w:p>
        </w:tc>
        <w:tc>
          <w:tcPr>
            <w:tcW w:w="74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220" w:type="dxa"/>
            <w:vAlign w:val="bottom"/>
            <w:tcBorders>
              <w:top w:val="single" w:sz="8" w:color="B6B6B6"/>
            </w:tcBorders>
            <w:shd w:val="clear" w:color="auto" w:fill="B6B6B6"/>
          </w:tcPr>
          <w:p>
            <w:pPr>
              <w:spacing w:after="0"/>
              <w:rPr>
                <w:sz w:val="22"/>
                <w:szCs w:val="22"/>
                <w:color w:val="auto"/>
              </w:rPr>
            </w:pPr>
          </w:p>
        </w:tc>
        <w:tc>
          <w:tcPr>
            <w:tcW w:w="780" w:type="dxa"/>
            <w:vAlign w:val="bottom"/>
            <w:tcBorders>
              <w:top w:val="single" w:sz="8" w:color="auto"/>
              <w:bottom w:val="single" w:sz="8" w:color="auto"/>
            </w:tcBorders>
            <w:shd w:val="clear" w:color="auto" w:fill="B6B6B6"/>
          </w:tcPr>
          <w:p>
            <w:pPr>
              <w:spacing w:after="0"/>
              <w:rPr>
                <w:sz w:val="22"/>
                <w:szCs w:val="22"/>
                <w:color w:val="auto"/>
              </w:rPr>
            </w:pPr>
          </w:p>
        </w:tc>
        <w:tc>
          <w:tcPr>
            <w:tcW w:w="124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10,676</w:t>
            </w:r>
          </w:p>
        </w:tc>
      </w:tr>
      <w:tr>
        <w:trPr>
          <w:trHeight w:val="34"/>
        </w:trPr>
        <w:tc>
          <w:tcPr>
            <w:tcW w:w="1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31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9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74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78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r>
      <w:tr>
        <w:trPr>
          <w:trHeight w:val="250"/>
        </w:trPr>
        <w:tc>
          <w:tcPr>
            <w:tcW w:w="312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on deposits</w:t>
            </w:r>
          </w:p>
        </w:tc>
        <w:tc>
          <w:tcPr>
            <w:tcW w:w="2940" w:type="dxa"/>
            <w:vAlign w:val="bottom"/>
            <w:tcBorders>
              <w:bottom w:val="single" w:sz="8" w:color="B6B6B6"/>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Borders>
              <w:bottom w:val="single" w:sz="8" w:color="B6B6B6"/>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50"/>
        </w:trPr>
        <w:tc>
          <w:tcPr>
            <w:tcW w:w="3120" w:type="dxa"/>
            <w:vAlign w:val="bottom"/>
            <w:gridSpan w:val="2"/>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interest expense</w:t>
            </w:r>
          </w:p>
        </w:tc>
        <w:tc>
          <w:tcPr>
            <w:tcW w:w="2940" w:type="dxa"/>
            <w:vAlign w:val="bottom"/>
            <w:shd w:val="clear" w:color="auto" w:fill="B6B6B6"/>
          </w:tcPr>
          <w:p>
            <w:pPr>
              <w:spacing w:after="0"/>
              <w:rPr>
                <w:sz w:val="21"/>
                <w:szCs w:val="21"/>
                <w:color w:val="auto"/>
              </w:rPr>
            </w:pPr>
          </w:p>
        </w:tc>
        <w:tc>
          <w:tcPr>
            <w:tcW w:w="1260" w:type="dxa"/>
            <w:vAlign w:val="bottom"/>
            <w:tcBorders>
              <w:bottom w:val="single" w:sz="8" w:color="auto"/>
            </w:tcBorders>
            <w:shd w:val="clear" w:color="auto" w:fill="B6B6B6"/>
          </w:tcPr>
          <w:p>
            <w:pPr>
              <w:spacing w:after="0"/>
              <w:rPr>
                <w:sz w:val="21"/>
                <w:szCs w:val="21"/>
                <w:color w:val="auto"/>
              </w:rPr>
            </w:pPr>
          </w:p>
        </w:tc>
        <w:tc>
          <w:tcPr>
            <w:tcW w:w="7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B6B6B6"/>
          </w:tcPr>
          <w:p>
            <w:pPr>
              <w:spacing w:after="0"/>
              <w:rPr>
                <w:sz w:val="21"/>
                <w:szCs w:val="21"/>
                <w:color w:val="auto"/>
              </w:rPr>
            </w:pPr>
          </w:p>
        </w:tc>
        <w:tc>
          <w:tcPr>
            <w:tcW w:w="780" w:type="dxa"/>
            <w:vAlign w:val="bottom"/>
            <w:tcBorders>
              <w:bottom w:val="single" w:sz="8" w:color="auto"/>
            </w:tcBorders>
            <w:shd w:val="clear" w:color="auto" w:fill="B6B6B6"/>
          </w:tcPr>
          <w:p>
            <w:pPr>
              <w:spacing w:after="0"/>
              <w:rPr>
                <w:sz w:val="21"/>
                <w:szCs w:val="21"/>
                <w:color w:val="auto"/>
              </w:rPr>
            </w:pP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50"/>
        </w:trPr>
        <w:tc>
          <w:tcPr>
            <w:tcW w:w="3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interest income</w:t>
            </w:r>
          </w:p>
        </w:tc>
        <w:tc>
          <w:tcPr>
            <w:tcW w:w="2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r>
      <w:tr>
        <w:trPr>
          <w:trHeight w:val="257"/>
        </w:trPr>
        <w:tc>
          <w:tcPr>
            <w:tcW w:w="3120" w:type="dxa"/>
            <w:vAlign w:val="bottom"/>
            <w:gridSpan w:val="2"/>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2940" w:type="dxa"/>
            <w:vAlign w:val="bottom"/>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spacing w:after="0"/>
              <w:rPr>
                <w:sz w:val="22"/>
                <w:szCs w:val="22"/>
                <w:color w:val="auto"/>
              </w:rPr>
            </w:pPr>
          </w:p>
        </w:tc>
        <w:tc>
          <w:tcPr>
            <w:tcW w:w="7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B6B6B6"/>
          </w:tcPr>
          <w:p>
            <w:pPr>
              <w:spacing w:after="0"/>
              <w:rPr>
                <w:sz w:val="22"/>
                <w:szCs w:val="22"/>
                <w:color w:val="auto"/>
              </w:rPr>
            </w:pPr>
          </w:p>
        </w:tc>
        <w:tc>
          <w:tcPr>
            <w:tcW w:w="78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50"/>
        </w:trPr>
        <w:tc>
          <w:tcPr>
            <w:tcW w:w="73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Net interest income after provision for (release of) credit losses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10,945</w:t>
            </w:r>
          </w:p>
        </w:tc>
      </w:tr>
      <w:tr>
        <w:trPr>
          <w:trHeight w:val="257"/>
        </w:trPr>
        <w:tc>
          <w:tcPr>
            <w:tcW w:w="3120" w:type="dxa"/>
            <w:vAlign w:val="bottom"/>
            <w:tcBorders>
              <w:top w:val="single" w:sz="8" w:color="B6B6B6"/>
            </w:tcBorders>
            <w:gridSpan w:val="2"/>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Total net revenue</w:t>
            </w:r>
          </w:p>
        </w:tc>
        <w:tc>
          <w:tcPr>
            <w:tcW w:w="2940" w:type="dxa"/>
            <w:vAlign w:val="bottom"/>
            <w:tcBorders>
              <w:top w:val="single" w:sz="8" w:color="B6B6B6"/>
            </w:tcBorders>
            <w:shd w:val="clear" w:color="auto" w:fill="B6B6B6"/>
          </w:tcPr>
          <w:p>
            <w:pPr>
              <w:spacing w:after="0"/>
              <w:rPr>
                <w:sz w:val="22"/>
                <w:szCs w:val="22"/>
                <w:color w:val="auto"/>
              </w:rPr>
            </w:pPr>
          </w:p>
        </w:tc>
        <w:tc>
          <w:tcPr>
            <w:tcW w:w="1260" w:type="dxa"/>
            <w:vAlign w:val="bottom"/>
            <w:tcBorders>
              <w:top w:val="single" w:sz="8" w:color="auto"/>
            </w:tcBorders>
            <w:shd w:val="clear" w:color="auto" w:fill="B6B6B6"/>
          </w:tcPr>
          <w:p>
            <w:pPr>
              <w:spacing w:after="0"/>
              <w:rPr>
                <w:sz w:val="22"/>
                <w:szCs w:val="22"/>
                <w:color w:val="auto"/>
              </w:rPr>
            </w:pPr>
          </w:p>
        </w:tc>
        <w:tc>
          <w:tcPr>
            <w:tcW w:w="74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42,103</w:t>
            </w:r>
          </w:p>
        </w:tc>
        <w:tc>
          <w:tcPr>
            <w:tcW w:w="220" w:type="dxa"/>
            <w:vAlign w:val="bottom"/>
            <w:tcBorders>
              <w:top w:val="single" w:sz="8" w:color="B6B6B6"/>
            </w:tcBorders>
            <w:shd w:val="clear" w:color="auto" w:fill="B6B6B6"/>
          </w:tcPr>
          <w:p>
            <w:pPr>
              <w:spacing w:after="0"/>
              <w:rPr>
                <w:sz w:val="22"/>
                <w:szCs w:val="22"/>
                <w:color w:val="auto"/>
              </w:rPr>
            </w:pPr>
          </w:p>
        </w:tc>
        <w:tc>
          <w:tcPr>
            <w:tcW w:w="780" w:type="dxa"/>
            <w:vAlign w:val="bottom"/>
            <w:tcBorders>
              <w:top w:val="single" w:sz="8" w:color="auto"/>
            </w:tcBorders>
            <w:shd w:val="clear" w:color="auto" w:fill="B6B6B6"/>
          </w:tcPr>
          <w:p>
            <w:pPr>
              <w:spacing w:after="0"/>
              <w:rPr>
                <w:sz w:val="22"/>
                <w:szCs w:val="22"/>
                <w:color w:val="auto"/>
              </w:rPr>
            </w:pPr>
          </w:p>
        </w:tc>
        <w:tc>
          <w:tcPr>
            <w:tcW w:w="124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37,120</w:t>
            </w:r>
          </w:p>
        </w:tc>
      </w:tr>
      <w:tr>
        <w:trPr>
          <w:trHeight w:val="54"/>
        </w:trPr>
        <w:tc>
          <w:tcPr>
            <w:tcW w:w="3120" w:type="dxa"/>
            <w:vAlign w:val="bottom"/>
            <w:gridSpan w:val="2"/>
          </w:tcPr>
          <w:p>
            <w:pPr>
              <w:spacing w:after="0"/>
              <w:rPr>
                <w:sz w:val="4"/>
                <w:szCs w:val="4"/>
                <w:color w:val="auto"/>
              </w:rPr>
            </w:pPr>
          </w:p>
        </w:tc>
        <w:tc>
          <w:tcPr>
            <w:tcW w:w="29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6"/>
        </w:trPr>
        <w:tc>
          <w:tcPr>
            <w:tcW w:w="31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9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74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78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r>
      <w:tr>
        <w:trPr>
          <w:trHeight w:val="25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2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w:t>
            </w:r>
          </w:p>
        </w:tc>
      </w:tr>
      <w:tr>
        <w:trPr>
          <w:trHeight w:val="263"/>
        </w:trPr>
        <w:tc>
          <w:tcPr>
            <w:tcW w:w="31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29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shd w:val="clear" w:color="auto" w:fill="B6B6B6"/>
          </w:tcPr>
          <w:p>
            <w:pPr>
              <w:spacing w:after="0"/>
              <w:rPr>
                <w:sz w:val="22"/>
                <w:szCs w:val="22"/>
                <w:color w:val="auto"/>
              </w:rPr>
            </w:pPr>
          </w:p>
        </w:tc>
        <w:tc>
          <w:tcPr>
            <w:tcW w:w="780" w:type="dxa"/>
            <w:vAlign w:val="bottom"/>
            <w:shd w:val="clear" w:color="auto" w:fill="B6B6B6"/>
          </w:tcPr>
          <w:p>
            <w:pPr>
              <w:spacing w:after="0"/>
              <w:rPr>
                <w:sz w:val="22"/>
                <w:szCs w:val="22"/>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5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63"/>
        </w:trPr>
        <w:tc>
          <w:tcPr>
            <w:tcW w:w="31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9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B6B6B6"/>
          </w:tcPr>
          <w:p>
            <w:pPr>
              <w:spacing w:after="0"/>
              <w:rPr>
                <w:sz w:val="22"/>
                <w:szCs w:val="22"/>
                <w:color w:val="auto"/>
              </w:rPr>
            </w:pPr>
          </w:p>
        </w:tc>
        <w:tc>
          <w:tcPr>
            <w:tcW w:w="780" w:type="dxa"/>
            <w:vAlign w:val="bottom"/>
            <w:shd w:val="clear" w:color="auto" w:fill="B6B6B6"/>
          </w:tcPr>
          <w:p>
            <w:pPr>
              <w:spacing w:after="0"/>
              <w:rPr>
                <w:sz w:val="22"/>
                <w:szCs w:val="22"/>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50"/>
        </w:trPr>
        <w:tc>
          <w:tcPr>
            <w:tcW w:w="312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2940" w:type="dxa"/>
            <w:vAlign w:val="bottom"/>
            <w:tcBorders>
              <w:bottom w:val="single" w:sz="8" w:color="B6B6B6"/>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20" w:type="dxa"/>
            <w:vAlign w:val="bottom"/>
            <w:tcBorders>
              <w:bottom w:val="single" w:sz="8" w:color="B6B6B6"/>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r>
      <w:tr>
        <w:trPr>
          <w:trHeight w:val="250"/>
        </w:trPr>
        <w:tc>
          <w:tcPr>
            <w:tcW w:w="3120" w:type="dxa"/>
            <w:vAlign w:val="bottom"/>
            <w:gridSpan w:val="2"/>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operating expense</w:t>
            </w:r>
          </w:p>
        </w:tc>
        <w:tc>
          <w:tcPr>
            <w:tcW w:w="2940" w:type="dxa"/>
            <w:vAlign w:val="bottom"/>
            <w:shd w:val="clear" w:color="auto" w:fill="B6B6B6"/>
          </w:tcPr>
          <w:p>
            <w:pPr>
              <w:spacing w:after="0"/>
              <w:rPr>
                <w:sz w:val="21"/>
                <w:szCs w:val="21"/>
                <w:color w:val="auto"/>
              </w:rPr>
            </w:pPr>
          </w:p>
        </w:tc>
        <w:tc>
          <w:tcPr>
            <w:tcW w:w="1260" w:type="dxa"/>
            <w:vAlign w:val="bottom"/>
            <w:tcBorders>
              <w:bottom w:val="single" w:sz="8" w:color="auto"/>
            </w:tcBorders>
            <w:shd w:val="clear" w:color="auto" w:fill="B6B6B6"/>
          </w:tcPr>
          <w:p>
            <w:pPr>
              <w:spacing w:after="0"/>
              <w:rPr>
                <w:sz w:val="21"/>
                <w:szCs w:val="21"/>
                <w:color w:val="auto"/>
              </w:rPr>
            </w:pPr>
          </w:p>
        </w:tc>
        <w:tc>
          <w:tcPr>
            <w:tcW w:w="7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220" w:type="dxa"/>
            <w:vAlign w:val="bottom"/>
            <w:shd w:val="clear" w:color="auto" w:fill="B6B6B6"/>
          </w:tcPr>
          <w:p>
            <w:pPr>
              <w:spacing w:after="0"/>
              <w:rPr>
                <w:sz w:val="21"/>
                <w:szCs w:val="21"/>
                <w:color w:val="auto"/>
              </w:rPr>
            </w:pPr>
          </w:p>
        </w:tc>
        <w:tc>
          <w:tcPr>
            <w:tcW w:w="780" w:type="dxa"/>
            <w:vAlign w:val="bottom"/>
            <w:tcBorders>
              <w:bottom w:val="single" w:sz="8" w:color="auto"/>
            </w:tcBorders>
            <w:shd w:val="clear" w:color="auto" w:fill="B6B6B6"/>
          </w:tcPr>
          <w:p>
            <w:pPr>
              <w:spacing w:after="0"/>
              <w:rPr>
                <w:sz w:val="21"/>
                <w:szCs w:val="21"/>
                <w:color w:val="auto"/>
              </w:rPr>
            </w:pP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28,525</w:t>
            </w:r>
          </w:p>
        </w:tc>
      </w:tr>
      <w:tr>
        <w:trPr>
          <w:trHeight w:val="250"/>
        </w:trPr>
        <w:tc>
          <w:tcPr>
            <w:tcW w:w="3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r>
      <w:tr>
        <w:trPr>
          <w:trHeight w:val="257"/>
        </w:trPr>
        <w:tc>
          <w:tcPr>
            <w:tcW w:w="31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940" w:type="dxa"/>
            <w:vAlign w:val="bottom"/>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spacing w:after="0"/>
              <w:rPr>
                <w:sz w:val="22"/>
                <w:szCs w:val="22"/>
                <w:color w:val="auto"/>
              </w:rPr>
            </w:pPr>
          </w:p>
        </w:tc>
        <w:tc>
          <w:tcPr>
            <w:tcW w:w="7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shd w:val="clear" w:color="auto" w:fill="B6B6B6"/>
          </w:tcPr>
          <w:p>
            <w:pPr>
              <w:spacing w:after="0"/>
              <w:rPr>
                <w:sz w:val="22"/>
                <w:szCs w:val="22"/>
                <w:color w:val="auto"/>
              </w:rPr>
            </w:pPr>
          </w:p>
        </w:tc>
        <w:tc>
          <w:tcPr>
            <w:tcW w:w="78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56"/>
        </w:trPr>
        <w:tc>
          <w:tcPr>
            <w:tcW w:w="3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income</w:t>
            </w:r>
          </w:p>
        </w:tc>
        <w:tc>
          <w:tcPr>
            <w:tcW w:w="420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220" w:type="dxa"/>
            <w:vAlign w:val="bottom"/>
          </w:tcPr>
          <w:p>
            <w:pPr>
              <w:spacing w:after="0"/>
              <w:rPr>
                <w:sz w:val="22"/>
                <w:szCs w:val="22"/>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w:t>
            </w:r>
          </w:p>
        </w:tc>
      </w:tr>
      <w:tr>
        <w:trPr>
          <w:trHeight w:val="46"/>
        </w:trPr>
        <w:tc>
          <w:tcPr>
            <w:tcW w:w="1360" w:type="dxa"/>
            <w:vAlign w:val="bottom"/>
            <w:tcBorders>
              <w:bottom w:val="single" w:sz="8" w:color="B6B6B6"/>
            </w:tcBorders>
          </w:tcPr>
          <w:p>
            <w:pPr>
              <w:spacing w:after="0"/>
              <w:rPr>
                <w:sz w:val="3"/>
                <w:szCs w:val="3"/>
                <w:color w:val="auto"/>
              </w:rPr>
            </w:pPr>
          </w:p>
        </w:tc>
        <w:tc>
          <w:tcPr>
            <w:tcW w:w="1760" w:type="dxa"/>
            <w:vAlign w:val="bottom"/>
            <w:tcBorders>
              <w:bottom w:val="single" w:sz="8" w:color="B6B6B6"/>
            </w:tcBorders>
          </w:tcPr>
          <w:p>
            <w:pPr>
              <w:spacing w:after="0"/>
              <w:rPr>
                <w:sz w:val="3"/>
                <w:szCs w:val="3"/>
                <w:color w:val="auto"/>
              </w:rPr>
            </w:pPr>
          </w:p>
        </w:tc>
        <w:tc>
          <w:tcPr>
            <w:tcW w:w="2940" w:type="dxa"/>
            <w:vAlign w:val="bottom"/>
            <w:tcBorders>
              <w:bottom w:val="single" w:sz="8" w:color="B6B6B6"/>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r>
      <w:tr>
        <w:trPr>
          <w:trHeight w:val="250"/>
        </w:trPr>
        <w:tc>
          <w:tcPr>
            <w:tcW w:w="3120" w:type="dxa"/>
            <w:vAlign w:val="bottom"/>
            <w:tcBorders>
              <w:top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200" w:type="dxa"/>
            <w:vAlign w:val="bottom"/>
            <w:tcBorders>
              <w:top w:val="single" w:sz="8" w:color="B6B6B6"/>
            </w:tcBorders>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top w:val="single" w:sz="8" w:color="B6B6B6"/>
            </w:tcBorders>
          </w:tcPr>
          <w:p>
            <w:pPr>
              <w:spacing w:after="0"/>
              <w:rPr>
                <w:sz w:val="21"/>
                <w:szCs w:val="21"/>
                <w:color w:val="auto"/>
              </w:rPr>
            </w:pPr>
          </w:p>
        </w:tc>
        <w:tc>
          <w:tcPr>
            <w:tcW w:w="780" w:type="dxa"/>
            <w:vAlign w:val="bottom"/>
            <w:tcBorders>
              <w:top w:val="single" w:sz="8" w:color="B6B6B6"/>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3"/>
        </w:trPr>
        <w:tc>
          <w:tcPr>
            <w:tcW w:w="31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9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B6B6B6"/>
          </w:tcPr>
          <w:p>
            <w:pPr>
              <w:spacing w:after="0"/>
              <w:rPr>
                <w:sz w:val="22"/>
                <w:szCs w:val="22"/>
                <w:color w:val="auto"/>
              </w:rPr>
            </w:pPr>
          </w:p>
        </w:tc>
        <w:tc>
          <w:tcPr>
            <w:tcW w:w="780" w:type="dxa"/>
            <w:vAlign w:val="bottom"/>
            <w:shd w:val="clear" w:color="auto" w:fill="B6B6B6"/>
          </w:tcPr>
          <w:p>
            <w:pPr>
              <w:spacing w:after="0"/>
              <w:rPr>
                <w:sz w:val="22"/>
                <w:szCs w:val="22"/>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08" w:right="12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95"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4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13335</wp:posOffset>
            </wp:positionV>
            <wp:extent cx="19627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6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7,071</w:t>
            </w:r>
          </w:p>
        </w:tc>
      </w:tr>
      <w:tr>
        <w:trPr>
          <w:trHeight w:val="25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7"/>
        </w:trPr>
        <w:tc>
          <w:tcPr>
            <w:tcW w:w="646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Net unrealized loss on securities available-for-sale</w:t>
            </w:r>
          </w:p>
        </w:tc>
        <w:tc>
          <w:tcPr>
            <w:tcW w:w="340" w:type="dxa"/>
            <w:vAlign w:val="bottom"/>
            <w:shd w:val="clear" w:color="auto" w:fill="B6B6B6"/>
          </w:tcPr>
          <w:p>
            <w:pPr>
              <w:spacing w:after="0"/>
              <w:rPr>
                <w:sz w:val="24"/>
                <w:szCs w:val="24"/>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(37,499)</w:t>
            </w:r>
          </w:p>
        </w:tc>
        <w:tc>
          <w:tcPr>
            <w:tcW w:w="100" w:type="dxa"/>
            <w:vAlign w:val="bottom"/>
            <w:shd w:val="clear" w:color="auto" w:fill="B6B6B6"/>
          </w:tcPr>
          <w:p>
            <w:pPr>
              <w:spacing w:after="0"/>
              <w:rPr>
                <w:sz w:val="24"/>
                <w:szCs w:val="24"/>
                <w:color w:val="auto"/>
              </w:rPr>
            </w:pPr>
          </w:p>
        </w:tc>
        <w:tc>
          <w:tcPr>
            <w:tcW w:w="340" w:type="dxa"/>
            <w:vAlign w:val="bottom"/>
            <w:shd w:val="clear" w:color="auto" w:fill="B6B6B6"/>
          </w:tcPr>
          <w:p>
            <w:pPr>
              <w:spacing w:after="0"/>
              <w:rPr>
                <w:sz w:val="24"/>
                <w:szCs w:val="24"/>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(4,214)</w:t>
            </w:r>
          </w:p>
        </w:tc>
      </w:tr>
      <w:tr>
        <w:trPr>
          <w:trHeight w:val="250"/>
        </w:trPr>
        <w:tc>
          <w:tcPr>
            <w:tcW w:w="6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77"/>
        </w:trPr>
        <w:tc>
          <w:tcPr>
            <w:tcW w:w="646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Reclassification adjustments for gains included in net income</w:t>
            </w:r>
          </w:p>
        </w:tc>
        <w:tc>
          <w:tcPr>
            <w:tcW w:w="340" w:type="dxa"/>
            <w:vAlign w:val="bottom"/>
            <w:shd w:val="clear" w:color="auto" w:fill="B6B6B6"/>
          </w:tcPr>
          <w:p>
            <w:pPr>
              <w:spacing w:after="0"/>
              <w:rPr>
                <w:sz w:val="24"/>
                <w:szCs w:val="24"/>
                <w:color w:val="auto"/>
              </w:rPr>
            </w:pPr>
          </w:p>
        </w:tc>
        <w:tc>
          <w:tcPr>
            <w:tcW w:w="126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4"/>
                <w:szCs w:val="24"/>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6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3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646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shd w:val="clear" w:color="auto" w:fill="B6B6B6"/>
          </w:tcPr>
          <w:p>
            <w:pPr>
              <w:spacing w:after="0"/>
              <w:rPr>
                <w:sz w:val="23"/>
                <w:szCs w:val="23"/>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B6B6B6"/>
          </w:tcPr>
          <w:p>
            <w:pPr>
              <w:spacing w:after="0"/>
              <w:rPr>
                <w:sz w:val="23"/>
                <w:szCs w:val="23"/>
                <w:color w:val="auto"/>
              </w:rPr>
            </w:pPr>
          </w:p>
        </w:tc>
        <w:tc>
          <w:tcPr>
            <w:tcW w:w="340" w:type="dxa"/>
            <w:vAlign w:val="bottom"/>
            <w:tcBorders>
              <w:bottom w:val="single" w:sz="8" w:color="auto"/>
            </w:tcBorders>
            <w:shd w:val="clear" w:color="auto" w:fill="B6B6B6"/>
          </w:tcPr>
          <w:p>
            <w:pPr>
              <w:spacing w:after="0"/>
              <w:rPr>
                <w:sz w:val="23"/>
                <w:szCs w:val="23"/>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5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w:t>
            </w:r>
          </w:p>
        </w:tc>
      </w:tr>
      <w:tr>
        <w:trPr>
          <w:trHeight w:val="21"/>
        </w:trPr>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9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Gains on sales of securities</w:t>
            </w:r>
          </w:p>
        </w:tc>
        <w:tc>
          <w:tcPr>
            <w:tcW w:w="34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current income tax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(Decrease) increase in pension liability</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B6B6B6"/>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14,723</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16,704</w:t>
            </w:r>
          </w:p>
        </w:tc>
        <w:tc>
          <w:tcPr>
            <w:tcW w:w="0" w:type="dxa"/>
            <w:vAlign w:val="bottom"/>
          </w:tcPr>
          <w:p>
            <w:pPr>
              <w:spacing w:after="0"/>
              <w:rPr>
                <w:sz w:val="1"/>
                <w:szCs w:val="1"/>
                <w:color w:val="auto"/>
              </w:rPr>
            </w:pPr>
          </w:p>
        </w:tc>
      </w:tr>
      <w:tr>
        <w:trPr>
          <w:trHeight w:val="95"/>
        </w:trPr>
        <w:tc>
          <w:tcPr>
            <w:tcW w:w="8180" w:type="dxa"/>
            <w:vAlign w:val="bottom"/>
            <w:shd w:val="clear" w:color="auto" w:fill="B6B6B6"/>
          </w:tcPr>
          <w:p>
            <w:pPr>
              <w:spacing w:after="0"/>
              <w:rPr>
                <w:sz w:val="8"/>
                <w:szCs w:val="8"/>
                <w:color w:val="auto"/>
              </w:rPr>
            </w:pPr>
          </w:p>
        </w:tc>
        <w:tc>
          <w:tcPr>
            <w:tcW w:w="340" w:type="dxa"/>
            <w:vAlign w:val="bottom"/>
            <w:shd w:val="clear" w:color="auto" w:fill="B6B6B6"/>
          </w:tcPr>
          <w:p>
            <w:pPr>
              <w:spacing w:after="0"/>
              <w:rPr>
                <w:sz w:val="8"/>
                <w:szCs w:val="8"/>
                <w:color w:val="auto"/>
              </w:rPr>
            </w:pPr>
          </w:p>
        </w:tc>
        <w:tc>
          <w:tcPr>
            <w:tcW w:w="114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340" w:type="dxa"/>
            <w:vAlign w:val="bottom"/>
            <w:shd w:val="clear" w:color="auto" w:fill="B6B6B6"/>
          </w:tcPr>
          <w:p>
            <w:pPr>
              <w:spacing w:after="0"/>
              <w:rPr>
                <w:sz w:val="8"/>
                <w:szCs w:val="8"/>
                <w:color w:val="auto"/>
              </w:rPr>
            </w:pPr>
          </w:p>
        </w:tc>
        <w:tc>
          <w:tcPr>
            <w:tcW w:w="114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Proceeds from sales of securities available-for-sale</w:t>
            </w:r>
          </w:p>
        </w:tc>
        <w:tc>
          <w:tcPr>
            <w:tcW w:w="34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securities available-for-sale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(156,597)</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(125,467)</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loans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bank-owned life insurance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payments in advance of funding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(21,912)</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(201,087)</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(94,697)</w:t>
            </w:r>
          </w:p>
        </w:tc>
        <w:tc>
          <w:tcPr>
            <w:tcW w:w="0" w:type="dxa"/>
            <w:vAlign w:val="bottom"/>
          </w:tcPr>
          <w:p>
            <w:pPr>
              <w:spacing w:after="0"/>
              <w:rPr>
                <w:sz w:val="1"/>
                <w:szCs w:val="1"/>
                <w:color w:val="auto"/>
              </w:rPr>
            </w:pPr>
          </w:p>
        </w:tc>
      </w:tr>
      <w:tr>
        <w:trPr>
          <w:trHeight w:val="9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B6B6B6"/>
          </w:tcPr>
          <w:p>
            <w:pPr>
              <w:spacing w:after="0"/>
              <w:rPr>
                <w:sz w:val="8"/>
                <w:szCs w:val="8"/>
                <w:color w:val="auto"/>
              </w:rPr>
            </w:pPr>
          </w:p>
        </w:tc>
        <w:tc>
          <w:tcPr>
            <w:tcW w:w="114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340" w:type="dxa"/>
            <w:vAlign w:val="bottom"/>
            <w:shd w:val="clear" w:color="auto" w:fill="B6B6B6"/>
          </w:tcPr>
          <w:p>
            <w:pPr>
              <w:spacing w:after="0"/>
              <w:rPr>
                <w:sz w:val="8"/>
                <w:szCs w:val="8"/>
                <w:color w:val="auto"/>
              </w:rPr>
            </w:pPr>
          </w:p>
        </w:tc>
        <w:tc>
          <w:tcPr>
            <w:tcW w:w="114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1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increase (decrease) in noninterest-bearing demand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39,177</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(68,645)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interest-bearing demand and savings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 time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accounts and drafts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60,905</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shares for treasury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B6B6B6"/>
            </w:tcBorders>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(137,115)</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(323,479)</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(70,869)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514,928</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670,528</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191,449</w:t>
            </w:r>
          </w:p>
        </w:tc>
        <w:tc>
          <w:tcPr>
            <w:tcW w:w="100" w:type="dxa"/>
            <w:vAlign w:val="bottom"/>
            <w:tcBorders>
              <w:bottom w:val="single" w:sz="8" w:color="B6B6B6"/>
            </w:tcBorders>
            <w:shd w:val="clear" w:color="auto" w:fill="B6B6B6"/>
          </w:tcPr>
          <w:p>
            <w:pPr>
              <w:spacing w:after="0"/>
              <w:rPr>
                <w:sz w:val="24"/>
                <w:szCs w:val="24"/>
                <w:color w:val="auto"/>
              </w:rPr>
            </w:pP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599,659</w:t>
            </w:r>
          </w:p>
        </w:tc>
        <w:tc>
          <w:tcPr>
            <w:tcW w:w="0" w:type="dxa"/>
            <w:vAlign w:val="bottom"/>
          </w:tcPr>
          <w:p>
            <w:pPr>
              <w:spacing w:after="0"/>
              <w:rPr>
                <w:sz w:val="1"/>
                <w:szCs w:val="1"/>
                <w:color w:val="auto"/>
              </w:rPr>
            </w:pPr>
          </w:p>
        </w:tc>
      </w:tr>
      <w:tr>
        <w:trPr>
          <w:trHeight w:val="20"/>
        </w:trPr>
        <w:tc>
          <w:tcPr>
            <w:tcW w:w="818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204,875</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99,062</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(50,515)</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261,160</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($.27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69,374 common shares pursuant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31,256 common shares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202,828</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(49,949)</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259,487</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245,798</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($.28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0" w:type="dxa"/>
            <w:vAlign w:val="bottom"/>
          </w:tcPr>
          <w:p>
            <w:pPr>
              <w:spacing w:after="0"/>
              <w:rPr>
                <w:sz w:val="1"/>
                <w:szCs w:val="1"/>
                <w:color w:val="auto"/>
              </w:rPr>
            </w:pPr>
          </w:p>
        </w:tc>
      </w:tr>
      <w:tr>
        <w:trPr>
          <w:trHeight w:val="176"/>
        </w:trPr>
        <w:tc>
          <w:tcPr>
            <w:tcW w:w="33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58,272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124,874 common shares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(28,575)</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(28,575)</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217,078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as a global pandemic. While the impact of COVID-19 is significantly lessened from March 2020, the ongoing impact, including resurgences of the virus and restrictions imposed to combat its spread, could result in additional and prolonged business closures, supply chain disruptions, work restrictions and activity restrictions. The Company continues to closely monitor developments related to COVID-19 and remains subject to heightened business, operational, market, credit and other risks which may have an adverse effect on its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Intangible Assets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in accordance with Financial Accounting Standards Board (“FASB”) Accounting Standards Codification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76"/>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5"/>
                <w:szCs w:val="15"/>
                <w:color w:val="auto"/>
              </w:rPr>
            </w:pPr>
          </w:p>
        </w:tc>
        <w:tc>
          <w:tcPr>
            <w:tcW w:w="1360" w:type="dxa"/>
            <w:vAlign w:val="bottom"/>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40" w:type="dxa"/>
            <w:vAlign w:val="bottom"/>
          </w:tcPr>
          <w:p>
            <w:pPr>
              <w:spacing w:after="0"/>
              <w:rPr>
                <w:sz w:val="15"/>
                <w:szCs w:val="15"/>
                <w:color w:val="auto"/>
              </w:rPr>
            </w:pPr>
          </w:p>
        </w:tc>
        <w:tc>
          <w:tcPr>
            <w:tcW w:w="136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5"/>
                <w:szCs w:val="15"/>
                <w:color w:val="auto"/>
              </w:rPr>
            </w:pPr>
          </w:p>
        </w:tc>
        <w:tc>
          <w:tcPr>
            <w:tcW w:w="140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40" w:type="dxa"/>
            <w:vAlign w:val="bottom"/>
          </w:tcPr>
          <w:p>
            <w:pPr>
              <w:spacing w:after="0"/>
              <w:rPr>
                <w:sz w:val="15"/>
                <w:szCs w:val="15"/>
                <w:color w:val="auto"/>
              </w:rPr>
            </w:pPr>
          </w:p>
        </w:tc>
        <w:tc>
          <w:tcPr>
            <w:tcW w:w="13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lists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2,844</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2,844</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14,262</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14,262</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22,646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22,646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customer lists are amortized over 7 and 10 years; the patents over 18 years; software over 3 years and 7 years, the trade name over 20 years and other intangible assets over 15 years. Amortization of intangible assets amounted to $135,000 and $215,000 for the three month periods ended March 31, 2022 and 2021, respectively. Estimated annual amortization of intangibles is $540,000 in both 2022 and 2023, $498,000 in 2024, $490,000 in 2025, and $342,000 in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Earnings Per Share</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w:t>
            </w:r>
          </w:p>
        </w:tc>
        <w:tc>
          <w:tcPr>
            <w:tcW w:w="340" w:type="dxa"/>
            <w:vAlign w:val="bottom"/>
          </w:tcPr>
          <w:p>
            <w:pPr>
              <w:spacing w:after="0"/>
              <w:rPr>
                <w:sz w:val="17"/>
                <w:szCs w:val="17"/>
                <w:color w:val="auto"/>
              </w:rPr>
            </w:pPr>
          </w:p>
        </w:tc>
        <w:tc>
          <w:tcPr>
            <w:tcW w:w="28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share data)</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46"/>
        </w:trPr>
        <w:tc>
          <w:tcPr>
            <w:tcW w:w="50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50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B6B6B6"/>
            </w:tcBorders>
            <w:shd w:val="clear" w:color="auto" w:fill="B6B6B6"/>
          </w:tcPr>
          <w:p>
            <w:pPr>
              <w:spacing w:after="0"/>
              <w:rPr>
                <w:sz w:val="21"/>
                <w:szCs w:val="21"/>
                <w:color w:val="auto"/>
              </w:rPr>
            </w:pPr>
          </w:p>
        </w:tc>
        <w:tc>
          <w:tcPr>
            <w:tcW w:w="1180" w:type="dxa"/>
            <w:vAlign w:val="bottom"/>
            <w:tcBorders>
              <w:bottom w:val="single" w:sz="8" w:color="B6B6B6"/>
            </w:tcBorders>
            <w:shd w:val="clear" w:color="auto" w:fill="B6B6B6"/>
          </w:tcPr>
          <w:p>
            <w:pPr>
              <w:spacing w:after="0"/>
              <w:rPr>
                <w:sz w:val="21"/>
                <w:szCs w:val="21"/>
                <w:color w:val="auto"/>
              </w:rPr>
            </w:pPr>
          </w:p>
        </w:tc>
        <w:tc>
          <w:tcPr>
            <w:tcW w:w="52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spacing w:after="0"/>
              <w:rPr>
                <w:sz w:val="21"/>
                <w:szCs w:val="2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8,258</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7,071</w:t>
            </w: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13,577,991</w:t>
            </w:r>
          </w:p>
        </w:tc>
        <w:tc>
          <w:tcPr>
            <w:tcW w:w="52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14,312,260</w:t>
            </w:r>
          </w:p>
        </w:tc>
      </w:tr>
      <w:tr>
        <w:trPr>
          <w:trHeight w:val="250"/>
        </w:trPr>
        <w:tc>
          <w:tcPr>
            <w:tcW w:w="5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r>
      <w:tr>
        <w:trPr>
          <w:trHeight w:val="257"/>
        </w:trPr>
        <w:tc>
          <w:tcPr>
            <w:tcW w:w="5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B6B6B6"/>
          </w:tcPr>
          <w:p>
            <w:pPr>
              <w:spacing w:after="0"/>
              <w:rPr>
                <w:sz w:val="21"/>
                <w:szCs w:val="21"/>
                <w:color w:val="auto"/>
              </w:rPr>
            </w:pPr>
          </w:p>
        </w:tc>
        <w:tc>
          <w:tcPr>
            <w:tcW w:w="1180" w:type="dxa"/>
            <w:vAlign w:val="bottom"/>
            <w:shd w:val="clear" w:color="auto" w:fill="B6B6B6"/>
          </w:tcPr>
          <w:p>
            <w:pPr>
              <w:spacing w:after="0"/>
              <w:rPr>
                <w:sz w:val="21"/>
                <w:szCs w:val="21"/>
                <w:color w:val="auto"/>
              </w:rPr>
            </w:pPr>
          </w:p>
        </w:tc>
        <w:tc>
          <w:tcPr>
            <w:tcW w:w="52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8,258</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7,071</w:t>
            </w: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13,577,991</w:t>
            </w:r>
          </w:p>
        </w:tc>
        <w:tc>
          <w:tcPr>
            <w:tcW w:w="52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14,312,260</w:t>
            </w: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 of dilutive restricted stock and stock appreciation rights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236,233</w:t>
            </w:r>
          </w:p>
        </w:tc>
        <w:tc>
          <w:tcPr>
            <w:tcW w:w="5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220,809</w:t>
            </w:r>
          </w:p>
        </w:tc>
      </w:tr>
      <w:tr>
        <w:trPr>
          <w:trHeight w:val="256"/>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34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13,814,224</w:t>
            </w:r>
          </w:p>
        </w:tc>
        <w:tc>
          <w:tcPr>
            <w:tcW w:w="52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14,533,069</w:t>
            </w:r>
          </w:p>
        </w:tc>
      </w:tr>
      <w:tr>
        <w:trPr>
          <w:trHeight w:val="250"/>
        </w:trPr>
        <w:tc>
          <w:tcPr>
            <w:tcW w:w="5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Stock Repurchases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in October 2021, the Board of Directors authorized the repurchase of up to 750,000 shares of the Company’s common stock with no expiration date. As of March 31, 2022, 346,207 shares remained available for repurchase under the program. The Company repurchased 124,874 and 31,256 shares during the three-month periods ended March 31, 2022 and 2021, respectively. Repurchases may be made in the open market or through negotiated transactions from time to time depending on market conditions.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Industry Segment Information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including on-line generosity services, as well as supporting the banking needs of the Information Services segment.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Annual Report on Form 10-K for the year ended December 31, 2021.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spacing w:after="0" w:line="135" w:lineRule="exact"/>
        <w:rPr>
          <w:sz w:val="20"/>
          <w:szCs w:val="20"/>
          <w:color w:val="auto"/>
        </w:rPr>
      </w:pPr>
    </w:p>
    <w:p>
      <w:pPr>
        <w:ind w:left="5520" w:right="2160" w:hanging="5188"/>
        <w:spacing w:after="0" w:line="970" w:lineRule="auto"/>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Services – one or more fixed rates depending upon the specific characteristics of the funding source,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Services – a variable rate that is based upon the overall performance of the Company’s earning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340" w:type="dxa"/>
            <w:vAlign w:val="bottom"/>
          </w:tcPr>
          <w:p>
            <w:pPr>
              <w:spacing w:after="0"/>
              <w:rPr>
                <w:sz w:val="17"/>
                <w:szCs w:val="17"/>
                <w:color w:val="auto"/>
              </w:rPr>
            </w:pP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260" w:type="dxa"/>
            <w:vAlign w:val="bottom"/>
          </w:tcPr>
          <w:p>
            <w:pPr>
              <w:spacing w:after="0"/>
              <w:rPr>
                <w:sz w:val="17"/>
                <w:szCs w:val="17"/>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8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2022:</w:t>
            </w:r>
          </w:p>
        </w:tc>
        <w:tc>
          <w:tcPr>
            <w:tcW w:w="128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34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26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38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29,234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0" w:type="dxa"/>
            <w:vAlign w:val="bottom"/>
          </w:tcPr>
          <w:p>
            <w:pPr>
              <w:spacing w:after="0"/>
              <w:rPr>
                <w:sz w:val="1"/>
                <w:szCs w:val="1"/>
                <w:color w:val="auto"/>
              </w:rPr>
            </w:pPr>
          </w:p>
        </w:tc>
      </w:tr>
      <w:tr>
        <w:trPr>
          <w:trHeight w:val="263"/>
        </w:trPr>
        <w:tc>
          <w:tcPr>
            <w:tcW w:w="39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6,326</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6,482</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63"/>
        </w:trPr>
        <w:tc>
          <w:tcPr>
            <w:tcW w:w="39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8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1,133</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7,815</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2,850</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0" w:type="dxa"/>
            <w:vAlign w:val="bottom"/>
          </w:tcPr>
          <w:p>
            <w:pPr>
              <w:spacing w:after="0"/>
              <w:rPr>
                <w:sz w:val="1"/>
                <w:szCs w:val="1"/>
                <w:color w:val="auto"/>
              </w:rPr>
            </w:pPr>
          </w:p>
        </w:tc>
      </w:tr>
      <w:tr>
        <w:trPr>
          <w:trHeight w:val="263"/>
        </w:trPr>
        <w:tc>
          <w:tcPr>
            <w:tcW w:w="39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28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12,433</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1,829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2,122</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63"/>
        </w:trPr>
        <w:tc>
          <w:tcPr>
            <w:tcW w:w="39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1,090,737</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1,345,958</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2,422,043</w:t>
            </w: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1,008,928</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966,820</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1,975,748</w:t>
            </w:r>
          </w:p>
        </w:tc>
        <w:tc>
          <w:tcPr>
            <w:tcW w:w="0" w:type="dxa"/>
            <w:vAlign w:val="bottom"/>
          </w:tcPr>
          <w:p>
            <w:pPr>
              <w:spacing w:after="0"/>
              <w:rPr>
                <w:sz w:val="1"/>
                <w:szCs w:val="1"/>
                <w:color w:val="auto"/>
              </w:rPr>
            </w:pPr>
          </w:p>
        </w:tc>
      </w:tr>
      <w:tr>
        <w:trPr>
          <w:trHeight w:val="263"/>
        </w:trPr>
        <w:tc>
          <w:tcPr>
            <w:tcW w:w="3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2021:</w:t>
            </w:r>
          </w:p>
        </w:tc>
        <w:tc>
          <w:tcPr>
            <w:tcW w:w="128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25,298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0" w:type="dxa"/>
            <w:vAlign w:val="bottom"/>
          </w:tcPr>
          <w:p>
            <w:pPr>
              <w:spacing w:after="0"/>
              <w:rPr>
                <w:sz w:val="1"/>
                <w:szCs w:val="1"/>
                <w:color w:val="auto"/>
              </w:rPr>
            </w:pPr>
          </w:p>
        </w:tc>
      </w:tr>
      <w:tr>
        <w:trPr>
          <w:trHeight w:val="263"/>
        </w:trPr>
        <w:tc>
          <w:tcPr>
            <w:tcW w:w="39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5,509</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5,751</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63"/>
        </w:trPr>
        <w:tc>
          <w:tcPr>
            <w:tcW w:w="39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8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5,786</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2,988</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0" w:type="dxa"/>
            <w:vAlign w:val="bottom"/>
          </w:tcPr>
          <w:p>
            <w:pPr>
              <w:spacing w:after="0"/>
              <w:rPr>
                <w:sz w:val="1"/>
                <w:szCs w:val="1"/>
                <w:color w:val="auto"/>
              </w:rPr>
            </w:pPr>
          </w:p>
        </w:tc>
      </w:tr>
      <w:tr>
        <w:trPr>
          <w:trHeight w:val="263"/>
        </w:trPr>
        <w:tc>
          <w:tcPr>
            <w:tcW w:w="39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28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12,433</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1,829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2,574</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63"/>
        </w:trPr>
        <w:tc>
          <w:tcPr>
            <w:tcW w:w="39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1,023,196</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1,263,669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(70,292)</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2,216,573</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837,852</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849,177</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1,687,029</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00" w:firstLine="8"/>
        <w:spacing w:after="0" w:line="302" w:lineRule="auto"/>
        <w:tabs>
          <w:tab w:leader="none" w:pos="10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on a tax-equivalent basis assuming a tax rate of 21% for both 2022 and 2021. The tax-equivalent adjustment was approximately $446,000 and $462,000 for the First Quarter of 2022 and 2021,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jc w:val="center"/>
              <w:ind w:right="3570"/>
              <w:spacing w:after="0"/>
              <w:rPr>
                <w:sz w:val="20"/>
                <w:szCs w:val="20"/>
                <w:color w:val="auto"/>
              </w:rPr>
            </w:pPr>
            <w:r>
              <w:rPr>
                <w:rFonts w:ascii="Times New Roman" w:cs="Times New Roman" w:eastAsia="Times New Roman" w:hAnsi="Times New Roman"/>
                <w:sz w:val="18"/>
                <w:szCs w:val="18"/>
                <w:color w:val="auto"/>
                <w:w w:val="99"/>
              </w:rPr>
              <w:t>Note 6 – Loans by Type</w:t>
            </w:r>
          </w:p>
        </w:tc>
        <w:tc>
          <w:tcPr>
            <w:tcW w:w="2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loans is as follows:</w:t>
            </w:r>
          </w:p>
        </w:tc>
        <w:tc>
          <w:tcPr>
            <w:tcW w:w="2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20" w:type="dxa"/>
            <w:vAlign w:val="bottom"/>
          </w:tcPr>
          <w:p>
            <w:pPr>
              <w:spacing w:after="0"/>
              <w:rPr>
                <w:sz w:val="24"/>
                <w:szCs w:val="24"/>
                <w:color w:val="auto"/>
              </w:rPr>
            </w:pPr>
          </w:p>
        </w:tc>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60" w:type="dxa"/>
            <w:vAlign w:val="bottom"/>
          </w:tcPr>
          <w:p>
            <w:pPr>
              <w:spacing w:after="0"/>
              <w:rPr>
                <w:sz w:val="24"/>
                <w:szCs w:val="24"/>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Borders>
              <w:bottom w:val="single" w:sz="8" w:color="auto"/>
            </w:tcBorders>
            <w:vMerge w:val="continue"/>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469,129</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450,336</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6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180" w:type="dxa"/>
            <w:vAlign w:val="bottom"/>
            <w:shd w:val="clear" w:color="auto" w:fill="B6B6B6"/>
          </w:tcPr>
          <w:p>
            <w:pPr>
              <w:jc w:val="center"/>
              <w:ind w:right="3750"/>
              <w:spacing w:after="0"/>
              <w:rPr>
                <w:sz w:val="20"/>
                <w:szCs w:val="20"/>
                <w:color w:val="auto"/>
              </w:rPr>
            </w:pPr>
            <w:r>
              <w:rPr>
                <w:rFonts w:ascii="Times New Roman" w:cs="Times New Roman" w:eastAsia="Times New Roman" w:hAnsi="Times New Roman"/>
                <w:sz w:val="18"/>
                <w:szCs w:val="18"/>
                <w:color w:val="auto"/>
                <w:w w:val="99"/>
              </w:rPr>
              <w:t>Commercial:</w:t>
            </w:r>
          </w:p>
        </w:tc>
        <w:tc>
          <w:tcPr>
            <w:tcW w:w="266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26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101,018</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108,759</w:t>
            </w: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18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26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24,757</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Pr>
          <w:p>
            <w:pPr>
              <w:jc w:val="center"/>
              <w:ind w:right="3790"/>
              <w:spacing w:after="0"/>
              <w:rPr>
                <w:sz w:val="20"/>
                <w:szCs w:val="20"/>
                <w:color w:val="auto"/>
              </w:rPr>
            </w:pPr>
            <w:r>
              <w:rPr>
                <w:rFonts w:ascii="Times New Roman" w:cs="Times New Roman" w:eastAsia="Times New Roman" w:hAnsi="Times New Roman"/>
                <w:sz w:val="18"/>
                <w:szCs w:val="18"/>
                <w:color w:val="auto"/>
              </w:rPr>
              <w:t>Faith-based:</w:t>
            </w:r>
          </w:p>
        </w:tc>
        <w:tc>
          <w:tcPr>
            <w:tcW w:w="26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18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26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367,376</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355,582</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26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13,512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Paycheck Protection Program (“PPP”)</w:t>
            </w:r>
          </w:p>
        </w:tc>
        <w:tc>
          <w:tcPr>
            <w:tcW w:w="26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1,373</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5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loans</w:t>
            </w:r>
          </w:p>
        </w:tc>
        <w:tc>
          <w:tcPr>
            <w:tcW w:w="26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977,202</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960,567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past due by category at March 31, 2022 and December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30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90</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460" w:type="dxa"/>
            <w:vAlign w:val="bottom"/>
          </w:tcPr>
          <w:p>
            <w:pPr>
              <w:spacing w:after="0"/>
              <w:rPr>
                <w:sz w:val="15"/>
                <w:szCs w:val="15"/>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60-89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Non-</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rPr>
              <w:t>and</w:t>
            </w:r>
          </w:p>
        </w:tc>
        <w:tc>
          <w:tcPr>
            <w:tcW w:w="11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Days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3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March 31, 2022</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469,129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469,129</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101,018</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101,018</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24,757</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24,757</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367,376</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367,376</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13,512</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13,512</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1,373</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spacing w:after="0"/>
              <w:rPr>
                <w:sz w:val="22"/>
                <w:szCs w:val="22"/>
                <w:color w:val="auto"/>
              </w:rPr>
            </w:pPr>
          </w:p>
        </w:tc>
        <w:tc>
          <w:tcPr>
            <w:tcW w:w="30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977,202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977,202</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2021</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450,336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450,336</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108,759</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108,759</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24,797</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355,582</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355,582</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14,664</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6,299</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spacing w:after="0"/>
              <w:rPr>
                <w:sz w:val="22"/>
                <w:szCs w:val="22"/>
                <w:color w:val="auto"/>
              </w:rPr>
            </w:pPr>
          </w:p>
        </w:tc>
        <w:tc>
          <w:tcPr>
            <w:tcW w:w="30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960,567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960,567</w:t>
            </w:r>
          </w:p>
        </w:tc>
        <w:tc>
          <w:tcPr>
            <w:tcW w:w="0" w:type="dxa"/>
            <w:vAlign w:val="bottom"/>
          </w:tcPr>
          <w:p>
            <w:pPr>
              <w:spacing w:after="0"/>
              <w:rPr>
                <w:sz w:val="1"/>
                <w:szCs w:val="1"/>
                <w:color w:val="auto"/>
              </w:rPr>
            </w:pPr>
          </w:p>
        </w:tc>
      </w:tr>
      <w:tr>
        <w:trPr>
          <w:trHeight w:val="905"/>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March 31, 2022 and December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60" w:type="dxa"/>
            <w:vAlign w:val="bottom"/>
          </w:tcPr>
          <w:p>
            <w:pPr>
              <w:spacing w:after="0"/>
              <w:rPr>
                <w:sz w:val="17"/>
                <w:szCs w:val="17"/>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Subject to</w:t>
            </w:r>
          </w:p>
        </w:tc>
        <w:tc>
          <w:tcPr>
            <w:tcW w:w="240" w:type="dxa"/>
            <w:vAlign w:val="bottom"/>
          </w:tcPr>
          <w:p>
            <w:pPr>
              <w:spacing w:after="0"/>
              <w:rPr>
                <w:sz w:val="17"/>
                <w:szCs w:val="17"/>
                <w:color w:val="auto"/>
              </w:rPr>
            </w:pPr>
          </w:p>
        </w:tc>
        <w:tc>
          <w:tcPr>
            <w:tcW w:w="136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60" w:type="dxa"/>
            <w:vAlign w:val="bottom"/>
          </w:tcPr>
          <w:p>
            <w:pPr>
              <w:spacing w:after="0"/>
              <w:rPr>
                <w:sz w:val="17"/>
                <w:szCs w:val="17"/>
                <w:color w:val="auto"/>
              </w:rPr>
            </w:pPr>
          </w:p>
        </w:tc>
        <w:tc>
          <w:tcPr>
            <w:tcW w:w="154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Normal</w:t>
            </w:r>
          </w:p>
        </w:tc>
        <w:tc>
          <w:tcPr>
            <w:tcW w:w="2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6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3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9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6"/>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March 31, 2022</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466,946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469,129</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100,472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101,018</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24,757</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24,757</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366,397</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979</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367,376</w:t>
            </w: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13,512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13,512</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1,373</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57"/>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973,494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977,202</w:t>
            </w:r>
          </w:p>
        </w:tc>
      </w:tr>
      <w:tr>
        <w:trPr>
          <w:trHeight w:val="257"/>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2021</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440,607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450,336</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108,759</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108,759</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24,797</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352,717</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355,582</w:t>
            </w: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14,664</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14,664</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6,299</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r>
      <w:tr>
        <w:trPr>
          <w:trHeight w:val="257"/>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947,973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12,594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960,567</w:t>
            </w:r>
          </w:p>
        </w:tc>
      </w:tr>
    </w:tbl>
    <w:p>
      <w:pPr>
        <w:spacing w:after="0" w:line="306" w:lineRule="exact"/>
        <w:rPr>
          <w:sz w:val="20"/>
          <w:szCs w:val="20"/>
          <w:color w:val="auto"/>
        </w:rPr>
      </w:pPr>
    </w:p>
    <w:p>
      <w:pPr>
        <w:ind w:left="20" w:right="20" w:firstLine="6"/>
        <w:spacing w:after="0" w:line="222" w:lineRule="auto"/>
        <w:tabs>
          <w:tab w:leader="none" w:pos="131"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normal monitoring involve borrowers of acceptable-to-strong credit quality and risk, who have the apparent ability to satisfy their loan obligations.</w:t>
      </w:r>
    </w:p>
    <w:p>
      <w:pPr>
        <w:spacing w:after="0" w:line="6" w:lineRule="exact"/>
        <w:rPr>
          <w:sz w:val="20"/>
          <w:szCs w:val="20"/>
          <w:color w:val="auto"/>
        </w:rPr>
      </w:pPr>
    </w:p>
    <w:p>
      <w:pPr>
        <w:ind w:left="120" w:hanging="94"/>
        <w:spacing w:after="0"/>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special monitoring possess some credit deficiency or potential weakness which requires a high level of management attention.</w:t>
      </w:r>
    </w:p>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loans evaluated for expected credit losses on an individual basis as of March 31, 2022 or December 31, 2021. There were no foreclosed loans recorded as other real estate owned (included in other assets) as of March 31, 2022 or December 31, 2021. There were no loans considered troubled debt restructurings as of March 31, 2022 or December 31, 2021.</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allowance for credit losses (“ACL”) by category for the periods ended March 31, 2022 and December 31, 2021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720" w:type="dxa"/>
            <w:vAlign w:val="bottom"/>
          </w:tcPr>
          <w:p>
            <w:pPr>
              <w:spacing w:after="0"/>
              <w:rPr>
                <w:sz w:val="17"/>
                <w:szCs w:val="17"/>
                <w:color w:val="auto"/>
              </w:rPr>
            </w:pPr>
          </w:p>
        </w:tc>
        <w:tc>
          <w:tcPr>
            <w:tcW w:w="10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C&amp;I</w:t>
            </w:r>
          </w:p>
        </w:tc>
        <w:tc>
          <w:tcPr>
            <w:tcW w:w="360" w:type="dxa"/>
            <w:vAlign w:val="bottom"/>
          </w:tcPr>
          <w:p>
            <w:pPr>
              <w:spacing w:after="0"/>
              <w:rPr>
                <w:sz w:val="17"/>
                <w:szCs w:val="17"/>
                <w:color w:val="auto"/>
              </w:rPr>
            </w:pPr>
          </w:p>
        </w:tc>
        <w:tc>
          <w:tcPr>
            <w:tcW w:w="11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CRE</w:t>
            </w:r>
          </w:p>
        </w:tc>
        <w:tc>
          <w:tcPr>
            <w:tcW w:w="220" w:type="dxa"/>
            <w:vAlign w:val="bottom"/>
          </w:tcPr>
          <w:p>
            <w:pPr>
              <w:spacing w:after="0"/>
              <w:rPr>
                <w:sz w:val="17"/>
                <w:szCs w:val="17"/>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Faith-based</w:t>
            </w:r>
          </w:p>
        </w:tc>
        <w:tc>
          <w:tcPr>
            <w:tcW w:w="240" w:type="dxa"/>
            <w:vAlign w:val="bottom"/>
          </w:tcPr>
          <w:p>
            <w:pPr>
              <w:spacing w:after="0"/>
              <w:rPr>
                <w:sz w:val="17"/>
                <w:szCs w:val="17"/>
                <w:color w:val="auto"/>
              </w:rPr>
            </w:pPr>
          </w:p>
        </w:tc>
        <w:tc>
          <w:tcPr>
            <w:tcW w:w="1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34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CRE</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72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4,635</w:t>
            </w:r>
          </w:p>
        </w:tc>
        <w:tc>
          <w:tcPr>
            <w:tcW w:w="36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5,717</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0" w:type="dxa"/>
            <w:vAlign w:val="bottom"/>
          </w:tcPr>
          <w:p>
            <w:pPr>
              <w:spacing w:after="0"/>
              <w:rPr>
                <w:sz w:val="1"/>
                <w:szCs w:val="1"/>
                <w:color w:val="auto"/>
              </w:rPr>
            </w:pPr>
          </w:p>
        </w:tc>
      </w:tr>
      <w:tr>
        <w:trPr>
          <w:trHeight w:val="250"/>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7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7"/>
        </w:trPr>
        <w:tc>
          <w:tcPr>
            <w:tcW w:w="35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72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5,034</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0" w:type="dxa"/>
            <w:vAlign w:val="bottom"/>
          </w:tcPr>
          <w:p>
            <w:pPr>
              <w:spacing w:after="0"/>
              <w:rPr>
                <w:sz w:val="1"/>
                <w:szCs w:val="1"/>
                <w:color w:val="auto"/>
              </w:rPr>
            </w:pPr>
          </w:p>
        </w:tc>
      </w:tr>
      <w:tr>
        <w:trPr>
          <w:trHeight w:val="257"/>
        </w:trPr>
        <w:tc>
          <w:tcPr>
            <w:tcW w:w="354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72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36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Recoveries</w:t>
            </w:r>
          </w:p>
        </w:tc>
        <w:tc>
          <w:tcPr>
            <w:tcW w:w="7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March 31, 2022</w:t>
            </w:r>
          </w:p>
        </w:tc>
        <w:tc>
          <w:tcPr>
            <w:tcW w:w="72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5,279</w:t>
            </w:r>
          </w:p>
        </w:tc>
        <w:tc>
          <w:tcPr>
            <w:tcW w:w="36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976</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5,864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credit losses during the period ended March 31, 2022 was primarily due to the increase in loan balances.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Commitments and Contingencies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 release of credit losses of $135,000 was recorded during the three months ended March 31, 2022 primarily due to a decrease in unfunded commitments. An allowance for unfunded commitments of $232,000 and $367,000 had been recorded at March 31, 2022 and December 31, 2021, respectively.</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March 31, 2022, the balances of unused loan commitments, standby and commercial letters of credit were $200,547,000, $12,297,000, and $1,208,000,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Stock-Based Compensation</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and Restated Omnibus Stock and Performance Compensation Plan (the “Omnibus Plan”) permits the issuance of up to 1,500,000 shares of the Company’s common stock in the form of stock options, SARs, restricted stock, restricted stock units and performance awards. The Company may issue shares out of treasury stock for these awards. During the three months ended March 31, 2022, 40,462 restricted shares, 57,542 performance-based restricted shares, and no SARs were granted under the Omnibus Plan. Stock-based compensation expense for the three months ended March 31, 2022 and 2021 was $1,090,000 and $693,000,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shares granted to Company employees are amortized to expense over a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2022, the total unrecognized compensation expense related to non-vested restricted shares was $2,625,000, and the related weighted-average period over which it is expected to be recognized is approximately 1.01 years.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is a summary of the activity of the Company's restricted stock for the three months ended March 31, 2022, with total shares and weighted average fair value: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30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180" w:type="dxa"/>
            <w:vAlign w:val="bottom"/>
          </w:tcPr>
          <w:p>
            <w:pPr>
              <w:spacing w:after="0"/>
              <w:rPr>
                <w:sz w:val="20"/>
                <w:szCs w:val="20"/>
                <w:color w:val="auto"/>
              </w:rPr>
            </w:pPr>
          </w:p>
        </w:tc>
        <w:tc>
          <w:tcPr>
            <w:tcW w:w="306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7"/>
        </w:trPr>
        <w:tc>
          <w:tcPr>
            <w:tcW w:w="81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165,553</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44.81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40,462</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57"/>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(21,836)</w:t>
            </w:r>
          </w:p>
        </w:tc>
        <w:tc>
          <w:tcPr>
            <w:tcW w:w="28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184,179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three-year performance-based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activity of the PBRS for the three months ended March 31, 2022, based on 100% of target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30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180" w:type="dxa"/>
            <w:vAlign w:val="bottom"/>
          </w:tcPr>
          <w:p>
            <w:pPr>
              <w:spacing w:after="0"/>
              <w:rPr>
                <w:sz w:val="20"/>
                <w:szCs w:val="20"/>
                <w:color w:val="auto"/>
              </w:rPr>
            </w:pPr>
          </w:p>
        </w:tc>
        <w:tc>
          <w:tcPr>
            <w:tcW w:w="306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7"/>
        </w:trPr>
        <w:tc>
          <w:tcPr>
            <w:tcW w:w="81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116,543</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46.79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57,542</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57"/>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(33,668)</w:t>
            </w:r>
          </w:p>
        </w:tc>
        <w:tc>
          <w:tcPr>
            <w:tcW w:w="28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140,417</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PBRS that vested during the three months ended March 31, 2022 were based on the Company's achievement of 52.9% of target financial goals, resulting in the issuance of 17,810 shares of common stock. The outstanding PBRS at March 31, 2022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SARs granted and no expense recognized during the three months ended March 31, 2022. Following is a summary of the activity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SARs program for the three months ended March 31,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76"/>
        </w:trPr>
        <w:tc>
          <w:tcPr>
            <w:tcW w:w="49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40"/>
        </w:trPr>
        <w:tc>
          <w:tcPr>
            <w:tcW w:w="4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vMerge w:val="restart"/>
          </w:tcPr>
          <w:p>
            <w:pPr>
              <w:jc w:val="center"/>
              <w:ind w:right="29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8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9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84"/>
        </w:trPr>
        <w:tc>
          <w:tcPr>
            <w:tcW w:w="4920" w:type="dxa"/>
            <w:vAlign w:val="bottom"/>
          </w:tcPr>
          <w:p>
            <w:pPr>
              <w:spacing w:after="0"/>
              <w:rPr>
                <w:sz w:val="16"/>
                <w:szCs w:val="16"/>
                <w:color w:val="auto"/>
              </w:rPr>
            </w:pPr>
          </w:p>
        </w:tc>
        <w:tc>
          <w:tcPr>
            <w:tcW w:w="15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16"/>
                <w:szCs w:val="16"/>
                <w:color w:val="auto"/>
              </w:rPr>
            </w:pPr>
          </w:p>
        </w:tc>
        <w:tc>
          <w:tcPr>
            <w:tcW w:w="1400" w:type="dxa"/>
            <w:vAlign w:val="bottom"/>
          </w:tcPr>
          <w:p>
            <w:pPr>
              <w:jc w:val="center"/>
              <w:ind w:right="290"/>
              <w:spacing w:after="0" w:line="184"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4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50"/>
        </w:trPr>
        <w:tc>
          <w:tcPr>
            <w:tcW w:w="49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117,089</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34.91</w:t>
            </w:r>
          </w:p>
        </w:tc>
        <w:tc>
          <w:tcPr>
            <w:tcW w:w="1480" w:type="dxa"/>
            <w:vAlign w:val="bottom"/>
            <w:shd w:val="clear" w:color="auto" w:fill="B6B6B6"/>
          </w:tcPr>
          <w:p>
            <w:pPr>
              <w:jc w:val="center"/>
              <w:ind w:left="95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(23,976)</w:t>
            </w: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27.78</w:t>
            </w:r>
          </w:p>
        </w:tc>
        <w:tc>
          <w:tcPr>
            <w:tcW w:w="148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5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93,113</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36.75</w:t>
            </w:r>
          </w:p>
        </w:tc>
        <w:tc>
          <w:tcPr>
            <w:tcW w:w="1480" w:type="dxa"/>
            <w:vAlign w:val="bottom"/>
            <w:tcBorders>
              <w:bottom w:val="single" w:sz="8" w:color="auto"/>
            </w:tcBorders>
            <w:shd w:val="clear" w:color="auto" w:fill="B6B6B6"/>
          </w:tcPr>
          <w:p>
            <w:pPr>
              <w:jc w:val="center"/>
              <w:ind w:left="95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non-vested SARs at March 31,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Defined Pension Plans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noncontributory defined-benefit pension plan (the “Plan”), which covers eligible employees. Effective December 31, 2016, the Plan was closed to all new participants. Additionally, the Plan’s benefits were frozen for all remaining participants as of February 28, 2021. As such, subsequent to February 28, 2021, there is no service cost associated with the Plan.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40" w:type="dxa"/>
            <w:vAlign w:val="bottom"/>
          </w:tcPr>
          <w:p>
            <w:pPr>
              <w:spacing w:after="0"/>
              <w:rPr>
                <w:sz w:val="17"/>
                <w:szCs w:val="17"/>
                <w:color w:val="auto"/>
              </w:rPr>
            </w:pP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7"/>
                <w:szCs w:val="17"/>
                <w:color w:val="auto"/>
              </w:rPr>
            </w:pPr>
          </w:p>
        </w:tc>
        <w:tc>
          <w:tcPr>
            <w:tcW w:w="12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Actual 2021</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auto"/>
            </w:tcBorders>
            <w:vMerge w:val="continue"/>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26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5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26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3,290</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263"/>
        </w:trPr>
        <w:tc>
          <w:tcPr>
            <w:tcW w:w="5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4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6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2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Net periodic pension benefit</w:t>
            </w:r>
          </w:p>
        </w:tc>
        <w:tc>
          <w:tcPr>
            <w:tcW w:w="26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net periodic benefit of $618,000 for the three-month period ended March 31, 2022, and net periodic pension cost of $273,000 for the three-month period ended March 31, 2021. Pension costs decreased during the three-month period ended March 31, 2022 due to the Plan being frozen as of February 28, 2021. The Company made no contributions to the Plan during the three-month period ended March 31, 2022 and is evaluating the amount of contributions, if any, for the remainder of 2022.</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2021 and an estimate for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41"/>
        </w:trPr>
        <w:tc>
          <w:tcPr>
            <w:tcW w:w="5760" w:type="dxa"/>
            <w:vAlign w:val="bottom"/>
            <w:tcBorders>
              <w:bottom w:val="single" w:sz="8" w:color="auto"/>
            </w:tcBorders>
            <w:vMerge w:val="continue"/>
          </w:tcPr>
          <w:p>
            <w:pPr>
              <w:spacing w:after="0"/>
              <w:rPr>
                <w:sz w:val="20"/>
                <w:szCs w:val="20"/>
                <w:color w:val="auto"/>
              </w:rPr>
            </w:pPr>
          </w:p>
        </w:tc>
        <w:tc>
          <w:tcPr>
            <w:tcW w:w="3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2"/>
        </w:trPr>
        <w:tc>
          <w:tcPr>
            <w:tcW w:w="5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3560" w:type="dxa"/>
            <w:vAlign w:val="bottom"/>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56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318</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7"/>
        </w:trPr>
        <w:tc>
          <w:tcPr>
            <w:tcW w:w="5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3560" w:type="dxa"/>
            <w:vAlign w:val="bottom"/>
            <w:tcBorders>
              <w:bottom w:val="single" w:sz="8" w:color="auto"/>
            </w:tcBorders>
            <w:shd w:val="clear" w:color="auto" w:fill="B6B6B6"/>
          </w:tcPr>
          <w:p>
            <w:pPr>
              <w:spacing w:after="0"/>
              <w:rPr>
                <w:sz w:val="22"/>
                <w:szCs w:val="22"/>
                <w:color w:val="auto"/>
              </w:rPr>
            </w:pPr>
          </w:p>
        </w:tc>
        <w:tc>
          <w:tcPr>
            <w:tcW w:w="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108</w:t>
            </w:r>
          </w:p>
        </w:tc>
        <w:tc>
          <w:tcPr>
            <w:tcW w:w="3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5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426</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Supplemental executive retirement plan costs recorded to expense were $107,000 and $160,000 for the three-month periods ended March 31, 2022 and 2021,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Income Taxes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was 19.6% and 17.7% for the three-month periods ended March 31, 2022 and 2021, respectively. The effective tax rate for all periods differs from the statutory rate of 21% primarily due to the tax-exempt interest received from municipal bonds and bank-owned life insurance, among other factors. The increase in the effective tax rate for the three-month period ended March 31, 2022 as compared to 2021 is primarily a result of taxable income being higher in the current period, which reduces the relative impact of the tax-exempt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Investment in Securities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category. The amortized cost, gross unrealized gains, gross unrealized losses and fair value of investment securities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0" w:type="dxa"/>
            <w:vAlign w:val="bottom"/>
          </w:tcPr>
          <w:p>
            <w:pPr>
              <w:spacing w:after="0"/>
              <w:rPr>
                <w:sz w:val="15"/>
                <w:szCs w:val="15"/>
                <w:color w:val="auto"/>
              </w:rPr>
            </w:pPr>
          </w:p>
        </w:tc>
        <w:tc>
          <w:tcPr>
            <w:tcW w:w="1080" w:type="dxa"/>
            <w:vAlign w:val="bottom"/>
            <w:gridSpan w:val="2"/>
          </w:tcPr>
          <w:p>
            <w:pPr>
              <w:jc w:val="center"/>
              <w:ind w:right="4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4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5"/>
                <w:szCs w:val="15"/>
                <w:color w:val="auto"/>
              </w:rPr>
            </w:pPr>
          </w:p>
        </w:tc>
        <w:tc>
          <w:tcPr>
            <w:tcW w:w="1200" w:type="dxa"/>
            <w:vAlign w:val="bottom"/>
            <w:gridSpan w:val="2"/>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140" w:type="dxa"/>
            <w:vAlign w:val="bottom"/>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347,450</w:t>
            </w:r>
          </w:p>
        </w:tc>
        <w:tc>
          <w:tcPr>
            <w:tcW w:w="6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1"/>
                <w:szCs w:val="21"/>
                <w:color w:val="auto"/>
              </w:rPr>
            </w:pPr>
          </w:p>
        </w:tc>
        <w:tc>
          <w:tcPr>
            <w:tcW w:w="8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2,417</w:t>
            </w:r>
          </w:p>
        </w:tc>
        <w:tc>
          <w:tcPr>
            <w:tcW w:w="32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1"/>
                <w:szCs w:val="21"/>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339,324</w:t>
            </w:r>
          </w:p>
        </w:tc>
        <w:tc>
          <w:tcPr>
            <w:tcW w:w="0" w:type="dxa"/>
            <w:vAlign w:val="bottom"/>
          </w:tcPr>
          <w:p>
            <w:pPr>
              <w:spacing w:after="0"/>
              <w:rPr>
                <w:sz w:val="1"/>
                <w:szCs w:val="1"/>
                <w:color w:val="auto"/>
              </w:rPr>
            </w:pPr>
          </w:p>
        </w:tc>
      </w:tr>
      <w:tr>
        <w:trPr>
          <w:trHeight w:val="21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205,522</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191,759</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700" w:type="dxa"/>
            <w:vAlign w:val="bottom"/>
            <w:shd w:val="clear" w:color="auto" w:fill="B6B6B6"/>
          </w:tcPr>
          <w:p>
            <w:pPr>
              <w:spacing w:after="0"/>
              <w:rPr>
                <w:sz w:val="22"/>
                <w:szCs w:val="22"/>
                <w:color w:val="auto"/>
              </w:rPr>
            </w:pP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96,516</w:t>
            </w:r>
          </w:p>
        </w:tc>
        <w:tc>
          <w:tcPr>
            <w:tcW w:w="6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8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2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91,195</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99,455</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99,587</w:t>
            </w:r>
          </w:p>
        </w:tc>
        <w:tc>
          <w:tcPr>
            <w:tcW w:w="0" w:type="dxa"/>
            <w:vAlign w:val="bottom"/>
          </w:tcPr>
          <w:p>
            <w:pPr>
              <w:spacing w:after="0"/>
              <w:rPr>
                <w:sz w:val="1"/>
                <w:szCs w:val="1"/>
                <w:color w:val="auto"/>
              </w:rPr>
            </w:pPr>
          </w:p>
        </w:tc>
      </w:tr>
      <w:tr>
        <w:trPr>
          <w:trHeight w:val="218"/>
        </w:trPr>
        <w:tc>
          <w:tcPr>
            <w:tcW w:w="5720" w:type="dxa"/>
            <w:vAlign w:val="bottom"/>
            <w:gridSpan w:val="6"/>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740" w:type="dxa"/>
            <w:vAlign w:val="bottom"/>
            <w:shd w:val="clear" w:color="auto" w:fill="B6B6B6"/>
          </w:tcPr>
          <w:p>
            <w:pPr>
              <w:spacing w:after="0"/>
              <w:rPr>
                <w:sz w:val="18"/>
                <w:szCs w:val="18"/>
                <w:color w:val="auto"/>
              </w:rPr>
            </w:pPr>
          </w:p>
        </w:tc>
        <w:tc>
          <w:tcPr>
            <w:tcW w:w="60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80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6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16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spacing w:after="0"/>
              <w:rPr>
                <w:sz w:val="20"/>
                <w:szCs w:val="20"/>
                <w:color w:val="auto"/>
              </w:rPr>
            </w:pPr>
          </w:p>
        </w:tc>
        <w:tc>
          <w:tcPr>
            <w:tcW w:w="240" w:type="dxa"/>
            <w:vAlign w:val="bottom"/>
            <w:tcBorders>
              <w:bottom w:val="single" w:sz="8" w:color="auto"/>
            </w:tcBorders>
            <w:shd w:val="clear" w:color="auto" w:fill="B6B6B6"/>
          </w:tcPr>
          <w:p>
            <w:pPr>
              <w:spacing w:after="0"/>
              <w:rPr>
                <w:sz w:val="20"/>
                <w:szCs w:val="20"/>
                <w:color w:val="auto"/>
              </w:rPr>
            </w:pPr>
          </w:p>
        </w:tc>
        <w:tc>
          <w:tcPr>
            <w:tcW w:w="440" w:type="dxa"/>
            <w:vAlign w:val="bottom"/>
            <w:tcBorders>
              <w:bottom w:val="single" w:sz="8" w:color="auto"/>
            </w:tcBorders>
            <w:shd w:val="clear" w:color="auto" w:fill="B6B6B6"/>
          </w:tcPr>
          <w:p>
            <w:pPr>
              <w:spacing w:after="0"/>
              <w:rPr>
                <w:sz w:val="20"/>
                <w:szCs w:val="20"/>
                <w:color w:val="auto"/>
              </w:rPr>
            </w:pPr>
          </w:p>
        </w:tc>
        <w:tc>
          <w:tcPr>
            <w:tcW w:w="700" w:type="dxa"/>
            <w:vAlign w:val="bottom"/>
            <w:tcBorders>
              <w:bottom w:val="single" w:sz="8" w:color="auto"/>
            </w:tcBorders>
            <w:shd w:val="clear" w:color="auto" w:fill="B6B6B6"/>
          </w:tcPr>
          <w:p>
            <w:pPr>
              <w:spacing w:after="0"/>
              <w:rPr>
                <w:sz w:val="20"/>
                <w:szCs w:val="20"/>
                <w:color w:val="auto"/>
              </w:rPr>
            </w:pPr>
          </w:p>
        </w:tc>
        <w:tc>
          <w:tcPr>
            <w:tcW w:w="7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53,983</w:t>
            </w:r>
          </w:p>
        </w:tc>
        <w:tc>
          <w:tcPr>
            <w:tcW w:w="600" w:type="dxa"/>
            <w:vAlign w:val="bottom"/>
            <w:tcBorders>
              <w:bottom w:val="single" w:sz="8" w:color="auto"/>
            </w:tcBorders>
            <w:shd w:val="clear" w:color="auto" w:fill="B6B6B6"/>
          </w:tcPr>
          <w:p>
            <w:pPr>
              <w:spacing w:after="0"/>
              <w:rPr>
                <w:sz w:val="20"/>
                <w:szCs w:val="20"/>
                <w:color w:val="auto"/>
              </w:rPr>
            </w:pPr>
          </w:p>
        </w:tc>
        <w:tc>
          <w:tcPr>
            <w:tcW w:w="280" w:type="dxa"/>
            <w:vAlign w:val="bottom"/>
            <w:tcBorders>
              <w:bottom w:val="single" w:sz="8" w:color="auto"/>
            </w:tcBorders>
            <w:shd w:val="clear" w:color="auto" w:fill="B6B6B6"/>
          </w:tcPr>
          <w:p>
            <w:pPr>
              <w:spacing w:after="0"/>
              <w:rPr>
                <w:sz w:val="20"/>
                <w:szCs w:val="20"/>
                <w:color w:val="auto"/>
              </w:rPr>
            </w:pPr>
          </w:p>
        </w:tc>
        <w:tc>
          <w:tcPr>
            <w:tcW w:w="80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spacing w:after="0"/>
              <w:rPr>
                <w:sz w:val="20"/>
                <w:szCs w:val="20"/>
                <w:color w:val="auto"/>
              </w:rPr>
            </w:pPr>
          </w:p>
        </w:tc>
        <w:tc>
          <w:tcPr>
            <w:tcW w:w="220" w:type="dxa"/>
            <w:vAlign w:val="bottom"/>
            <w:tcBorders>
              <w:bottom w:val="single" w:sz="8" w:color="auto"/>
            </w:tcBorders>
            <w:shd w:val="clear" w:color="auto" w:fill="B6B6B6"/>
          </w:tcPr>
          <w:p>
            <w:pPr>
              <w:spacing w:after="0"/>
              <w:rPr>
                <w:sz w:val="20"/>
                <w:szCs w:val="20"/>
                <w:color w:val="auto"/>
              </w:rPr>
            </w:pP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60" w:type="dxa"/>
            <w:vAlign w:val="bottom"/>
            <w:tcBorders>
              <w:bottom w:val="single" w:sz="8" w:color="auto"/>
            </w:tcBorders>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52,745</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802,926</w:t>
            </w: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2,549</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774,610</w:t>
            </w:r>
          </w:p>
        </w:tc>
        <w:tc>
          <w:tcPr>
            <w:tcW w:w="0" w:type="dxa"/>
            <w:vAlign w:val="bottom"/>
          </w:tcPr>
          <w:p>
            <w:pPr>
              <w:spacing w:after="0"/>
              <w:rPr>
                <w:sz w:val="1"/>
                <w:szCs w:val="1"/>
                <w:color w:val="auto"/>
              </w:rPr>
            </w:pPr>
          </w:p>
        </w:tc>
      </w:tr>
      <w:tr>
        <w:trPr>
          <w:trHeight w:val="547"/>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0" w:type="dxa"/>
            <w:vAlign w:val="bottom"/>
          </w:tcPr>
          <w:p>
            <w:pPr>
              <w:spacing w:after="0"/>
              <w:rPr>
                <w:sz w:val="15"/>
                <w:szCs w:val="15"/>
                <w:color w:val="auto"/>
              </w:rPr>
            </w:pPr>
          </w:p>
        </w:tc>
        <w:tc>
          <w:tcPr>
            <w:tcW w:w="1080" w:type="dxa"/>
            <w:vAlign w:val="bottom"/>
            <w:gridSpan w:val="2"/>
          </w:tcPr>
          <w:p>
            <w:pPr>
              <w:jc w:val="center"/>
              <w:ind w:right="4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4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5"/>
                <w:szCs w:val="15"/>
                <w:color w:val="auto"/>
              </w:rPr>
            </w:pPr>
          </w:p>
        </w:tc>
        <w:tc>
          <w:tcPr>
            <w:tcW w:w="1200" w:type="dxa"/>
            <w:vAlign w:val="bottom"/>
            <w:gridSpan w:val="2"/>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140" w:type="dxa"/>
            <w:vAlign w:val="bottom"/>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359,187</w:t>
            </w:r>
          </w:p>
        </w:tc>
        <w:tc>
          <w:tcPr>
            <w:tcW w:w="6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1"/>
                <w:szCs w:val="21"/>
                <w:color w:val="auto"/>
              </w:rPr>
            </w:pPr>
          </w:p>
        </w:tc>
        <w:tc>
          <w:tcPr>
            <w:tcW w:w="8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12,931</w:t>
            </w:r>
          </w:p>
        </w:tc>
        <w:tc>
          <w:tcPr>
            <w:tcW w:w="32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1"/>
                <w:szCs w:val="21"/>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371,128</w:t>
            </w:r>
          </w:p>
        </w:tc>
        <w:tc>
          <w:tcPr>
            <w:tcW w:w="0" w:type="dxa"/>
            <w:vAlign w:val="bottom"/>
          </w:tcPr>
          <w:p>
            <w:pPr>
              <w:spacing w:after="0"/>
              <w:rPr>
                <w:sz w:val="1"/>
                <w:szCs w:val="1"/>
                <w:color w:val="auto"/>
              </w:rPr>
            </w:pPr>
          </w:p>
        </w:tc>
      </w:tr>
      <w:tr>
        <w:trPr>
          <w:trHeight w:val="21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170,711</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168,646</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700" w:type="dxa"/>
            <w:vAlign w:val="bottom"/>
            <w:shd w:val="clear" w:color="auto" w:fill="B6B6B6"/>
          </w:tcPr>
          <w:p>
            <w:pPr>
              <w:spacing w:after="0"/>
              <w:rPr>
                <w:sz w:val="22"/>
                <w:szCs w:val="22"/>
                <w:color w:val="auto"/>
              </w:rPr>
            </w:pP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84,538</w:t>
            </w:r>
          </w:p>
        </w:tc>
        <w:tc>
          <w:tcPr>
            <w:tcW w:w="6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8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84,338</w:t>
            </w:r>
          </w:p>
        </w:tc>
        <w:tc>
          <w:tcPr>
            <w:tcW w:w="0" w:type="dxa"/>
            <w:vAlign w:val="bottom"/>
          </w:tcPr>
          <w:p>
            <w:pPr>
              <w:spacing w:after="0"/>
              <w:rPr>
                <w:sz w:val="1"/>
                <w:szCs w:val="1"/>
                <w:color w:val="auto"/>
              </w:rPr>
            </w:pPr>
          </w:p>
        </w:tc>
      </w:tr>
      <w:tr>
        <w:trPr>
          <w:trHeight w:val="211"/>
        </w:trPr>
        <w:tc>
          <w:tcPr>
            <w:tcW w:w="57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49,835</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49,341</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664,271</w:t>
            </w:r>
          </w:p>
        </w:tc>
        <w:tc>
          <w:tcPr>
            <w:tcW w:w="600" w:type="dxa"/>
            <w:vAlign w:val="bottom"/>
            <w:tcBorders>
              <w:bottom w:val="single" w:sz="8" w:color="auto"/>
            </w:tcBorders>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1"/>
                <w:szCs w:val="21"/>
                <w:color w:val="auto"/>
              </w:rPr>
            </w:pPr>
          </w:p>
        </w:tc>
        <w:tc>
          <w:tcPr>
            <w:tcW w:w="80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13,138</w:t>
            </w:r>
          </w:p>
        </w:tc>
        <w:tc>
          <w:tcPr>
            <w:tcW w:w="32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1"/>
                <w:szCs w:val="21"/>
                <w:color w:val="auto"/>
              </w:rPr>
            </w:pP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673,453</w:t>
            </w:r>
          </w:p>
        </w:tc>
        <w:tc>
          <w:tcPr>
            <w:tcW w:w="0" w:type="dxa"/>
            <w:vAlign w:val="bottom"/>
          </w:tcPr>
          <w:p>
            <w:pPr>
              <w:spacing w:after="0"/>
              <w:rPr>
                <w:sz w:val="1"/>
                <w:szCs w:val="1"/>
                <w:color w:val="auto"/>
              </w:rPr>
            </w:pPr>
          </w:p>
        </w:tc>
      </w:tr>
      <w:tr>
        <w:trPr>
          <w:trHeight w:val="486"/>
        </w:trPr>
        <w:tc>
          <w:tcPr>
            <w:tcW w:w="5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are as follows:</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gridSpan w:val="2"/>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340" w:type="dxa"/>
            <w:vAlign w:val="bottom"/>
            <w:gridSpan w:val="2"/>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2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127,246</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10,543</w:t>
            </w:r>
          </w:p>
        </w:tc>
        <w:tc>
          <w:tcPr>
            <w:tcW w:w="740" w:type="dxa"/>
            <w:vAlign w:val="bottom"/>
            <w:shd w:val="clear" w:color="auto" w:fill="B6B6B6"/>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6B6B6"/>
          </w:tcPr>
          <w:p>
            <w:pPr>
              <w:spacing w:after="0"/>
              <w:rPr>
                <w:sz w:val="21"/>
                <w:szCs w:val="21"/>
                <w:color w:val="auto"/>
              </w:rPr>
            </w:pPr>
          </w:p>
        </w:tc>
        <w:tc>
          <w:tcPr>
            <w:tcW w:w="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127,246</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175,387</w:t>
            </w:r>
          </w:p>
        </w:tc>
        <w:tc>
          <w:tcPr>
            <w:tcW w:w="240" w:type="dxa"/>
            <w:vAlign w:val="bottom"/>
          </w:tcPr>
          <w:p>
            <w:pPr>
              <w:spacing w:after="0"/>
              <w:rPr>
                <w:sz w:val="22"/>
                <w:szCs w:val="22"/>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11,937</w:t>
            </w:r>
          </w:p>
        </w:tc>
        <w:tc>
          <w:tcPr>
            <w:tcW w:w="7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2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20" w:type="dxa"/>
            <w:vAlign w:val="bottom"/>
          </w:tcPr>
          <w:p>
            <w:pPr>
              <w:spacing w:after="0"/>
              <w:rPr>
                <w:sz w:val="22"/>
                <w:szCs w:val="22"/>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191,760</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86,195</w:t>
            </w:r>
          </w:p>
        </w:tc>
        <w:tc>
          <w:tcPr>
            <w:tcW w:w="24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5,321</w:t>
            </w:r>
          </w:p>
        </w:tc>
        <w:tc>
          <w:tcPr>
            <w:tcW w:w="740" w:type="dxa"/>
            <w:vAlign w:val="bottom"/>
            <w:shd w:val="clear" w:color="auto" w:fill="B6B6B6"/>
          </w:tcPr>
          <w:p>
            <w:pPr>
              <w:spacing w:after="0"/>
              <w:rPr>
                <w:sz w:val="22"/>
                <w:szCs w:val="22"/>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800" w:type="dxa"/>
            <w:vAlign w:val="bottom"/>
            <w:shd w:val="clear" w:color="auto" w:fill="B6B6B6"/>
          </w:tcPr>
          <w:p>
            <w:pPr>
              <w:spacing w:after="0"/>
              <w:rPr>
                <w:sz w:val="22"/>
                <w:szCs w:val="22"/>
                <w:color w:val="auto"/>
              </w:rPr>
            </w:pPr>
          </w:p>
        </w:tc>
        <w:tc>
          <w:tcPr>
            <w:tcW w:w="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86,195</w:t>
            </w: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52,744</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1,238</w:t>
            </w:r>
          </w:p>
        </w:tc>
        <w:tc>
          <w:tcPr>
            <w:tcW w:w="7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52,744</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50"/>
        </w:trPr>
        <w:tc>
          <w:tcPr>
            <w:tcW w:w="30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441,572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29,039</w:t>
            </w:r>
          </w:p>
        </w:tc>
        <w:tc>
          <w:tcPr>
            <w:tcW w:w="740" w:type="dxa"/>
            <w:vAlign w:val="bottom"/>
            <w:tcBorders>
              <w:bottom w:val="single" w:sz="8" w:color="auto"/>
            </w:tcBorders>
            <w:shd w:val="clear" w:color="auto" w:fill="B6B6B6"/>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457,945</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30,865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0"/>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60,083</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60,083</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163,652</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c>
          <w:tcPr>
            <w:tcW w:w="240" w:type="dxa"/>
            <w:vAlign w:val="bottom"/>
          </w:tcPr>
          <w:p>
            <w:pPr>
              <w:spacing w:after="0"/>
              <w:rPr>
                <w:sz w:val="20"/>
                <w:szCs w:val="20"/>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163,652</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55,120</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55,120</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49,341</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49,341</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50"/>
        </w:trPr>
        <w:tc>
          <w:tcPr>
            <w:tcW w:w="30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328,196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3,956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328,196</w:t>
            </w:r>
          </w:p>
        </w:tc>
        <w:tc>
          <w:tcPr>
            <w:tcW w:w="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180 securities, or 49% (4 greater than 12 months), in an unrealized loss position as of March 31, 2022. The unrealized losses at March 31, 2022 were primarily attributable to changes in market interest rates after the securities were purchased. There were 101 securities, or 28% (0 greater than 12 months), in an unrealized loss position as of December 31, 2021. At March 31, 2022 and December 31, 2021, the Company had not recorded an allowance for credit losses on securities.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20,878</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21,011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237,759</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238,756</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229,359</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222,124</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314,930</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292,719</w:t>
            </w:r>
          </w:p>
        </w:tc>
      </w:tr>
      <w:tr>
        <w:trPr>
          <w:trHeight w:val="250"/>
        </w:trPr>
        <w:tc>
          <w:tcPr>
            <w:tcW w:w="81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802,926</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774,610</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$0 and $2,991,000 for the three months ended March 31, 2022 and 2021, respectively. Gross realized gains were $0 and $48 for the three months ended March 31, 2022 and 2021, respectively. There were no securities pledged to secure public deposits and for other purposes at March 31, 2022.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Note 12 – Fair Value of Financial Instruments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76"/>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15"/>
                <w:szCs w:val="15"/>
                <w:color w:val="auto"/>
              </w:rPr>
            </w:pPr>
          </w:p>
        </w:tc>
        <w:tc>
          <w:tcPr>
            <w:tcW w:w="124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26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assets:</w:t>
            </w:r>
          </w:p>
        </w:tc>
        <w:tc>
          <w:tcPr>
            <w:tcW w:w="26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191,449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191,449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514,928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514,928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774,610</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774,610</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673,453</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673,453</w:t>
            </w: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964,796</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948,526</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948,701</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7,302</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6,799</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1,938,157</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1,934,908</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2,143,706</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2,143,881</w:t>
            </w:r>
          </w:p>
        </w:tc>
        <w:tc>
          <w:tcPr>
            <w:tcW w:w="0" w:type="dxa"/>
            <w:vAlign w:val="bottom"/>
          </w:tcPr>
          <w:p>
            <w:pPr>
              <w:spacing w:after="0"/>
              <w:rPr>
                <w:sz w:val="1"/>
                <w:szCs w:val="1"/>
                <w:color w:val="auto"/>
              </w:rPr>
            </w:pPr>
          </w:p>
        </w:tc>
      </w:tr>
      <w:tr>
        <w:trPr>
          <w:trHeight w:val="256"/>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liabilities: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1,176,935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1,176,935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1,221,503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1,221,503</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989,733</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989,733</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1,050,396</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1,050,396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2,166,690</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2,166,690</w:t>
            </w:r>
          </w:p>
        </w:tc>
        <w:tc>
          <w:tcPr>
            <w:tcW w:w="10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2,271,915</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2,271,915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in Securities </w:t>
      </w:r>
      <w:r>
        <w:rPr>
          <w:rFonts w:ascii="Times New Roman" w:cs="Times New Roman" w:eastAsia="Times New Roman" w:hAnsi="Times New Roman"/>
          <w:sz w:val="18"/>
          <w:szCs w:val="18"/>
          <w:color w:val="auto"/>
        </w:rPr>
        <w:t>- The fair value is measured on a recurring basis using Level 2 valuations. Refer to Note 11, “Investment in Securities,” for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unrealized gains and losses by investment type.</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credit losses result in a fair valuation.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demand deposits, savings deposits and certain money market deposits is the amount payable on demand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Payable </w:t>
      </w:r>
      <w:r>
        <w:rPr>
          <w:rFonts w:ascii="Times New Roman" w:cs="Times New Roman" w:eastAsia="Times New Roman" w:hAnsi="Times New Roman"/>
          <w:sz w:val="18"/>
          <w:szCs w:val="18"/>
          <w:color w:val="auto"/>
        </w:rPr>
        <w:t>- The carrying amount approximates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Revenue from Contracts with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as the obligation to the customer is satisfied. The following is detail of the Company’s revenue from contracts with clients.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29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tc>
        <w:tc>
          <w:tcPr>
            <w:tcW w:w="0" w:type="dxa"/>
            <w:vAlign w:val="bottom"/>
          </w:tcPr>
          <w:p>
            <w:pPr>
              <w:spacing w:after="0"/>
              <w:rPr>
                <w:sz w:val="1"/>
                <w:szCs w:val="1"/>
                <w:color w:val="auto"/>
              </w:rPr>
            </w:pPr>
          </w:p>
        </w:tc>
      </w:tr>
      <w:tr>
        <w:trPr>
          <w:trHeight w:val="238"/>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320" w:type="dxa"/>
            <w:vAlign w:val="bottom"/>
            <w:shd w:val="clear" w:color="auto" w:fill="B6B6B6"/>
          </w:tcPr>
          <w:p>
            <w:pPr>
              <w:spacing w:after="0"/>
              <w:rPr>
                <w:sz w:val="22"/>
                <w:szCs w:val="22"/>
                <w:color w:val="auto"/>
              </w:rPr>
            </w:pPr>
          </w:p>
        </w:tc>
        <w:tc>
          <w:tcPr>
            <w:tcW w:w="1000" w:type="dxa"/>
            <w:vAlign w:val="bottom"/>
            <w:shd w:val="clear" w:color="auto" w:fill="B6B6B6"/>
          </w:tcPr>
          <w:p>
            <w:pPr>
              <w:spacing w:after="0"/>
              <w:rPr>
                <w:sz w:val="22"/>
                <w:szCs w:val="22"/>
                <w:color w:val="auto"/>
              </w:rPr>
            </w:pP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0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Processing fees</w:t>
            </w:r>
          </w:p>
        </w:tc>
        <w:tc>
          <w:tcPr>
            <w:tcW w:w="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19,036</w:t>
            </w:r>
          </w:p>
        </w:tc>
        <w:tc>
          <w:tcPr>
            <w:tcW w:w="460" w:type="dxa"/>
            <w:vAlign w:val="bottom"/>
            <w:gridSpan w:val="3"/>
            <w:shd w:val="clear" w:color="auto" w:fill="B6B6B6"/>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Financial fees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80" w:type="dxa"/>
            <w:vAlign w:val="bottom"/>
            <w:tcBorders>
              <w:bottom w:val="single" w:sz="8" w:color="B6B6B6"/>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320" w:type="dxa"/>
            <w:vAlign w:val="bottom"/>
            <w:shd w:val="clear" w:color="auto" w:fill="B6B6B6"/>
          </w:tcPr>
          <w:p>
            <w:pPr>
              <w:spacing w:after="0"/>
              <w:rPr>
                <w:sz w:val="22"/>
                <w:szCs w:val="22"/>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25,372</w:t>
            </w:r>
          </w:p>
        </w:tc>
        <w:tc>
          <w:tcPr>
            <w:tcW w:w="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Bank service fees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B6B6B6"/>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320" w:type="dxa"/>
            <w:vAlign w:val="bottom"/>
            <w:shd w:val="clear" w:color="auto" w:fill="B6B6B6"/>
          </w:tcPr>
          <w:p>
            <w:pPr>
              <w:spacing w:after="0"/>
              <w:rPr>
                <w:sz w:val="22"/>
                <w:szCs w:val="22"/>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29,997</w:t>
            </w: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B6B6B6"/>
            </w:tcBorders>
          </w:tcPr>
          <w:p>
            <w:pPr>
              <w:ind w:left="20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Borders>
              <w:bottom w:val="single" w:sz="8" w:color="B6B6B6"/>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auto"/>
            </w:tcBorders>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460" w:type="dxa"/>
            <w:vAlign w:val="bottom"/>
            <w:tcBorders>
              <w:bottom w:val="single" w:sz="8" w:color="auto"/>
            </w:tcBorders>
            <w:gridSpan w:val="3"/>
            <w:shd w:val="clear" w:color="auto" w:fill="B6B6B6"/>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80" w:type="dxa"/>
            <w:vAlign w:val="bottom"/>
            <w:tcBorders>
              <w:bottom w:val="single" w:sz="8" w:color="auto"/>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Leases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leases certain premises under operating leases. As of March 31, 2022, the Company had lease liabilities of $4,516,000 and right-of-use assets of $4,080,000. Lease liabilities and right-of-use assets are reflected in other liabilities and other assets, respectively. Presented within occupancy expense on the Consolidated Statements of Income for the three months ended March 31, 2022, operating lease cost was $400,000, short-term lease cost was $51,000, and there was no variable lease cost. At March 31, 2022, the weighted average remaining lease term for the operating leases was 6.0 years and the weighted average discount rate used in the measurement of operating lease liabilities was 5.35%. Certain of the Company’s leases contain options to renew the lease; however, these renewal options are not included in the calculation of the lease liabilities as they are not reasonably certain to be exercised. See the Company’s 2021 Annual Report on Form 10-K for information regarding these commitments.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March 31, 2022 is as follows:</w:t>
            </w: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820" w:type="dxa"/>
            <w:vAlign w:val="bottom"/>
          </w:tcPr>
          <w:p>
            <w:pPr>
              <w:spacing w:after="0"/>
              <w:rPr>
                <w:sz w:val="24"/>
                <w:szCs w:val="24"/>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2"/>
        </w:trPr>
        <w:tc>
          <w:tcPr>
            <w:tcW w:w="8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820" w:type="dxa"/>
            <w:vAlign w:val="bottom"/>
            <w:shd w:val="clear" w:color="auto" w:fill="B6B6B6"/>
          </w:tcPr>
          <w:p>
            <w:pPr>
              <w:spacing w:after="0"/>
              <w:rPr>
                <w:sz w:val="21"/>
                <w:szCs w:val="21"/>
                <w:color w:val="auto"/>
              </w:rPr>
            </w:pPr>
          </w:p>
        </w:tc>
        <w:tc>
          <w:tcPr>
            <w:tcW w:w="150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1 year</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63"/>
        </w:trPr>
        <w:tc>
          <w:tcPr>
            <w:tcW w:w="86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1-2 years</w:t>
            </w:r>
          </w:p>
        </w:tc>
        <w:tc>
          <w:tcPr>
            <w:tcW w:w="82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 years</w:t>
            </w: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63"/>
        </w:trPr>
        <w:tc>
          <w:tcPr>
            <w:tcW w:w="86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3-4 years</w:t>
            </w:r>
          </w:p>
        </w:tc>
        <w:tc>
          <w:tcPr>
            <w:tcW w:w="82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 years</w:t>
            </w: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Over 5 years</w:t>
            </w:r>
          </w:p>
        </w:tc>
        <w:tc>
          <w:tcPr>
            <w:tcW w:w="820" w:type="dxa"/>
            <w:vAlign w:val="bottom"/>
            <w:tcBorders>
              <w:bottom w:val="single" w:sz="8" w:color="auto"/>
            </w:tcBorders>
            <w:shd w:val="clear" w:color="auto" w:fill="B6B6B6"/>
          </w:tcPr>
          <w:p>
            <w:pPr>
              <w:spacing w:after="0"/>
              <w:rPr>
                <w:sz w:val="22"/>
                <w:szCs w:val="22"/>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5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Discount on cash flows</w:t>
            </w:r>
          </w:p>
        </w:tc>
        <w:tc>
          <w:tcPr>
            <w:tcW w:w="820" w:type="dxa"/>
            <w:vAlign w:val="bottom"/>
            <w:tcBorders>
              <w:bottom w:val="single" w:sz="8" w:color="auto"/>
            </w:tcBorders>
            <w:shd w:val="clear" w:color="auto" w:fill="B6B6B6"/>
          </w:tcPr>
          <w:p>
            <w:pPr>
              <w:spacing w:after="0"/>
              <w:rPr>
                <w:sz w:val="22"/>
                <w:szCs w:val="22"/>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three months ended March 31, 2022. At March 31, 2022, the Company has one lease that has not yet commenced, but is expected to create approximately $6,800,000 of additional lease liabilities and right-of-use assets for the Company. This lease is a 10-year lease and will commence in June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Subsequent Events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evaluated subsequent events after the consolidated balance sheet date of March 31, 2022. There were no events identified that would require additional disclosures to prevent the Company’s unaudited consolidated financial statements from being misleading.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4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Impact of COVID-19 on the Company’s Business</w:t>
      </w: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11, 2020, the World Health Organization (“WHO”) declared the outbreak of COVID-19 as a global pandemic. While the impact of COVID-19 is significantly lessened from March 2020, the ongoing impact, including restrictions imposed to combat its spread, could result in additional and prolonged business closures, supply chain disruptions, work restrictions and activity restrictions. The Company continues to closely monitor developments related to COVID-19 and remains subject to heightened business, operational, market, credit and other risks which may have an adverse effect on its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Cass provides payment and information processing services to large manufacturing, distribution and retail enterprises from its offices/locations in St. Louis, Missouri, Columbus, Ohio,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Cass solutions include a B2B payment platform for clients that require an agile fintech partner. Additionally, the Company offers an on-line platform to provide generosity services for faith-based and non-profit organizations. The Company’s bank subsidiary, the “Bank,” supports the Company’s payment operations. The Bank also provides banking services to its target markets, which include privately-owned businesses and faith-based ministries in the St. Louis metropolitan area as well as other selected cities in the United States.</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The Company also earns financial fees on a transaction level basis for invoice payment services when making customer payments. Financial fees include interchange revenue, foreign exchange fees and fees received through early payment of invoices. Fees are recognized at the point in time when the payment transactions are made, which is when the performance obligation is satisfied.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2021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management views Cass’ major opportunity as the continued expansion of its payment and information processing service offerings and customer base. Management intends to accomplish this by maintaining the Company’s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leadership position in applied technology, which when combined with the security and processing controls of the Bank, makes Cass unique in the industry.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Company performs periodic and systematic detailed reviews of its loan portfolio to determine management’s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three-month period ended March 31, 2022 (“First Quarter of 2022”) compared to the three-month period ended March 31, 2021 (“First Quarter of 2021”). The following discussion and analysis should be read in conjunction with the unaudited consolidated financial statements and related notes and with the statistical information and financial data appearing in this report, as well as in the Company’s 2021 Annual Report on Form 10-K. Results of operations for the First Quarter of 2022 are not necessarily indicative of the results to be attained for any other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300" w:type="dxa"/>
            <w:vAlign w:val="bottom"/>
          </w:tcPr>
          <w:p>
            <w:pPr>
              <w:spacing w:after="0"/>
              <w:rPr>
                <w:sz w:val="14"/>
                <w:szCs w:val="14"/>
                <w:color w:val="auto"/>
              </w:rPr>
            </w:pPr>
          </w:p>
        </w:tc>
        <w:tc>
          <w:tcPr>
            <w:tcW w:w="10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4"/>
                <w:szCs w:val="14"/>
                <w:color w:val="auto"/>
              </w:rPr>
            </w:pPr>
          </w:p>
        </w:tc>
        <w:tc>
          <w:tcPr>
            <w:tcW w:w="1320" w:type="dxa"/>
            <w:vAlign w:val="bottom"/>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10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31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shd w:val="clear" w:color="auto" w:fill="B6B6B6"/>
          </w:tcPr>
          <w:p>
            <w:pPr>
              <w:spacing w:after="0"/>
              <w:rPr>
                <w:sz w:val="21"/>
                <w:szCs w:val="21"/>
                <w:color w:val="auto"/>
              </w:rPr>
            </w:pP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7,071</w:t>
            </w:r>
          </w:p>
        </w:tc>
        <w:tc>
          <w:tcPr>
            <w:tcW w:w="100" w:type="dxa"/>
            <w:vAlign w:val="bottom"/>
            <w:shd w:val="clear" w:color="auto" w:fill="B6B6B6"/>
          </w:tcPr>
          <w:p>
            <w:pPr>
              <w:spacing w:after="0"/>
              <w:rPr>
                <w:sz w:val="21"/>
                <w:szCs w:val="21"/>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5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63"/>
        </w:trPr>
        <w:tc>
          <w:tcPr>
            <w:tcW w:w="31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Return on average assets</w:t>
            </w:r>
          </w:p>
        </w:tc>
        <w:tc>
          <w:tcPr>
            <w:tcW w:w="30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Return on average equity</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11.09 %</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processing and financial fees. As the Company provides its processing and payment services, it is compensated by service fees which are typically calculated on a per-item basis and by the accounts and drafts payable balances generated in the payment process which can be used to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generate interest income. In addition, the Company's fee revenue consists of financial fees which are generated through the payment process. Processing volumes, average payments in advance of funding, and fee revenue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14"/>
                <w:szCs w:val="14"/>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14"/>
                <w:szCs w:val="14"/>
                <w:color w:val="auto"/>
              </w:rPr>
            </w:pPr>
          </w:p>
        </w:tc>
        <w:tc>
          <w:tcPr>
            <w:tcW w:w="126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260" w:type="dxa"/>
            <w:vAlign w:val="bottom"/>
            <w:shd w:val="clear" w:color="auto" w:fill="B6B6B6"/>
          </w:tcPr>
          <w:p>
            <w:pPr>
              <w:spacing w:after="0"/>
              <w:rPr>
                <w:sz w:val="21"/>
                <w:szCs w:val="21"/>
                <w:color w:val="auto"/>
              </w:rPr>
            </w:pP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8,958</w:t>
            </w:r>
          </w:p>
        </w:tc>
        <w:tc>
          <w:tcPr>
            <w:tcW w:w="360" w:type="dxa"/>
            <w:vAlign w:val="bottom"/>
            <w:shd w:val="clear" w:color="auto" w:fill="B6B6B6"/>
          </w:tcPr>
          <w:p>
            <w:pPr>
              <w:spacing w:after="0"/>
              <w:rPr>
                <w:sz w:val="21"/>
                <w:szCs w:val="21"/>
                <w:color w:val="auto"/>
              </w:rPr>
            </w:pPr>
          </w:p>
        </w:tc>
        <w:tc>
          <w:tcPr>
            <w:tcW w:w="126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8,787</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10,855,180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7,904,639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Facility-related transaction volume*</w:t>
            </w: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6,640</w:t>
            </w:r>
          </w:p>
        </w:tc>
        <w:tc>
          <w:tcPr>
            <w:tcW w:w="36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6,996</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Facility-related dollar volume*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4,643,942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3,717,428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63"/>
        </w:trPr>
        <w:tc>
          <w:tcPr>
            <w:tcW w:w="33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payments in advance of funding $</w:t>
            </w: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279,479</w:t>
            </w:r>
          </w:p>
        </w:tc>
        <w:tc>
          <w:tcPr>
            <w:tcW w:w="36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177,295</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19,036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18,375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26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10,532</w:t>
            </w:r>
          </w:p>
        </w:tc>
        <w:tc>
          <w:tcPr>
            <w:tcW w:w="36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6,997</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*Includes energy, telecom and environmental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of 2022 compared to First Quarter of 2021:</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Processing fee revenue increased 3.6% driven by the 1.9% increase in transportation invoice volume and an increase in fees generated by our parcel payment services, partially offset by the decrease in facility-related transaction volume of 5.1%. Financial fee revenue increased 50.5%, attributable to the 37.3% and 24.9% increases in transportation and facility-related dollar volumes, respectively. The increase in dollar volumes contributed to a 57.6% increase in average payments in advance of funding, which is a significant driver of our financial fee revenue. The dramatic increase in transportation invoice dollar volume was driven by inflationary pressures, supply chain disruptions, fuel surcharges and scarcity in carrier supply, among other factors. Facility-related invoices decreased 5% while dollar volume increased 25%. The increase in facility-related dollar volume is primarily due to fewer pandemic-related restrictions in the restaurant, retail, and hospitality sectors, creating higher utility usage in addition to rising energy prices.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0" w:type="dxa"/>
            <w:vAlign w:val="bottom"/>
          </w:tcPr>
          <w:p>
            <w:pPr>
              <w:spacing w:after="0"/>
              <w:rPr>
                <w:sz w:val="14"/>
                <w:szCs w:val="14"/>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4"/>
                <w:szCs w:val="14"/>
                <w:color w:val="auto"/>
              </w:rPr>
            </w:pPr>
          </w:p>
        </w:tc>
        <w:tc>
          <w:tcPr>
            <w:tcW w:w="13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tcPr>
          <w:p>
            <w:pPr>
              <w:jc w:val="right"/>
              <w:ind w:right="43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228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22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earnings assets</w:t>
            </w:r>
          </w:p>
        </w:tc>
        <w:tc>
          <w:tcPr>
            <w:tcW w:w="36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2,122,915</w:t>
            </w:r>
          </w:p>
        </w:tc>
        <w:tc>
          <w:tcPr>
            <w:tcW w:w="52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1,891,395</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11"/>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interest-bearing</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593,057</w:t>
            </w:r>
          </w:p>
        </w:tc>
        <w:tc>
          <w:tcPr>
            <w:tcW w:w="52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552,906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63"/>
        </w:trPr>
        <w:tc>
          <w:tcPr>
            <w:tcW w:w="22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12,349</w:t>
            </w:r>
          </w:p>
        </w:tc>
        <w:tc>
          <w:tcPr>
            <w:tcW w:w="52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10,807</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18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2.36 %</w:t>
            </w:r>
          </w:p>
        </w:tc>
        <w:tc>
          <w:tcPr>
            <w:tcW w:w="24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2.32 %</w:t>
            </w:r>
          </w:p>
        </w:tc>
      </w:tr>
      <w:tr>
        <w:trPr>
          <w:trHeight w:val="263"/>
        </w:trPr>
        <w:tc>
          <w:tcPr>
            <w:tcW w:w="25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Yield on earning assets*</w:t>
            </w:r>
          </w:p>
        </w:tc>
        <w:tc>
          <w:tcPr>
            <w:tcW w:w="1860" w:type="dxa"/>
            <w:vAlign w:val="bottom"/>
            <w:shd w:val="clear" w:color="auto" w:fill="B6B6B6"/>
          </w:tcPr>
          <w:p>
            <w:pPr>
              <w:jc w:val="right"/>
              <w:ind w:right="490"/>
              <w:spacing w:after="0"/>
              <w:rPr>
                <w:sz w:val="20"/>
                <w:szCs w:val="20"/>
                <w:color w:val="auto"/>
              </w:rPr>
            </w:pPr>
            <w:r>
              <w:rPr>
                <w:rFonts w:ascii="Times New Roman" w:cs="Times New Roman" w:eastAsia="Times New Roman" w:hAnsi="Times New Roman"/>
                <w:sz w:val="18"/>
                <w:szCs w:val="18"/>
                <w:color w:val="auto"/>
              </w:rPr>
              <w:t>2.40 %</w:t>
            </w:r>
          </w:p>
        </w:tc>
        <w:tc>
          <w:tcPr>
            <w:tcW w:w="2440" w:type="dxa"/>
            <w:vAlign w:val="bottom"/>
            <w:shd w:val="clear" w:color="auto" w:fill="B6B6B6"/>
          </w:tcPr>
          <w:p>
            <w:pPr>
              <w:jc w:val="right"/>
              <w:ind w:right="1250"/>
              <w:spacing w:after="0"/>
              <w:rPr>
                <w:sz w:val="20"/>
                <w:szCs w:val="20"/>
                <w:color w:val="auto"/>
              </w:rPr>
            </w:pPr>
            <w:r>
              <w:rPr>
                <w:rFonts w:ascii="Times New Roman" w:cs="Times New Roman" w:eastAsia="Times New Roman" w:hAnsi="Times New Roman"/>
                <w:sz w:val="18"/>
                <w:szCs w:val="18"/>
                <w:color w:val="auto"/>
              </w:rPr>
              <w:t>2.39 %</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on interest-bearing</w:t>
            </w:r>
          </w:p>
        </w:tc>
        <w:tc>
          <w:tcPr>
            <w:tcW w:w="18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41"/>
        </w:trPr>
        <w:tc>
          <w:tcPr>
            <w:tcW w:w="2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8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.15 %</w:t>
            </w:r>
          </w:p>
        </w:tc>
        <w:tc>
          <w:tcPr>
            <w:tcW w:w="24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.24 %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on a tax-equivalent basis assuming a tax rate of 21% for both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of 2022 compared to First Quarter of 2021:</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earning assets increased $231,520,000, or 12.2%. The overall increase in average interest-earning asset balances was primarily due to increases in the investment and loan portfolios. Average investment securities increased $319,253,000, or 86.0%, as cash provided by increases in funding sources was utilized to purchase investment securities. Average loans increased $78,629,000 as organic growth in franchise, faith-based and other commercial and industrial loans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 than offset a $110,400,000 reduction in average PPP loans. The average balance of short-term investments decreased $166,362,000, or 26.0%, as available funds were deployed into investment securities and loans.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accounts and drafts payable increased $189,727,000, or 21.1%, for the First Quarter of 2022 and average interest-bearing liabilities increased $40,151,000, or 7.3%, compared to the First Quarter of 2021. The increase in average accounts and drafts payable was primarily driven by inflationary pressures, supply chain disruptions, fuel surcharges, and scarcity in carrier supply, which continues to drive prices higher. The increase in deposits was driven by significant liquidity in the economy resulting in higher deposit balances.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Tax-equivalent net interest income increased $1,542,000, or 14.3%, compared to the same period in the prior year driven by the 12.2% increase in average interest-earning assets and 4 basis point increase in the net interest margin from 2.32% to 2.36%.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changes in net interest income, please refer to the tables that follow.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189" w:lineRule="exact"/>
        <w:rPr>
          <w:sz w:val="20"/>
          <w:szCs w:val="20"/>
          <w:color w:val="auto"/>
        </w:rPr>
      </w:pPr>
    </w:p>
    <w:p>
      <w:pPr>
        <w:jc w:val="both"/>
        <w:ind w:firstLine="9"/>
        <w:spacing w:after="0" w:line="266"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First Quarter of 2022</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First Quarter of 2021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1"/>
                <w:szCs w:val="11"/>
                <w:color w:val="auto"/>
              </w:rPr>
            </w:pPr>
          </w:p>
        </w:tc>
        <w:tc>
          <w:tcPr>
            <w:tcW w:w="122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1"/>
                <w:szCs w:val="11"/>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1"/>
                <w:szCs w:val="11"/>
                <w:color w:val="auto"/>
              </w:rPr>
            </w:pPr>
          </w:p>
        </w:tc>
        <w:tc>
          <w:tcPr>
            <w:tcW w:w="122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color w:val="auto"/>
                <w:vertAlign w:val="superscript"/>
              </w:rPr>
              <w:t>1</w:t>
            </w: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959,851</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8,777</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881,222</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8,587</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w:t>
            </w: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395,233</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1,456</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82,746</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198</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18"/>
                <w:szCs w:val="18"/>
                <w:color w:val="auto"/>
                <w:vertAlign w:val="superscript"/>
              </w:rPr>
              <w:t>4</w:t>
            </w: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295,152</w:t>
            </w: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2,123</w:t>
            </w:r>
          </w:p>
        </w:tc>
        <w:tc>
          <w:tcPr>
            <w:tcW w:w="960" w:type="dxa"/>
            <w:vAlign w:val="bottom"/>
            <w:shd w:val="clear" w:color="auto" w:fill="B6B6B6"/>
          </w:tcPr>
          <w:p>
            <w:pPr>
              <w:jc w:val="right"/>
              <w:ind w:right="108"/>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288,386</w:t>
            </w: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2,201</w:t>
            </w:r>
          </w:p>
        </w:tc>
        <w:tc>
          <w:tcPr>
            <w:tcW w:w="980" w:type="dxa"/>
            <w:vAlign w:val="bottom"/>
            <w:shd w:val="clear" w:color="auto" w:fill="B6B6B6"/>
          </w:tcPr>
          <w:p>
            <w:pPr>
              <w:jc w:val="right"/>
              <w:ind w:right="108"/>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472,679</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216</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639,041</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152</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2,122,915</w:t>
            </w:r>
          </w:p>
        </w:tc>
        <w:tc>
          <w:tcPr>
            <w:tcW w:w="340" w:type="dxa"/>
            <w:vAlign w:val="bottom"/>
            <w:tcBorders>
              <w:bottom w:val="single" w:sz="8" w:color="B6B6B6"/>
            </w:tcBorders>
            <w:shd w:val="clear" w:color="auto" w:fill="B6B6B6"/>
          </w:tcPr>
          <w:p>
            <w:pPr>
              <w:spacing w:after="0"/>
              <w:rPr>
                <w:sz w:val="16"/>
                <w:szCs w:val="16"/>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12,572</w:t>
            </w:r>
          </w:p>
        </w:tc>
        <w:tc>
          <w:tcPr>
            <w:tcW w:w="960" w:type="dxa"/>
            <w:vAlign w:val="bottom"/>
            <w:tcBorders>
              <w:bottom w:val="single" w:sz="8" w:color="B6B6B6"/>
            </w:tcBorders>
            <w:shd w:val="clear" w:color="auto" w:fill="B6B6B6"/>
          </w:tcPr>
          <w:p>
            <w:pPr>
              <w:jc w:val="right"/>
              <w:ind w:right="10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1,891,395</w:t>
            </w:r>
          </w:p>
        </w:tc>
        <w:tc>
          <w:tcPr>
            <w:tcW w:w="340" w:type="dxa"/>
            <w:vAlign w:val="bottom"/>
            <w:tcBorders>
              <w:bottom w:val="single" w:sz="8" w:color="B6B6B6"/>
            </w:tcBorders>
            <w:shd w:val="clear" w:color="auto" w:fill="B6B6B6"/>
          </w:tcPr>
          <w:p>
            <w:pPr>
              <w:spacing w:after="0"/>
              <w:rPr>
                <w:sz w:val="16"/>
                <w:szCs w:val="16"/>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11,138</w:t>
            </w:r>
          </w:p>
        </w:tc>
        <w:tc>
          <w:tcPr>
            <w:tcW w:w="980" w:type="dxa"/>
            <w:vAlign w:val="bottom"/>
            <w:tcBorders>
              <w:bottom w:val="single" w:sz="8" w:color="B6B6B6"/>
            </w:tcBorders>
            <w:shd w:val="clear" w:color="auto" w:fill="B6B6B6"/>
          </w:tcPr>
          <w:p>
            <w:pPr>
              <w:jc w:val="right"/>
              <w:ind w:right="108"/>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22,781</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20,344</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18,706</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43,167</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17,920</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16,772</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17,598</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315,968</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231,196</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(12,046)</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(11,956)</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2,528,263</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2,184,567</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18"/>
                <w:szCs w:val="18"/>
                <w:b w:val="1"/>
                <w:bCs w:val="1"/>
                <w:color w:val="auto"/>
                <w:vertAlign w:val="superscript"/>
              </w:rPr>
              <w:t>1</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530,491</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136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475,212</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151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17,488</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w:t>
            </w:r>
          </w:p>
        </w:tc>
        <w:tc>
          <w:tcPr>
            <w:tcW w:w="960" w:type="dxa"/>
            <w:vAlign w:val="bottom"/>
            <w:tcBorders>
              <w:bottom w:val="single" w:sz="8" w:color="B6B6B6"/>
            </w:tcBorders>
            <w:shd w:val="clear" w:color="auto" w:fill="B6B6B6"/>
          </w:tcPr>
          <w:p>
            <w:pPr>
              <w:jc w:val="right"/>
              <w:ind w:right="108"/>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21,800</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w:t>
            </w:r>
          </w:p>
        </w:tc>
        <w:tc>
          <w:tcPr>
            <w:tcW w:w="980" w:type="dxa"/>
            <w:vAlign w:val="bottom"/>
            <w:tcBorders>
              <w:bottom w:val="single" w:sz="8" w:color="B6B6B6"/>
            </w:tcBorders>
            <w:shd w:val="clear" w:color="auto" w:fill="B6B6B6"/>
          </w:tcPr>
          <w:p>
            <w:pPr>
              <w:jc w:val="right"/>
              <w:ind w:right="108"/>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17,928</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41</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24,505</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83</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27,150</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44</w:t>
            </w:r>
          </w:p>
        </w:tc>
        <w:tc>
          <w:tcPr>
            <w:tcW w:w="960" w:type="dxa"/>
            <w:vAlign w:val="bottom"/>
            <w:tcBorders>
              <w:bottom w:val="single" w:sz="8" w:color="B6B6B6"/>
            </w:tcBorders>
            <w:shd w:val="clear" w:color="auto" w:fill="B6B6B6"/>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31,379</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94</w:t>
            </w:r>
          </w:p>
        </w:tc>
        <w:tc>
          <w:tcPr>
            <w:tcW w:w="980" w:type="dxa"/>
            <w:vAlign w:val="bottom"/>
            <w:tcBorders>
              <w:bottom w:val="single" w:sz="8" w:color="B6B6B6"/>
            </w:tcBorders>
            <w:shd w:val="clear" w:color="auto" w:fill="B6B6B6"/>
          </w:tcPr>
          <w:p>
            <w:pPr>
              <w:jc w:val="right"/>
              <w:ind w:right="108"/>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593,057</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223</w:t>
            </w:r>
          </w:p>
        </w:tc>
        <w:tc>
          <w:tcPr>
            <w:tcW w:w="9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552,896</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331</w:t>
            </w:r>
          </w:p>
        </w:tc>
        <w:tc>
          <w:tcPr>
            <w:tcW w:w="9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Borders>
              <w:bottom w:val="single" w:sz="8" w:color="B6B6B6"/>
            </w:tcBorders>
            <w:shd w:val="clear" w:color="auto" w:fill="B6B6B6"/>
          </w:tcPr>
          <w:p>
            <w:pPr>
              <w:spacing w:after="0"/>
              <w:rPr>
                <w:sz w:val="19"/>
                <w:szCs w:val="19"/>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B6B6B6"/>
            </w:tcBorders>
            <w:shd w:val="clear" w:color="auto" w:fill="B6B6B6"/>
          </w:tcPr>
          <w:p>
            <w:pPr>
              <w:spacing w:after="0"/>
              <w:rPr>
                <w:sz w:val="19"/>
                <w:szCs w:val="19"/>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B6B6B6"/>
            </w:tcBorders>
            <w:gridSpan w:val="2"/>
            <w:shd w:val="clear" w:color="auto" w:fill="B6B6B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B6B6B6"/>
            </w:tcBorders>
            <w:shd w:val="clear" w:color="auto" w:fill="B6B6B6"/>
          </w:tcPr>
          <w:p>
            <w:pPr>
              <w:spacing w:after="0"/>
              <w:rPr>
                <w:sz w:val="19"/>
                <w:szCs w:val="19"/>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tcBorders>
              <w:bottom w:val="single" w:sz="8" w:color="B6B6B6"/>
            </w:tcBorders>
            <w:shd w:val="clear" w:color="auto" w:fill="B6B6B6"/>
          </w:tcPr>
          <w:p>
            <w:pPr>
              <w:spacing w:after="0"/>
              <w:rPr>
                <w:sz w:val="19"/>
                <w:szCs w:val="19"/>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B6B6B6"/>
            </w:tcBorders>
            <w:shd w:val="clear" w:color="auto" w:fill="B6B6B6"/>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593,057</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223</w:t>
            </w:r>
          </w:p>
        </w:tc>
        <w:tc>
          <w:tcPr>
            <w:tcW w:w="9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552,906</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331</w:t>
            </w:r>
          </w:p>
        </w:tc>
        <w:tc>
          <w:tcPr>
            <w:tcW w:w="9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574,064</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417,942</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1,088,105</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898,378</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37,317</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56,646</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2,292,543</w:t>
            </w:r>
          </w:p>
        </w:tc>
        <w:tc>
          <w:tcPr>
            <w:tcW w:w="340" w:type="dxa"/>
            <w:vAlign w:val="bottom"/>
            <w:tcBorders>
              <w:bottom w:val="single" w:sz="8" w:color="B6B6B6"/>
            </w:tcBorders>
            <w:shd w:val="clear" w:color="auto" w:fill="B6B6B6"/>
          </w:tcPr>
          <w:p>
            <w:pPr>
              <w:spacing w:after="0"/>
              <w:rPr>
                <w:sz w:val="16"/>
                <w:szCs w:val="16"/>
                <w:color w:val="auto"/>
              </w:rPr>
            </w:pPr>
          </w:p>
        </w:tc>
        <w:tc>
          <w:tcPr>
            <w:tcW w:w="1220" w:type="dxa"/>
            <w:vAlign w:val="bottom"/>
            <w:tcBorders>
              <w:bottom w:val="single" w:sz="8" w:color="B6B6B6"/>
            </w:tcBorders>
            <w:shd w:val="clear" w:color="auto" w:fill="B6B6B6"/>
          </w:tcPr>
          <w:p>
            <w:pPr>
              <w:spacing w:after="0"/>
              <w:rPr>
                <w:sz w:val="16"/>
                <w:szCs w:val="16"/>
                <w:color w:val="auto"/>
              </w:rPr>
            </w:pPr>
          </w:p>
        </w:tc>
        <w:tc>
          <w:tcPr>
            <w:tcW w:w="96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1,925,872</w:t>
            </w:r>
          </w:p>
        </w:tc>
        <w:tc>
          <w:tcPr>
            <w:tcW w:w="340" w:type="dxa"/>
            <w:vAlign w:val="bottom"/>
            <w:tcBorders>
              <w:bottom w:val="single" w:sz="8" w:color="B6B6B6"/>
            </w:tcBorders>
            <w:shd w:val="clear" w:color="auto" w:fill="B6B6B6"/>
          </w:tcPr>
          <w:p>
            <w:pPr>
              <w:spacing w:after="0"/>
              <w:rPr>
                <w:sz w:val="16"/>
                <w:szCs w:val="16"/>
                <w:color w:val="auto"/>
              </w:rPr>
            </w:pPr>
          </w:p>
        </w:tc>
        <w:tc>
          <w:tcPr>
            <w:tcW w:w="1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235,720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258,695</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2,528,263</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2,184,567</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12,349</w:t>
            </w: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10,807</w:t>
            </w: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55" w:lineRule="exact"/>
        <w:rPr>
          <w:rFonts w:ascii="Times New Roman" w:cs="Times New Roman" w:eastAsia="Times New Roman" w:hAnsi="Times New Roman"/>
          <w:sz w:val="14"/>
          <w:szCs w:val="14"/>
          <w:color w:val="auto"/>
        </w:rPr>
      </w:pPr>
    </w:p>
    <w:p>
      <w:pPr>
        <w:ind w:left="340" w:right="320" w:hanging="332"/>
        <w:spacing w:after="0" w:line="23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on loans includes net loan fees of $225,000 and $901,000 for the First Quarter of 2022 and 2021, respectively. The decrease in net loan fees is due to higher PPP fees in 2021.</w:t>
      </w: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42" w:lineRule="exact"/>
        <w:rPr>
          <w:rFonts w:ascii="Times New Roman" w:cs="Times New Roman" w:eastAsia="Times New Roman" w:hAnsi="Times New Roman"/>
          <w:sz w:val="14"/>
          <w:szCs w:val="14"/>
          <w:color w:val="auto"/>
        </w:rPr>
      </w:pPr>
    </w:p>
    <w:p>
      <w:pPr>
        <w:ind w:left="340" w:right="100" w:hanging="332"/>
        <w:spacing w:after="0" w:line="23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is presented on a tax-equivalent basis assuming a tax rate of 21% for both 2022 and 2021. The tax-equivalent adjustment was approximately $446,000 and $462,000 for the First Quarter of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First Quarter of 2022 Compared to First Quarter of</w:t>
            </w:r>
          </w:p>
        </w:tc>
        <w:tc>
          <w:tcPr>
            <w:tcW w:w="0" w:type="dxa"/>
            <w:vAlign w:val="bottom"/>
          </w:tcPr>
          <w:p>
            <w:pPr>
              <w:spacing w:after="0"/>
              <w:rPr>
                <w:sz w:val="1"/>
                <w:szCs w:val="1"/>
                <w:color w:val="auto"/>
              </w:rPr>
            </w:pPr>
          </w:p>
        </w:tc>
      </w:tr>
      <w:tr>
        <w:trPr>
          <w:trHeight w:val="238"/>
        </w:trPr>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7"/>
        </w:trPr>
        <w:tc>
          <w:tcPr>
            <w:tcW w:w="70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2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0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50"/>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0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1,101</w:t>
            </w: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57"/>
        </w:trPr>
        <w:tc>
          <w:tcPr>
            <w:tcW w:w="700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bottom w:val="single" w:sz="8" w:color="auto"/>
            </w:tcBorders>
            <w:shd w:val="clear" w:color="auto" w:fill="B6B6B6"/>
          </w:tcPr>
          <w:p>
            <w:pPr>
              <w:spacing w:after="0"/>
              <w:rPr>
                <w:sz w:val="21"/>
                <w:szCs w:val="21"/>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Borders>
              <w:bottom w:val="single" w:sz="8" w:color="auto"/>
            </w:tcBorders>
            <w:shd w:val="clear" w:color="auto" w:fill="B6B6B6"/>
          </w:tcPr>
          <w:p>
            <w:pPr>
              <w:spacing w:after="0"/>
              <w:rPr>
                <w:sz w:val="21"/>
                <w:szCs w:val="21"/>
                <w:color w:val="auto"/>
              </w:rPr>
            </w:pP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Borders>
              <w:bottom w:val="single" w:sz="8" w:color="auto"/>
            </w:tcBorders>
            <w:shd w:val="clear" w:color="auto" w:fill="B6B6B6"/>
          </w:tcPr>
          <w:p>
            <w:pPr>
              <w:spacing w:after="0"/>
              <w:rPr>
                <w:sz w:val="21"/>
                <w:szCs w:val="21"/>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1,842</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57"/>
        </w:trPr>
        <w:tc>
          <w:tcPr>
            <w:tcW w:w="70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expense on:</w:t>
            </w:r>
          </w:p>
        </w:tc>
        <w:tc>
          <w:tcPr>
            <w:tcW w:w="12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3"/>
        </w:trPr>
        <w:tc>
          <w:tcPr>
            <w:tcW w:w="700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2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7"/>
        </w:trPr>
        <w:tc>
          <w:tcPr>
            <w:tcW w:w="700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2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1,857</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27" w:lineRule="exact"/>
        <w:rPr>
          <w:rFonts w:ascii="Times New Roman" w:cs="Times New Roman" w:eastAsia="Times New Roman" w:hAnsi="Times New Roman"/>
          <w:sz w:val="14"/>
          <w:szCs w:val="14"/>
          <w:color w:val="auto"/>
        </w:rPr>
      </w:pPr>
    </w:p>
    <w:p>
      <w:pPr>
        <w:ind w:left="340" w:hanging="332"/>
        <w:spacing w:after="0" w:line="23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is presented on a tax-equivalent basis assuming a tax rate of 21% for the First Quarter of 2022 and 2021.</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Credit Losses and Allowance for Unfunded Commitments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provision for credit losses and off-balance sheet credit exposures of $230,000, and release of credit losses of $600,000 in the First Quarter of 2022 and 2021, respectively. The amount of the provision for (release of) credit losses is derived from the Company’s quarterly Current Expected Credit Loss (“CECL”) model. The amount of the provision for (release of) credit losses will fluctuate as determined by these quarterly analyses. The provision for credit losses in the First Quarter of 2022 was primarily due to loan growth and the related impact in the CECL model.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net loan recoveries of $0 in the First Quarter of 2022 and $17,000 in the First Quarter of 2021.</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was $12,406,000 at March 31, 2022 compared to $12,041,000 at December 31, 2021. The ACL represented 1.27% of outstanding loans at March 31, 2022 and 1.25% of outstanding loans at December 31, 2021. The allowance for unfunded commitments was $232,000 at March 31, 2022 and $367,000 at December 31, 2021. There were no nonperforming loans outstanding at March 31, 2022 or December 31, 2021.</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Credit Loss Experience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provision for (release of) credit losses and analysis of the ACL:</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w w:val="98"/>
              </w:rPr>
              <w:t>First Quarter of</w:t>
            </w:r>
          </w:p>
        </w:tc>
        <w:tc>
          <w:tcPr>
            <w:tcW w:w="94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3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57"/>
        </w:trPr>
        <w:tc>
          <w:tcPr>
            <w:tcW w:w="52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4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12,041</w:t>
            </w:r>
          </w:p>
        </w:tc>
        <w:tc>
          <w:tcPr>
            <w:tcW w:w="62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11,944</w:t>
            </w:r>
          </w:p>
        </w:tc>
      </w:tr>
      <w:tr>
        <w:trPr>
          <w:trHeight w:val="25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34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365</w:t>
            </w:r>
          </w:p>
        </w:tc>
        <w:tc>
          <w:tcPr>
            <w:tcW w:w="62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(240)</w:t>
            </w:r>
          </w:p>
        </w:tc>
      </w:tr>
      <w:tr>
        <w:trPr>
          <w:trHeight w:val="263"/>
        </w:trPr>
        <w:tc>
          <w:tcPr>
            <w:tcW w:w="52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Loans charged off</w:t>
            </w:r>
          </w:p>
        </w:tc>
        <w:tc>
          <w:tcPr>
            <w:tcW w:w="34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B6B6B6"/>
          </w:tcPr>
          <w:p>
            <w:pPr>
              <w:spacing w:after="0"/>
              <w:rPr>
                <w:sz w:val="22"/>
                <w:szCs w:val="22"/>
                <w:color w:val="auto"/>
              </w:rPr>
            </w:pPr>
          </w:p>
        </w:tc>
        <w:tc>
          <w:tcPr>
            <w:tcW w:w="9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Recoveries on loans previously charged off</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52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recoveries</w:t>
            </w:r>
          </w:p>
        </w:tc>
        <w:tc>
          <w:tcPr>
            <w:tcW w:w="34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B6B6B6"/>
          </w:tcPr>
          <w:p>
            <w:pPr>
              <w:spacing w:after="0"/>
              <w:rPr>
                <w:sz w:val="22"/>
                <w:szCs w:val="22"/>
                <w:color w:val="auto"/>
              </w:rPr>
            </w:pPr>
          </w:p>
        </w:tc>
        <w:tc>
          <w:tcPr>
            <w:tcW w:w="9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12,406</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11,721</w:t>
            </w:r>
          </w:p>
        </w:tc>
      </w:tr>
      <w:tr>
        <w:trPr>
          <w:trHeight w:val="257"/>
        </w:trPr>
        <w:tc>
          <w:tcPr>
            <w:tcW w:w="52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beginning of Period</w:t>
            </w:r>
          </w:p>
        </w:tc>
        <w:tc>
          <w:tcPr>
            <w:tcW w:w="34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367</w:t>
            </w:r>
          </w:p>
        </w:tc>
        <w:tc>
          <w:tcPr>
            <w:tcW w:w="62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567</w:t>
            </w:r>
          </w:p>
        </w:tc>
      </w:tr>
      <w:tr>
        <w:trPr>
          <w:trHeight w:val="250"/>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Release of credit losses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(135)</w:t>
            </w: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(360)</w:t>
            </w:r>
          </w:p>
        </w:tc>
      </w:tr>
      <w:tr>
        <w:trPr>
          <w:trHeight w:val="250"/>
        </w:trPr>
        <w:tc>
          <w:tcPr>
            <w:tcW w:w="52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end of period</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232</w:t>
            </w:r>
          </w:p>
        </w:tc>
        <w:tc>
          <w:tcPr>
            <w:tcW w:w="620" w:type="dxa"/>
            <w:vAlign w:val="bottom"/>
            <w:tcBorders>
              <w:bottom w:val="single" w:sz="8" w:color="auto"/>
            </w:tcBorders>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r>
      <w:tr>
        <w:trPr>
          <w:trHeight w:val="257"/>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outstanding:</w:t>
            </w: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6"/>
        </w:trPr>
        <w:tc>
          <w:tcPr>
            <w:tcW w:w="526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Average</w:t>
            </w:r>
          </w:p>
        </w:tc>
        <w:tc>
          <w:tcPr>
            <w:tcW w:w="34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959,851</w:t>
            </w:r>
          </w:p>
        </w:tc>
        <w:tc>
          <w:tcPr>
            <w:tcW w:w="62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881,222</w:t>
            </w:r>
          </w:p>
        </w:tc>
      </w:tr>
      <w:tr>
        <w:trPr>
          <w:trHeight w:val="250"/>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w:t>
            </w:r>
          </w:p>
        </w:tc>
        <w:tc>
          <w:tcPr>
            <w:tcW w:w="34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977,203</w:t>
            </w:r>
          </w:p>
        </w:tc>
        <w:tc>
          <w:tcPr>
            <w:tcW w:w="6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888,575</w:t>
            </w:r>
          </w:p>
        </w:tc>
      </w:tr>
      <w:tr>
        <w:trPr>
          <w:trHeight w:val="263"/>
        </w:trPr>
        <w:tc>
          <w:tcPr>
            <w:tcW w:w="52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Ratio of ACL to loans outstanding:</w:t>
            </w:r>
          </w:p>
        </w:tc>
        <w:tc>
          <w:tcPr>
            <w:tcW w:w="34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620" w:type="dxa"/>
            <w:vAlign w:val="bottom"/>
            <w:shd w:val="clear" w:color="auto" w:fill="B6B6B6"/>
          </w:tcPr>
          <w:p>
            <w:pPr>
              <w:spacing w:after="0"/>
              <w:rPr>
                <w:sz w:val="22"/>
                <w:szCs w:val="22"/>
                <w:color w:val="auto"/>
              </w:rPr>
            </w:pPr>
          </w:p>
        </w:tc>
        <w:tc>
          <w:tcPr>
            <w:tcW w:w="940" w:type="dxa"/>
            <w:vAlign w:val="bottom"/>
            <w:shd w:val="clear" w:color="auto" w:fill="B6B6B6"/>
          </w:tcPr>
          <w:p>
            <w:pPr>
              <w:spacing w:after="0"/>
              <w:rPr>
                <w:sz w:val="22"/>
                <w:szCs w:val="22"/>
                <w:color w:val="auto"/>
              </w:rPr>
            </w:pPr>
          </w:p>
        </w:tc>
      </w:tr>
      <w:tr>
        <w:trPr>
          <w:trHeight w:val="250"/>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57"/>
        </w:trPr>
        <w:tc>
          <w:tcPr>
            <w:tcW w:w="5260" w:type="dxa"/>
            <w:vAlign w:val="bottom"/>
            <w:tcBorders>
              <w:bottom w:val="single" w:sz="8" w:color="auto"/>
            </w:tcBorders>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March 31</w:t>
            </w:r>
          </w:p>
        </w:tc>
        <w:tc>
          <w:tcPr>
            <w:tcW w:w="34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620" w:type="dxa"/>
            <w:vAlign w:val="bottom"/>
            <w:tcBorders>
              <w:bottom w:val="single" w:sz="8" w:color="auto"/>
            </w:tcBorders>
            <w:shd w:val="clear" w:color="auto" w:fill="B6B6B6"/>
          </w:tcPr>
          <w:p>
            <w:pPr>
              <w:spacing w:after="0"/>
              <w:rPr>
                <w:sz w:val="22"/>
                <w:szCs w:val="22"/>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1.32 %</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for the First Quarter of 2022 were up 11.6%, or $3,303,000, compared to the First Quarter of 2021. The following table details the components of operating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120" w:type="dxa"/>
            <w:vAlign w:val="bottom"/>
            <w:tcBorders>
              <w:bottom w:val="single" w:sz="8" w:color="auto"/>
            </w:tcBorders>
          </w:tcPr>
          <w:p>
            <w:pPr>
              <w:spacing w:after="0"/>
              <w:rPr>
                <w:sz w:val="20"/>
                <w:szCs w:val="20"/>
                <w:color w:val="auto"/>
              </w:rPr>
            </w:pPr>
          </w:p>
        </w:tc>
      </w:t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Pr>
          <w:p>
            <w:pPr>
              <w:spacing w:after="0"/>
              <w:rPr>
                <w:sz w:val="20"/>
                <w:szCs w:val="20"/>
                <w:color w:val="auto"/>
              </w:rPr>
            </w:pPr>
          </w:p>
        </w:tc>
        <w:tc>
          <w:tcPr>
            <w:tcW w:w="11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0"/>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4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24,718</w:t>
            </w:r>
          </w:p>
        </w:tc>
        <w:tc>
          <w:tcPr>
            <w:tcW w:w="7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22,526</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40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w:t>
            </w: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30"/>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0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1,711</w:t>
            </w:r>
          </w:p>
        </w:tc>
        <w:tc>
          <w:tcPr>
            <w:tcW w:w="700" w:type="dxa"/>
            <w:vAlign w:val="bottom"/>
            <w:shd w:val="clear" w:color="auto" w:fill="B6B6B6"/>
          </w:tcPr>
          <w:p>
            <w:pPr>
              <w:spacing w:after="0"/>
              <w:rPr>
                <w:sz w:val="19"/>
                <w:szCs w:val="19"/>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33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400" w:type="dxa"/>
            <w:vAlign w:val="bottom"/>
            <w:tcBorders>
              <w:bottom w:val="single" w:sz="8" w:color="auto"/>
            </w:tcBorders>
            <w:shd w:val="clear" w:color="auto" w:fill="B6B6B6"/>
          </w:tcPr>
          <w:p>
            <w:pPr>
              <w:spacing w:after="0"/>
              <w:rPr>
                <w:sz w:val="19"/>
                <w:szCs w:val="19"/>
                <w:color w:val="auto"/>
              </w:rPr>
            </w:pP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4,349</w:t>
            </w:r>
          </w:p>
        </w:tc>
        <w:tc>
          <w:tcPr>
            <w:tcW w:w="700" w:type="dxa"/>
            <w:vAlign w:val="bottom"/>
            <w:tcBorders>
              <w:bottom w:val="single" w:sz="8" w:color="auto"/>
            </w:tcBorders>
            <w:shd w:val="clear" w:color="auto" w:fill="B6B6B6"/>
          </w:tcPr>
          <w:p>
            <w:pPr>
              <w:spacing w:after="0"/>
              <w:rPr>
                <w:sz w:val="19"/>
                <w:szCs w:val="19"/>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3,162</w:t>
            </w: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31,828</w:t>
            </w:r>
          </w:p>
        </w:tc>
        <w:tc>
          <w:tcPr>
            <w:tcW w:w="7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28,525</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Personnel costs increased 9.7% due to a general increase in wages, higher incentive compensation due to the Company's financial performance, an increase in the Company's 401(k) match during March 2021 and strategic investment in various technology initiatives. These factors were partially offset by the freezing of the benefits of the pension plan during the First Quarter of 2021, which resulted in a decrease of pension expense of $890,000.</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operating expenses was primarily due to an increase in business development and other promotional activities in addition to an increase in data processing related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assets at March 31, 2022 were $2,422,043,000, a decrease of $132,858,000, or 5.2%, from December 31, 2021. The Company experienced a decrease in cash and cash equivalents of $323,479,000, or 62.8%. The change in cash and cash equivalents reflects the Company’s daily liquidity position and is primarily affected by changes in funding sources, mainly accounts and drafts payable and deposits, cash flows in and out of loans, investments securities and payments in advance of</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funding. The investment securities portfolio increased $101,157,000, or 15.0%, during the First Quarter of 2022 due to a purchase of $100,000,000 of U.S. treasury securities. Payments in advance of funding increased $38,195,000, or 13.1%, due to an increase in transportation dollars processed. In addition, the Company increased loans by $16,635,000, or 1.7%, during the First Quarter of 2022.</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liabilities at March 31, 2022 were $2,204,965,000, a decrease of $104,138,000, or 4.5%, from December 31, 2021. Total deposits at March 31, 2022 were $1,176,935,000, a decrease of $44,568,000, or 3.6%, from December 31, 2021. Accounts and drafts payable at March 31, 2022 were $989,733,000, a decrease of $60,663,000, or 5.8%, from December 31, 2021. 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shareholders’ equity at March 31, 2022 was $217,078,000, a $28,720,000, or 11.7%, decrease from December 31, 2021. Total shareholders’ equity decreased due to an other comprehensive loss of $28,122,000 as a result of rising interest rates and the result on the fair value of existing investment securities, share repurchases of $5,086,000, and dividends paid of $3,832,000. These decreases were partially offset by net income of $8,258,000.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of liquid assets consists of cash and cash equivalents, which include cash and due from banks, interest-bearing deposits in other financial institutions, federal funds sold and money market funds. Cash and cash equivalents totaled $191,449,000 at March 31, 2022, a decrease of $323,479,000, or 62.8%, from December 31, 2021. At March 31, 2022, these assets represented 7.9% of total assets. These funds are the Company’s and its subsidiaries’ primary source of liquidity to meet future expected and unexpected loan demand, depositor withdrawals or reductions in accounts and drafts payable.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in securities was $774,610,000 at March 31, 2022, an increase of $101,157,000 from December 31, 2021. These assets represented 32.0% of total assets at March 31, 2022. Of the total portfolio, 2.7% mature in one year, 30.8% mature in one to five years, and 66.5% mature in five or more years</w:t>
      </w:r>
      <w:r>
        <w:rPr>
          <w:rFonts w:ascii="Times New Roman" w:cs="Times New Roman" w:eastAsia="Times New Roman" w:hAnsi="Times New Roman"/>
          <w:sz w:val="18"/>
          <w:szCs w:val="18"/>
          <w:i w:val="1"/>
          <w:iCs w:val="1"/>
          <w:color w:val="auto"/>
        </w:rPr>
        <w: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has unsecured lines of credit at six correspondent banks to purchase federal funds up to a maximum of $83,000,000 in aggregate. As of March 31, 2022, the Bank also has secured lines of credit with the Federal Home Loan Bank of $218,049,000 collateralized by commercial mortgage loans. The Company also has secured lines of credit from two banks up to a maximum of $150,000,000 collateralized by state and political subdivision securities. There were no amounts outstanding under any line of credit as of March 31, 2022 or December 31, 2021.</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$26,111,000 of CDARS deposits and interest-bearing demand deposits include $123,156,000 of ICS deposits. These programs offer the Bank’s customers the ability to maximize Federal Deposit Insurance Corporation (“FDIC”) insurance coverage. The Company uses these programs to retain or attract deposits from existing customers.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flows provided by operating activities were $14,723,000 for the First Quarter of 2022, compared to $16,704,000 for the First Quarter of 2021, a decrease of $1,981,000.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operations will continue to be sufficient to fund the Company’s operations and capital expenditures in 2022, which are estimated to range from $4 million to $6 million.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 Lower levels of economic activity, such as those previously experienced by the Company as a result of COVID-19 and governmental actions related thereto, decrease both fee income and balances of accounts and drafts payable.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bank holding company, the Company and the Bank are subject to capital requirements pursuant to the FRB’s capital guidelines which include (i) risk-based capital guidelines, which are designed to make capital requirements more sensitive to various risk profiles and account for off-balance sheet exposure; (ii) guidelines that consider market risk, which is the risk of loss due to change in value of assets and liabilities due to changes in interest rates; and (iii) guidelines that use a leverage ratio which places a constraint on the maximum degree of risk to which a financial holding company may leverage its equity capital base.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Basel III Capital Rules require banking organizations, like Cass, to maintain:</w:t>
      </w:r>
    </w:p>
    <w:p>
      <w:pPr>
        <w:spacing w:after="0" w:line="18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common equity Tier 1 capital to risk-weighted assets of at least 4.5%, plus a 2.5% capital conservation buffer;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Tier 1 capital to risk-weighted assets of at least 6.0%, plus a 2.5% capital conservation buffer;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total capital (that is, Tier 1 plus Tier 2 capital) to risk-weighted assets of at least 8.0%, plus the 2.5% capital conservation buffer; and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leverage ratio of 4.0%, calculated as the ratio of Tier 1 capital to adjusted average consolidated assets.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credit losses limited to a maximum of 1.25% of risk-weighted assets and, for non-advanced approaches institutions like Cass that have exercised a one-time opt-out election regarding the treatment of Accumulated Other Comprehensive Income (“AOCI”),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calculation of all types of regulatory capital is subject to deductions and adjustments specified in the regulations. For instance, the Basel III Capital Rules and the Capital Simplification Rules provide for a number of deductions from and adjustments to common equity Tier 1 capital. These include, for example, the requirement that certain deferred tax assets and significant investments in non-consolidated financial entities be deducted from Tier 1 capital to the extent that any one such category exceeds 25% of common equity Tier 1 capital.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60" w:type="dxa"/>
            <w:vAlign w:val="bottom"/>
          </w:tcPr>
          <w:p>
            <w:pPr>
              <w:spacing w:after="0"/>
              <w:rPr>
                <w:sz w:val="20"/>
                <w:szCs w:val="20"/>
                <w:color w:val="auto"/>
              </w:rPr>
            </w:pPr>
          </w:p>
        </w:tc>
        <w:tc>
          <w:tcPr>
            <w:tcW w:w="26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6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940" w:type="dxa"/>
            <w:vAlign w:val="bottom"/>
          </w:tcPr>
          <w:p>
            <w:pPr>
              <w:spacing w:after="0"/>
              <w:rPr>
                <w:sz w:val="22"/>
                <w:szCs w:val="22"/>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22"/>
                <w:szCs w:val="22"/>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63"/>
        </w:trPr>
        <w:tc>
          <w:tcPr>
            <w:tcW w:w="4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9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r>
      <w:tr>
        <w:trPr>
          <w:trHeight w:val="25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240,619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13.96 %</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240,265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14.86 %</w:t>
            </w:r>
          </w:p>
        </w:tc>
      </w:tr>
      <w:tr>
        <w:trPr>
          <w:trHeight w:val="263"/>
        </w:trPr>
        <w:tc>
          <w:tcPr>
            <w:tcW w:w="46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Cass Commercial Bank</w:t>
            </w:r>
          </w:p>
        </w:tc>
        <w:tc>
          <w:tcPr>
            <w:tcW w:w="94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179,410</w:t>
            </w: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16.97 %</w:t>
            </w:r>
          </w:p>
        </w:tc>
        <w:tc>
          <w:tcPr>
            <w:tcW w:w="26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174,614</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17.21 %</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tier I capital (to risk-weighted assets)</w:t>
            </w: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46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9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228,213</w:t>
            </w: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13.24 %</w:t>
            </w:r>
          </w:p>
        </w:tc>
        <w:tc>
          <w:tcPr>
            <w:tcW w:w="2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228,224</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14.11 %</w:t>
            </w:r>
          </w:p>
        </w:tc>
      </w:tr>
      <w:tr>
        <w:trPr>
          <w:trHeight w:val="25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Cass Commercial Bank</w:t>
            </w:r>
          </w:p>
        </w:tc>
        <w:tc>
          <w:tcPr>
            <w:tcW w:w="940" w:type="dxa"/>
            <w:vAlign w:val="bottom"/>
          </w:tcPr>
          <w:p>
            <w:pPr>
              <w:spacing w:after="0"/>
              <w:rPr>
                <w:sz w:val="21"/>
                <w:szCs w:val="21"/>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167,465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15.84 %</w:t>
            </w:r>
          </w:p>
        </w:tc>
        <w:tc>
          <w:tcPr>
            <w:tcW w:w="260" w:type="dxa"/>
            <w:vAlign w:val="bottom"/>
          </w:tcPr>
          <w:p>
            <w:pPr>
              <w:spacing w:after="0"/>
              <w:rPr>
                <w:sz w:val="21"/>
                <w:szCs w:val="21"/>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163,030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16.07 %</w:t>
            </w:r>
          </w:p>
        </w:tc>
      </w:tr>
      <w:tr>
        <w:trPr>
          <w:trHeight w:val="263"/>
        </w:trPr>
        <w:tc>
          <w:tcPr>
            <w:tcW w:w="4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9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r>
      <w:tr>
        <w:trPr>
          <w:trHeight w:val="25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228,213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13.24 %</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228,224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14.11 %</w:t>
            </w:r>
          </w:p>
        </w:tc>
      </w:tr>
      <w:tr>
        <w:trPr>
          <w:trHeight w:val="263"/>
        </w:trPr>
        <w:tc>
          <w:tcPr>
            <w:tcW w:w="46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Cass Commercial Bank</w:t>
            </w:r>
          </w:p>
        </w:tc>
        <w:tc>
          <w:tcPr>
            <w:tcW w:w="94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167,465</w:t>
            </w: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15.84 %</w:t>
            </w:r>
          </w:p>
        </w:tc>
        <w:tc>
          <w:tcPr>
            <w:tcW w:w="26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163,030</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16.07 %</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leverage assets)</w:t>
            </w: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46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9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228,213</w:t>
            </w: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9.09 %</w:t>
            </w:r>
          </w:p>
        </w:tc>
        <w:tc>
          <w:tcPr>
            <w:tcW w:w="2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228,224</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9.21 %</w:t>
            </w:r>
          </w:p>
        </w:tc>
      </w:tr>
      <w:tr>
        <w:trPr>
          <w:trHeight w:val="250"/>
        </w:trPr>
        <w:tc>
          <w:tcPr>
            <w:tcW w:w="4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Cass Commercial Bank</w:t>
            </w:r>
          </w:p>
        </w:tc>
        <w:tc>
          <w:tcPr>
            <w:tcW w:w="9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167,465</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11.12 %</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163,030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and Not Yet Adopted Accounting Pronouncements</w:t>
      </w:r>
    </w:p>
    <w:p>
      <w:pPr>
        <w:spacing w:after="0" w:line="202" w:lineRule="exact"/>
        <w:rPr>
          <w:sz w:val="20"/>
          <w:szCs w:val="20"/>
          <w:color w:val="auto"/>
        </w:rPr>
      </w:pPr>
    </w:p>
    <w:p>
      <w:pPr>
        <w:ind w:right="2040"/>
        <w:spacing w:after="0" w:line="453" w:lineRule="auto"/>
        <w:rPr>
          <w:sz w:val="20"/>
          <w:szCs w:val="20"/>
          <w:color w:val="auto"/>
        </w:rPr>
      </w:pPr>
      <w:r>
        <w:rPr>
          <w:rFonts w:ascii="Times New Roman" w:cs="Times New Roman" w:eastAsia="Times New Roman" w:hAnsi="Times New Roman"/>
          <w:sz w:val="18"/>
          <w:szCs w:val="18"/>
          <w:color w:val="auto"/>
        </w:rPr>
        <w:t xml:space="preserve">There are no new accounting pronouncements that are applicable to the company and/or do not materially impact the Company. </w:t>
      </w:r>
      <w:r>
        <w:rPr>
          <w:rFonts w:ascii="Times New Roman" w:cs="Times New Roman" w:eastAsia="Times New Roman" w:hAnsi="Times New Roman"/>
          <w:sz w:val="18"/>
          <w:szCs w:val="18"/>
          <w:b w:val="1"/>
          <w:bCs w:val="1"/>
          <w:color w:val="auto"/>
        </w:rPr>
        <w:t>ITEM 3. QUANTITATIVE AND QUALITATIVE DISCLOSURES ABOUT MARKET RISK</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Company’s Annual Report on Form 10-K for the year ended December 31, 2021, the Company manages its interest rate risk through measurement techniques that include gap analysis and a simulation model. As part of the risk management process, asset/liability management policies are established and monitored by management.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rPr>
              <w:t>% change in projected net interest income</w:t>
            </w:r>
          </w:p>
        </w:tc>
        <w:tc>
          <w:tcPr>
            <w:tcW w:w="82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27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B6B6B6"/>
            </w:tcBorders>
          </w:tcPr>
          <w:p>
            <w:pPr>
              <w:spacing w:after="0"/>
              <w:rPr>
                <w:sz w:val="19"/>
                <w:szCs w:val="19"/>
                <w:color w:val="auto"/>
              </w:rPr>
            </w:pPr>
          </w:p>
        </w:tc>
        <w:tc>
          <w:tcPr>
            <w:tcW w:w="28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20" w:type="dxa"/>
            <w:vAlign w:val="bottom"/>
            <w:tcBorders>
              <w:bottom w:val="single" w:sz="8" w:color="auto"/>
            </w:tcBorders>
          </w:tcPr>
          <w:p>
            <w:pPr>
              <w:spacing w:after="0"/>
              <w:rPr>
                <w:sz w:val="19"/>
                <w:szCs w:val="19"/>
                <w:color w:val="auto"/>
              </w:rPr>
            </w:pPr>
          </w:p>
        </w:tc>
      </w:tr>
      <w:tr>
        <w:trPr>
          <w:trHeight w:val="223"/>
        </w:trPr>
        <w:tc>
          <w:tcPr>
            <w:tcW w:w="35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2740" w:type="dxa"/>
            <w:vAlign w:val="bottom"/>
            <w:shd w:val="clear" w:color="auto" w:fill="B6B6B6"/>
          </w:tcPr>
          <w:p>
            <w:pPr>
              <w:spacing w:after="0"/>
              <w:rPr>
                <w:sz w:val="19"/>
                <w:szCs w:val="19"/>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8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30"/>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29"/>
        </w:trPr>
        <w:tc>
          <w:tcPr>
            <w:tcW w:w="624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Flat rates</w:t>
            </w:r>
          </w:p>
        </w:tc>
        <w:tc>
          <w:tcPr>
            <w:tcW w:w="3860" w:type="dxa"/>
            <w:vAlign w:val="bottom"/>
            <w:gridSpan w:val="3"/>
            <w:shd w:val="clear" w:color="auto" w:fill="B6B6B6"/>
          </w:tcPr>
          <w:p>
            <w:pPr>
              <w:jc w:val="right"/>
              <w:ind w:right="29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First Quarter of 2022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has included in Part I, Item 1A of its Annual Report on Form 10-K for the year ended December 31, 2021, a description of certain risks and uncertainties that could affect the Company’s business, future performance or financial condition (the “Risk Factors”). There are no material changes to the Risk Factors as disclosed in the Company’s 2021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Company repurchased a total of 124,874 shares of its common stock pursuant to its treasury stock buyback program,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1420" w:type="dxa"/>
            <w:vAlign w:val="bottom"/>
          </w:tcPr>
          <w:p>
            <w:pPr>
              <w:jc w:val="right"/>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Purchased as</w:t>
            </w: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53"/>
        </w:trPr>
        <w:tc>
          <w:tcPr>
            <w:tcW w:w="39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42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Shares that</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14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103"/>
        </w:trPr>
        <w:tc>
          <w:tcPr>
            <w:tcW w:w="39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restart"/>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Publicly</w:t>
            </w: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80" w:type="dxa"/>
            <w:vAlign w:val="bottom"/>
          </w:tcPr>
          <w:p>
            <w:pPr>
              <w:spacing w:after="0"/>
              <w:rPr>
                <w:sz w:val="8"/>
                <w:szCs w:val="8"/>
                <w:color w:val="auto"/>
              </w:rPr>
            </w:pPr>
          </w:p>
        </w:tc>
        <w:tc>
          <w:tcPr>
            <w:tcW w:w="2440" w:type="dxa"/>
            <w:vAlign w:val="bottom"/>
            <w:vMerge w:val="restart"/>
          </w:tcPr>
          <w:p>
            <w:pPr>
              <w:jc w:val="center"/>
              <w:ind w:left="79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42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980" w:type="dxa"/>
            <w:vAlign w:val="bottom"/>
          </w:tcPr>
          <w:p>
            <w:pPr>
              <w:spacing w:after="0"/>
              <w:rPr>
                <w:sz w:val="10"/>
                <w:szCs w:val="10"/>
                <w:color w:val="auto"/>
              </w:rPr>
            </w:pPr>
          </w:p>
        </w:tc>
        <w:tc>
          <w:tcPr>
            <w:tcW w:w="2440" w:type="dxa"/>
            <w:vAlign w:val="bottom"/>
            <w:vMerge w:val="restart"/>
          </w:tcPr>
          <w:p>
            <w:pPr>
              <w:jc w:val="center"/>
              <w:ind w:left="830"/>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Under the</w:t>
            </w:r>
          </w:p>
        </w:tc>
        <w:tc>
          <w:tcPr>
            <w:tcW w:w="0" w:type="dxa"/>
            <w:vAlign w:val="bottom"/>
          </w:tcPr>
          <w:p>
            <w:pPr>
              <w:spacing w:after="0"/>
              <w:rPr>
                <w:sz w:val="1"/>
                <w:szCs w:val="1"/>
                <w:color w:val="auto"/>
              </w:rPr>
            </w:pPr>
          </w:p>
        </w:tc>
      </w:tr>
      <w:tr>
        <w:trPr>
          <w:trHeight w:val="49"/>
        </w:trPr>
        <w:tc>
          <w:tcPr>
            <w:tcW w:w="398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98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40" w:type="dxa"/>
            <w:vAlign w:val="bottom"/>
          </w:tcPr>
          <w:p>
            <w:pPr>
              <w:jc w:val="center"/>
              <w:ind w:left="8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auto"/>
            </w:tcBorders>
            <w:vMerge w:val="continue"/>
          </w:tcPr>
          <w:p>
            <w:pPr>
              <w:spacing w:after="0"/>
              <w:rPr>
                <w:sz w:val="21"/>
                <w:szCs w:val="21"/>
                <w:color w:val="auto"/>
              </w:rPr>
            </w:pPr>
          </w:p>
        </w:tc>
        <w:tc>
          <w:tcPr>
            <w:tcW w:w="2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700" w:type="dxa"/>
            <w:vAlign w:val="bottom"/>
            <w:tcBorders>
              <w:bottom w:val="single" w:sz="8" w:color="auto"/>
            </w:tcBorders>
          </w:tcPr>
          <w:p>
            <w:pPr>
              <w:jc w:val="center"/>
              <w:ind w:right="70"/>
              <w:spacing w:after="0" w:line="243"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3"/>
                <w:szCs w:val="23"/>
                <w:b w:val="1"/>
                <w:bCs w:val="1"/>
                <w:color w:val="auto"/>
                <w:w w:val="97"/>
                <w:vertAlign w:val="superscript"/>
              </w:rPr>
              <w:t>1</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50"/>
        </w:trPr>
        <w:tc>
          <w:tcPr>
            <w:tcW w:w="3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January 1, 2022–January 31, 2022</w:t>
            </w:r>
          </w:p>
        </w:tc>
        <w:tc>
          <w:tcPr>
            <w:tcW w:w="2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44,404</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40.05</w:t>
            </w:r>
          </w:p>
        </w:tc>
        <w:tc>
          <w:tcPr>
            <w:tcW w:w="170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44,404</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426,677</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2022–February 28, 2022</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58,097</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41.75</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58,097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368,580</w:t>
            </w:r>
          </w:p>
        </w:tc>
        <w:tc>
          <w:tcPr>
            <w:tcW w:w="0" w:type="dxa"/>
            <w:vAlign w:val="bottom"/>
          </w:tcPr>
          <w:p>
            <w:pPr>
              <w:spacing w:after="0"/>
              <w:rPr>
                <w:sz w:val="1"/>
                <w:szCs w:val="1"/>
                <w:color w:val="auto"/>
              </w:rPr>
            </w:pPr>
          </w:p>
        </w:tc>
      </w:tr>
      <w:tr>
        <w:trPr>
          <w:trHeight w:val="257"/>
        </w:trPr>
        <w:tc>
          <w:tcPr>
            <w:tcW w:w="39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March 1, 2022–March 31, 2022</w:t>
            </w:r>
          </w:p>
        </w:tc>
        <w:tc>
          <w:tcPr>
            <w:tcW w:w="2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22,373</w:t>
            </w:r>
          </w:p>
        </w:tc>
        <w:tc>
          <w:tcPr>
            <w:tcW w:w="22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39.42</w:t>
            </w:r>
          </w:p>
        </w:tc>
        <w:tc>
          <w:tcPr>
            <w:tcW w:w="170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22,373</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346,207</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124,874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40.73</w:t>
            </w: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124,874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346,207</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repurchases made during the quarter ended March 31, 2022 were made pursuant to the treasury stock buyback program, authorized by the Board of Directors on October 19, 2021 and announced by the Company on October 21, 2021. The program provides that the Company may repurchase up to an aggregate of 750,000 shares of common stock and has no expiration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660" w:right="40" w:hanging="652"/>
        <w:spacing w:after="0" w:line="260"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First Quarter of 2022.</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31.1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31.2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32.1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32.2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Exhibit 101.INS XBRL Instance Document. The instance document does not appear in the Interactive Data File because its XBRL tags are embedded within the Inline XBRL document.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101.SCH Inline XBRL Taxonomy Extension Schema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101.LAB Inline XBRL Taxonomy Extension Label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SIGNATURES</w:t>
            </w:r>
          </w:p>
        </w:tc>
      </w:tr>
      <w:tr>
        <w:trPr>
          <w:trHeight w:val="387"/>
        </w:trPr>
        <w:tc>
          <w:tcPr>
            <w:tcW w:w="112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w:t>
            </w:r>
          </w:p>
        </w:tc>
        <w:tc>
          <w:tcPr>
            <w:tcW w:w="90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446"/>
        </w:trPr>
        <w:tc>
          <w:tcPr>
            <w:tcW w:w="3360" w:type="dxa"/>
            <w:vAlign w:val="bottom"/>
          </w:tcPr>
          <w:p>
            <w:pPr>
              <w:spacing w:after="0"/>
              <w:rPr>
                <w:sz w:val="24"/>
                <w:szCs w:val="24"/>
                <w:color w:val="auto"/>
              </w:rPr>
            </w:pPr>
          </w:p>
        </w:tc>
        <w:tc>
          <w:tcPr>
            <w:tcW w:w="7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CASS INFORMATION SYSTEMS, INC.</w:t>
            </w:r>
          </w:p>
        </w:tc>
      </w:tr>
      <w:tr>
        <w:trPr>
          <w:trHeight w:val="52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6, 2022</w:t>
            </w:r>
          </w:p>
        </w:tc>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Eric H. Brunngraber</w:t>
            </w:r>
          </w:p>
        </w:tc>
      </w:tr>
      <w:tr>
        <w:trPr>
          <w:trHeight w:val="243"/>
        </w:trPr>
        <w:tc>
          <w:tcPr>
            <w:tcW w:w="3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Eric H. Brunngraber</w:t>
            </w:r>
          </w:p>
        </w:tc>
      </w:tr>
      <w:tr>
        <w:trPr>
          <w:trHeight w:val="257"/>
        </w:trPr>
        <w:tc>
          <w:tcPr>
            <w:tcW w:w="3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r>
      <w:tr>
        <w:trPr>
          <w:trHeight w:val="257"/>
        </w:trPr>
        <w:tc>
          <w:tcPr>
            <w:tcW w:w="3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06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6, 2022</w:t>
            </w:r>
          </w:p>
        </w:tc>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Michael J. Normile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8255</wp:posOffset>
            </wp:positionV>
            <wp:extent cx="44316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6"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H. Brunngraber,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2022</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4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Normile,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2022</w:t>
      </w:r>
    </w:p>
    <w:p>
      <w:pPr>
        <w:spacing w:after="0" w:line="5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4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March 31, 2022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May 6, 2022</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92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March 31, 2022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May 6, 2022</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2022-05-06T10:43:38Z</dcterms:created>
  <dcterms:modified xsi:type="dcterms:W3CDTF">2022-05-06T10:43:38Z</dcterms:modified>
</cp:coreProperties>
</file>