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UNITED STATES</w:t>
      </w:r>
    </w:p>
    <w:p>
      <w:pPr>
        <w:spacing w:after="0" w:line="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Arial" w:cs="Arial" w:eastAsia="Arial" w:hAnsi="Arial"/>
                <w:sz w:val="22"/>
                <w:szCs w:val="22"/>
                <w:b w:val="1"/>
                <w:bCs w:val="1"/>
                <w:color w:val="auto"/>
                <w:w w:val="97"/>
              </w:rPr>
              <w:t>CASS INFORMATION SYSTEMS, INC.</w:t>
            </w:r>
          </w:p>
        </w:tc>
      </w:tr>
      <w:tr>
        <w:trPr>
          <w:trHeight w:val="230"/>
        </w:trPr>
        <w:tc>
          <w:tcPr>
            <w:tcW w:w="9720" w:type="dxa"/>
            <w:vAlign w:val="bottom"/>
            <w:gridSpan w:val="2"/>
          </w:tcPr>
          <w:p>
            <w:pPr>
              <w:jc w:val="center"/>
              <w:ind w:left="1388"/>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1"/>
              </w:rPr>
              <w:t>Missouri</w:t>
            </w:r>
          </w:p>
        </w:tc>
        <w:tc>
          <w:tcPr>
            <w:tcW w:w="4060" w:type="dxa"/>
            <w:vAlign w:val="bottom"/>
          </w:tcPr>
          <w:p>
            <w:pPr>
              <w:jc w:val="right"/>
              <w:ind w:right="790"/>
              <w:spacing w:after="0"/>
              <w:rPr>
                <w:sz w:val="20"/>
                <w:szCs w:val="20"/>
                <w:color w:val="auto"/>
              </w:rPr>
            </w:pPr>
            <w:r>
              <w:rPr>
                <w:rFonts w:ascii="Arial" w:cs="Arial" w:eastAsia="Arial" w:hAnsi="Arial"/>
                <w:sz w:val="18"/>
                <w:szCs w:val="18"/>
                <w:b w:val="1"/>
                <w:bCs w:val="1"/>
                <w:color w:val="auto"/>
              </w:rPr>
              <w:t>43-1265338</w:t>
            </w:r>
          </w:p>
        </w:tc>
      </w:tr>
      <w:tr>
        <w:trPr>
          <w:trHeight w:val="203"/>
        </w:trPr>
        <w:tc>
          <w:tcPr>
            <w:tcW w:w="5660" w:type="dxa"/>
            <w:vAlign w:val="bottom"/>
          </w:tcPr>
          <w:p>
            <w:pPr>
              <w:spacing w:after="0" w:line="203"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3" w:lineRule="exact"/>
              <w:rPr>
                <w:sz w:val="20"/>
                <w:szCs w:val="20"/>
                <w:color w:val="auto"/>
              </w:rPr>
            </w:pPr>
            <w:r>
              <w:rPr>
                <w:rFonts w:ascii="Arial" w:cs="Arial" w:eastAsia="Arial" w:hAnsi="Arial"/>
                <w:sz w:val="18"/>
                <w:szCs w:val="18"/>
                <w:color w:val="auto"/>
                <w:w w:val="94"/>
              </w:rPr>
              <w:t>(I.R.S. Employer Identification No.)</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19"/>
                <w:szCs w:val="19"/>
                <w:color w:val="auto"/>
              </w:rPr>
            </w:pPr>
          </w:p>
        </w:tc>
      </w:tr>
      <w:tr>
        <w:trPr>
          <w:trHeight w:val="225"/>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0"/>
              </w:rPr>
              <w:t>12444 Powerscourt Drive, Suite 550</w:t>
            </w:r>
          </w:p>
        </w:tc>
        <w:tc>
          <w:tcPr>
            <w:tcW w:w="4060" w:type="dxa"/>
            <w:vAlign w:val="bottom"/>
          </w:tcPr>
          <w:p>
            <w:pPr>
              <w:spacing w:after="0"/>
              <w:rPr>
                <w:sz w:val="19"/>
                <w:szCs w:val="19"/>
                <w:color w:val="auto"/>
              </w:rPr>
            </w:pPr>
          </w:p>
        </w:tc>
      </w:tr>
      <w:tr>
        <w:trPr>
          <w:trHeight w:val="234"/>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9"/>
              </w:rPr>
              <w:t>St. Louis, Missouri</w:t>
            </w:r>
          </w:p>
        </w:tc>
        <w:tc>
          <w:tcPr>
            <w:tcW w:w="4060" w:type="dxa"/>
            <w:vAlign w:val="bottom"/>
          </w:tcPr>
          <w:p>
            <w:pPr>
              <w:jc w:val="right"/>
              <w:ind w:right="990"/>
              <w:spacing w:after="0"/>
              <w:rPr>
                <w:sz w:val="20"/>
                <w:szCs w:val="20"/>
                <w:color w:val="auto"/>
              </w:rPr>
            </w:pPr>
            <w:r>
              <w:rPr>
                <w:rFonts w:ascii="Arial" w:cs="Arial" w:eastAsia="Arial" w:hAnsi="Arial"/>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jc w:val="center"/>
              <w:ind w:left="13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506-5500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4"/>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Arial" w:cs="Arial" w:eastAsia="Arial" w:hAnsi="Arial"/>
                <w:sz w:val="18"/>
                <w:szCs w:val="18"/>
                <w:color w:val="auto"/>
                <w:w w:val="90"/>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Common stock, par value $.50</w:t>
            </w:r>
          </w:p>
        </w:tc>
        <w:tc>
          <w:tcPr>
            <w:tcW w:w="2800" w:type="dxa"/>
            <w:vAlign w:val="bottom"/>
            <w:gridSpan w:val="3"/>
          </w:tcPr>
          <w:p>
            <w:pPr>
              <w:jc w:val="center"/>
              <w:ind w:right="1360"/>
              <w:spacing w:after="0"/>
              <w:rPr>
                <w:sz w:val="20"/>
                <w:szCs w:val="20"/>
                <w:color w:val="auto"/>
              </w:rPr>
            </w:pPr>
            <w:r>
              <w:rPr>
                <w:rFonts w:ascii="Arial" w:cs="Arial" w:eastAsia="Arial" w:hAnsi="Arial"/>
                <w:sz w:val="18"/>
                <w:szCs w:val="18"/>
                <w:color w:val="auto"/>
                <w:w w:val="89"/>
              </w:rPr>
              <w:t>CASS</w:t>
            </w:r>
          </w:p>
        </w:tc>
        <w:tc>
          <w:tcPr>
            <w:tcW w:w="4140" w:type="dxa"/>
            <w:vAlign w:val="bottom"/>
          </w:tcPr>
          <w:p>
            <w:pPr>
              <w:jc w:val="center"/>
              <w:ind w:right="670"/>
              <w:spacing w:after="0"/>
              <w:rPr>
                <w:sz w:val="20"/>
                <w:szCs w:val="20"/>
                <w:color w:val="auto"/>
              </w:rPr>
            </w:pPr>
            <w:r>
              <w:rPr>
                <w:rFonts w:ascii="Arial" w:cs="Arial" w:eastAsia="Arial" w:hAnsi="Arial"/>
                <w:sz w:val="18"/>
                <w:szCs w:val="18"/>
                <w:color w:val="auto"/>
                <w:w w:val="91"/>
              </w:rPr>
              <w:t>The Nasdaq Global Select Market</w:t>
            </w:r>
          </w:p>
        </w:tc>
      </w:tr>
      <w:tr>
        <w:trPr>
          <w:trHeight w:val="483"/>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6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3" w:lineRule="exact"/>
        <w:rPr>
          <w:sz w:val="24"/>
          <w:szCs w:val="24"/>
          <w:color w:val="auto"/>
        </w:rPr>
      </w:pPr>
    </w:p>
    <w:p>
      <w:pPr>
        <w:ind w:left="3240"/>
        <w:spacing w:after="0"/>
        <w:tabs>
          <w:tab w:leader="none" w:pos="3720" w:val="left"/>
          <w:tab w:leader="none" w:pos="4560" w:val="left"/>
          <w:tab w:leader="none" w:pos="49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185"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7" w:lineRule="exact"/>
        <w:rPr>
          <w:sz w:val="24"/>
          <w:szCs w:val="24"/>
          <w:color w:val="auto"/>
        </w:rPr>
      </w:pPr>
    </w:p>
    <w:p>
      <w:pPr>
        <w:ind w:left="3240"/>
        <w:spacing w:after="0"/>
        <w:tabs>
          <w:tab w:leader="none" w:pos="3720" w:val="left"/>
          <w:tab w:leader="none" w:pos="4560" w:val="left"/>
          <w:tab w:leader="none" w:pos="50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18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sectPr>
      </w:pPr>
    </w:p>
    <w:p>
      <w:pPr>
        <w:spacing w:after="0" w:line="19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840" w:space="640"/>
            <w:col w:w="100" w:space="340"/>
            <w:col w:w="2040" w:space="720"/>
            <w:col w:w="4560"/>
          </w:cols>
          <w:pgMar w:left="320" w:top="229" w:right="339" w:bottom="0" w:gutter="0" w:footer="0" w:header="0"/>
          <w:type w:val="continuous"/>
        </w:sectPr>
      </w:pPr>
    </w:p>
    <w:p>
      <w:pPr>
        <w:spacing w:after="0" w:line="10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6">
            <w:col w:w="2760" w:space="720"/>
            <w:col w:w="100" w:space="340"/>
            <w:col w:w="2060" w:space="700"/>
            <w:col w:w="100" w:space="380"/>
            <w:col w:w="2220" w:space="720"/>
            <w:col w:w="1140"/>
          </w:cols>
          <w:pgMar w:left="320" w:top="229" w:right="339" w:bottom="0" w:gutter="0" w:footer="0" w:header="0"/>
          <w:type w:val="continuous"/>
        </w:sectPr>
      </w:pPr>
    </w:p>
    <w:p>
      <w:pPr>
        <w:spacing w:after="0" w:line="103"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0" w:lineRule="exact"/>
        <w:rPr>
          <w:sz w:val="24"/>
          <w:szCs w:val="24"/>
          <w:color w:val="auto"/>
        </w:rPr>
      </w:pPr>
    </w:p>
    <w:p>
      <w:pPr>
        <w:ind w:left="3240"/>
        <w:spacing w:after="0" w:line="207" w:lineRule="exact"/>
        <w:tabs>
          <w:tab w:leader="none" w:pos="3720" w:val="left"/>
          <w:tab w:leader="none" w:pos="4640" w:val="left"/>
          <w:tab w:leader="none" w:pos="504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outstanding of the registrant's only class of common stock as of October 27, 2023: Common stock, par value $.50 per share – 13,596,490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8"/>
          <w:szCs w:val="18"/>
          <w:u w:val="single" w:color="auto"/>
          <w:color w:val="0000FF"/>
        </w:rPr>
        <w:t>Item 1.</w:t>
      </w:r>
      <w:r>
        <w:rPr>
          <w:sz w:val="20"/>
          <w:szCs w:val="20"/>
          <w:color w:val="auto"/>
        </w:rPr>
        <w:tab/>
      </w:r>
      <w:r>
        <w:rPr>
          <w:rFonts w:ascii="Arial" w:cs="Arial" w:eastAsia="Arial" w:hAnsi="Arial"/>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Consolidated Balance Sheets September 30, 2023 (unaudited) and December 31, 2022</w:t>
      </w:r>
    </w:p>
    <w:p>
      <w:pPr>
        <w:spacing w:after="0" w:line="23" w:lineRule="exact"/>
        <w:rPr>
          <w:sz w:val="20"/>
          <w:szCs w:val="20"/>
          <w:color w:val="auto"/>
        </w:rPr>
      </w:pPr>
    </w:p>
    <w:p>
      <w:pPr>
        <w:jc w:val="right"/>
        <w:ind w:right="360"/>
        <w:spacing w:after="0"/>
        <w:rPr>
          <w:sz w:val="20"/>
          <w:szCs w:val="20"/>
          <w:color w:val="auto"/>
        </w:rPr>
      </w:pPr>
      <w:r>
        <w:rPr>
          <w:rFonts w:ascii="Arial" w:cs="Arial" w:eastAsia="Arial" w:hAnsi="Arial"/>
          <w:sz w:val="18"/>
          <w:szCs w:val="18"/>
          <w:u w:val="single" w:color="auto"/>
          <w:color w:val="0000FF"/>
        </w:rPr>
        <w:t>3</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Consolidated Statements of Income Three and Nine Months Ended September 30, 2023 and 2022 (unaudited)</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1600" w:right="720" w:hanging="161"/>
        <w:spacing w:after="0" w:line="261" w:lineRule="auto"/>
        <w:rPr>
          <w:sz w:val="20"/>
          <w:szCs w:val="20"/>
          <w:color w:val="auto"/>
        </w:rPr>
      </w:pPr>
      <w:r>
        <w:rPr>
          <w:rFonts w:ascii="Arial" w:cs="Arial" w:eastAsia="Arial" w:hAnsi="Arial"/>
          <w:sz w:val="18"/>
          <w:szCs w:val="18"/>
          <w:u w:val="single" w:color="auto"/>
          <w:color w:val="0000FF"/>
        </w:rPr>
        <w:t>Consolidated Statements of Comprehensive Income Three and Nine Months Ended September 30, 2023 and 2022 (unaudited)</w:t>
      </w:r>
    </w:p>
    <w:p>
      <w:pPr>
        <w:spacing w:after="0" w:line="252"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Consolidated Statements of Cash Flows Nine Months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73" w:lineRule="exact"/>
        <w:rPr>
          <w:sz w:val="20"/>
          <w:szCs w:val="20"/>
          <w:color w:val="auto"/>
        </w:rPr>
      </w:pPr>
    </w:p>
    <w:p>
      <w:pPr>
        <w:ind w:left="1440"/>
        <w:spacing w:after="0"/>
        <w:rPr>
          <w:sz w:val="20"/>
          <w:szCs w:val="20"/>
          <w:color w:val="auto"/>
        </w:rPr>
      </w:pPr>
      <w:r>
        <w:rPr>
          <w:rFonts w:ascii="Arial" w:cs="Arial" w:eastAsia="Arial" w:hAnsi="Arial"/>
          <w:sz w:val="16"/>
          <w:szCs w:val="16"/>
          <w:u w:val="single" w:color="auto"/>
          <w:color w:val="0000FF"/>
        </w:rPr>
        <w:t>Consolidated Statements of Shareholders’ Equity Three and Nine Months Ended September 30, 2023 and 2022 (unaudited)</w:t>
      </w:r>
    </w:p>
    <w:p>
      <w:pPr>
        <w:spacing w:after="0" w:line="316"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0000FF"/>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8"/>
          <w:szCs w:val="18"/>
          <w:u w:val="single" w:color="auto"/>
          <w:color w:val="0000FF"/>
        </w:rPr>
        <w:t>Item 2.</w:t>
      </w:r>
      <w:r>
        <w:rPr>
          <w:sz w:val="20"/>
          <w:szCs w:val="20"/>
          <w:color w:val="auto"/>
        </w:rPr>
        <w:tab/>
      </w:r>
      <w:r>
        <w:rPr>
          <w:rFonts w:ascii="Arial" w:cs="Arial" w:eastAsia="Arial" w:hAnsi="Arial"/>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8"/>
          <w:szCs w:val="18"/>
          <w:u w:val="single" w:color="auto"/>
          <w:color w:val="0000FF"/>
        </w:rPr>
        <w:t>Item 3.</w:t>
      </w:r>
      <w:r>
        <w:rPr>
          <w:sz w:val="20"/>
          <w:szCs w:val="20"/>
          <w:color w:val="auto"/>
        </w:rPr>
        <w:tab/>
      </w:r>
      <w:r>
        <w:rPr>
          <w:rFonts w:ascii="Arial" w:cs="Arial" w:eastAsia="Arial" w:hAnsi="Arial"/>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8"/>
          <w:szCs w:val="18"/>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II – Other Information – Items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pacing w:after="0" w:line="707" w:lineRule="exact"/>
        <w:rPr>
          <w:sz w:val="20"/>
          <w:szCs w:val="20"/>
          <w:color w:val="auto"/>
        </w:rPr>
      </w:pPr>
    </w:p>
    <w:p>
      <w:pPr>
        <w:sectPr>
          <w:pgSz w:w="11900" w:h="16838" w:orient="portrait"/>
          <w:cols w:equalWidth="0" w:num="2">
            <w:col w:w="10340" w:space="420"/>
            <w:col w:w="480"/>
          </w:cols>
          <w:pgMar w:left="320" w:top="121" w:right="339" w:bottom="1440" w:gutter="0" w:footer="0" w:header="0"/>
          <w:type w:val="continuous"/>
        </w:sectPr>
      </w:pPr>
    </w:p>
    <w:p>
      <w:pPr>
        <w:jc w:val="both"/>
        <w:spacing w:after="0" w:line="271" w:lineRule="auto"/>
        <w:rPr>
          <w:sz w:val="20"/>
          <w:szCs w:val="20"/>
          <w:color w:val="auto"/>
        </w:rPr>
      </w:pPr>
      <w:r>
        <w:rPr>
          <w:rFonts w:ascii="Arial" w:cs="Arial" w:eastAsia="Arial" w:hAnsi="Arial"/>
          <w:sz w:val="17"/>
          <w:szCs w:val="17"/>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2022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September 30, 2023</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B6B6B6"/>
          </w:tcPr>
          <w:p>
            <w:pPr>
              <w:spacing w:after="0"/>
              <w:rPr>
                <w:sz w:val="21"/>
                <w:szCs w:val="21"/>
                <w:color w:val="auto"/>
              </w:rPr>
            </w:pPr>
          </w:p>
        </w:tc>
        <w:tc>
          <w:tcPr>
            <w:tcW w:w="13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23,550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20,995</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384,885</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179,947</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408,435</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200,942</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Securities available-for-sale, at fair value</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615,855</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754,468</w:t>
            </w: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1,039,619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1,082,906</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720"/>
              <w:spacing w:after="0"/>
              <w:rPr>
                <w:sz w:val="20"/>
                <w:szCs w:val="20"/>
                <w:color w:val="auto"/>
              </w:rPr>
            </w:pPr>
            <w:r>
              <w:rPr>
                <w:rFonts w:ascii="Arial" w:cs="Arial" w:eastAsia="Arial" w:hAnsi="Arial"/>
                <w:sz w:val="18"/>
                <w:szCs w:val="18"/>
                <w:color w:val="auto"/>
              </w:rPr>
              <w:t>Loans, net</w:t>
            </w:r>
          </w:p>
        </w:tc>
        <w:tc>
          <w:tcPr>
            <w:tcW w:w="22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1,026,300</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1,069,367</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Payments in advance of funding</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293,775</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26,257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19,958</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Investment in bank-owned life insurance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47,998</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Accounts and drafts receivable from customers</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28,710</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95,779</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71,028</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69,301</w:t>
            </w:r>
          </w:p>
        </w:tc>
      </w:tr>
      <w:tr>
        <w:trPr>
          <w:trHeight w:val="282"/>
        </w:trPr>
        <w:tc>
          <w:tcPr>
            <w:tcW w:w="20" w:type="dxa"/>
            <w:vAlign w:val="bottom"/>
            <w:tcBorders>
              <w:bottom w:val="single" w:sz="8" w:color="B6B6B6"/>
            </w:tcBorders>
            <w:shd w:val="clear" w:color="auto" w:fill="B6B6B6"/>
          </w:tcPr>
          <w:p>
            <w:pPr>
              <w:spacing w:after="0"/>
              <w:rPr>
                <w:sz w:val="24"/>
                <w:szCs w:val="24"/>
                <w:color w:val="auto"/>
              </w:rPr>
            </w:pPr>
          </w:p>
        </w:tc>
        <w:tc>
          <w:tcPr>
            <w:tcW w:w="8040" w:type="dxa"/>
            <w:vAlign w:val="bottom"/>
            <w:tcBorders>
              <w:bottom w:val="single" w:sz="8" w:color="B6B6B6"/>
            </w:tcBorders>
            <w:gridSpan w:val="3"/>
            <w:shd w:val="clear" w:color="auto" w:fill="B6B6B6"/>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2,504,878</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2,573,023</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46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3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511,292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642,757</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80"/>
              <w:spacing w:after="0"/>
              <w:rPr>
                <w:sz w:val="20"/>
                <w:szCs w:val="20"/>
                <w:color w:val="auto"/>
              </w:rPr>
            </w:pPr>
            <w:r>
              <w:rPr>
                <w:rFonts w:ascii="Arial" w:cs="Arial" w:eastAsia="Arial" w:hAnsi="Arial"/>
                <w:sz w:val="18"/>
                <w:szCs w:val="18"/>
                <w:color w:val="auto"/>
              </w:rPr>
              <w:t>Interest-bearing</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666,050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614,460</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Arial" w:cs="Arial" w:eastAsia="Arial" w:hAnsi="Arial"/>
                <w:sz w:val="18"/>
                <w:szCs w:val="18"/>
                <w:color w:val="auto"/>
              </w:rPr>
              <w:t>Total deposits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1,177,342</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1,257,217</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Accounts and drafts payable</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1,082,224</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1,067,600</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39,076</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41,881</w:t>
            </w:r>
          </w:p>
        </w:tc>
      </w:tr>
      <w:tr>
        <w:trPr>
          <w:trHeight w:val="256"/>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2,298,642</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2,366,698</w:t>
            </w: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0" w:type="dxa"/>
            <w:vAlign w:val="bottom"/>
            <w:tcBorders>
              <w:bottom w:val="single" w:sz="8" w:color="B6B6B6"/>
            </w:tcBorders>
            <w:shd w:val="clear" w:color="auto" w:fill="B6B6B6"/>
          </w:tcPr>
          <w:p>
            <w:pPr>
              <w:spacing w:after="0"/>
              <w:rPr>
                <w:sz w:val="20"/>
                <w:szCs w:val="20"/>
                <w:color w:val="auto"/>
              </w:rPr>
            </w:pPr>
          </w:p>
        </w:tc>
        <w:tc>
          <w:tcPr>
            <w:tcW w:w="1580" w:type="dxa"/>
            <w:vAlign w:val="bottom"/>
            <w:tcBorders>
              <w:bottom w:val="single" w:sz="8" w:color="auto"/>
            </w:tcBorders>
            <w:gridSpan w:val="2"/>
            <w:shd w:val="clear" w:color="auto" w:fill="B6B6B6"/>
          </w:tcPr>
          <w:p>
            <w:pPr>
              <w:spacing w:after="0" w:line="202" w:lineRule="exact"/>
              <w:rPr>
                <w:sz w:val="20"/>
                <w:szCs w:val="20"/>
                <w:color w:val="auto"/>
              </w:rPr>
            </w:pPr>
            <w:r>
              <w:rPr>
                <w:rFonts w:ascii="Arial" w:cs="Arial" w:eastAsia="Arial" w:hAnsi="Arial"/>
                <w:sz w:val="18"/>
                <w:szCs w:val="18"/>
                <w:color w:val="auto"/>
                <w:w w:val="91"/>
              </w:rPr>
              <w:t>Shareholders’ Equity:</w:t>
            </w:r>
          </w:p>
        </w:tc>
        <w:tc>
          <w:tcPr>
            <w:tcW w:w="6460" w:type="dxa"/>
            <w:vAlign w:val="bottom"/>
            <w:tcBorders>
              <w:bottom w:val="single" w:sz="8" w:color="B6B6B6"/>
            </w:tcBorders>
            <w:shd w:val="clear" w:color="auto" w:fill="B6B6B6"/>
          </w:tcPr>
          <w:p>
            <w:pPr>
              <w:spacing w:after="0"/>
              <w:rPr>
                <w:sz w:val="20"/>
                <w:szCs w:val="20"/>
                <w:color w:val="auto"/>
              </w:rPr>
            </w:pPr>
          </w:p>
        </w:tc>
        <w:tc>
          <w:tcPr>
            <w:tcW w:w="220" w:type="dxa"/>
            <w:vAlign w:val="bottom"/>
            <w:tcBorders>
              <w:bottom w:val="single" w:sz="8" w:color="B6B6B6"/>
            </w:tcBorders>
            <w:shd w:val="clear" w:color="auto" w:fill="B6B6B6"/>
          </w:tcPr>
          <w:p>
            <w:pPr>
              <w:spacing w:after="0"/>
              <w:rPr>
                <w:sz w:val="20"/>
                <w:szCs w:val="20"/>
                <w:color w:val="auto"/>
              </w:rPr>
            </w:pPr>
          </w:p>
        </w:tc>
        <w:tc>
          <w:tcPr>
            <w:tcW w:w="1380" w:type="dxa"/>
            <w:vAlign w:val="bottom"/>
            <w:tcBorders>
              <w:bottom w:val="single" w:sz="8" w:color="B6B6B6"/>
            </w:tcBorders>
            <w:shd w:val="clear" w:color="auto" w:fill="B6B6B6"/>
          </w:tcPr>
          <w:p>
            <w:pPr>
              <w:spacing w:after="0"/>
              <w:rPr>
                <w:sz w:val="20"/>
                <w:szCs w:val="20"/>
                <w:color w:val="auto"/>
              </w:rPr>
            </w:pPr>
          </w:p>
        </w:tc>
        <w:tc>
          <w:tcPr>
            <w:tcW w:w="100" w:type="dxa"/>
            <w:vAlign w:val="bottom"/>
            <w:tcBorders>
              <w:bottom w:val="single" w:sz="8" w:color="B6B6B6"/>
            </w:tcBorders>
            <w:shd w:val="clear" w:color="auto" w:fill="B6B6B6"/>
          </w:tcPr>
          <w:p>
            <w:pPr>
              <w:spacing w:after="0"/>
              <w:rPr>
                <w:sz w:val="20"/>
                <w:szCs w:val="20"/>
                <w:color w:val="auto"/>
              </w:rPr>
            </w:pPr>
          </w:p>
        </w:tc>
        <w:tc>
          <w:tcPr>
            <w:tcW w:w="160" w:type="dxa"/>
            <w:vAlign w:val="bottom"/>
            <w:tcBorders>
              <w:bottom w:val="single" w:sz="8" w:color="B6B6B6"/>
            </w:tcBorders>
            <w:shd w:val="clear" w:color="auto" w:fill="B6B6B6"/>
          </w:tcPr>
          <w:p>
            <w:pPr>
              <w:spacing w:after="0"/>
              <w:rPr>
                <w:sz w:val="20"/>
                <w:szCs w:val="20"/>
                <w:color w:val="auto"/>
              </w:rPr>
            </w:pPr>
          </w:p>
        </w:tc>
        <w:tc>
          <w:tcPr>
            <w:tcW w:w="1320" w:type="dxa"/>
            <w:vAlign w:val="bottom"/>
            <w:tcBorders>
              <w:bottom w:val="single" w:sz="8" w:color="B6B6B6"/>
            </w:tcBorders>
            <w:shd w:val="clear" w:color="auto" w:fill="B6B6B6"/>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22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shd w:val="clear" w:color="auto" w:fill="B6B6B6"/>
          </w:tcPr>
          <w:p>
            <w:pPr>
              <w:spacing w:after="0"/>
              <w:rPr>
                <w:sz w:val="19"/>
                <w:szCs w:val="19"/>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w w:val="95"/>
              </w:rPr>
              <w:t>Common stock, par value $.50 per share; 40,000,000 shares authorized and 15,505,772 shares issued at</w:t>
            </w:r>
          </w:p>
        </w:tc>
        <w:tc>
          <w:tcPr>
            <w:tcW w:w="22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320" w:type="dxa"/>
            <w:vAlign w:val="bottom"/>
            <w:shd w:val="clear" w:color="auto" w:fill="B6B6B6"/>
          </w:tcPr>
          <w:p>
            <w:pPr>
              <w:spacing w:after="0"/>
              <w:rPr>
                <w:sz w:val="19"/>
                <w:szCs w:val="19"/>
                <w:color w:val="auto"/>
              </w:rPr>
            </w:pPr>
          </w:p>
        </w:tc>
      </w:tr>
      <w:tr>
        <w:trPr>
          <w:trHeight w:val="203"/>
        </w:trPr>
        <w:tc>
          <w:tcPr>
            <w:tcW w:w="20" w:type="dxa"/>
            <w:vAlign w:val="bottom"/>
            <w:shd w:val="clear" w:color="auto" w:fill="B6B6B6"/>
          </w:tcPr>
          <w:p>
            <w:pPr>
              <w:spacing w:after="0"/>
              <w:rPr>
                <w:sz w:val="17"/>
                <w:szCs w:val="17"/>
                <w:color w:val="auto"/>
              </w:rPr>
            </w:pPr>
          </w:p>
        </w:tc>
        <w:tc>
          <w:tcPr>
            <w:tcW w:w="8040" w:type="dxa"/>
            <w:vAlign w:val="bottom"/>
            <w:gridSpan w:val="3"/>
            <w:shd w:val="clear" w:color="auto" w:fill="B6B6B6"/>
          </w:tcPr>
          <w:p>
            <w:pPr>
              <w:ind w:left="160"/>
              <w:spacing w:after="0" w:line="202" w:lineRule="exact"/>
              <w:rPr>
                <w:sz w:val="20"/>
                <w:szCs w:val="20"/>
                <w:color w:val="auto"/>
              </w:rPr>
            </w:pPr>
            <w:r>
              <w:rPr>
                <w:rFonts w:ascii="Arial" w:cs="Arial" w:eastAsia="Arial" w:hAnsi="Arial"/>
                <w:sz w:val="18"/>
                <w:szCs w:val="18"/>
                <w:color w:val="auto"/>
              </w:rPr>
              <w:t>September 30, 2023 and December 31, 2022; 13,596,490 and 13,669,656 shares outstanding at</w:t>
            </w:r>
          </w:p>
        </w:tc>
        <w:tc>
          <w:tcPr>
            <w:tcW w:w="220" w:type="dxa"/>
            <w:vAlign w:val="bottom"/>
            <w:shd w:val="clear" w:color="auto" w:fill="B6B6B6"/>
          </w:tcPr>
          <w:p>
            <w:pPr>
              <w:spacing w:after="0"/>
              <w:rPr>
                <w:sz w:val="17"/>
                <w:szCs w:val="17"/>
                <w:color w:val="auto"/>
              </w:rPr>
            </w:pPr>
          </w:p>
        </w:tc>
        <w:tc>
          <w:tcPr>
            <w:tcW w:w="138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60"/>
              <w:spacing w:after="0"/>
              <w:rPr>
                <w:sz w:val="20"/>
                <w:szCs w:val="20"/>
                <w:color w:val="auto"/>
              </w:rPr>
            </w:pPr>
            <w:r>
              <w:rPr>
                <w:rFonts w:ascii="Arial" w:cs="Arial" w:eastAsia="Arial" w:hAnsi="Arial"/>
                <w:sz w:val="18"/>
                <w:szCs w:val="18"/>
                <w:color w:val="auto"/>
              </w:rPr>
              <w:t>September 30, 2023 and December 31, 2022, respectively.</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7,753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207,422</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141,444</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131,682</w:t>
            </w:r>
          </w:p>
        </w:tc>
      </w:tr>
      <w:tr>
        <w:trPr>
          <w:trHeight w:val="215"/>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7"/>
              </w:rPr>
              <w:t>Common shares in treasury, at cost (1,909,282 shares at September 30, 2023 and 1,836,116 shares at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040" w:type="dxa"/>
            <w:vAlign w:val="bottom"/>
            <w:gridSpan w:val="3"/>
          </w:tcPr>
          <w:p>
            <w:pPr>
              <w:ind w:left="160"/>
              <w:spacing w:after="0"/>
              <w:rPr>
                <w:sz w:val="20"/>
                <w:szCs w:val="20"/>
                <w:color w:val="auto"/>
              </w:rPr>
            </w:pPr>
            <w:r>
              <w:rPr>
                <w:rFonts w:ascii="Arial" w:cs="Arial" w:eastAsia="Arial" w:hAnsi="Arial"/>
                <w:sz w:val="18"/>
                <w:szCs w:val="18"/>
                <w:color w:val="auto"/>
              </w:rPr>
              <w:t>December 31, 2022)</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(83,704)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(81,211)</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(66,920)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(59,321)</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206,236</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206,325</w:t>
            </w:r>
          </w:p>
        </w:tc>
      </w:tr>
      <w:tr>
        <w:trPr>
          <w:trHeight w:val="281"/>
        </w:trPr>
        <w:tc>
          <w:tcPr>
            <w:tcW w:w="20" w:type="dxa"/>
            <w:vAlign w:val="bottom"/>
            <w:tcBorders>
              <w:bottom w:val="single" w:sz="8" w:color="B6B6B6"/>
            </w:tcBorders>
            <w:shd w:val="clear" w:color="auto" w:fill="B6B6B6"/>
          </w:tcPr>
          <w:p>
            <w:pPr>
              <w:spacing w:after="0"/>
              <w:rPr>
                <w:sz w:val="24"/>
                <w:szCs w:val="24"/>
                <w:color w:val="auto"/>
              </w:rPr>
            </w:pPr>
          </w:p>
        </w:tc>
        <w:tc>
          <w:tcPr>
            <w:tcW w:w="8040" w:type="dxa"/>
            <w:vAlign w:val="bottom"/>
            <w:tcBorders>
              <w:bottom w:val="single" w:sz="8" w:color="B6B6B6"/>
            </w:tcBorders>
            <w:gridSpan w:val="3"/>
            <w:shd w:val="clear" w:color="auto" w:fill="B6B6B6"/>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2,504,878</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2,573,023</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46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3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2"/>
        </w:trPr>
        <w:tc>
          <w:tcPr>
            <w:tcW w:w="1360" w:type="dxa"/>
            <w:vAlign w:val="bottom"/>
            <w:tcBorders>
              <w:top w:val="single" w:sz="8" w:color="0000FF"/>
            </w:tcBorders>
          </w:tcPr>
          <w:p>
            <w:pPr>
              <w:spacing w:after="0"/>
              <w:rPr>
                <w:sz w:val="24"/>
                <w:szCs w:val="24"/>
                <w:color w:val="auto"/>
              </w:rPr>
            </w:pPr>
          </w:p>
        </w:tc>
        <w:tc>
          <w:tcPr>
            <w:tcW w:w="7500" w:type="dxa"/>
            <w:vAlign w:val="bottom"/>
            <w:gridSpan w:val="8"/>
          </w:tcPr>
          <w:p>
            <w:pPr>
              <w:jc w:val="center"/>
              <w:ind w:left="93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7"/>
        </w:trPr>
        <w:tc>
          <w:tcPr>
            <w:tcW w:w="1360" w:type="dxa"/>
            <w:vAlign w:val="bottom"/>
          </w:tcPr>
          <w:p>
            <w:pPr>
              <w:spacing w:after="0"/>
              <w:rPr>
                <w:sz w:val="17"/>
                <w:szCs w:val="17"/>
                <w:color w:val="auto"/>
              </w:rPr>
            </w:pPr>
          </w:p>
        </w:tc>
        <w:tc>
          <w:tcPr>
            <w:tcW w:w="6240" w:type="dxa"/>
            <w:vAlign w:val="bottom"/>
            <w:gridSpan w:val="5"/>
          </w:tcPr>
          <w:p>
            <w:pPr>
              <w:jc w:val="center"/>
              <w:ind w:left="2190"/>
              <w:spacing w:after="0"/>
              <w:rPr>
                <w:sz w:val="20"/>
                <w:szCs w:val="20"/>
                <w:color w:val="auto"/>
              </w:rPr>
            </w:pPr>
            <w:r>
              <w:rPr>
                <w:rFonts w:ascii="Arial" w:cs="Arial" w:eastAsia="Arial" w:hAnsi="Arial"/>
                <w:sz w:val="18"/>
                <w:szCs w:val="18"/>
                <w:b w:val="1"/>
                <w:bCs w:val="1"/>
                <w:color w:val="auto"/>
              </w:rPr>
              <w:t>CONSOLIDATED STATEMENTS OF INCOME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(Unaudited)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6240" w:type="dxa"/>
            <w:vAlign w:val="bottom"/>
            <w:gridSpan w:val="5"/>
          </w:tcPr>
          <w:p>
            <w:pPr>
              <w:jc w:val="center"/>
              <w:ind w:left="2210"/>
              <w:spacing w:after="0"/>
              <w:rPr>
                <w:sz w:val="20"/>
                <w:szCs w:val="20"/>
                <w:color w:val="auto"/>
              </w:rPr>
            </w:pPr>
            <w:r>
              <w:rPr>
                <w:rFonts w:ascii="Arial" w:cs="Arial" w:eastAsia="Arial" w:hAnsi="Arial"/>
                <w:sz w:val="18"/>
                <w:szCs w:val="18"/>
                <w:color w:val="auto"/>
                <w:w w:val="89"/>
              </w:rPr>
              <w:t>(Dollars in Thousands except Per Share Data)</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3"/>
        </w:trPr>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43"/>
        </w:trPr>
        <w:tc>
          <w:tcPr>
            <w:tcW w:w="1360" w:type="dxa"/>
            <w:vAlign w:val="bottom"/>
            <w:tcBorders>
              <w:top w:val="single" w:sz="8" w:color="B6B6B6"/>
              <w:bottom w:val="single" w:sz="8" w:color="auto"/>
            </w:tcBorders>
            <w:shd w:val="clear" w:color="auto" w:fill="B6B6B6"/>
          </w:tcPr>
          <w:p>
            <w:pPr>
              <w:spacing w:after="0"/>
              <w:rPr>
                <w:sz w:val="21"/>
                <w:szCs w:val="21"/>
                <w:color w:val="auto"/>
              </w:rPr>
            </w:pPr>
          </w:p>
        </w:tc>
        <w:tc>
          <w:tcPr>
            <w:tcW w:w="3520" w:type="dxa"/>
            <w:vAlign w:val="bottom"/>
            <w:tcBorders>
              <w:top w:val="single" w:sz="8" w:color="B6B6B6"/>
              <w:bottom w:val="single" w:sz="8" w:color="auto"/>
            </w:tcBorders>
            <w:shd w:val="clear" w:color="auto" w:fill="B6B6B6"/>
          </w:tcPr>
          <w:p>
            <w:pPr>
              <w:spacing w:after="0"/>
              <w:rPr>
                <w:sz w:val="21"/>
                <w:szCs w:val="21"/>
                <w:color w:val="auto"/>
              </w:rPr>
            </w:pPr>
          </w:p>
        </w:tc>
        <w:tc>
          <w:tcPr>
            <w:tcW w:w="1480" w:type="dxa"/>
            <w:vAlign w:val="bottom"/>
            <w:tcBorders>
              <w:top w:val="single" w:sz="8" w:color="B6B6B6"/>
              <w:bottom w:val="single" w:sz="8" w:color="auto"/>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2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auto"/>
            </w:tcBorders>
            <w:shd w:val="clear" w:color="auto" w:fill="B6B6B6"/>
          </w:tcPr>
          <w:p>
            <w:pPr>
              <w:spacing w:after="0"/>
              <w:rPr>
                <w:sz w:val="21"/>
                <w:szCs w:val="21"/>
                <w:color w:val="auto"/>
              </w:rPr>
            </w:pPr>
          </w:p>
        </w:tc>
        <w:tc>
          <w:tcPr>
            <w:tcW w:w="26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B6B6B6"/>
              <w:bottom w:val="single" w:sz="8" w:color="auto"/>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Fee Revenue and Other Income:</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Processing fees</w:t>
            </w:r>
          </w:p>
        </w:tc>
        <w:tc>
          <w:tcPr>
            <w:tcW w:w="1720" w:type="dxa"/>
            <w:vAlign w:val="bottom"/>
            <w:gridSpan w:val="2"/>
            <w:shd w:val="clear" w:color="auto" w:fill="B6B6B6"/>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19,939</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58,838</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57,184</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Financial fees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32,406</w:t>
            </w: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3,275</w:t>
            </w:r>
          </w:p>
        </w:tc>
      </w:tr>
      <w:tr>
        <w:trPr>
          <w:trHeight w:val="296"/>
        </w:trPr>
        <w:tc>
          <w:tcPr>
            <w:tcW w:w="4880" w:type="dxa"/>
            <w:vAlign w:val="bottom"/>
            <w:tcBorders>
              <w:bottom w:val="single" w:sz="8" w:color="B6B6B6"/>
            </w:tcBorders>
            <w:gridSpan w:val="2"/>
          </w:tcPr>
          <w:p>
            <w:pPr>
              <w:ind w:left="380"/>
              <w:spacing w:after="0"/>
              <w:rPr>
                <w:sz w:val="20"/>
                <w:szCs w:val="20"/>
                <w:color w:val="auto"/>
              </w:rPr>
            </w:pPr>
            <w:r>
              <w:rPr>
                <w:rFonts w:ascii="Arial" w:cs="Arial" w:eastAsia="Arial" w:hAnsi="Arial"/>
                <w:sz w:val="18"/>
                <w:szCs w:val="18"/>
                <w:color w:val="auto"/>
              </w:rPr>
              <w:t>Total fee revenue and other income</w:t>
            </w:r>
          </w:p>
        </w:tc>
        <w:tc>
          <w:tcPr>
            <w:tcW w:w="148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32,800</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31,784</w:t>
            </w:r>
          </w:p>
        </w:tc>
        <w:tc>
          <w:tcPr>
            <w:tcW w:w="10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96,980</w:t>
            </w:r>
          </w:p>
        </w:tc>
        <w:tc>
          <w:tcPr>
            <w:tcW w:w="10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92,865</w:t>
            </w:r>
          </w:p>
        </w:tc>
      </w:tr>
      <w:tr>
        <w:trPr>
          <w:trHeight w:val="250"/>
        </w:trPr>
        <w:tc>
          <w:tcPr>
            <w:tcW w:w="4880" w:type="dxa"/>
            <w:vAlign w:val="bottom"/>
            <w:tcBorders>
              <w:top w:val="single" w:sz="8" w:color="B6B6B6"/>
            </w:tcBorders>
            <w:gridSpan w:val="2"/>
          </w:tcPr>
          <w:p>
            <w:pPr>
              <w:ind w:left="20"/>
              <w:spacing w:after="0"/>
              <w:rPr>
                <w:sz w:val="20"/>
                <w:szCs w:val="20"/>
                <w:color w:val="auto"/>
              </w:rPr>
            </w:pPr>
            <w:r>
              <w:rPr>
                <w:rFonts w:ascii="Arial" w:cs="Arial" w:eastAsia="Arial" w:hAnsi="Arial"/>
                <w:sz w:val="18"/>
                <w:szCs w:val="18"/>
                <w:b w:val="1"/>
                <w:bCs w:val="1"/>
                <w:color w:val="auto"/>
              </w:rPr>
              <w:t>Interest Income:</w:t>
            </w:r>
          </w:p>
        </w:tc>
        <w:tc>
          <w:tcPr>
            <w:tcW w:w="148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Interest and fees on loans</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12,863</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38,029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27,890</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Interest and dividends on securities: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880" w:type="dxa"/>
            <w:vAlign w:val="bottom"/>
            <w:gridSpan w:val="2"/>
            <w:shd w:val="clear" w:color="auto" w:fill="B6B6B6"/>
          </w:tcPr>
          <w:p>
            <w:pPr>
              <w:ind w:left="380"/>
              <w:spacing w:after="0"/>
              <w:rPr>
                <w:sz w:val="20"/>
                <w:szCs w:val="20"/>
                <w:color w:val="auto"/>
              </w:rPr>
            </w:pPr>
            <w:r>
              <w:rPr>
                <w:rFonts w:ascii="Arial" w:cs="Arial" w:eastAsia="Arial" w:hAnsi="Arial"/>
                <w:sz w:val="18"/>
                <w:szCs w:val="18"/>
                <w:color w:val="auto"/>
              </w:rPr>
              <w:t>Taxable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3,428</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6,679</w:t>
            </w:r>
          </w:p>
        </w:tc>
      </w:tr>
      <w:tr>
        <w:trPr>
          <w:trHeight w:val="250"/>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Exempt from federal income taxes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w w:val="96"/>
              </w:rPr>
              <w:t>Interest on federal funds sold and other short-term investments</w:t>
            </w:r>
          </w:p>
        </w:tc>
        <w:tc>
          <w:tcPr>
            <w:tcW w:w="148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3,934</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9,147</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3,423</w:t>
            </w:r>
          </w:p>
        </w:tc>
      </w:tr>
      <w:tr>
        <w:trPr>
          <w:trHeight w:val="295"/>
        </w:trPr>
        <w:tc>
          <w:tcPr>
            <w:tcW w:w="4880" w:type="dxa"/>
            <w:vAlign w:val="bottom"/>
            <w:tcBorders>
              <w:bottom w:val="single" w:sz="8" w:color="B6B6B6"/>
            </w:tcBorders>
            <w:gridSpan w:val="2"/>
          </w:tcPr>
          <w:p>
            <w:pPr>
              <w:ind w:left="380"/>
              <w:spacing w:after="0"/>
              <w:rPr>
                <w:sz w:val="20"/>
                <w:szCs w:val="20"/>
                <w:color w:val="auto"/>
              </w:rPr>
            </w:pPr>
            <w:r>
              <w:rPr>
                <w:rFonts w:ascii="Arial" w:cs="Arial" w:eastAsia="Arial" w:hAnsi="Arial"/>
                <w:sz w:val="18"/>
                <w:szCs w:val="18"/>
                <w:color w:val="auto"/>
              </w:rPr>
              <w:t>Total interest income</w:t>
            </w:r>
          </w:p>
        </w:tc>
        <w:tc>
          <w:tcPr>
            <w:tcW w:w="148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21,189</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16,753</w:t>
            </w:r>
          </w:p>
        </w:tc>
        <w:tc>
          <w:tcPr>
            <w:tcW w:w="10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61,039</w:t>
            </w:r>
          </w:p>
        </w:tc>
        <w:tc>
          <w:tcPr>
            <w:tcW w:w="10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42,859</w:t>
            </w:r>
          </w:p>
        </w:tc>
      </w:tr>
      <w:tr>
        <w:trPr>
          <w:trHeight w:val="250"/>
        </w:trPr>
        <w:tc>
          <w:tcPr>
            <w:tcW w:w="4880" w:type="dxa"/>
            <w:vAlign w:val="bottom"/>
            <w:tcBorders>
              <w:top w:val="single" w:sz="8" w:color="B6B6B6"/>
            </w:tcBorders>
            <w:gridSpan w:val="2"/>
          </w:tcPr>
          <w:p>
            <w:pPr>
              <w:ind w:left="20"/>
              <w:spacing w:after="0"/>
              <w:rPr>
                <w:sz w:val="20"/>
                <w:szCs w:val="20"/>
                <w:color w:val="auto"/>
              </w:rPr>
            </w:pPr>
            <w:r>
              <w:rPr>
                <w:rFonts w:ascii="Arial" w:cs="Arial" w:eastAsia="Arial" w:hAnsi="Arial"/>
                <w:sz w:val="18"/>
                <w:szCs w:val="18"/>
                <w:b w:val="1"/>
                <w:bCs w:val="1"/>
                <w:color w:val="auto"/>
              </w:rPr>
              <w:t>Interest Expense:</w:t>
            </w:r>
          </w:p>
        </w:tc>
        <w:tc>
          <w:tcPr>
            <w:tcW w:w="148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Interest on deposits</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4,641</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11,463</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1,344</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Interest on short-term borrowings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80" w:type="dxa"/>
            <w:vAlign w:val="bottom"/>
            <w:tcBorders>
              <w:top w:val="single" w:sz="8" w:color="B6B6B6"/>
            </w:tcBorders>
            <w:gridSpan w:val="2"/>
            <w:shd w:val="clear" w:color="auto" w:fill="B6B6B6"/>
          </w:tcPr>
          <w:p>
            <w:pPr>
              <w:ind w:left="380"/>
              <w:spacing w:after="0"/>
              <w:rPr>
                <w:sz w:val="20"/>
                <w:szCs w:val="20"/>
                <w:color w:val="auto"/>
              </w:rPr>
            </w:pPr>
            <w:r>
              <w:rPr>
                <w:rFonts w:ascii="Arial" w:cs="Arial" w:eastAsia="Arial" w:hAnsi="Arial"/>
                <w:sz w:val="18"/>
                <w:szCs w:val="18"/>
                <w:color w:val="auto"/>
              </w:rPr>
              <w:t>Total interest expense</w:t>
            </w:r>
          </w:p>
        </w:tc>
        <w:tc>
          <w:tcPr>
            <w:tcW w:w="1480" w:type="dxa"/>
            <w:vAlign w:val="bottom"/>
            <w:tcBorders>
              <w:top w:val="single" w:sz="8" w:color="B6B6B6"/>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20" w:type="dxa"/>
            <w:vAlign w:val="bottom"/>
            <w:tcBorders>
              <w:top w:val="single" w:sz="8" w:color="auto"/>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4,641</w:t>
            </w:r>
          </w:p>
        </w:tc>
        <w:tc>
          <w:tcPr>
            <w:tcW w:w="80" w:type="dxa"/>
            <w:vAlign w:val="bottom"/>
            <w:tcBorders>
              <w:top w:val="single" w:sz="8" w:color="B6B6B6"/>
            </w:tcBorders>
            <w:shd w:val="clear" w:color="auto" w:fill="B6B6B6"/>
          </w:tcPr>
          <w:p>
            <w:pPr>
              <w:spacing w:after="0"/>
              <w:rPr>
                <w:sz w:val="21"/>
                <w:szCs w:val="21"/>
                <w:color w:val="auto"/>
              </w:rPr>
            </w:pPr>
          </w:p>
        </w:tc>
        <w:tc>
          <w:tcPr>
            <w:tcW w:w="26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B6B6B6"/>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11,579</w:t>
            </w:r>
          </w:p>
        </w:tc>
        <w:tc>
          <w:tcPr>
            <w:tcW w:w="100" w:type="dxa"/>
            <w:vAlign w:val="bottom"/>
            <w:tcBorders>
              <w:top w:val="single" w:sz="8" w:color="B6B6B6"/>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spacing w:after="0"/>
              <w:rPr>
                <w:sz w:val="21"/>
                <w:szCs w:val="21"/>
                <w:color w:val="auto"/>
              </w:rPr>
            </w:pPr>
          </w:p>
        </w:tc>
        <w:tc>
          <w:tcPr>
            <w:tcW w:w="9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1,344</w:t>
            </w:r>
          </w:p>
        </w:tc>
      </w:tr>
      <w:tr>
        <w:trPr>
          <w:trHeight w:val="250"/>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Net interest income</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41,515</w:t>
            </w: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Provision for (release of) credit losses</w:t>
            </w:r>
          </w:p>
        </w:tc>
        <w:tc>
          <w:tcPr>
            <w:tcW w:w="148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850</w:t>
            </w:r>
          </w:p>
        </w:tc>
      </w:tr>
      <w:tr>
        <w:trPr>
          <w:trHeight w:val="250"/>
        </w:trPr>
        <w:tc>
          <w:tcPr>
            <w:tcW w:w="488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w w:val="96"/>
              </w:rPr>
              <w:t>Net interest income after provision for (release of) credit losses</w:t>
            </w:r>
          </w:p>
        </w:tc>
        <w:tc>
          <w:tcPr>
            <w:tcW w:w="148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16,423</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49,795</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40,665</w:t>
            </w:r>
          </w:p>
        </w:tc>
      </w:tr>
      <w:tr>
        <w:trPr>
          <w:trHeight w:val="257"/>
        </w:trPr>
        <w:tc>
          <w:tcPr>
            <w:tcW w:w="4880" w:type="dxa"/>
            <w:vAlign w:val="bottom"/>
            <w:gridSpan w:val="2"/>
            <w:shd w:val="clear" w:color="auto" w:fill="B6B6B6"/>
          </w:tcPr>
          <w:p>
            <w:pPr>
              <w:ind w:left="560"/>
              <w:spacing w:after="0"/>
              <w:rPr>
                <w:sz w:val="20"/>
                <w:szCs w:val="20"/>
                <w:color w:val="auto"/>
              </w:rPr>
            </w:pPr>
            <w:r>
              <w:rPr>
                <w:rFonts w:ascii="Arial" w:cs="Arial" w:eastAsia="Arial" w:hAnsi="Arial"/>
                <w:sz w:val="18"/>
                <w:szCs w:val="18"/>
                <w:color w:val="auto"/>
              </w:rPr>
              <w:t>Total net revenue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49,223</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47,205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146,775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133,530</w:t>
            </w:r>
          </w:p>
        </w:tc>
      </w:tr>
      <w:tr>
        <w:trPr>
          <w:trHeight w:val="54"/>
        </w:trPr>
        <w:tc>
          <w:tcPr>
            <w:tcW w:w="4880" w:type="dxa"/>
            <w:vAlign w:val="bottom"/>
            <w:gridSpan w:val="2"/>
          </w:tcPr>
          <w:p>
            <w:pPr>
              <w:spacing w:after="0"/>
              <w:rPr>
                <w:sz w:val="4"/>
                <w:szCs w:val="4"/>
                <w:color w:val="auto"/>
              </w:rPr>
            </w:pPr>
          </w:p>
        </w:tc>
        <w:tc>
          <w:tcPr>
            <w:tcW w:w="1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b w:val="1"/>
                <w:bCs w:val="1"/>
                <w:color w:val="auto"/>
              </w:rPr>
              <w:t>Operating Expense: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spacing w:after="0"/>
              <w:rPr>
                <w:sz w:val="22"/>
                <w:szCs w:val="22"/>
                <w:color w:val="auto"/>
              </w:rPr>
            </w:pP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Personnel</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77,750</w:t>
            </w: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Occupancy</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2,801</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5,004</w:t>
            </w: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485</w:t>
            </w:r>
          </w:p>
        </w:tc>
      </w:tr>
      <w:tr>
        <w:trPr>
          <w:trHeight w:val="250"/>
        </w:trPr>
        <w:tc>
          <w:tcPr>
            <w:tcW w:w="488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Other operating expense</w:t>
            </w:r>
          </w:p>
        </w:tc>
        <w:tc>
          <w:tcPr>
            <w:tcW w:w="148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22,237</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15,748</w:t>
            </w:r>
          </w:p>
        </w:tc>
      </w:tr>
      <w:tr>
        <w:trPr>
          <w:trHeight w:val="250"/>
        </w:trPr>
        <w:tc>
          <w:tcPr>
            <w:tcW w:w="4880" w:type="dxa"/>
            <w:vAlign w:val="bottom"/>
            <w:gridSpan w:val="2"/>
            <w:shd w:val="clear" w:color="auto" w:fill="B6B6B6"/>
          </w:tcPr>
          <w:p>
            <w:pPr>
              <w:ind w:left="380"/>
              <w:spacing w:after="0"/>
              <w:rPr>
                <w:sz w:val="20"/>
                <w:szCs w:val="20"/>
                <w:color w:val="auto"/>
              </w:rPr>
            </w:pPr>
            <w:r>
              <w:rPr>
                <w:rFonts w:ascii="Arial" w:cs="Arial" w:eastAsia="Arial" w:hAnsi="Arial"/>
                <w:sz w:val="18"/>
                <w:szCs w:val="18"/>
                <w:color w:val="auto"/>
              </w:rPr>
              <w:t>Total operating expense</w:t>
            </w:r>
          </w:p>
        </w:tc>
        <w:tc>
          <w:tcPr>
            <w:tcW w:w="148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40,063</w:t>
            </w:r>
          </w:p>
        </w:tc>
        <w:tc>
          <w:tcPr>
            <w:tcW w:w="80" w:type="dxa"/>
            <w:vAlign w:val="bottom"/>
            <w:shd w:val="clear" w:color="auto" w:fill="B6B6B6"/>
          </w:tcPr>
          <w:p>
            <w:pPr>
              <w:spacing w:after="0"/>
              <w:rPr>
                <w:sz w:val="21"/>
                <w:szCs w:val="21"/>
                <w:color w:val="auto"/>
              </w:rPr>
            </w:pPr>
          </w:p>
        </w:tc>
        <w:tc>
          <w:tcPr>
            <w:tcW w:w="26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36,321</w:t>
            </w:r>
          </w:p>
        </w:tc>
        <w:tc>
          <w:tcPr>
            <w:tcW w:w="10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119,774</w:t>
            </w:r>
          </w:p>
        </w:tc>
        <w:tc>
          <w:tcPr>
            <w:tcW w:w="10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101,788</w:t>
            </w:r>
          </w:p>
        </w:tc>
      </w:tr>
      <w:tr>
        <w:trPr>
          <w:trHeight w:val="250"/>
        </w:trPr>
        <w:tc>
          <w:tcPr>
            <w:tcW w:w="4880" w:type="dxa"/>
            <w:vAlign w:val="bottom"/>
            <w:gridSpan w:val="2"/>
          </w:tcPr>
          <w:p>
            <w:pPr>
              <w:ind w:left="560"/>
              <w:spacing w:after="0"/>
              <w:rPr>
                <w:sz w:val="20"/>
                <w:szCs w:val="20"/>
                <w:color w:val="auto"/>
              </w:rPr>
            </w:pPr>
            <w:r>
              <w:rPr>
                <w:rFonts w:ascii="Arial" w:cs="Arial" w:eastAsia="Arial" w:hAnsi="Arial"/>
                <w:sz w:val="18"/>
                <w:szCs w:val="18"/>
                <w:color w:val="auto"/>
              </w:rPr>
              <w:t>Income before income tax expense</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31,742</w:t>
            </w: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Income tax expense</w:t>
            </w:r>
          </w:p>
        </w:tc>
        <w:tc>
          <w:tcPr>
            <w:tcW w:w="148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1,766</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5,352</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6,123</w:t>
            </w:r>
          </w:p>
        </w:tc>
      </w:tr>
      <w:tr>
        <w:trPr>
          <w:trHeight w:val="257"/>
        </w:trPr>
        <w:tc>
          <w:tcPr>
            <w:tcW w:w="4880" w:type="dxa"/>
            <w:vAlign w:val="bottom"/>
            <w:gridSpan w:val="2"/>
          </w:tcPr>
          <w:p>
            <w:pPr>
              <w:ind w:left="560"/>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7,394</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21,649</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25,619</w:t>
            </w:r>
          </w:p>
        </w:tc>
      </w:tr>
      <w:tr>
        <w:trPr>
          <w:trHeight w:val="46"/>
        </w:trPr>
        <w:tc>
          <w:tcPr>
            <w:tcW w:w="1360" w:type="dxa"/>
            <w:vAlign w:val="bottom"/>
            <w:tcBorders>
              <w:bottom w:val="single" w:sz="8" w:color="B6B6B6"/>
            </w:tcBorders>
          </w:tcPr>
          <w:p>
            <w:pPr>
              <w:spacing w:after="0"/>
              <w:rPr>
                <w:sz w:val="3"/>
                <w:szCs w:val="3"/>
                <w:color w:val="auto"/>
              </w:rPr>
            </w:pPr>
          </w:p>
        </w:tc>
        <w:tc>
          <w:tcPr>
            <w:tcW w:w="3520" w:type="dxa"/>
            <w:vAlign w:val="bottom"/>
            <w:tcBorders>
              <w:bottom w:val="single" w:sz="8" w:color="B6B6B6"/>
            </w:tcBorders>
          </w:tcPr>
          <w:p>
            <w:pPr>
              <w:spacing w:after="0"/>
              <w:rPr>
                <w:sz w:val="3"/>
                <w:szCs w:val="3"/>
                <w:color w:val="auto"/>
              </w:rPr>
            </w:pPr>
          </w:p>
        </w:tc>
        <w:tc>
          <w:tcPr>
            <w:tcW w:w="1480" w:type="dxa"/>
            <w:vAlign w:val="bottom"/>
            <w:tcBorders>
              <w:bottom w:val="single" w:sz="8" w:color="B6B6B6"/>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B6B6B6"/>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r>
      <w:tr>
        <w:trPr>
          <w:trHeight w:val="250"/>
        </w:trPr>
        <w:tc>
          <w:tcPr>
            <w:tcW w:w="4880" w:type="dxa"/>
            <w:vAlign w:val="bottom"/>
            <w:tcBorders>
              <w:top w:val="single" w:sz="8" w:color="B6B6B6"/>
            </w:tcBorders>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720" w:type="dxa"/>
            <w:vAlign w:val="bottom"/>
            <w:tcBorders>
              <w:top w:val="single" w:sz="8" w:color="B6B6B6"/>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1.89</w:t>
            </w: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Diluted earnings per share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48"/>
        </w:trPr>
        <w:tc>
          <w:tcPr>
            <w:tcW w:w="5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2022</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06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8,799</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21,649</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25,619</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7"/>
        </w:trPr>
        <w:tc>
          <w:tcPr>
            <w:tcW w:w="5060" w:type="dxa"/>
            <w:vAlign w:val="bottom"/>
            <w:shd w:val="clear" w:color="auto" w:fill="B6B6B6"/>
          </w:tcPr>
          <w:p>
            <w:pPr>
              <w:ind w:left="260"/>
              <w:spacing w:after="0"/>
              <w:rPr>
                <w:sz w:val="20"/>
                <w:szCs w:val="20"/>
                <w:color w:val="auto"/>
              </w:rPr>
            </w:pPr>
            <w:r>
              <w:rPr>
                <w:rFonts w:ascii="Arial" w:cs="Arial" w:eastAsia="Arial" w:hAnsi="Arial"/>
                <w:sz w:val="18"/>
                <w:szCs w:val="18"/>
                <w:color w:val="auto"/>
              </w:rPr>
              <w:t>Net unrealized loss on securities available-for-sale</w:t>
            </w:r>
          </w:p>
        </w:tc>
        <w:tc>
          <w:tcPr>
            <w:tcW w:w="32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(26,127)</w:t>
            </w:r>
          </w:p>
        </w:tc>
        <w:tc>
          <w:tcPr>
            <w:tcW w:w="8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(87,159)</w:t>
            </w:r>
          </w:p>
        </w:tc>
      </w:tr>
      <w:tr>
        <w:trPr>
          <w:trHeight w:val="250"/>
        </w:trPr>
        <w:tc>
          <w:tcPr>
            <w:tcW w:w="506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20,744</w:t>
            </w:r>
          </w:p>
        </w:tc>
      </w:tr>
      <w:tr>
        <w:trPr>
          <w:trHeight w:val="235"/>
        </w:trPr>
        <w:tc>
          <w:tcPr>
            <w:tcW w:w="5060" w:type="dxa"/>
            <w:vAlign w:val="bottom"/>
            <w:shd w:val="clear" w:color="auto" w:fill="B6B6B6"/>
          </w:tcPr>
          <w:p>
            <w:pPr>
              <w:ind w:left="260"/>
              <w:spacing w:after="0"/>
              <w:rPr>
                <w:sz w:val="20"/>
                <w:szCs w:val="20"/>
                <w:color w:val="auto"/>
              </w:rPr>
            </w:pPr>
            <w:r>
              <w:rPr>
                <w:rFonts w:ascii="Arial" w:cs="Arial" w:eastAsia="Arial" w:hAnsi="Arial"/>
                <w:sz w:val="18"/>
                <w:szCs w:val="18"/>
                <w:color w:val="auto"/>
                <w:w w:val="97"/>
              </w:rPr>
              <w:t>Reclassification adjustments for (gains) losses included in net</w:t>
            </w:r>
          </w:p>
        </w:tc>
        <w:tc>
          <w:tcPr>
            <w:tcW w:w="32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540" w:type="dxa"/>
            <w:vAlign w:val="bottom"/>
            <w:shd w:val="clear" w:color="auto" w:fill="B6B6B6"/>
          </w:tcPr>
          <w:p>
            <w:pPr>
              <w:spacing w:after="0"/>
              <w:rPr>
                <w:sz w:val="20"/>
                <w:szCs w:val="20"/>
                <w:color w:val="auto"/>
              </w:rPr>
            </w:pPr>
          </w:p>
        </w:tc>
        <w:tc>
          <w:tcPr>
            <w:tcW w:w="94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3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540" w:type="dxa"/>
            <w:vAlign w:val="bottom"/>
            <w:shd w:val="clear" w:color="auto" w:fill="B6B6B6"/>
          </w:tcPr>
          <w:p>
            <w:pPr>
              <w:spacing w:after="0"/>
              <w:rPr>
                <w:sz w:val="20"/>
                <w:szCs w:val="20"/>
                <w:color w:val="auto"/>
              </w:rPr>
            </w:pPr>
          </w:p>
        </w:tc>
        <w:tc>
          <w:tcPr>
            <w:tcW w:w="940" w:type="dxa"/>
            <w:vAlign w:val="bottom"/>
            <w:shd w:val="clear" w:color="auto" w:fill="B6B6B6"/>
          </w:tcPr>
          <w:p>
            <w:pPr>
              <w:spacing w:after="0"/>
              <w:rPr>
                <w:sz w:val="20"/>
                <w:szCs w:val="20"/>
                <w:color w:val="auto"/>
              </w:rPr>
            </w:pPr>
          </w:p>
        </w:tc>
      </w:tr>
      <w:tr>
        <w:trPr>
          <w:trHeight w:val="257"/>
        </w:trPr>
        <w:tc>
          <w:tcPr>
            <w:tcW w:w="5060" w:type="dxa"/>
            <w:vAlign w:val="bottom"/>
            <w:shd w:val="clear" w:color="auto" w:fill="B6B6B6"/>
          </w:tcPr>
          <w:p>
            <w:pPr>
              <w:ind w:left="520"/>
              <w:spacing w:after="0"/>
              <w:rPr>
                <w:sz w:val="20"/>
                <w:szCs w:val="20"/>
                <w:color w:val="auto"/>
              </w:rPr>
            </w:pPr>
            <w:r>
              <w:rPr>
                <w:rFonts w:ascii="Arial" w:cs="Arial" w:eastAsia="Arial" w:hAnsi="Arial"/>
                <w:sz w:val="18"/>
                <w:szCs w:val="18"/>
                <w:color w:val="auto"/>
              </w:rPr>
              <w:t>income</w:t>
            </w:r>
          </w:p>
        </w:tc>
        <w:tc>
          <w:tcPr>
            <w:tcW w:w="32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06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5060" w:type="dxa"/>
            <w:vAlign w:val="bottom"/>
            <w:shd w:val="clear" w:color="auto" w:fill="B6B6B6"/>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B6B6B6"/>
          </w:tcPr>
          <w:p>
            <w:pPr>
              <w:spacing w:after="0"/>
              <w:rPr>
                <w:sz w:val="23"/>
                <w:szCs w:val="23"/>
                <w:color w:val="auto"/>
              </w:rPr>
            </w:pPr>
          </w:p>
        </w:tc>
        <w:tc>
          <w:tcPr>
            <w:tcW w:w="540" w:type="dxa"/>
            <w:vAlign w:val="bottom"/>
            <w:tcBorders>
              <w:bottom w:val="single" w:sz="8" w:color="auto"/>
            </w:tcBorders>
            <w:shd w:val="clear" w:color="auto" w:fill="B6B6B6"/>
          </w:tcPr>
          <w:p>
            <w:pPr>
              <w:spacing w:after="0"/>
              <w:rPr>
                <w:sz w:val="23"/>
                <w:szCs w:val="23"/>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B6B6B6"/>
          </w:tcPr>
          <w:p>
            <w:pPr>
              <w:spacing w:after="0"/>
              <w:rPr>
                <w:sz w:val="23"/>
                <w:szCs w:val="23"/>
                <w:color w:val="auto"/>
              </w:rPr>
            </w:pPr>
          </w:p>
        </w:tc>
        <w:tc>
          <w:tcPr>
            <w:tcW w:w="540" w:type="dxa"/>
            <w:vAlign w:val="bottom"/>
            <w:tcBorders>
              <w:bottom w:val="single" w:sz="8" w:color="auto"/>
            </w:tcBorders>
            <w:shd w:val="clear" w:color="auto" w:fill="B6B6B6"/>
          </w:tcPr>
          <w:p>
            <w:pPr>
              <w:spacing w:after="0"/>
              <w:rPr>
                <w:sz w:val="23"/>
                <w:szCs w:val="23"/>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(405)</w:t>
            </w:r>
          </w:p>
        </w:tc>
      </w:tr>
      <w:tr>
        <w:trPr>
          <w:trHeight w:val="256"/>
        </w:trPr>
        <w:tc>
          <w:tcPr>
            <w:tcW w:w="5060" w:type="dxa"/>
            <w:vAlign w:val="bottom"/>
          </w:tcPr>
          <w:p>
            <w:pPr>
              <w:ind w:left="20"/>
              <w:spacing w:after="0"/>
              <w:rPr>
                <w:sz w:val="20"/>
                <w:szCs w:val="20"/>
                <w:color w:val="auto"/>
              </w:rPr>
            </w:pPr>
            <w:r>
              <w:rPr>
                <w:rFonts w:ascii="Arial" w:cs="Arial" w:eastAsia="Arial" w:hAnsi="Arial"/>
                <w:sz w:val="18"/>
                <w:szCs w:val="18"/>
                <w:color w:val="auto"/>
              </w:rPr>
              <w:t>Total comprehensive (loss)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(11,315)</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(41,213)</w:t>
            </w: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Nine Months Ended</w:t>
      </w:r>
    </w:p>
    <w:p>
      <w:pPr>
        <w:jc w:val="center"/>
        <w:ind w:left="81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7"/>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21,649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25,619</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Net amortization of premium/discount on investment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4,818</w:t>
            </w: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Losses (gains) on sales of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4,479</w:t>
            </w: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(Release of) provision for credit losses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850</w:t>
            </w: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(Decrease) increase in current income tax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Increase (decrease) in pension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(1,877)</w:t>
            </w: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Increase in 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(2,540)</w:t>
            </w:r>
          </w:p>
        </w:tc>
      </w:tr>
      <w:tr>
        <w:trPr>
          <w:trHeight w:val="257"/>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Other operating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5,331</w:t>
            </w:r>
          </w:p>
        </w:tc>
      </w:tr>
      <w:tr>
        <w:trPr>
          <w:trHeight w:val="295"/>
        </w:trPr>
        <w:tc>
          <w:tcPr>
            <w:tcW w:w="8180" w:type="dxa"/>
            <w:vAlign w:val="bottom"/>
            <w:tcBorders>
              <w:bottom w:val="single" w:sz="8" w:color="B6B6B6"/>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29,366</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40,799</w:t>
            </w:r>
          </w:p>
        </w:tc>
      </w:tr>
      <w:tr>
        <w:trPr>
          <w:trHeight w:val="250"/>
        </w:trPr>
        <w:tc>
          <w:tcPr>
            <w:tcW w:w="8180" w:type="dxa"/>
            <w:vAlign w:val="bottom"/>
            <w:tcBorders>
              <w:top w:val="single" w:sz="8" w:color="B6B6B6"/>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Proceeds from sales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111,053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3,838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Proceeds from maturities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45,740</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(15,332)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(231,891)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decrease (increase) in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(76,521)</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bank-owned life insurance</w:t>
            </w:r>
          </w:p>
        </w:tc>
        <w:tc>
          <w:tcPr>
            <w:tcW w:w="34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(4,538)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Asset acquisition of Touchpoint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(4,425)</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Decrease in payments in advance of funding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35,188</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22,206</w:t>
            </w:r>
          </w:p>
        </w:tc>
      </w:tr>
      <w:tr>
        <w:trPr>
          <w:trHeight w:val="250"/>
        </w:trPr>
        <w:tc>
          <w:tcPr>
            <w:tcW w:w="818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Purchases of premises and equipment,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(9,360)</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w:t>
            </w:r>
          </w:p>
        </w:tc>
      </w:tr>
      <w:tr>
        <w:trPr>
          <w:trHeight w:val="295"/>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B6B6B6"/>
          </w:tcPr>
          <w:p>
            <w:pPr>
              <w:spacing w:after="0"/>
              <w:rPr>
                <w:sz w:val="24"/>
                <w:szCs w:val="24"/>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194,245</w:t>
            </w:r>
          </w:p>
        </w:tc>
        <w:tc>
          <w:tcPr>
            <w:tcW w:w="1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spacing w:after="0"/>
              <w:rPr>
                <w:sz w:val="24"/>
                <w:szCs w:val="24"/>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(249,861)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decrease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(131,465)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(911)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20,672</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increase (decrease)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36,286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(11,543)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decrease (increase) in accounts and drafts receivable from customers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(45,699)</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decrease in accounts and drafts payable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14,624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95,938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Cash dividends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(11,478)</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common shares for treasury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(5,212)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(5,299)</w:t>
            </w:r>
          </w:p>
        </w:tc>
      </w:tr>
      <w:tr>
        <w:trPr>
          <w:trHeight w:val="250"/>
        </w:trPr>
        <w:tc>
          <w:tcPr>
            <w:tcW w:w="818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50"/>
        </w:trPr>
        <w:tc>
          <w:tcPr>
            <w:tcW w:w="8180" w:type="dxa"/>
            <w:vAlign w:val="bottom"/>
            <w:shd w:val="clear" w:color="auto" w:fill="B6B6B6"/>
          </w:tcPr>
          <w:p>
            <w:pPr>
              <w:ind w:left="56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(16,118)</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41,128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(167,934)</w:t>
            </w:r>
          </w:p>
        </w:tc>
      </w:tr>
      <w:tr>
        <w:trPr>
          <w:trHeight w:val="257"/>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200,942</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514,928</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408,435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346,994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63"/>
        </w:trPr>
        <w:tc>
          <w:tcPr>
            <w:tcW w:w="818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5,531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6"/>
                <w:szCs w:val="16"/>
                <w:color w:val="auto"/>
              </w:rPr>
            </w:pPr>
          </w:p>
        </w:tc>
        <w:tc>
          <w:tcPr>
            <w:tcW w:w="1060" w:type="dxa"/>
            <w:vAlign w:val="bottom"/>
            <w:gridSpan w:val="2"/>
          </w:tcPr>
          <w:p>
            <w:pPr>
              <w:ind w:left="60"/>
              <w:spacing w:after="0" w:line="189" w:lineRule="exact"/>
              <w:rPr>
                <w:sz w:val="20"/>
                <w:szCs w:val="20"/>
                <w:color w:val="auto"/>
              </w:rPr>
            </w:pPr>
            <w:r>
              <w:rPr>
                <w:rFonts w:ascii="Arial" w:cs="Arial" w:eastAsia="Arial" w:hAnsi="Arial"/>
                <w:sz w:val="18"/>
                <w:szCs w:val="18"/>
                <w:b w:val="1"/>
                <w:bCs w:val="1"/>
                <w:color w:val="auto"/>
              </w:rPr>
              <w:t>Retained</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9"/>
              </w:rPr>
              <w:t>Treasury</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8"/>
              </w:rPr>
              <w:t>Comprehensive</w:t>
            </w:r>
          </w:p>
        </w:tc>
        <w:tc>
          <w:tcPr>
            <w:tcW w:w="240" w:type="dxa"/>
            <w:vAlign w:val="bottom"/>
          </w:tcPr>
          <w:p>
            <w:pPr>
              <w:spacing w:after="0"/>
              <w:rPr>
                <w:sz w:val="16"/>
                <w:szCs w:val="16"/>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June 30, 2022</w:t>
            </w: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204,482</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121,386</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(81,742)</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(46,265)</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205,614</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dividends ($0.28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(3,824)</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w w:val="93"/>
              </w:rPr>
              <w:t>Issuance of 3,487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(20,114)</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September 30, 2022</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205,624</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126,361</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(81,624)</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(66,379)</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191,735</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206,734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137,996</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(80,943)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(56,394)</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215,146</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7,394</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Cash dividends ($0.29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20"/>
              <w:spacing w:after="0" w:line="176" w:lineRule="exact"/>
              <w:rPr>
                <w:sz w:val="20"/>
                <w:szCs w:val="20"/>
                <w:color w:val="auto"/>
              </w:rPr>
            </w:pPr>
            <w:r>
              <w:rPr>
                <w:rFonts w:ascii="Arial" w:cs="Arial" w:eastAsia="Arial" w:hAnsi="Arial"/>
                <w:sz w:val="18"/>
                <w:szCs w:val="18"/>
                <w:color w:val="auto"/>
                <w:w w:val="93"/>
              </w:rPr>
              <w:t>Issuance of 1,685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Arial" w:cs="Arial" w:eastAsia="Arial" w:hAnsi="Arial"/>
                <w:sz w:val="18"/>
                <w:szCs w:val="18"/>
                <w:color w:val="auto"/>
                <w:w w:val="98"/>
              </w:rPr>
              <w:t>to stock-based compensation plans,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060" w:type="dxa"/>
            <w:vAlign w:val="bottom"/>
            <w:gridSpan w:val="2"/>
            <w:shd w:val="clear" w:color="auto" w:fill="B6B6B6"/>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Purchase of 73,272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(10,526)</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206,236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204,276</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112,220</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(78,904)</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245,798</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25,619</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dividends ($.84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(11,478)</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w w:val="91"/>
              </w:rPr>
              <w:t>Issuance of 80,396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130,374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(66,832)</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(66,832)</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September 30, 2022</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205,624</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126,361</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(81,624)</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(66,379)</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191,735</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207,422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131,682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(81,211)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(59,321)</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206,325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21,649</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21,649</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Cash dividends ($.87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(11,887)</w:t>
            </w:r>
          </w:p>
        </w:tc>
        <w:tc>
          <w:tcPr>
            <w:tcW w:w="0" w:type="dxa"/>
            <w:vAlign w:val="bottom"/>
          </w:tcPr>
          <w:p>
            <w:pPr>
              <w:spacing w:after="0"/>
              <w:rPr>
                <w:sz w:val="1"/>
                <w:szCs w:val="1"/>
                <w:color w:val="auto"/>
              </w:rPr>
            </w:pPr>
          </w:p>
        </w:tc>
      </w:tr>
      <w:tr>
        <w:trPr>
          <w:trHeight w:val="176"/>
        </w:trPr>
        <w:tc>
          <w:tcPr>
            <w:tcW w:w="3320" w:type="dxa"/>
            <w:vAlign w:val="bottom"/>
            <w:shd w:val="clear" w:color="auto" w:fill="B6B6B6"/>
          </w:tcPr>
          <w:p>
            <w:pPr>
              <w:ind w:left="20"/>
              <w:spacing w:after="0" w:line="176" w:lineRule="exact"/>
              <w:rPr>
                <w:sz w:val="20"/>
                <w:szCs w:val="20"/>
                <w:color w:val="auto"/>
              </w:rPr>
            </w:pPr>
            <w:r>
              <w:rPr>
                <w:rFonts w:ascii="Arial" w:cs="Arial" w:eastAsia="Arial" w:hAnsi="Arial"/>
                <w:sz w:val="18"/>
                <w:szCs w:val="18"/>
                <w:color w:val="auto"/>
                <w:w w:val="91"/>
              </w:rPr>
              <w:t>Issuance of 82,906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Arial" w:cs="Arial" w:eastAsia="Arial" w:hAnsi="Arial"/>
                <w:sz w:val="18"/>
                <w:szCs w:val="18"/>
                <w:color w:val="auto"/>
                <w:w w:val="98"/>
              </w:rPr>
              <w:t>to stock-based compensation plans,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Purchase of 136,577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(7,599)</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206,236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2022 ("2022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intangible assets in accordance with Financial Accounting Standards Board (“FASB”) Accounting Standards Codification (“ASC”)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64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24"/>
                <w:szCs w:val="24"/>
                <w:color w:val="auto"/>
              </w:rPr>
            </w:pPr>
          </w:p>
        </w:tc>
        <w:tc>
          <w:tcPr>
            <w:tcW w:w="29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84"/>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4" w:lineRule="exact"/>
              <w:rPr>
                <w:sz w:val="20"/>
                <w:szCs w:val="20"/>
                <w:color w:val="auto"/>
              </w:rPr>
            </w:pPr>
            <w:r>
              <w:rPr>
                <w:rFonts w:ascii="Arial" w:cs="Arial" w:eastAsia="Arial" w:hAnsi="Arial"/>
                <w:sz w:val="18"/>
                <w:szCs w:val="18"/>
                <w:b w:val="1"/>
                <w:bCs w:val="1"/>
                <w:color w:val="auto"/>
                <w:w w:val="90"/>
              </w:rPr>
              <w:t>Gross Carrying</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ind w:left="40"/>
              <w:spacing w:after="0" w:line="184"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90"/>
              <w:spacing w:after="0" w:line="184" w:lineRule="exact"/>
              <w:rPr>
                <w:sz w:val="20"/>
                <w:szCs w:val="20"/>
                <w:color w:val="auto"/>
              </w:rPr>
            </w:pPr>
            <w:r>
              <w:rPr>
                <w:rFonts w:ascii="Arial" w:cs="Arial" w:eastAsia="Arial" w:hAnsi="Arial"/>
                <w:sz w:val="18"/>
                <w:szCs w:val="18"/>
                <w:b w:val="1"/>
                <w:bCs w:val="1"/>
                <w:color w:val="auto"/>
                <w:w w:val="91"/>
              </w:rPr>
              <w:t>Gross Carrying</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0"/>
              <w:spacing w:after="0" w:line="184" w:lineRule="exact"/>
              <w:rPr>
                <w:sz w:val="20"/>
                <w:szCs w:val="20"/>
                <w:color w:val="auto"/>
              </w:rPr>
            </w:pPr>
            <w:r>
              <w:rPr>
                <w:rFonts w:ascii="Arial" w:cs="Arial" w:eastAsia="Arial" w:hAnsi="Arial"/>
                <w:sz w:val="18"/>
                <w:szCs w:val="18"/>
                <w:b w:val="1"/>
                <w:bCs w:val="1"/>
                <w:color w:val="auto"/>
                <w:w w:val="91"/>
              </w:rPr>
              <w:t>Accumulated</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Customer lists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Patents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auto"/>
            </w:tcBorders>
            <w:shd w:val="clear" w:color="auto" w:fill="B6B6B6"/>
          </w:tcPr>
          <w:p>
            <w:pPr>
              <w:spacing w:after="0"/>
              <w:rPr>
                <w:sz w:val="21"/>
                <w:szCs w:val="21"/>
                <w:color w:val="auto"/>
              </w:rPr>
            </w:pPr>
          </w:p>
        </w:tc>
        <w:tc>
          <w:tcPr>
            <w:tcW w:w="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customer lists are amortized over 7 to 10 years; the patents over 18 years; software over 3 to 7 years; the trade names over 10 to 20 years; and other intangible assets over 15 years. Amortization of intangible assets amounted to $195,000 for the three month periods ended September 30, 2023 and 2022. Amortization of intangible assets amounted to $585,000 and $485,000 for the nine-month periods ended September 30, 2023 and 2022, respectively. Estimated annual amortization of intangibles is $780,000 in 2023, $738,000 in 2024, $730,000 in 2025, $582,000 in 2026, and $262,000 in 2027.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earnings per share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share and per share data)</w:t>
            </w: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44"/>
        </w:trPr>
        <w:tc>
          <w:tcPr>
            <w:tcW w:w="5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r>
      <w:tr>
        <w:trPr>
          <w:trHeight w:val="250"/>
        </w:trPr>
        <w:tc>
          <w:tcPr>
            <w:tcW w:w="50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600" w:type="dxa"/>
            <w:vAlign w:val="bottom"/>
            <w:tcBorders>
              <w:bottom w:val="single" w:sz="8" w:color="B6B6B6"/>
            </w:tcBorders>
            <w:shd w:val="clear" w:color="auto" w:fill="B6B6B6"/>
          </w:tcPr>
          <w:p>
            <w:pPr>
              <w:spacing w:after="0"/>
              <w:rPr>
                <w:sz w:val="21"/>
                <w:szCs w:val="21"/>
                <w:color w:val="auto"/>
              </w:rPr>
            </w:pPr>
          </w:p>
        </w:tc>
        <w:tc>
          <w:tcPr>
            <w:tcW w:w="96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600" w:type="dxa"/>
            <w:vAlign w:val="bottom"/>
            <w:tcBorders>
              <w:bottom w:val="single" w:sz="8" w:color="B6B6B6"/>
            </w:tcBorders>
            <w:shd w:val="clear" w:color="auto" w:fill="B6B6B6"/>
          </w:tcPr>
          <w:p>
            <w:pPr>
              <w:spacing w:after="0"/>
              <w:rPr>
                <w:sz w:val="21"/>
                <w:szCs w:val="21"/>
                <w:color w:val="auto"/>
              </w:rPr>
            </w:pPr>
          </w:p>
        </w:tc>
        <w:tc>
          <w:tcPr>
            <w:tcW w:w="960" w:type="dxa"/>
            <w:vAlign w:val="bottom"/>
            <w:tcBorders>
              <w:bottom w:val="single" w:sz="8" w:color="B6B6B6"/>
            </w:tcBorders>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7,394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21,649</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25,619</w:t>
            </w: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13,501,469</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13,542,231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13,551,070</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13,554,169</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0.55</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57"/>
        </w:trPr>
        <w:tc>
          <w:tcPr>
            <w:tcW w:w="5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60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60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7,394</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21,649</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25,619</w:t>
            </w:r>
          </w:p>
        </w:tc>
      </w:tr>
      <w:tr>
        <w:trPr>
          <w:trHeight w:val="263"/>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13,501,469</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13,542,231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13,551,070</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13,554,169</w:t>
            </w:r>
          </w:p>
        </w:tc>
      </w:tr>
      <w:tr>
        <w:trPr>
          <w:trHeight w:val="250"/>
        </w:trPr>
        <w:tc>
          <w:tcPr>
            <w:tcW w:w="5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291,142</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262,106</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285,354</w:t>
            </w: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252,496</w:t>
            </w:r>
          </w:p>
        </w:tc>
      </w:tr>
      <w:tr>
        <w:trPr>
          <w:trHeight w:val="257"/>
        </w:trPr>
        <w:tc>
          <w:tcPr>
            <w:tcW w:w="5020" w:type="dxa"/>
            <w:vAlign w:val="bottom"/>
            <w:shd w:val="clear" w:color="auto" w:fill="B6B6B6"/>
          </w:tcPr>
          <w:p>
            <w:pPr>
              <w:ind w:left="180"/>
              <w:spacing w:after="0"/>
              <w:rPr>
                <w:sz w:val="20"/>
                <w:szCs w:val="20"/>
                <w:color w:val="auto"/>
              </w:rPr>
            </w:pPr>
            <w:r>
              <w:rPr>
                <w:rFonts w:ascii="Arial" w:cs="Arial" w:eastAsia="Arial" w:hAnsi="Arial"/>
                <w:sz w:val="18"/>
                <w:szCs w:val="18"/>
                <w:color w:val="auto"/>
                <w:w w:val="92"/>
              </w:rPr>
              <w:t>Weighted-average common shares outstanding assuming dilution</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13,792,611</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13,804,337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13,836,424</w:t>
            </w:r>
          </w:p>
        </w:tc>
        <w:tc>
          <w:tcPr>
            <w:tcW w:w="60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5"/>
              </w:rPr>
              <w:t>13,806,665</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a treasury stock buyback program pursuant to which, in October 2021, the Board of Directors authorized the repurchase of up to 750,000 shares of the Company’s common stock with no expiration date. As of September 30, 2023, the Company had 204,130 shares remaining available for repurchase under the program. On October 17, 2023, the Board of Directors authorized the repurchase of up to 500,000 shares of the Company's common stock with no expiration date. This authorization replaces the October 2021 authorization, and as such, the Company has 500,000 shares available for repurchase effective with the October 17, 2023 authorization. The Company repurchased 73,272 and 0 shares during the three-month periods ended September 30, 2023 and 2022, respectively, and 136,577 and 130,374 shares during the nine-month periods ended September 30, 2023 and 2022, respectively. Repurchases may be made in the open market or through negotiated transactions from time to time depending on market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2022 Form 10-K. Management evaluates segment performance based on pre-tax income after allocations for corporate expenses. Transactions between segments are accounted for at what management believes to be fair value.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remaining available liquidity of the segment. Information Services interest income is determined by multiplying available liquidity by actual yields on short-term investments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Information</w:t>
            </w:r>
          </w:p>
        </w:tc>
        <w:tc>
          <w:tcPr>
            <w:tcW w:w="32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Banking</w:t>
            </w:r>
          </w:p>
        </w:tc>
        <w:tc>
          <w:tcPr>
            <w:tcW w:w="26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1"/>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and Other</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80" w:type="dxa"/>
            <w:vAlign w:val="bottom"/>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Three Months Ended September 30, 2023:</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31,843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32,800</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10,143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13,879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(2,833)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7,523</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(3,319)</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(1,117)</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1,117</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6,100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3,540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1,648,152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1,130,345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(273,619)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2,504,878</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Average funding sources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1,347,074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795,011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2,142,085</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Three Months Ended September 30, 2022:</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30,399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31,784</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7,468</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10,525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(1,240)</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16,753</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5,933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5,622</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10,884</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4,321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1,616,986</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1,134,295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(140,466)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2,610,815</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Average funding sources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1,417,250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949,454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2,366,704</w:t>
            </w:r>
          </w:p>
        </w:tc>
        <w:tc>
          <w:tcPr>
            <w:tcW w:w="0" w:type="dxa"/>
            <w:vAlign w:val="bottom"/>
          </w:tcPr>
          <w:p>
            <w:pPr>
              <w:spacing w:after="0"/>
              <w:rPr>
                <w:sz w:val="1"/>
                <w:szCs w:val="1"/>
                <w:color w:val="auto"/>
              </w:rPr>
            </w:pPr>
          </w:p>
        </w:tc>
      </w:tr>
      <w:tr>
        <w:trPr>
          <w:trHeight w:val="256"/>
        </w:trPr>
        <w:tc>
          <w:tcPr>
            <w:tcW w:w="4080" w:type="dxa"/>
            <w:vAlign w:val="bottom"/>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Nine Months Ended September 30, 2023:</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94,280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699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96,980</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29,053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40,885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(8,899)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61,039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20,296</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(9,321)</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11,579</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(3,093)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3,093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16,964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8,917</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27,001</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3,540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1,648,152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1,130,345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(273,619)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2,504,878</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Average funding sources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1,343,750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820,335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2,164,085</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Nine Months Ended September 30, 2022:</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89,243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92,865</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17,596</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28,714</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(3,451)</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42,859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1,578</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(2,476)</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2,476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17,803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16,224</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(2,285)</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31,742</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408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4,321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63"/>
        </w:trPr>
        <w:tc>
          <w:tcPr>
            <w:tcW w:w="408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1,616,986</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1,134,295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(140,466)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2,610,815</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Average funding sources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1,365,880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963,588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2,329,468</w:t>
            </w:r>
          </w:p>
        </w:tc>
        <w:tc>
          <w:tcPr>
            <w:tcW w:w="0" w:type="dxa"/>
            <w:vAlign w:val="bottom"/>
          </w:tcPr>
          <w:p>
            <w:pPr>
              <w:spacing w:after="0"/>
              <w:rPr>
                <w:sz w:val="1"/>
                <w:szCs w:val="1"/>
                <w:color w:val="auto"/>
              </w:rPr>
            </w:pPr>
          </w:p>
        </w:tc>
      </w:tr>
      <w:tr>
        <w:trPr>
          <w:trHeight w:val="904"/>
        </w:trPr>
        <w:tc>
          <w:tcPr>
            <w:tcW w:w="4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jc w:val="right"/>
              <w:ind w:right="65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gridSpan w:val="2"/>
          </w:tcPr>
          <w:p>
            <w:pPr>
              <w:jc w:val="center"/>
              <w:ind w:right="3310"/>
              <w:spacing w:after="0"/>
              <w:rPr>
                <w:sz w:val="20"/>
                <w:szCs w:val="20"/>
                <w:color w:val="auto"/>
              </w:rPr>
            </w:pPr>
            <w:r>
              <w:rPr>
                <w:rFonts w:ascii="Arial" w:cs="Arial" w:eastAsia="Arial" w:hAnsi="Arial"/>
                <w:sz w:val="18"/>
                <w:szCs w:val="18"/>
                <w:color w:val="auto"/>
                <w:w w:val="91"/>
              </w:rPr>
              <w:t>Note 6 – Loans by Type</w:t>
            </w:r>
          </w:p>
        </w:tc>
        <w:tc>
          <w:tcPr>
            <w:tcW w:w="2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140" w:type="dxa"/>
            <w:vAlign w:val="bottom"/>
            <w:gridSpan w:val="2"/>
          </w:tcPr>
          <w:p>
            <w:pPr>
              <w:spacing w:after="0"/>
              <w:rPr>
                <w:sz w:val="20"/>
                <w:szCs w:val="20"/>
                <w:color w:val="auto"/>
              </w:rPr>
            </w:pPr>
            <w:r>
              <w:rPr>
                <w:rFonts w:ascii="Arial" w:cs="Arial" w:eastAsia="Arial" w:hAnsi="Arial"/>
                <w:sz w:val="18"/>
                <w:szCs w:val="18"/>
                <w:color w:val="auto"/>
              </w:rPr>
              <w:t>A summary of loans is as follows:</w:t>
            </w: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49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84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auto"/>
            </w:tcBorders>
            <w:vMerge w:val="continue"/>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49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28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517,310</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561,616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4920" w:type="dxa"/>
            <w:vAlign w:val="bottom"/>
            <w:shd w:val="clear" w:color="auto" w:fill="B6B6B6"/>
          </w:tcPr>
          <w:p>
            <w:pPr>
              <w:jc w:val="center"/>
              <w:ind w:right="3490"/>
              <w:spacing w:after="0"/>
              <w:rPr>
                <w:sz w:val="20"/>
                <w:szCs w:val="20"/>
                <w:color w:val="auto"/>
              </w:rPr>
            </w:pPr>
            <w:r>
              <w:rPr>
                <w:rFonts w:ascii="Arial" w:cs="Arial" w:eastAsia="Arial" w:hAnsi="Arial"/>
                <w:sz w:val="18"/>
                <w:szCs w:val="18"/>
                <w:color w:val="auto"/>
                <w:w w:val="93"/>
              </w:rPr>
              <w:t>Commercial:</w:t>
            </w:r>
          </w:p>
        </w:tc>
        <w:tc>
          <w:tcPr>
            <w:tcW w:w="2840" w:type="dxa"/>
            <w:vAlign w:val="bottom"/>
            <w:shd w:val="clear" w:color="auto" w:fill="B6B6B6"/>
          </w:tcPr>
          <w:p>
            <w:pPr>
              <w:spacing w:after="0"/>
              <w:rPr>
                <w:sz w:val="22"/>
                <w:szCs w:val="22"/>
                <w:color w:val="auto"/>
              </w:rPr>
            </w:pP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Pr>
          <w:p>
            <w:pPr>
              <w:ind w:left="560"/>
              <w:spacing w:after="0"/>
              <w:rPr>
                <w:sz w:val="20"/>
                <w:szCs w:val="20"/>
                <w:color w:val="auto"/>
              </w:rPr>
            </w:pPr>
            <w:r>
              <w:rPr>
                <w:rFonts w:ascii="Arial" w:cs="Arial" w:eastAsia="Arial" w:hAnsi="Arial"/>
                <w:sz w:val="18"/>
                <w:szCs w:val="18"/>
                <w:color w:val="auto"/>
              </w:rPr>
              <w:t>Mortgage</w:t>
            </w:r>
          </w:p>
        </w:tc>
        <w:tc>
          <w:tcPr>
            <w:tcW w:w="28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115,742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108,166</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4920" w:type="dxa"/>
            <w:vAlign w:val="bottom"/>
            <w:shd w:val="clear" w:color="auto" w:fill="B6B6B6"/>
          </w:tcPr>
          <w:p>
            <w:pPr>
              <w:ind w:left="560"/>
              <w:spacing w:after="0"/>
              <w:rPr>
                <w:sz w:val="20"/>
                <w:szCs w:val="20"/>
                <w:color w:val="auto"/>
              </w:rPr>
            </w:pPr>
            <w:r>
              <w:rPr>
                <w:rFonts w:ascii="Arial" w:cs="Arial" w:eastAsia="Arial" w:hAnsi="Arial"/>
                <w:sz w:val="18"/>
                <w:szCs w:val="18"/>
                <w:color w:val="auto"/>
              </w:rPr>
              <w:t>Construction</w:t>
            </w:r>
          </w:p>
        </w:tc>
        <w:tc>
          <w:tcPr>
            <w:tcW w:w="284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21,101</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Pr>
          <w:p>
            <w:pPr>
              <w:jc w:val="center"/>
              <w:ind w:right="3530"/>
              <w:spacing w:after="0"/>
              <w:rPr>
                <w:sz w:val="20"/>
                <w:szCs w:val="20"/>
                <w:color w:val="auto"/>
              </w:rPr>
            </w:pPr>
            <w:r>
              <w:rPr>
                <w:rFonts w:ascii="Arial" w:cs="Arial" w:eastAsia="Arial" w:hAnsi="Arial"/>
                <w:sz w:val="18"/>
                <w:szCs w:val="18"/>
                <w:color w:val="auto"/>
                <w:w w:val="89"/>
              </w:rPr>
              <w:t>Faith-based:</w:t>
            </w:r>
          </w:p>
        </w:tc>
        <w:tc>
          <w:tcPr>
            <w:tcW w:w="2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4920" w:type="dxa"/>
            <w:vAlign w:val="bottom"/>
            <w:shd w:val="clear" w:color="auto" w:fill="B6B6B6"/>
          </w:tcPr>
          <w:p>
            <w:pPr>
              <w:ind w:left="560"/>
              <w:spacing w:after="0"/>
              <w:rPr>
                <w:sz w:val="20"/>
                <w:szCs w:val="20"/>
                <w:color w:val="auto"/>
              </w:rPr>
            </w:pPr>
            <w:r>
              <w:rPr>
                <w:rFonts w:ascii="Arial" w:cs="Arial" w:eastAsia="Arial" w:hAnsi="Arial"/>
                <w:sz w:val="18"/>
                <w:szCs w:val="18"/>
                <w:color w:val="auto"/>
              </w:rPr>
              <w:t>Mortgage</w:t>
            </w:r>
          </w:p>
        </w:tc>
        <w:tc>
          <w:tcPr>
            <w:tcW w:w="284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376,186</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387,114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Pr>
          <w:p>
            <w:pPr>
              <w:ind w:left="560"/>
              <w:spacing w:after="0"/>
              <w:rPr>
                <w:sz w:val="20"/>
                <w:szCs w:val="20"/>
                <w:color w:val="auto"/>
              </w:rPr>
            </w:pPr>
            <w:r>
              <w:rPr>
                <w:rFonts w:ascii="Arial" w:cs="Arial" w:eastAsia="Arial" w:hAnsi="Arial"/>
                <w:sz w:val="18"/>
                <w:szCs w:val="18"/>
                <w:color w:val="auto"/>
              </w:rPr>
              <w:t>Construction</w:t>
            </w:r>
          </w:p>
        </w:tc>
        <w:tc>
          <w:tcPr>
            <w:tcW w:w="28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9,249</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284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loans</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1,039,619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1,082,906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past due by category at September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Nonperforming</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89"/>
              </w:rPr>
              <w:t>90</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88"/>
              </w:rPr>
              <w:t>Days</w:t>
            </w:r>
          </w:p>
        </w:tc>
        <w:tc>
          <w:tcPr>
            <w:tcW w:w="320" w:type="dxa"/>
            <w:vAlign w:val="bottom"/>
          </w:tcPr>
          <w:p>
            <w:pPr>
              <w:spacing w:after="0"/>
              <w:rPr>
                <w:sz w:val="15"/>
                <w:szCs w:val="15"/>
                <w:color w:val="auto"/>
              </w:rPr>
            </w:pPr>
          </w:p>
        </w:tc>
        <w:tc>
          <w:tcPr>
            <w:tcW w:w="11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Non-</w:t>
            </w: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7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87"/>
              </w:rPr>
              <w:t>and</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Days</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Days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7"/>
              </w:rPr>
              <w:t>Over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accrual</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56"/>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September 30, 2023</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517,310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517,310</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115,742</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115,742</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21,101</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21,101</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376,186</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376,186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9,249</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1,039,619</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B6B6B6"/>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1,039,619</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December 31, 2022</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560,466</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B6B6"/>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1,150</w:t>
            </w:r>
          </w:p>
        </w:tc>
        <w:tc>
          <w:tcPr>
            <w:tcW w:w="36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561,616</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108,166</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108,166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17,874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Arial" w:cs="Arial" w:eastAsia="Arial" w:hAnsi="Arial"/>
                <w:sz w:val="18"/>
                <w:szCs w:val="18"/>
                <w:color w:val="auto"/>
              </w:rPr>
              <w:t>Faith-based:</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387,114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387,114</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8,094</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1,081,756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1,082,906</w:t>
            </w:r>
          </w:p>
        </w:tc>
        <w:tc>
          <w:tcPr>
            <w:tcW w:w="0" w:type="dxa"/>
            <w:vAlign w:val="bottom"/>
          </w:tcPr>
          <w:p>
            <w:pPr>
              <w:spacing w:after="0"/>
              <w:rPr>
                <w:sz w:val="1"/>
                <w:szCs w:val="1"/>
                <w:color w:val="auto"/>
              </w:rPr>
            </w:pPr>
          </w:p>
        </w:tc>
      </w:tr>
      <w:tr>
        <w:trPr>
          <w:trHeight w:val="918"/>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3"/>
              </w:rPr>
              <w:t>-13-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credit exposure of the loan portfolio by internally assigned credit grade as of September 30, 2023 and December 31,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9"/>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9"/>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3"/>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1"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3"/>
                <w:szCs w:val="23"/>
                <w:b w:val="1"/>
                <w:bCs w:val="1"/>
                <w:color w:val="auto"/>
                <w:w w:val="92"/>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1"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3"/>
                <w:szCs w:val="23"/>
                <w:b w:val="1"/>
                <w:bCs w:val="1"/>
                <w:color w:val="auto"/>
                <w:w w:val="92"/>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1"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3"/>
                <w:szCs w:val="23"/>
                <w:b w:val="1"/>
                <w:bCs w:val="1"/>
                <w:color w:val="auto"/>
                <w:w w:val="92"/>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Total Loans</w:t>
            </w:r>
          </w:p>
        </w:tc>
      </w:tr>
      <w:tr>
        <w:trPr>
          <w:trHeight w:val="256"/>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September 30, 2023</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517,310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517,310</w:t>
            </w:r>
          </w:p>
        </w:tc>
      </w:tr>
      <w:tr>
        <w:trPr>
          <w:trHeight w:val="263"/>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115,742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115,742</w:t>
            </w: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21,101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21,101</w:t>
            </w:r>
          </w:p>
        </w:tc>
      </w:tr>
      <w:tr>
        <w:trPr>
          <w:trHeight w:val="263"/>
        </w:trPr>
        <w:tc>
          <w:tcPr>
            <w:tcW w:w="33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372,708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3,478</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376,186</w:t>
            </w: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9,249</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9,249</w:t>
            </w:r>
          </w:p>
        </w:tc>
      </w:tr>
      <w:tr>
        <w:trPr>
          <w:trHeight w:val="2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1,036,141</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3,478</w:t>
            </w:r>
          </w:p>
        </w:tc>
        <w:tc>
          <w:tcPr>
            <w:tcW w:w="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1,039,619</w:t>
            </w: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December 31, 2022</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15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549,241</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11,225</w:t>
            </w:r>
          </w:p>
        </w:tc>
        <w:tc>
          <w:tcPr>
            <w:tcW w:w="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561,616</w:t>
            </w: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Commercial:</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108,166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108,166</w:t>
            </w: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17,874</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17,874</w:t>
            </w:r>
          </w:p>
        </w:tc>
      </w:tr>
      <w:tr>
        <w:trPr>
          <w:trHeight w:val="250"/>
        </w:trPr>
        <w:tc>
          <w:tcPr>
            <w:tcW w:w="3320" w:type="dxa"/>
            <w:vAlign w:val="bottom"/>
          </w:tcPr>
          <w:p>
            <w:pPr>
              <w:ind w:left="200"/>
              <w:spacing w:after="0"/>
              <w:rPr>
                <w:sz w:val="20"/>
                <w:szCs w:val="20"/>
                <w:color w:val="auto"/>
              </w:rPr>
            </w:pPr>
            <w:r>
              <w:rPr>
                <w:rFonts w:ascii="Arial" w:cs="Arial" w:eastAsia="Arial" w:hAnsi="Arial"/>
                <w:sz w:val="18"/>
                <w:szCs w:val="18"/>
                <w:color w:val="auto"/>
              </w:rPr>
              <w:t>Faith-based:</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386,169</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387,114</w:t>
            </w: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8,094</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8,094</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1,069,586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1,082,906</w:t>
            </w:r>
          </w:p>
        </w:tc>
      </w:tr>
    </w:tbl>
    <w:p>
      <w:pPr>
        <w:spacing w:after="0" w:line="310" w:lineRule="exact"/>
        <w:rPr>
          <w:sz w:val="20"/>
          <w:szCs w:val="20"/>
          <w:color w:val="auto"/>
        </w:rPr>
      </w:pPr>
    </w:p>
    <w:p>
      <w:pPr>
        <w:ind w:left="20" w:firstLine="6"/>
        <w:spacing w:after="0" w:line="220" w:lineRule="auto"/>
        <w:tabs>
          <w:tab w:leader="none" w:pos="131"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Loans subject to normal monitoring involve borrowers of acceptable-to-strong credit quality and risk, who have the apparent ability to satisfy their loan obligations.</w:t>
      </w:r>
    </w:p>
    <w:p>
      <w:pPr>
        <w:spacing w:after="0" w:line="18" w:lineRule="exact"/>
        <w:rPr>
          <w:sz w:val="20"/>
          <w:szCs w:val="20"/>
          <w:color w:val="auto"/>
        </w:rPr>
      </w:pPr>
    </w:p>
    <w:p>
      <w:pPr>
        <w:ind w:left="120" w:hanging="94"/>
        <w:spacing w:after="0"/>
        <w:tabs>
          <w:tab w:leader="none" w:pos="1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Loans subject to special monitoring possess some credit deficiency or potential weakness which requires a high level of management attention.</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87" w:lineRule="exact"/>
        <w:rPr>
          <w:rFonts w:ascii="Arial" w:cs="Arial" w:eastAsia="Arial" w:hAnsi="Arial"/>
          <w:sz w:val="22"/>
          <w:szCs w:val="22"/>
          <w:color w:val="auto"/>
          <w:vertAlign w:val="superscript"/>
        </w:rPr>
      </w:pPr>
    </w:p>
    <w:p>
      <w:pPr>
        <w:ind w:left="5480"/>
        <w:spacing w:after="0"/>
        <w:rPr>
          <w:rFonts w:ascii="Arial" w:cs="Arial" w:eastAsia="Arial" w:hAnsi="Arial"/>
          <w:sz w:val="22"/>
          <w:szCs w:val="22"/>
          <w:color w:val="auto"/>
          <w:vertAlign w:val="superscript"/>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adopted Accounting Standards Update ("ASU") 2022-02, </w:t>
      </w:r>
      <w:r>
        <w:rPr>
          <w:rFonts w:ascii="Arial" w:cs="Arial" w:eastAsia="Arial" w:hAnsi="Arial"/>
          <w:sz w:val="17"/>
          <w:szCs w:val="17"/>
          <w:i w:val="1"/>
          <w:iCs w:val="1"/>
          <w:color w:val="auto"/>
        </w:rPr>
        <w:t>Financial Instruments - Credit Losses (Topic 326): Troubled Debt Restructurings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Vintage Disclosures </w:t>
      </w:r>
      <w:r>
        <w:rPr>
          <w:rFonts w:ascii="Arial" w:cs="Arial" w:eastAsia="Arial" w:hAnsi="Arial"/>
          <w:sz w:val="17"/>
          <w:szCs w:val="17"/>
          <w:color w:val="auto"/>
        </w:rPr>
        <w:t>("ASU 2022-02") effective January 1, 2023. The amendments in ASU 2022-02 eliminated the recognition and measure of troubled</w:t>
      </w:r>
      <w:r>
        <w:rPr>
          <w:rFonts w:ascii="Arial" w:cs="Arial" w:eastAsia="Arial" w:hAnsi="Arial"/>
          <w:sz w:val="17"/>
          <w:szCs w:val="17"/>
          <w:i w:val="1"/>
          <w:iCs w:val="1"/>
          <w:color w:val="auto"/>
        </w:rPr>
        <w:t xml:space="preserve"> </w:t>
      </w:r>
      <w:r>
        <w:rPr>
          <w:rFonts w:ascii="Arial" w:cs="Arial" w:eastAsia="Arial" w:hAnsi="Arial"/>
          <w:sz w:val="17"/>
          <w:szCs w:val="17"/>
          <w:color w:val="auto"/>
        </w:rPr>
        <w:t>debt restructurings and enhanced disclosures for loan modifications to borrowers experiencing financial difficulty. In some cases, these modifications may result in new loans. Loan modifications to borrowers experiencing financial difficulty may be in the form of principal forgiveness, an interest rate reduction, an other-than-insignificant payment delay, a term extension, or a combination thereof, among other things.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amortized cost of loans at September 30, 2023 that were both experiencing financial difficulty and modified during the nine months ended September 30, 2023, segregated by category and type of modification.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Combination</w:t>
            </w:r>
          </w:p>
        </w:tc>
        <w:tc>
          <w:tcPr>
            <w:tcW w:w="168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0"/>
              </w:rPr>
              <w:t>Term Extension</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Percentage of Total</w:t>
            </w:r>
          </w:p>
        </w:tc>
      </w:tr>
      <w:tr>
        <w:trPr>
          <w:trHeight w:val="203"/>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1"/>
              </w:rPr>
              <w:t>Interest Rate</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and Interest Rate</w:t>
            </w: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Loans Held for</w:t>
            </w:r>
          </w:p>
        </w:tc>
      </w:tr>
      <w:tr>
        <w:trPr>
          <w:trHeight w:val="268"/>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7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Payment Delay</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Term Extension</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Reduction</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Reduction</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r>
      <w:tr>
        <w:trPr>
          <w:trHeight w:val="257"/>
        </w:trPr>
        <w:tc>
          <w:tcPr>
            <w:tcW w:w="262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September 30, 2023</w:t>
            </w:r>
          </w:p>
        </w:tc>
        <w:tc>
          <w:tcPr>
            <w:tcW w:w="78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680" w:type="dxa"/>
            <w:vAlign w:val="bottom"/>
            <w:shd w:val="clear" w:color="auto" w:fill="B6B6B6"/>
          </w:tcPr>
          <w:p>
            <w:pPr>
              <w:spacing w:after="0"/>
              <w:rPr>
                <w:sz w:val="22"/>
                <w:szCs w:val="22"/>
                <w:color w:val="auto"/>
              </w:rPr>
            </w:pPr>
          </w:p>
        </w:tc>
      </w:tr>
      <w:tr>
        <w:trPr>
          <w:trHeight w:val="250"/>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and industrial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2.07 %</w:t>
            </w:r>
          </w:p>
        </w:tc>
      </w:tr>
      <w:tr>
        <w:trPr>
          <w:trHeight w:val="250"/>
        </w:trPr>
        <w:tc>
          <w:tcPr>
            <w:tcW w:w="26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B6B6B6"/>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10,709</w:t>
            </w:r>
          </w:p>
        </w:tc>
        <w:tc>
          <w:tcPr>
            <w:tcW w:w="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ind w:left="10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B6B6B6"/>
          </w:tcPr>
          <w:p>
            <w:pPr>
              <w:ind w:left="1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1.03 %</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two loans modified during the nine months ended September 30, 2023. The terms were extended by periods of two and three years, and there was not an interest rate reduction associated with the modifications.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performance of loans that have been modified to borrowers experiencing financial difficulty during the nine months ended September 30,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30-59 Days Past</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60-89 Days Past</w:t>
            </w:r>
          </w:p>
        </w:tc>
        <w:tc>
          <w:tcPr>
            <w:tcW w:w="200" w:type="dxa"/>
            <w:vAlign w:val="bottom"/>
          </w:tcPr>
          <w:p>
            <w:pPr>
              <w:spacing w:after="0"/>
              <w:rPr>
                <w:sz w:val="17"/>
                <w:szCs w:val="17"/>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90 Days or More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5"/>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0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Current</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8"/>
              </w:rPr>
              <w:t>Due</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3"/>
              </w:rPr>
              <w:t>Due</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Total Past Due</w:t>
            </w:r>
          </w:p>
        </w:tc>
      </w:tr>
      <w:tr>
        <w:trPr>
          <w:trHeight w:val="257"/>
        </w:trPr>
        <w:tc>
          <w:tcPr>
            <w:tcW w:w="274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September 30, 2023</w:t>
            </w:r>
          </w:p>
        </w:tc>
        <w:tc>
          <w:tcPr>
            <w:tcW w:w="102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40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0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r>
      <w:tr>
        <w:trPr>
          <w:trHeight w:val="25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and industrial</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10,709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50"/>
        </w:trPr>
        <w:tc>
          <w:tcPr>
            <w:tcW w:w="27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10,709</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6B6B6"/>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B6B6B6"/>
          </w:tcPr>
          <w:p>
            <w:pPr>
              <w:ind w:left="1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B6B6B6"/>
          </w:tcPr>
          <w:p>
            <w:pPr>
              <w:ind w:left="108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modified loans that had a payment default during the nine months ended September 30, 2023 and that had been modified due to the borrower experiencing financial difficulty within the 12 previous months preceding the default.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Company's determination that a modified loan has subsequently been deemed uncollectible, the loan is written off. There were no loans written off during the nine months ended September 30, 2023.</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Prior to the adoption of ASU 2022-02, there were no loans considered troubled debt restructurings as of September 30, 2022 or December 31, 2022.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no loans evaluated for expected credit losses on an individual basis as of September 30, 2023. The Company had one loan that was considered an individually evaluated credit at December 31, 2022, with no specific allowance. This loan was paid off in full in January 2023. There were no foreclosed loans recorded as other real estate owned as of September 30, 2023 or December 31,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activity in the allowance for credit losses (“ACL”) by category for the nine month period ended September 30, 2023 and year-ended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680" w:type="dxa"/>
            <w:vAlign w:val="bottom"/>
          </w:tcPr>
          <w:p>
            <w:pPr>
              <w:spacing w:after="0"/>
              <w:rPr>
                <w:sz w:val="17"/>
                <w:szCs w:val="17"/>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C&amp;I</w:t>
            </w:r>
          </w:p>
        </w:tc>
        <w:tc>
          <w:tcPr>
            <w:tcW w:w="360" w:type="dxa"/>
            <w:vAlign w:val="bottom"/>
          </w:tcPr>
          <w:p>
            <w:pPr>
              <w:spacing w:after="0"/>
              <w:rPr>
                <w:sz w:val="17"/>
                <w:szCs w:val="17"/>
                <w:color w:val="auto"/>
              </w:rPr>
            </w:pPr>
          </w:p>
        </w:tc>
        <w:tc>
          <w:tcPr>
            <w:tcW w:w="11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CRE</w:t>
            </w:r>
          </w:p>
        </w:tc>
        <w:tc>
          <w:tcPr>
            <w:tcW w:w="200" w:type="dxa"/>
            <w:vAlign w:val="bottom"/>
          </w:tcPr>
          <w:p>
            <w:pPr>
              <w:spacing w:after="0"/>
              <w:rPr>
                <w:sz w:val="17"/>
                <w:szCs w:val="17"/>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Faith-based</w:t>
            </w:r>
          </w:p>
        </w:tc>
        <w:tc>
          <w:tcPr>
            <w:tcW w:w="220" w:type="dxa"/>
            <w:vAlign w:val="bottom"/>
          </w:tcPr>
          <w:p>
            <w:pPr>
              <w:spacing w:after="0"/>
              <w:rPr>
                <w:sz w:val="17"/>
                <w:szCs w:val="17"/>
                <w:color w:val="auto"/>
              </w:rPr>
            </w:pPr>
          </w:p>
        </w:tc>
        <w:tc>
          <w:tcPr>
            <w:tcW w:w="13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4"/>
              </w:rPr>
              <w:t>Construction</w:t>
            </w:r>
          </w:p>
        </w:tc>
        <w:tc>
          <w:tcPr>
            <w:tcW w:w="34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Balance at December 31, 2021</w:t>
            </w:r>
          </w:p>
        </w:tc>
        <w:tc>
          <w:tcPr>
            <w:tcW w:w="6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5,034</w:t>
            </w:r>
          </w:p>
        </w:tc>
        <w:tc>
          <w:tcPr>
            <w:tcW w:w="3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5,684</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50"/>
        </w:trPr>
        <w:tc>
          <w:tcPr>
            <w:tcW w:w="3620" w:type="dxa"/>
            <w:vAlign w:val="bottom"/>
          </w:tcPr>
          <w:p>
            <w:pPr>
              <w:ind w:left="200"/>
              <w:spacing w:after="0"/>
              <w:rPr>
                <w:sz w:val="20"/>
                <w:szCs w:val="20"/>
                <w:color w:val="auto"/>
              </w:rPr>
            </w:pPr>
            <w:r>
              <w:rPr>
                <w:rFonts w:ascii="Arial" w:cs="Arial" w:eastAsia="Arial" w:hAnsi="Arial"/>
                <w:sz w:val="18"/>
                <w:szCs w:val="18"/>
                <w:color w:val="auto"/>
              </w:rPr>
              <w:t>Provision for (release of) credit losses</w:t>
            </w:r>
          </w:p>
        </w:tc>
        <w:tc>
          <w:tcPr>
            <w:tcW w:w="6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57"/>
        </w:trPr>
        <w:tc>
          <w:tcPr>
            <w:tcW w:w="362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Recoveries</w:t>
            </w:r>
          </w:p>
        </w:tc>
        <w:tc>
          <w:tcPr>
            <w:tcW w:w="68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Balance at December 31, 2022</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56"/>
        </w:trPr>
        <w:tc>
          <w:tcPr>
            <w:tcW w:w="3620" w:type="dxa"/>
            <w:vAlign w:val="bottom"/>
            <w:shd w:val="clear" w:color="auto" w:fill="B6B6B6"/>
          </w:tcPr>
          <w:p>
            <w:pPr>
              <w:ind w:left="200"/>
              <w:spacing w:after="0" w:line="256" w:lineRule="exact"/>
              <w:rPr>
                <w:sz w:val="20"/>
                <w:szCs w:val="20"/>
                <w:color w:val="auto"/>
              </w:rPr>
            </w:pPr>
            <w:r>
              <w:rPr>
                <w:rFonts w:ascii="Arial" w:cs="Arial" w:eastAsia="Arial" w:hAnsi="Arial"/>
                <w:sz w:val="18"/>
                <w:szCs w:val="18"/>
                <w:color w:val="auto"/>
              </w:rPr>
              <w:t xml:space="preserve">(Release of) provision for credit losses </w:t>
            </w:r>
            <w:r>
              <w:rPr>
                <w:rFonts w:ascii="Arial" w:cs="Arial" w:eastAsia="Arial" w:hAnsi="Arial"/>
                <w:sz w:val="23"/>
                <w:szCs w:val="23"/>
                <w:color w:val="auto"/>
                <w:vertAlign w:val="superscript"/>
              </w:rPr>
              <w:t>(1)</w:t>
            </w:r>
          </w:p>
        </w:tc>
        <w:tc>
          <w:tcPr>
            <w:tcW w:w="68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(275)</w:t>
            </w:r>
          </w:p>
        </w:tc>
        <w:tc>
          <w:tcPr>
            <w:tcW w:w="36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B6B6B6"/>
          </w:tcPr>
          <w:p>
            <w:pPr>
              <w:spacing w:after="0"/>
              <w:rPr>
                <w:sz w:val="22"/>
                <w:szCs w:val="22"/>
                <w:color w:val="auto"/>
              </w:rPr>
            </w:pPr>
          </w:p>
        </w:tc>
        <w:tc>
          <w:tcPr>
            <w:tcW w:w="1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Recoveries</w:t>
            </w: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Balance at September 30, 2023</w:t>
            </w:r>
          </w:p>
        </w:tc>
        <w:tc>
          <w:tcPr>
            <w:tcW w:w="680" w:type="dxa"/>
            <w:vAlign w:val="bottom"/>
            <w:tcBorders>
              <w:bottom w:val="single" w:sz="8" w:color="auto"/>
            </w:tcBorders>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5,703</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1,012</w:t>
            </w:r>
          </w:p>
        </w:tc>
        <w:tc>
          <w:tcPr>
            <w:tcW w:w="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6,389</w:t>
            </w:r>
          </w:p>
        </w:tc>
        <w:tc>
          <w:tcPr>
            <w:tcW w:w="2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215</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80" w:right="20" w:hanging="95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 period ended September 30, 2023 and year-ended December 31, 2022, there was a release of credit losses of $115,000 and $135,000, respectively, for unfunded commitments.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the normal course of business, the Company is party to activities that contain credit, market and operational risks that are not reflected in whole or in part in the Company’s consolidated financial statements. As more fully described in the Form 10-K,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$117,000 and $232,000 had been recorded at September 30, 2023 and December 31, 2022, respectively.</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balances of unfunded commitments, standby and commercial letters of credit were $187.0 million, $12.5 million, and $502,000, respectively. Since some of the financial instruments may expire without being drawn upon, the total amounts do not necessarily represent future cash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awards have historically been issued under the Company's Amended and Restated Omnibus Stock and Performance Compensation Plan (the "Prior Plan"), which was amended and last approved by shareholders in 2013. The Company issued shares out of treasury stock for these awards until the expiration of the Prior Plan on April 17, 2023. During the nine months ended September 30, 2023, 35,035 restricted shares and 48,262 performance-based restricted shares were granted under the Prior Plan.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2023, the Board of Directors adopted the 2023 Omnibus Stock and Performance Compensation Plan (the "2023 Omnibus Plan") to replace the Prior Plan, subject to shareholder approval which occurred on April 18, 2023. Subsequent to this date, the Company will issue stock-based compensation awards under the 2023 Omnibus Plan. During the nine months ended September 30, 2023, 21,372 restricted shares and 3,191 performance-based restricted shares were granted under the 2023 Omnibus Plan.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for the three months ended September 30, 2023 and 2022 was $938,000 and $1.3 million, respectively, and $3.8 million and $4.5 million for the nine months ended September 30,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the total unrecognized compensation expense related to non-vested restricted shares was $2.0 million, and the related weighted-average period over which it is expected to be recognized is approximately 0.51 years.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summary of the activity of the Company's restricted stock for the nine months ended September 30, 2023, with total shares and weighted-average fair value:</w:t>
      </w:r>
    </w:p>
    <w:p>
      <w:pPr>
        <w:spacing w:after="0" w:line="180"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Nine Months Ended</w:t>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6"/>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2022</w:t>
            </w:r>
          </w:p>
        </w:tc>
        <w:tc>
          <w:tcPr>
            <w:tcW w:w="4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205,565</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42.64</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Granted</w:t>
            </w:r>
          </w:p>
        </w:tc>
        <w:tc>
          <w:tcPr>
            <w:tcW w:w="4240" w:type="dxa"/>
            <w:vAlign w:val="bottom"/>
          </w:tcPr>
          <w:p>
            <w:pPr>
              <w:jc w:val="right"/>
              <w:ind w:right="30"/>
              <w:spacing w:after="0"/>
              <w:rPr>
                <w:sz w:val="20"/>
                <w:szCs w:val="20"/>
                <w:color w:val="auto"/>
              </w:rPr>
            </w:pPr>
            <w:r>
              <w:rPr>
                <w:rFonts w:ascii="Arial" w:cs="Arial" w:eastAsia="Arial" w:hAnsi="Arial"/>
                <w:sz w:val="18"/>
                <w:szCs w:val="18"/>
                <w:color w:val="auto"/>
              </w:rPr>
              <w:t>56,407</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44.59</w:t>
            </w:r>
          </w:p>
        </w:tc>
      </w:tr>
      <w:tr>
        <w:trPr>
          <w:trHeight w:val="263"/>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Vested</w:t>
            </w:r>
          </w:p>
        </w:tc>
        <w:tc>
          <w:tcPr>
            <w:tcW w:w="4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(21,691)</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53.16</w:t>
            </w:r>
          </w:p>
        </w:tc>
      </w:tr>
      <w:tr>
        <w:trPr>
          <w:trHeight w:val="25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Balance at September 30, 2023</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239,883</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42.17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activity of the PBRS for the nine months ended September 30, 2023, based on 100% of target value:</w:t>
      </w:r>
    </w:p>
    <w:p>
      <w:pPr>
        <w:spacing w:after="0" w:line="23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Nine Months Ended</w:t>
      </w:r>
    </w:p>
    <w:p>
      <w:pPr>
        <w:spacing w:after="0" w:line="16"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21590</wp:posOffset>
            </wp:positionV>
            <wp:extent cx="1945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6"/>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2022</w:t>
            </w:r>
          </w:p>
        </w:tc>
        <w:tc>
          <w:tcPr>
            <w:tcW w:w="4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138,785</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43.19</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Granted</w:t>
            </w:r>
          </w:p>
        </w:tc>
        <w:tc>
          <w:tcPr>
            <w:tcW w:w="4240" w:type="dxa"/>
            <w:vAlign w:val="bottom"/>
          </w:tcPr>
          <w:p>
            <w:pPr>
              <w:jc w:val="right"/>
              <w:ind w:right="30"/>
              <w:spacing w:after="0"/>
              <w:rPr>
                <w:sz w:val="20"/>
                <w:szCs w:val="20"/>
                <w:color w:val="auto"/>
              </w:rPr>
            </w:pPr>
            <w:r>
              <w:rPr>
                <w:rFonts w:ascii="Arial" w:cs="Arial" w:eastAsia="Arial" w:hAnsi="Arial"/>
                <w:sz w:val="18"/>
                <w:szCs w:val="18"/>
                <w:color w:val="auto"/>
              </w:rPr>
              <w:t>51,453</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48.19</w:t>
            </w:r>
          </w:p>
        </w:tc>
      </w:tr>
      <w:tr>
        <w:trPr>
          <w:trHeight w:val="263"/>
        </w:trPr>
        <w:tc>
          <w:tcPr>
            <w:tcW w:w="5460" w:type="dxa"/>
            <w:vAlign w:val="bottom"/>
            <w:shd w:val="clear" w:color="auto" w:fill="B6B6B6"/>
          </w:tcPr>
          <w:p>
            <w:pPr>
              <w:ind w:left="20"/>
              <w:spacing w:after="0"/>
              <w:rPr>
                <w:sz w:val="20"/>
                <w:szCs w:val="20"/>
                <w:color w:val="auto"/>
              </w:rPr>
            </w:pPr>
            <w:r>
              <w:rPr>
                <w:rFonts w:ascii="Arial" w:cs="Arial" w:eastAsia="Arial" w:hAnsi="Arial"/>
                <w:sz w:val="18"/>
                <w:szCs w:val="18"/>
                <w:color w:val="auto"/>
              </w:rPr>
              <w:t>Vested</w:t>
            </w:r>
          </w:p>
        </w:tc>
        <w:tc>
          <w:tcPr>
            <w:tcW w:w="4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(30,567)</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54.02</w:t>
            </w:r>
          </w:p>
        </w:tc>
      </w:tr>
      <w:tr>
        <w:trPr>
          <w:trHeight w:val="25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Balance at September 30, 2023</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159,073</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42.74</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PBRS that vested during the nine months ended September 30, 2023 were based on the Company's achievement of 86.7% of target financial goals, resulting in the issuance of 26,499 shares of common stock. The outstanding PBRS at September 30, 2023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SARs granted and no expense recognized during the nine months ended September 30, 2023. Following is a summary of the activity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nine months ended September 30,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restart"/>
          </w:tcPr>
          <w:p>
            <w:pPr>
              <w:jc w:val="center"/>
              <w:ind w:right="29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72"/>
        </w:trPr>
        <w:tc>
          <w:tcPr>
            <w:tcW w:w="39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vMerge w:val="restart"/>
          </w:tcPr>
          <w:p>
            <w:pPr>
              <w:jc w:val="center"/>
              <w:ind w:right="290"/>
              <w:spacing w:after="0" w:line="184" w:lineRule="exact"/>
              <w:rPr>
                <w:sz w:val="20"/>
                <w:szCs w:val="20"/>
                <w:color w:val="auto"/>
              </w:rPr>
            </w:pPr>
            <w:r>
              <w:rPr>
                <w:rFonts w:ascii="Arial" w:cs="Arial" w:eastAsia="Arial" w:hAnsi="Arial"/>
                <w:sz w:val="18"/>
                <w:szCs w:val="18"/>
                <w:b w:val="1"/>
                <w:bCs w:val="1"/>
                <w:color w:val="auto"/>
                <w:w w:val="87"/>
              </w:rPr>
              <w:t>Average</w:t>
            </w:r>
          </w:p>
        </w:tc>
        <w:tc>
          <w:tcPr>
            <w:tcW w:w="1480" w:type="dxa"/>
            <w:vAlign w:val="bottom"/>
            <w:vMerge w:val="restart"/>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39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248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5"/>
                <w:szCs w:val="15"/>
                <w:color w:val="auto"/>
              </w:rPr>
            </w:pPr>
          </w:p>
        </w:tc>
        <w:tc>
          <w:tcPr>
            <w:tcW w:w="1400" w:type="dxa"/>
            <w:vAlign w:val="bottom"/>
          </w:tcPr>
          <w:p>
            <w:pPr>
              <w:jc w:val="center"/>
              <w:ind w:right="290"/>
              <w:spacing w:after="0" w:line="181" w:lineRule="exact"/>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Term Years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i w:val="1"/>
                <w:iCs w:val="1"/>
                <w:color w:val="auto"/>
                <w:w w:val="88"/>
              </w:rPr>
              <w:t>(In thousands)</w:t>
            </w:r>
          </w:p>
        </w:tc>
        <w:tc>
          <w:tcPr>
            <w:tcW w:w="0" w:type="dxa"/>
            <w:vAlign w:val="bottom"/>
          </w:tcPr>
          <w:p>
            <w:pPr>
              <w:spacing w:after="0"/>
              <w:rPr>
                <w:sz w:val="1"/>
                <w:szCs w:val="1"/>
                <w:color w:val="auto"/>
              </w:rPr>
            </w:pPr>
          </w:p>
        </w:tc>
      </w:tr>
      <w:tr>
        <w:trPr>
          <w:trHeight w:val="250"/>
        </w:trPr>
        <w:tc>
          <w:tcPr>
            <w:tcW w:w="396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2022</w:t>
            </w:r>
          </w:p>
        </w:tc>
        <w:tc>
          <w:tcPr>
            <w:tcW w:w="2480" w:type="dxa"/>
            <w:vAlign w:val="bottom"/>
            <w:shd w:val="clear" w:color="auto" w:fill="B6B6B6"/>
          </w:tcPr>
          <w:p>
            <w:pPr>
              <w:jc w:val="center"/>
              <w:ind w:left="1650"/>
              <w:spacing w:after="0"/>
              <w:rPr>
                <w:sz w:val="20"/>
                <w:szCs w:val="20"/>
                <w:color w:val="auto"/>
              </w:rPr>
            </w:pPr>
            <w:r>
              <w:rPr>
                <w:rFonts w:ascii="Arial" w:cs="Arial" w:eastAsia="Arial" w:hAnsi="Arial"/>
                <w:sz w:val="18"/>
                <w:szCs w:val="18"/>
                <w:color w:val="auto"/>
                <w:w w:val="90"/>
              </w:rPr>
              <w:t>46,325</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41.62</w:t>
            </w:r>
          </w:p>
        </w:tc>
        <w:tc>
          <w:tcPr>
            <w:tcW w:w="1480" w:type="dxa"/>
            <w:vAlign w:val="bottom"/>
            <w:shd w:val="clear" w:color="auto" w:fill="B6B6B6"/>
          </w:tcPr>
          <w:p>
            <w:pPr>
              <w:jc w:val="center"/>
              <w:ind w:left="950"/>
              <w:spacing w:after="0"/>
              <w:rPr>
                <w:sz w:val="20"/>
                <w:szCs w:val="20"/>
                <w:color w:val="auto"/>
              </w:rPr>
            </w:pPr>
            <w:r>
              <w:rPr>
                <w:rFonts w:ascii="Arial" w:cs="Arial" w:eastAsia="Arial" w:hAnsi="Arial"/>
                <w:sz w:val="18"/>
                <w:szCs w:val="18"/>
                <w:color w:val="auto"/>
                <w:w w:val="91"/>
              </w:rPr>
              <w:t>0.73</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480" w:type="dxa"/>
            <w:vAlign w:val="bottom"/>
            <w:tcBorders>
              <w:bottom w:val="single" w:sz="8" w:color="auto"/>
            </w:tcBorders>
          </w:tcPr>
          <w:p>
            <w:pPr>
              <w:jc w:val="center"/>
              <w:ind w:left="1630"/>
              <w:spacing w:after="0"/>
              <w:rPr>
                <w:sz w:val="20"/>
                <w:szCs w:val="20"/>
                <w:color w:val="auto"/>
              </w:rPr>
            </w:pPr>
            <w:r>
              <w:rPr>
                <w:rFonts w:ascii="Arial" w:cs="Arial" w:eastAsia="Arial" w:hAnsi="Arial"/>
                <w:sz w:val="18"/>
                <w:szCs w:val="18"/>
                <w:color w:val="auto"/>
                <w:w w:val="89"/>
              </w:rPr>
              <w:t>(15,916)</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31.92</w:t>
            </w:r>
          </w:p>
        </w:tc>
        <w:tc>
          <w:tcPr>
            <w:tcW w:w="148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Exercisable at September 30, 2023</w:t>
            </w:r>
          </w:p>
        </w:tc>
        <w:tc>
          <w:tcPr>
            <w:tcW w:w="2480" w:type="dxa"/>
            <w:vAlign w:val="bottom"/>
            <w:tcBorders>
              <w:bottom w:val="single" w:sz="8" w:color="auto"/>
            </w:tcBorders>
            <w:shd w:val="clear" w:color="auto" w:fill="B6B6B6"/>
          </w:tcPr>
          <w:p>
            <w:pPr>
              <w:jc w:val="center"/>
              <w:ind w:left="1650"/>
              <w:spacing w:after="0"/>
              <w:rPr>
                <w:sz w:val="20"/>
                <w:szCs w:val="20"/>
                <w:color w:val="auto"/>
              </w:rPr>
            </w:pPr>
            <w:r>
              <w:rPr>
                <w:rFonts w:ascii="Arial" w:cs="Arial" w:eastAsia="Arial" w:hAnsi="Arial"/>
                <w:sz w:val="18"/>
                <w:szCs w:val="18"/>
                <w:color w:val="auto"/>
                <w:w w:val="90"/>
              </w:rPr>
              <w:t>30,409</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46.70</w:t>
            </w:r>
          </w:p>
        </w:tc>
        <w:tc>
          <w:tcPr>
            <w:tcW w:w="1480" w:type="dxa"/>
            <w:vAlign w:val="bottom"/>
            <w:tcBorders>
              <w:bottom w:val="single" w:sz="8" w:color="auto"/>
            </w:tcBorders>
            <w:shd w:val="clear" w:color="auto" w:fill="B6B6B6"/>
          </w:tcPr>
          <w:p>
            <w:pPr>
              <w:jc w:val="center"/>
              <w:ind w:left="950"/>
              <w:spacing w:after="0"/>
              <w:rPr>
                <w:sz w:val="20"/>
                <w:szCs w:val="20"/>
                <w:color w:val="auto"/>
              </w:rPr>
            </w:pPr>
            <w:r>
              <w:rPr>
                <w:rFonts w:ascii="Arial" w:cs="Arial" w:eastAsia="Arial" w:hAnsi="Arial"/>
                <w:sz w:val="18"/>
                <w:szCs w:val="18"/>
                <w:color w:val="auto"/>
                <w:w w:val="91"/>
              </w:rPr>
              <w:t>0.33</w:t>
            </w:r>
          </w:p>
        </w:tc>
        <w:tc>
          <w:tcPr>
            <w:tcW w:w="2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SARs were vested at September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As such, subsequent to February 28, 2021, there is no service cost associated with the Plan. The following table represents the components of net periodic pension cost (benefit):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Actual 2022</w:t>
            </w:r>
          </w:p>
        </w:tc>
      </w:tr>
      <w:tr>
        <w:trPr>
          <w:trHeight w:val="250"/>
        </w:trPr>
        <w:tc>
          <w:tcPr>
            <w:tcW w:w="572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cost on projected benefit obligations</w:t>
            </w:r>
          </w:p>
        </w:tc>
        <w:tc>
          <w:tcPr>
            <w:tcW w:w="26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4,375</w:t>
            </w:r>
          </w:p>
        </w:tc>
        <w:tc>
          <w:tcPr>
            <w:tcW w:w="2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center"/>
              <w:ind w:left="630"/>
              <w:spacing w:after="0"/>
              <w:rPr>
                <w:sz w:val="20"/>
                <w:szCs w:val="20"/>
                <w:color w:val="auto"/>
              </w:rPr>
            </w:pPr>
            <w:r>
              <w:rPr>
                <w:rFonts w:ascii="Arial" w:cs="Arial" w:eastAsia="Arial" w:hAnsi="Arial"/>
                <w:sz w:val="18"/>
                <w:szCs w:val="18"/>
                <w:color w:val="auto"/>
                <w:w w:val="88"/>
              </w:rPr>
              <w:t>3,293</w:t>
            </w:r>
          </w:p>
        </w:tc>
      </w:tr>
      <w:tr>
        <w:trPr>
          <w:trHeight w:val="25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return on plan assets</w:t>
            </w:r>
          </w:p>
        </w:tc>
        <w:tc>
          <w:tcPr>
            <w:tcW w:w="2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4"/>
              </w:rPr>
              <w:t>(5,857)</w:t>
            </w:r>
          </w:p>
        </w:tc>
      </w:tr>
      <w:tr>
        <w:trPr>
          <w:trHeight w:val="250"/>
        </w:trPr>
        <w:tc>
          <w:tcPr>
            <w:tcW w:w="572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Net periodic pension cost (benefit)</w:t>
            </w:r>
          </w:p>
        </w:tc>
        <w:tc>
          <w:tcPr>
            <w:tcW w:w="26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398</w:t>
            </w:r>
          </w:p>
        </w:tc>
        <w:tc>
          <w:tcPr>
            <w:tcW w:w="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6B6B6"/>
          </w:tcPr>
          <w:p>
            <w:pPr>
              <w:jc w:val="center"/>
              <w:ind w:left="610"/>
              <w:spacing w:after="0"/>
              <w:rPr>
                <w:sz w:val="20"/>
                <w:szCs w:val="20"/>
                <w:color w:val="auto"/>
              </w:rPr>
            </w:pPr>
            <w:r>
              <w:rPr>
                <w:rFonts w:ascii="Arial" w:cs="Arial" w:eastAsia="Arial" w:hAnsi="Arial"/>
                <w:sz w:val="18"/>
                <w:szCs w:val="18"/>
                <w:color w:val="auto"/>
                <w:w w:val="94"/>
              </w:rPr>
              <w:t>(2,564)</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net periodic pension cost of $129,000 and $402,000 for the three and nine month period ended September 30, 2023, respectively, and a net periodic pension benefit of $616,000 and $1.8 million for the three and nine month period ended September 30, 2022, respectively. The Company made no contributions to the Plan during the nine month period ended September 30, 2023 and is evaluating the amount of contributions, if any, for the remainder of 2023.</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above funded defined-benefit pension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39"/>
        </w:trPr>
        <w:tc>
          <w:tcPr>
            <w:tcW w:w="568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4"/>
        </w:trPr>
        <w:tc>
          <w:tcPr>
            <w:tcW w:w="568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640" w:type="dxa"/>
            <w:vAlign w:val="bottom"/>
            <w:shd w:val="clear" w:color="auto" w:fill="B6B6B6"/>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79"/>
              </w:rPr>
              <w:t>472</w:t>
            </w:r>
          </w:p>
        </w:tc>
        <w:tc>
          <w:tcPr>
            <w:tcW w:w="38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amortization</w:t>
            </w:r>
          </w:p>
        </w:tc>
        <w:tc>
          <w:tcPr>
            <w:tcW w:w="36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Net periodic pension cost</w:t>
            </w:r>
          </w:p>
        </w:tc>
        <w:tc>
          <w:tcPr>
            <w:tcW w:w="3640" w:type="dxa"/>
            <w:vAlign w:val="bottom"/>
            <w:tcBorders>
              <w:bottom w:val="single" w:sz="8" w:color="auto"/>
            </w:tcBorders>
            <w:shd w:val="clear" w:color="auto" w:fill="B6B6B6"/>
          </w:tcPr>
          <w:p>
            <w:pPr>
              <w:jc w:val="right"/>
              <w:ind w:right="9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w w:val="79"/>
              </w:rPr>
              <w:t>472</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SERP cost recorded to expense was $118,000 and $354,000 for the three and nine month periods ended September 30, 2023, respectively, and $107,000 and $320,000 for the three and nine month periods ended September 30,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effective tax rate was 19.3% and 19.8% for the three and nine month periods ended September 30, 2023, respectively, and 19.2% and 19.3% for the three and nine month periods September 30, 2022, respectively. The effective tax rate for all periods differs from the statutory rate of 21% primarily due to the tax-exempt interest received from municipal bonds and bank-owned life insurance, among other factors. The increase in the effective tax rate for the nine month period ended September 30, 2023 as compared to the same period of 2022 is primarily a result of lower tax-exempt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category. The amortized cost, gross unrealized gains, gross unrealized losses and fair value of investment securities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600" w:type="dxa"/>
            <w:vAlign w:val="bottom"/>
          </w:tcPr>
          <w:p>
            <w:pPr>
              <w:spacing w:after="0"/>
              <w:rPr>
                <w:sz w:val="15"/>
                <w:szCs w:val="15"/>
                <w:color w:val="auto"/>
              </w:rPr>
            </w:pPr>
          </w:p>
        </w:tc>
        <w:tc>
          <w:tcPr>
            <w:tcW w:w="7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340" w:type="dxa"/>
            <w:vAlign w:val="bottom"/>
            <w:gridSpan w:val="2"/>
          </w:tcPr>
          <w:p>
            <w:pPr>
              <w:jc w:val="center"/>
              <w:ind w:left="33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4"/>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jc w:val="right"/>
              <w:ind w:right="5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241,194</w:t>
            </w:r>
          </w:p>
        </w:tc>
        <w:tc>
          <w:tcPr>
            <w:tcW w:w="6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2</w:t>
            </w:r>
          </w:p>
        </w:tc>
        <w:tc>
          <w:tcPr>
            <w:tcW w:w="32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25,735</w:t>
            </w:r>
          </w:p>
        </w:tc>
        <w:tc>
          <w:tcPr>
            <w:tcW w:w="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215,461</w:t>
            </w:r>
          </w:p>
        </w:tc>
        <w:tc>
          <w:tcPr>
            <w:tcW w:w="0" w:type="dxa"/>
            <w:vAlign w:val="bottom"/>
          </w:tcPr>
          <w:p>
            <w:pPr>
              <w:spacing w:after="0"/>
              <w:rPr>
                <w:sz w:val="1"/>
                <w:szCs w:val="1"/>
                <w:color w:val="auto"/>
              </w:rPr>
            </w:pPr>
          </w:p>
        </w:tc>
      </w:tr>
      <w:tr>
        <w:trPr>
          <w:trHeight w:val="215"/>
        </w:trPr>
        <w:tc>
          <w:tcPr>
            <w:tcW w:w="4340" w:type="dxa"/>
            <w:vAlign w:val="bottom"/>
            <w:gridSpan w:val="3"/>
          </w:tcPr>
          <w:p>
            <w:pPr>
              <w:ind w:left="20"/>
              <w:spacing w:after="0"/>
              <w:rPr>
                <w:sz w:val="20"/>
                <w:szCs w:val="20"/>
                <w:color w:val="auto"/>
              </w:rPr>
            </w:pPr>
            <w:r>
              <w:rPr>
                <w:rFonts w:ascii="Arial" w:cs="Arial" w:eastAsia="Arial" w:hAnsi="Arial"/>
                <w:sz w:val="18"/>
                <w:szCs w:val="18"/>
                <w:color w:val="auto"/>
                <w:w w:val="93"/>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192,241</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39,806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152,435</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74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111,172</w:t>
            </w:r>
          </w:p>
        </w:tc>
        <w:tc>
          <w:tcPr>
            <w:tcW w:w="60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11,723</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99,449</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109,752</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107,722</w:t>
            </w:r>
          </w:p>
        </w:tc>
        <w:tc>
          <w:tcPr>
            <w:tcW w:w="0" w:type="dxa"/>
            <w:vAlign w:val="bottom"/>
          </w:tcPr>
          <w:p>
            <w:pPr>
              <w:spacing w:after="0"/>
              <w:rPr>
                <w:sz w:val="1"/>
                <w:szCs w:val="1"/>
                <w:color w:val="auto"/>
              </w:rPr>
            </w:pPr>
          </w:p>
        </w:tc>
      </w:tr>
      <w:tr>
        <w:trPr>
          <w:trHeight w:val="222"/>
        </w:trPr>
        <w:tc>
          <w:tcPr>
            <w:tcW w:w="5720" w:type="dxa"/>
            <w:vAlign w:val="bottom"/>
            <w:gridSpan w:val="6"/>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 guaranteed by U.S. government</w:t>
            </w:r>
          </w:p>
        </w:tc>
        <w:tc>
          <w:tcPr>
            <w:tcW w:w="220" w:type="dxa"/>
            <w:vAlign w:val="bottom"/>
            <w:shd w:val="clear" w:color="auto" w:fill="B6B6B6"/>
          </w:tcPr>
          <w:p>
            <w:pPr>
              <w:spacing w:after="0"/>
              <w:rPr>
                <w:sz w:val="19"/>
                <w:szCs w:val="19"/>
                <w:color w:val="auto"/>
              </w:rPr>
            </w:pPr>
          </w:p>
        </w:tc>
        <w:tc>
          <w:tcPr>
            <w:tcW w:w="520" w:type="dxa"/>
            <w:vAlign w:val="bottom"/>
            <w:shd w:val="clear" w:color="auto" w:fill="B6B6B6"/>
          </w:tcPr>
          <w:p>
            <w:pPr>
              <w:spacing w:after="0"/>
              <w:rPr>
                <w:sz w:val="19"/>
                <w:szCs w:val="19"/>
                <w:color w:val="auto"/>
              </w:rPr>
            </w:pPr>
          </w:p>
        </w:tc>
        <w:tc>
          <w:tcPr>
            <w:tcW w:w="600" w:type="dxa"/>
            <w:vAlign w:val="bottom"/>
            <w:shd w:val="clear" w:color="auto" w:fill="B6B6B6"/>
          </w:tcPr>
          <w:p>
            <w:pPr>
              <w:spacing w:after="0"/>
              <w:rPr>
                <w:sz w:val="19"/>
                <w:szCs w:val="19"/>
                <w:color w:val="auto"/>
              </w:rPr>
            </w:pPr>
          </w:p>
        </w:tc>
        <w:tc>
          <w:tcPr>
            <w:tcW w:w="74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32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6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agencies or sponsored enterprises</w:t>
            </w:r>
          </w:p>
        </w:tc>
        <w:tc>
          <w:tcPr>
            <w:tcW w:w="1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5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83"/>
              </w:rPr>
              <w:t>42,020</w:t>
            </w:r>
          </w:p>
        </w:tc>
        <w:tc>
          <w:tcPr>
            <w:tcW w:w="60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spacing w:after="0"/>
              <w:rPr>
                <w:sz w:val="20"/>
                <w:szCs w:val="20"/>
                <w:color w:val="auto"/>
              </w:rPr>
            </w:pPr>
          </w:p>
        </w:tc>
        <w:tc>
          <w:tcPr>
            <w:tcW w:w="34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1,232</w:t>
            </w:r>
          </w:p>
        </w:tc>
        <w:tc>
          <w:tcPr>
            <w:tcW w:w="260" w:type="dxa"/>
            <w:vAlign w:val="bottom"/>
            <w:tcBorders>
              <w:bottom w:val="single" w:sz="8" w:color="auto"/>
            </w:tcBorders>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40,788</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696,379</w:t>
            </w: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615,855</w:t>
            </w:r>
          </w:p>
        </w:tc>
        <w:tc>
          <w:tcPr>
            <w:tcW w:w="0" w:type="dxa"/>
            <w:vAlign w:val="bottom"/>
          </w:tcPr>
          <w:p>
            <w:pPr>
              <w:spacing w:after="0"/>
              <w:rPr>
                <w:sz w:val="1"/>
                <w:szCs w:val="1"/>
                <w:color w:val="auto"/>
              </w:rPr>
            </w:pPr>
          </w:p>
        </w:tc>
      </w:tr>
      <w:tr>
        <w:trPr>
          <w:trHeight w:val="547"/>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600" w:type="dxa"/>
            <w:vAlign w:val="bottom"/>
          </w:tcPr>
          <w:p>
            <w:pPr>
              <w:spacing w:after="0"/>
              <w:rPr>
                <w:sz w:val="15"/>
                <w:szCs w:val="15"/>
                <w:color w:val="auto"/>
              </w:rPr>
            </w:pPr>
          </w:p>
        </w:tc>
        <w:tc>
          <w:tcPr>
            <w:tcW w:w="7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340" w:type="dxa"/>
            <w:vAlign w:val="bottom"/>
            <w:gridSpan w:val="2"/>
          </w:tcPr>
          <w:p>
            <w:pPr>
              <w:jc w:val="center"/>
              <w:ind w:left="33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9"/>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89"/>
              </w:rPr>
              <w:t>Cost</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jc w:val="right"/>
              <w:ind w:right="5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317,376</w:t>
            </w:r>
          </w:p>
        </w:tc>
        <w:tc>
          <w:tcPr>
            <w:tcW w:w="6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w w:val="89"/>
              </w:rPr>
              <w:t>54</w:t>
            </w:r>
          </w:p>
        </w:tc>
        <w:tc>
          <w:tcPr>
            <w:tcW w:w="32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22,304</w:t>
            </w:r>
          </w:p>
        </w:tc>
        <w:tc>
          <w:tcPr>
            <w:tcW w:w="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295,126</w:t>
            </w:r>
          </w:p>
        </w:tc>
        <w:tc>
          <w:tcPr>
            <w:tcW w:w="0" w:type="dxa"/>
            <w:vAlign w:val="bottom"/>
          </w:tcPr>
          <w:p>
            <w:pPr>
              <w:spacing w:after="0"/>
              <w:rPr>
                <w:sz w:val="1"/>
                <w:szCs w:val="1"/>
                <w:color w:val="auto"/>
              </w:rPr>
            </w:pPr>
          </w:p>
        </w:tc>
      </w:tr>
      <w:tr>
        <w:trPr>
          <w:trHeight w:val="215"/>
        </w:trPr>
        <w:tc>
          <w:tcPr>
            <w:tcW w:w="4340" w:type="dxa"/>
            <w:vAlign w:val="bottom"/>
            <w:gridSpan w:val="3"/>
          </w:tcPr>
          <w:p>
            <w:pPr>
              <w:ind w:left="20"/>
              <w:spacing w:after="0"/>
              <w:rPr>
                <w:sz w:val="20"/>
                <w:szCs w:val="20"/>
                <w:color w:val="auto"/>
              </w:rPr>
            </w:pPr>
            <w:r>
              <w:rPr>
                <w:rFonts w:ascii="Arial" w:cs="Arial" w:eastAsia="Arial" w:hAnsi="Arial"/>
                <w:sz w:val="18"/>
                <w:szCs w:val="18"/>
                <w:color w:val="auto"/>
                <w:w w:val="93"/>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205,175</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31,236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173,939</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520" w:type="dxa"/>
            <w:vAlign w:val="bottom"/>
            <w:shd w:val="clear" w:color="auto" w:fill="B6B6B6"/>
          </w:tcPr>
          <w:p>
            <w:pPr>
              <w:jc w:val="right"/>
              <w:spacing w:after="0"/>
              <w:rPr>
                <w:sz w:val="20"/>
                <w:szCs w:val="20"/>
                <w:color w:val="auto"/>
              </w:rPr>
            </w:pPr>
            <w:r>
              <w:rPr>
                <w:rFonts w:ascii="Arial" w:cs="Arial" w:eastAsia="Arial" w:hAnsi="Arial"/>
                <w:sz w:val="18"/>
                <w:szCs w:val="18"/>
                <w:color w:val="auto"/>
                <w:w w:val="83"/>
              </w:rPr>
              <w:t>96,348</w:t>
            </w:r>
          </w:p>
        </w:tc>
        <w:tc>
          <w:tcPr>
            <w:tcW w:w="60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11,251</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85,097</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158,935</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155,283</w:t>
            </w:r>
          </w:p>
        </w:tc>
        <w:tc>
          <w:tcPr>
            <w:tcW w:w="0" w:type="dxa"/>
            <w:vAlign w:val="bottom"/>
          </w:tcPr>
          <w:p>
            <w:pPr>
              <w:spacing w:after="0"/>
              <w:rPr>
                <w:sz w:val="1"/>
                <w:szCs w:val="1"/>
                <w:color w:val="auto"/>
              </w:rPr>
            </w:pPr>
          </w:p>
        </w:tc>
      </w:tr>
      <w:tr>
        <w:trPr>
          <w:trHeight w:val="222"/>
        </w:trPr>
        <w:tc>
          <w:tcPr>
            <w:tcW w:w="5720" w:type="dxa"/>
            <w:vAlign w:val="bottom"/>
            <w:gridSpan w:val="6"/>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 guaranteed by U.S. government</w:t>
            </w:r>
          </w:p>
        </w:tc>
        <w:tc>
          <w:tcPr>
            <w:tcW w:w="220" w:type="dxa"/>
            <w:vAlign w:val="bottom"/>
            <w:shd w:val="clear" w:color="auto" w:fill="B6B6B6"/>
          </w:tcPr>
          <w:p>
            <w:pPr>
              <w:spacing w:after="0"/>
              <w:rPr>
                <w:sz w:val="19"/>
                <w:szCs w:val="19"/>
                <w:color w:val="auto"/>
              </w:rPr>
            </w:pPr>
          </w:p>
        </w:tc>
        <w:tc>
          <w:tcPr>
            <w:tcW w:w="520" w:type="dxa"/>
            <w:vAlign w:val="bottom"/>
            <w:shd w:val="clear" w:color="auto" w:fill="B6B6B6"/>
          </w:tcPr>
          <w:p>
            <w:pPr>
              <w:spacing w:after="0"/>
              <w:rPr>
                <w:sz w:val="19"/>
                <w:szCs w:val="19"/>
                <w:color w:val="auto"/>
              </w:rPr>
            </w:pPr>
          </w:p>
        </w:tc>
        <w:tc>
          <w:tcPr>
            <w:tcW w:w="600" w:type="dxa"/>
            <w:vAlign w:val="bottom"/>
            <w:shd w:val="clear" w:color="auto" w:fill="B6B6B6"/>
          </w:tcPr>
          <w:p>
            <w:pPr>
              <w:spacing w:after="0"/>
              <w:rPr>
                <w:sz w:val="19"/>
                <w:szCs w:val="19"/>
                <w:color w:val="auto"/>
              </w:rPr>
            </w:pPr>
          </w:p>
        </w:tc>
        <w:tc>
          <w:tcPr>
            <w:tcW w:w="74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32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6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agencies or sponsored enterprises</w:t>
            </w:r>
          </w:p>
        </w:tc>
        <w:tc>
          <w:tcPr>
            <w:tcW w:w="1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5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83"/>
              </w:rPr>
              <w:t>47,213</w:t>
            </w:r>
          </w:p>
        </w:tc>
        <w:tc>
          <w:tcPr>
            <w:tcW w:w="60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spacing w:after="0"/>
              <w:rPr>
                <w:sz w:val="20"/>
                <w:szCs w:val="20"/>
                <w:color w:val="auto"/>
              </w:rPr>
            </w:pPr>
          </w:p>
        </w:tc>
        <w:tc>
          <w:tcPr>
            <w:tcW w:w="34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2,190</w:t>
            </w:r>
          </w:p>
        </w:tc>
        <w:tc>
          <w:tcPr>
            <w:tcW w:w="260" w:type="dxa"/>
            <w:vAlign w:val="bottom"/>
            <w:tcBorders>
              <w:bottom w:val="single" w:sz="8" w:color="auto"/>
            </w:tcBorders>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45,023</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825,047</w:t>
            </w: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54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754,468</w:t>
            </w:r>
          </w:p>
        </w:tc>
        <w:tc>
          <w:tcPr>
            <w:tcW w:w="0" w:type="dxa"/>
            <w:vAlign w:val="bottom"/>
          </w:tcPr>
          <w:p>
            <w:pPr>
              <w:spacing w:after="0"/>
              <w:rPr>
                <w:sz w:val="1"/>
                <w:szCs w:val="1"/>
                <w:color w:val="auto"/>
              </w:rPr>
            </w:pPr>
          </w:p>
        </w:tc>
      </w:tr>
      <w:tr>
        <w:trPr>
          <w:trHeight w:val="486"/>
        </w:trPr>
        <w:tc>
          <w:tcPr>
            <w:tcW w:w="5720" w:type="dxa"/>
            <w:vAlign w:val="bottom"/>
            <w:gridSpan w:val="6"/>
          </w:tcPr>
          <w:p>
            <w:pPr>
              <w:spacing w:after="0"/>
              <w:rPr>
                <w:sz w:val="20"/>
                <w:szCs w:val="20"/>
                <w:color w:val="auto"/>
              </w:rPr>
            </w:pPr>
            <w:r>
              <w:rPr>
                <w:rFonts w:ascii="Arial" w:cs="Arial" w:eastAsia="Arial" w:hAnsi="Arial"/>
                <w:sz w:val="18"/>
                <w:szCs w:val="18"/>
                <w:color w:val="auto"/>
              </w:rPr>
              <w:t>The fair values of securities with unrealized losses are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12 months or more</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w w:val="97"/>
              </w:rPr>
              <w:t>Estimated</w:t>
            </w:r>
          </w:p>
        </w:tc>
        <w:tc>
          <w:tcPr>
            <w:tcW w:w="240" w:type="dxa"/>
            <w:vAlign w:val="bottom"/>
          </w:tcPr>
          <w:p>
            <w:pPr>
              <w:spacing w:after="0"/>
              <w:rPr>
                <w:sz w:val="15"/>
                <w:szCs w:val="15"/>
                <w:color w:val="auto"/>
              </w:rPr>
            </w:pPr>
          </w:p>
        </w:tc>
        <w:tc>
          <w:tcPr>
            <w:tcW w:w="1140" w:type="dxa"/>
            <w:vAlign w:val="bottom"/>
            <w:gridSpan w:val="2"/>
          </w:tcPr>
          <w:p>
            <w:pPr>
              <w:jc w:val="right"/>
              <w:ind w:right="170"/>
              <w:spacing w:after="0" w:line="176"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5"/>
                <w:szCs w:val="15"/>
                <w:color w:val="auto"/>
              </w:rPr>
            </w:pPr>
          </w:p>
        </w:tc>
        <w:tc>
          <w:tcPr>
            <w:tcW w:w="1120" w:type="dxa"/>
            <w:vAlign w:val="bottom"/>
            <w:gridSpan w:val="2"/>
          </w:tcPr>
          <w:p>
            <w:pPr>
              <w:jc w:val="right"/>
              <w:ind w:right="150"/>
              <w:spacing w:after="0" w:line="176" w:lineRule="exact"/>
              <w:rPr>
                <w:sz w:val="20"/>
                <w:szCs w:val="20"/>
                <w:color w:val="auto"/>
              </w:rPr>
            </w:pPr>
            <w:r>
              <w:rPr>
                <w:rFonts w:ascii="Arial" w:cs="Arial" w:eastAsia="Arial" w:hAnsi="Arial"/>
                <w:sz w:val="18"/>
                <w:szCs w:val="18"/>
                <w:b w:val="1"/>
                <w:bCs w:val="1"/>
                <w:color w:val="auto"/>
                <w:w w:val="99"/>
              </w:rPr>
              <w:t>Estimated</w:t>
            </w:r>
          </w:p>
        </w:tc>
        <w:tc>
          <w:tcPr>
            <w:tcW w:w="1400" w:type="dxa"/>
            <w:vAlign w:val="bottom"/>
            <w:gridSpan w:val="3"/>
          </w:tcPr>
          <w:p>
            <w:pPr>
              <w:ind w:left="340"/>
              <w:spacing w:after="0" w:line="176"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39"/>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Losses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54"/>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63,256</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B6B6B6"/>
          </w:tcPr>
          <w:p>
            <w:pPr>
              <w:jc w:val="right"/>
              <w:ind w:right="10"/>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149,202</w:t>
            </w:r>
          </w:p>
        </w:tc>
        <w:tc>
          <w:tcPr>
            <w:tcW w:w="740" w:type="dxa"/>
            <w:vAlign w:val="bottom"/>
            <w:shd w:val="clear" w:color="auto" w:fill="B6B6B6"/>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24,552</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B6B6B6"/>
          </w:tcPr>
          <w:p>
            <w:pPr>
              <w:jc w:val="right"/>
              <w:ind w:right="50"/>
              <w:spacing w:after="0"/>
              <w:rPr>
                <w:sz w:val="20"/>
                <w:szCs w:val="20"/>
                <w:color w:val="auto"/>
              </w:rPr>
            </w:pPr>
            <w:r>
              <w:rPr>
                <w:rFonts w:ascii="Arial" w:cs="Arial" w:eastAsia="Arial" w:hAnsi="Arial"/>
                <w:sz w:val="18"/>
                <w:szCs w:val="18"/>
                <w:color w:val="auto"/>
              </w:rPr>
              <w:t>212,458</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25,735</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Arial" w:cs="Arial" w:eastAsia="Arial" w:hAnsi="Arial"/>
                <w:sz w:val="18"/>
                <w:szCs w:val="18"/>
                <w:color w:val="auto"/>
                <w:w w:val="90"/>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Pr>
          <w:p>
            <w:pPr>
              <w:ind w:left="20"/>
              <w:spacing w:after="0"/>
              <w:rPr>
                <w:sz w:val="20"/>
                <w:szCs w:val="20"/>
                <w:color w:val="auto"/>
              </w:rPr>
            </w:pPr>
            <w:r>
              <w:rPr>
                <w:rFonts w:ascii="Arial" w:cs="Arial" w:eastAsia="Arial" w:hAnsi="Arial"/>
                <w:sz w:val="18"/>
                <w:szCs w:val="18"/>
                <w:color w:val="auto"/>
              </w:rPr>
              <w:t>or sponsored enterprises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152,435</w:t>
            </w:r>
          </w:p>
        </w:tc>
        <w:tc>
          <w:tcPr>
            <w:tcW w:w="7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39,806</w:t>
            </w:r>
          </w:p>
        </w:tc>
        <w:tc>
          <w:tcPr>
            <w:tcW w:w="22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152,435</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39,806</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14,939</w:t>
            </w:r>
          </w:p>
        </w:tc>
        <w:tc>
          <w:tcPr>
            <w:tcW w:w="24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jc w:val="right"/>
              <w:ind w:right="1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60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4"/>
              </w:rPr>
              <w:t>79,510</w:t>
            </w:r>
          </w:p>
        </w:tc>
        <w:tc>
          <w:tcPr>
            <w:tcW w:w="740" w:type="dxa"/>
            <w:vAlign w:val="bottom"/>
            <w:shd w:val="clear" w:color="auto" w:fill="B6B6B6"/>
          </w:tcPr>
          <w:p>
            <w:pPr>
              <w:spacing w:after="0"/>
              <w:rPr>
                <w:sz w:val="22"/>
                <w:szCs w:val="22"/>
                <w:color w:val="auto"/>
              </w:rPr>
            </w:pPr>
          </w:p>
        </w:tc>
        <w:tc>
          <w:tcPr>
            <w:tcW w:w="66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11,662</w:t>
            </w:r>
          </w:p>
        </w:tc>
        <w:tc>
          <w:tcPr>
            <w:tcW w:w="22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50"/>
              <w:spacing w:after="0"/>
              <w:rPr>
                <w:sz w:val="20"/>
                <w:szCs w:val="20"/>
                <w:color w:val="auto"/>
              </w:rPr>
            </w:pPr>
            <w:r>
              <w:rPr>
                <w:rFonts w:ascii="Arial" w:cs="Arial" w:eastAsia="Arial" w:hAnsi="Arial"/>
                <w:sz w:val="18"/>
                <w:szCs w:val="18"/>
                <w:color w:val="auto"/>
              </w:rPr>
              <w:t>94,449</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107,722</w:t>
            </w:r>
          </w:p>
        </w:tc>
        <w:tc>
          <w:tcPr>
            <w:tcW w:w="7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2,030</w:t>
            </w:r>
          </w:p>
        </w:tc>
        <w:tc>
          <w:tcPr>
            <w:tcW w:w="22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107,722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2"/>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w:t>
            </w:r>
          </w:p>
        </w:tc>
        <w:tc>
          <w:tcPr>
            <w:tcW w:w="160" w:type="dxa"/>
            <w:vAlign w:val="bottom"/>
            <w:shd w:val="clear" w:color="auto" w:fill="B6B6B6"/>
          </w:tcPr>
          <w:p>
            <w:pPr>
              <w:spacing w:after="0"/>
              <w:rPr>
                <w:sz w:val="19"/>
                <w:szCs w:val="19"/>
                <w:color w:val="auto"/>
              </w:rPr>
            </w:pPr>
          </w:p>
        </w:tc>
        <w:tc>
          <w:tcPr>
            <w:tcW w:w="114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440" w:type="dxa"/>
            <w:vAlign w:val="bottom"/>
            <w:shd w:val="clear" w:color="auto" w:fill="B6B6B6"/>
          </w:tcPr>
          <w:p>
            <w:pPr>
              <w:spacing w:after="0"/>
              <w:rPr>
                <w:sz w:val="19"/>
                <w:szCs w:val="19"/>
                <w:color w:val="auto"/>
              </w:rPr>
            </w:pPr>
          </w:p>
        </w:tc>
        <w:tc>
          <w:tcPr>
            <w:tcW w:w="70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520" w:type="dxa"/>
            <w:vAlign w:val="bottom"/>
            <w:shd w:val="clear" w:color="auto" w:fill="B6B6B6"/>
          </w:tcPr>
          <w:p>
            <w:pPr>
              <w:spacing w:after="0"/>
              <w:rPr>
                <w:sz w:val="19"/>
                <w:szCs w:val="19"/>
                <w:color w:val="auto"/>
              </w:rPr>
            </w:pPr>
          </w:p>
        </w:tc>
        <w:tc>
          <w:tcPr>
            <w:tcW w:w="600" w:type="dxa"/>
            <w:vAlign w:val="bottom"/>
            <w:shd w:val="clear" w:color="auto" w:fill="B6B6B6"/>
          </w:tcPr>
          <w:p>
            <w:pPr>
              <w:spacing w:after="0"/>
              <w:rPr>
                <w:sz w:val="19"/>
                <w:szCs w:val="19"/>
                <w:color w:val="auto"/>
              </w:rPr>
            </w:pPr>
          </w:p>
        </w:tc>
        <w:tc>
          <w:tcPr>
            <w:tcW w:w="74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32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6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Arial" w:cs="Arial" w:eastAsia="Arial" w:hAnsi="Arial"/>
                <w:sz w:val="18"/>
                <w:szCs w:val="18"/>
                <w:color w:val="auto"/>
                <w:w w:val="90"/>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440" w:type="dxa"/>
            <w:vAlign w:val="bottom"/>
            <w:shd w:val="clear" w:color="auto" w:fill="B6B6B6"/>
          </w:tcPr>
          <w:p>
            <w:pPr>
              <w:spacing w:after="0"/>
              <w:rPr>
                <w:sz w:val="17"/>
                <w:szCs w:val="17"/>
                <w:color w:val="auto"/>
              </w:rPr>
            </w:pPr>
          </w:p>
        </w:tc>
        <w:tc>
          <w:tcPr>
            <w:tcW w:w="70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520" w:type="dxa"/>
            <w:vAlign w:val="bottom"/>
            <w:shd w:val="clear" w:color="auto" w:fill="B6B6B6"/>
          </w:tcPr>
          <w:p>
            <w:pPr>
              <w:spacing w:after="0"/>
              <w:rPr>
                <w:sz w:val="17"/>
                <w:szCs w:val="17"/>
                <w:color w:val="auto"/>
              </w:rPr>
            </w:pPr>
          </w:p>
        </w:tc>
        <w:tc>
          <w:tcPr>
            <w:tcW w:w="600" w:type="dxa"/>
            <w:vAlign w:val="bottom"/>
            <w:shd w:val="clear" w:color="auto" w:fill="B6B6B6"/>
          </w:tcPr>
          <w:p>
            <w:pPr>
              <w:spacing w:after="0"/>
              <w:rPr>
                <w:sz w:val="17"/>
                <w:szCs w:val="17"/>
                <w:color w:val="auto"/>
              </w:rPr>
            </w:pPr>
          </w:p>
        </w:tc>
        <w:tc>
          <w:tcPr>
            <w:tcW w:w="74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9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or sponsored enterprises</w:t>
            </w:r>
          </w:p>
        </w:tc>
        <w:tc>
          <w:tcPr>
            <w:tcW w:w="16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1"/>
                <w:szCs w:val="21"/>
                <w:color w:val="auto"/>
              </w:rPr>
            </w:pPr>
          </w:p>
        </w:tc>
        <w:tc>
          <w:tcPr>
            <w:tcW w:w="440" w:type="dxa"/>
            <w:vAlign w:val="bottom"/>
            <w:tcBorders>
              <w:bottom w:val="single" w:sz="8" w:color="auto"/>
            </w:tcBorders>
            <w:shd w:val="clear" w:color="auto" w:fill="B6B6B6"/>
          </w:tcPr>
          <w:p>
            <w:pPr>
              <w:spacing w:after="0"/>
              <w:rPr>
                <w:sz w:val="21"/>
                <w:szCs w:val="21"/>
                <w:color w:val="auto"/>
              </w:rPr>
            </w:pPr>
          </w:p>
        </w:tc>
        <w:tc>
          <w:tcPr>
            <w:tcW w:w="70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6B6B6"/>
          </w:tcPr>
          <w:p>
            <w:pPr>
              <w:spacing w:after="0"/>
              <w:rPr>
                <w:sz w:val="21"/>
                <w:szCs w:val="21"/>
                <w:color w:val="auto"/>
              </w:rPr>
            </w:pPr>
          </w:p>
        </w:tc>
        <w:tc>
          <w:tcPr>
            <w:tcW w:w="520" w:type="dxa"/>
            <w:vAlign w:val="bottom"/>
            <w:tcBorders>
              <w:bottom w:val="single" w:sz="8" w:color="auto"/>
            </w:tcBorders>
            <w:shd w:val="clear" w:color="auto" w:fill="B6B6B6"/>
          </w:tcPr>
          <w:p>
            <w:pPr>
              <w:spacing w:after="0"/>
              <w:rPr>
                <w:sz w:val="21"/>
                <w:szCs w:val="21"/>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4"/>
              </w:rPr>
              <w:t>40,788</w:t>
            </w:r>
          </w:p>
        </w:tc>
        <w:tc>
          <w:tcPr>
            <w:tcW w:w="740" w:type="dxa"/>
            <w:vAlign w:val="bottom"/>
            <w:tcBorders>
              <w:bottom w:val="single" w:sz="8" w:color="auto"/>
            </w:tcBorders>
            <w:shd w:val="clear" w:color="auto" w:fill="B6B6B6"/>
          </w:tcPr>
          <w:p>
            <w:pPr>
              <w:spacing w:after="0"/>
              <w:rPr>
                <w:sz w:val="21"/>
                <w:szCs w:val="21"/>
                <w:color w:val="auto"/>
              </w:rPr>
            </w:pPr>
          </w:p>
        </w:tc>
        <w:tc>
          <w:tcPr>
            <w:tcW w:w="660" w:type="dxa"/>
            <w:vAlign w:val="bottom"/>
            <w:tcBorders>
              <w:bottom w:val="single" w:sz="8" w:color="auto"/>
            </w:tcBorders>
            <w:gridSpan w:val="2"/>
            <w:shd w:val="clear" w:color="auto" w:fill="B6B6B6"/>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Borders>
              <w:bottom w:val="single" w:sz="8" w:color="auto"/>
            </w:tcBorders>
            <w:shd w:val="clear" w:color="auto" w:fill="B6B6B6"/>
          </w:tcPr>
          <w:p>
            <w:pPr>
              <w:spacing w:after="0"/>
              <w:rPr>
                <w:sz w:val="21"/>
                <w:szCs w:val="21"/>
                <w:color w:val="auto"/>
              </w:rPr>
            </w:pPr>
          </w:p>
        </w:tc>
        <w:tc>
          <w:tcPr>
            <w:tcW w:w="1240" w:type="dxa"/>
            <w:vAlign w:val="bottom"/>
            <w:tcBorders>
              <w:bottom w:val="single" w:sz="8" w:color="auto"/>
            </w:tcBorders>
            <w:gridSpan w:val="2"/>
            <w:shd w:val="clear" w:color="auto" w:fill="B6B6B6"/>
          </w:tcPr>
          <w:p>
            <w:pPr>
              <w:jc w:val="right"/>
              <w:ind w:right="50"/>
              <w:spacing w:after="0"/>
              <w:rPr>
                <w:sz w:val="20"/>
                <w:szCs w:val="20"/>
                <w:color w:val="auto"/>
              </w:rPr>
            </w:pPr>
            <w:r>
              <w:rPr>
                <w:rFonts w:ascii="Arial" w:cs="Arial" w:eastAsia="Arial" w:hAnsi="Arial"/>
                <w:sz w:val="18"/>
                <w:szCs w:val="18"/>
                <w:color w:val="auto"/>
              </w:rPr>
              <w:t>40,788</w:t>
            </w:r>
          </w:p>
        </w:tc>
        <w:tc>
          <w:tcPr>
            <w:tcW w:w="1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78,195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529,657</w:t>
            </w:r>
          </w:p>
        </w:tc>
        <w:tc>
          <w:tcPr>
            <w:tcW w:w="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79,282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607,852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140" w:type="dxa"/>
            <w:vAlign w:val="bottom"/>
          </w:tcPr>
          <w:p>
            <w:pPr>
              <w:jc w:val="right"/>
              <w:ind w:right="190"/>
              <w:spacing w:after="0" w:line="184" w:lineRule="exact"/>
              <w:rPr>
                <w:sz w:val="20"/>
                <w:szCs w:val="20"/>
                <w:color w:val="auto"/>
              </w:rPr>
            </w:pPr>
            <w:r>
              <w:rPr>
                <w:rFonts w:ascii="Arial" w:cs="Arial" w:eastAsia="Arial" w:hAnsi="Arial"/>
                <w:sz w:val="18"/>
                <w:szCs w:val="18"/>
                <w:b w:val="1"/>
                <w:bCs w:val="1"/>
                <w:color w:val="auto"/>
                <w:w w:val="97"/>
              </w:rPr>
              <w:t>Estimated</w:t>
            </w:r>
          </w:p>
        </w:tc>
        <w:tc>
          <w:tcPr>
            <w:tcW w:w="240" w:type="dxa"/>
            <w:vAlign w:val="bottom"/>
          </w:tcPr>
          <w:p>
            <w:pPr>
              <w:spacing w:after="0"/>
              <w:rPr>
                <w:sz w:val="16"/>
                <w:szCs w:val="16"/>
                <w:color w:val="auto"/>
              </w:rPr>
            </w:pPr>
          </w:p>
        </w:tc>
        <w:tc>
          <w:tcPr>
            <w:tcW w:w="1140" w:type="dxa"/>
            <w:vAlign w:val="bottom"/>
          </w:tcPr>
          <w:p>
            <w:pPr>
              <w:jc w:val="right"/>
              <w:ind w:right="170"/>
              <w:spacing w:after="0" w:line="184" w:lineRule="exact"/>
              <w:rPr>
                <w:sz w:val="20"/>
                <w:szCs w:val="20"/>
                <w:color w:val="auto"/>
              </w:rPr>
            </w:pPr>
            <w:r>
              <w:rPr>
                <w:rFonts w:ascii="Arial" w:cs="Arial" w:eastAsia="Arial" w:hAnsi="Arial"/>
                <w:sz w:val="18"/>
                <w:szCs w:val="18"/>
                <w:b w:val="1"/>
                <w:bCs w:val="1"/>
                <w:color w:val="auto"/>
                <w:w w:val="94"/>
              </w:rPr>
              <w:t>Unrealized</w:t>
            </w:r>
          </w:p>
        </w:tc>
        <w:tc>
          <w:tcPr>
            <w:tcW w:w="240" w:type="dxa"/>
            <w:vAlign w:val="bottom"/>
          </w:tcPr>
          <w:p>
            <w:pPr>
              <w:spacing w:after="0"/>
              <w:rPr>
                <w:sz w:val="16"/>
                <w:szCs w:val="16"/>
                <w:color w:val="auto"/>
              </w:rPr>
            </w:pPr>
          </w:p>
        </w:tc>
        <w:tc>
          <w:tcPr>
            <w:tcW w:w="1140" w:type="dxa"/>
            <w:vAlign w:val="bottom"/>
          </w:tcPr>
          <w:p>
            <w:pPr>
              <w:jc w:val="right"/>
              <w:ind w:right="190"/>
              <w:spacing w:after="0" w:line="184" w:lineRule="exact"/>
              <w:rPr>
                <w:sz w:val="20"/>
                <w:szCs w:val="20"/>
                <w:color w:val="auto"/>
              </w:rPr>
            </w:pPr>
            <w:r>
              <w:rPr>
                <w:rFonts w:ascii="Arial" w:cs="Arial" w:eastAsia="Arial" w:hAnsi="Arial"/>
                <w:sz w:val="18"/>
                <w:szCs w:val="18"/>
                <w:b w:val="1"/>
                <w:bCs w:val="1"/>
                <w:color w:val="auto"/>
                <w:w w:val="97"/>
              </w:rPr>
              <w:t>Estimated</w:t>
            </w:r>
          </w:p>
        </w:tc>
        <w:tc>
          <w:tcPr>
            <w:tcW w:w="240" w:type="dxa"/>
            <w:vAlign w:val="bottom"/>
          </w:tcPr>
          <w:p>
            <w:pPr>
              <w:spacing w:after="0"/>
              <w:rPr>
                <w:sz w:val="16"/>
                <w:szCs w:val="16"/>
                <w:color w:val="auto"/>
              </w:rPr>
            </w:pPr>
          </w:p>
        </w:tc>
        <w:tc>
          <w:tcPr>
            <w:tcW w:w="1160" w:type="dxa"/>
            <w:vAlign w:val="bottom"/>
          </w:tcPr>
          <w:p>
            <w:pPr>
              <w:jc w:val="right"/>
              <w:ind w:right="170"/>
              <w:spacing w:after="0" w:line="184" w:lineRule="exact"/>
              <w:rPr>
                <w:sz w:val="20"/>
                <w:szCs w:val="20"/>
                <w:color w:val="auto"/>
              </w:rPr>
            </w:pPr>
            <w:r>
              <w:rPr>
                <w:rFonts w:ascii="Arial" w:cs="Arial" w:eastAsia="Arial" w:hAnsi="Arial"/>
                <w:sz w:val="18"/>
                <w:szCs w:val="18"/>
                <w:b w:val="1"/>
                <w:bCs w:val="1"/>
                <w:color w:val="auto"/>
                <w:w w:val="96"/>
              </w:rPr>
              <w:t>Unrealized</w:t>
            </w:r>
          </w:p>
        </w:tc>
        <w:tc>
          <w:tcPr>
            <w:tcW w:w="240" w:type="dxa"/>
            <w:vAlign w:val="bottom"/>
          </w:tcPr>
          <w:p>
            <w:pPr>
              <w:spacing w:after="0"/>
              <w:rPr>
                <w:sz w:val="16"/>
                <w:szCs w:val="16"/>
                <w:color w:val="auto"/>
              </w:rPr>
            </w:pPr>
          </w:p>
        </w:tc>
        <w:tc>
          <w:tcPr>
            <w:tcW w:w="1120" w:type="dxa"/>
            <w:vAlign w:val="bottom"/>
          </w:tcPr>
          <w:p>
            <w:pPr>
              <w:jc w:val="right"/>
              <w:ind w:right="170"/>
              <w:spacing w:after="0" w:line="184" w:lineRule="exact"/>
              <w:rPr>
                <w:sz w:val="20"/>
                <w:szCs w:val="20"/>
                <w:color w:val="auto"/>
              </w:rPr>
            </w:pPr>
            <w:r>
              <w:rPr>
                <w:rFonts w:ascii="Arial" w:cs="Arial" w:eastAsia="Arial" w:hAnsi="Arial"/>
                <w:sz w:val="18"/>
                <w:szCs w:val="18"/>
                <w:b w:val="1"/>
                <w:bCs w:val="1"/>
                <w:color w:val="auto"/>
                <w:w w:val="97"/>
              </w:rPr>
              <w:t>Estimated</w:t>
            </w:r>
          </w:p>
        </w:tc>
        <w:tc>
          <w:tcPr>
            <w:tcW w:w="280" w:type="dxa"/>
            <w:vAlign w:val="bottom"/>
          </w:tcPr>
          <w:p>
            <w:pPr>
              <w:spacing w:after="0"/>
              <w:rPr>
                <w:sz w:val="16"/>
                <w:szCs w:val="16"/>
                <w:color w:val="auto"/>
              </w:rPr>
            </w:pPr>
          </w:p>
        </w:tc>
        <w:tc>
          <w:tcPr>
            <w:tcW w:w="1100" w:type="dxa"/>
            <w:vAlign w:val="bottom"/>
          </w:tcPr>
          <w:p>
            <w:pPr>
              <w:jc w:val="right"/>
              <w:ind w:right="130"/>
              <w:spacing w:after="0" w:line="184" w:lineRule="exact"/>
              <w:rPr>
                <w:sz w:val="20"/>
                <w:szCs w:val="20"/>
                <w:color w:val="auto"/>
              </w:rPr>
            </w:pPr>
            <w:r>
              <w:rPr>
                <w:rFonts w:ascii="Arial" w:cs="Arial" w:eastAsia="Arial" w:hAnsi="Arial"/>
                <w:sz w:val="18"/>
                <w:szCs w:val="18"/>
                <w:b w:val="1"/>
                <w:bCs w:val="1"/>
                <w:color w:val="auto"/>
                <w:w w:val="94"/>
              </w:rPr>
              <w:t>Unrealized</w:t>
            </w: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214,919</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8,958</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47,474</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13,346</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262,393</w:t>
            </w:r>
          </w:p>
        </w:tc>
        <w:tc>
          <w:tcPr>
            <w:tcW w:w="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22,304</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Mortgage-backed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Arial" w:cs="Arial" w:eastAsia="Arial" w:hAnsi="Arial"/>
                <w:sz w:val="18"/>
                <w:szCs w:val="18"/>
                <w:color w:val="auto"/>
                <w:w w:val="90"/>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or sponsored enterprises</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53,732</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6,135</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118,017</w:t>
            </w:r>
          </w:p>
        </w:tc>
        <w:tc>
          <w:tcPr>
            <w:tcW w:w="2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25,101</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171,749</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32,517</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3,629</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47,580</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7,622</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80,097</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155,283</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3,652</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155,283</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35"/>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w:t>
            </w:r>
          </w:p>
        </w:tc>
        <w:tc>
          <w:tcPr>
            <w:tcW w:w="16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2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2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240" w:type="dxa"/>
            <w:vAlign w:val="bottom"/>
            <w:shd w:val="clear" w:color="auto" w:fill="B6B6B6"/>
          </w:tcPr>
          <w:p>
            <w:pPr>
              <w:spacing w:after="0"/>
              <w:rPr>
                <w:sz w:val="20"/>
                <w:szCs w:val="20"/>
                <w:color w:val="auto"/>
              </w:rPr>
            </w:pPr>
          </w:p>
        </w:tc>
        <w:tc>
          <w:tcPr>
            <w:tcW w:w="1160" w:type="dxa"/>
            <w:vAlign w:val="bottom"/>
            <w:shd w:val="clear" w:color="auto" w:fill="B6B6B6"/>
          </w:tcPr>
          <w:p>
            <w:pPr>
              <w:spacing w:after="0"/>
              <w:rPr>
                <w:sz w:val="20"/>
                <w:szCs w:val="20"/>
                <w:color w:val="auto"/>
              </w:rPr>
            </w:pPr>
          </w:p>
        </w:tc>
        <w:tc>
          <w:tcPr>
            <w:tcW w:w="240" w:type="dxa"/>
            <w:vAlign w:val="bottom"/>
            <w:shd w:val="clear" w:color="auto" w:fill="B6B6B6"/>
          </w:tcPr>
          <w:p>
            <w:pPr>
              <w:spacing w:after="0"/>
              <w:rPr>
                <w:sz w:val="20"/>
                <w:szCs w:val="20"/>
                <w:color w:val="auto"/>
              </w:rPr>
            </w:pPr>
          </w:p>
        </w:tc>
        <w:tc>
          <w:tcPr>
            <w:tcW w:w="1120" w:type="dxa"/>
            <w:vAlign w:val="bottom"/>
            <w:shd w:val="clear" w:color="auto" w:fill="B6B6B6"/>
          </w:tcPr>
          <w:p>
            <w:pPr>
              <w:spacing w:after="0"/>
              <w:rPr>
                <w:sz w:val="20"/>
                <w:szCs w:val="20"/>
                <w:color w:val="auto"/>
              </w:rPr>
            </w:pPr>
          </w:p>
        </w:tc>
        <w:tc>
          <w:tcPr>
            <w:tcW w:w="280" w:type="dxa"/>
            <w:vAlign w:val="bottom"/>
            <w:shd w:val="clear" w:color="auto" w:fill="B6B6B6"/>
          </w:tcPr>
          <w:p>
            <w:pPr>
              <w:spacing w:after="0"/>
              <w:rPr>
                <w:sz w:val="20"/>
                <w:szCs w:val="20"/>
                <w:color w:val="auto"/>
              </w:rPr>
            </w:pPr>
          </w:p>
        </w:tc>
        <w:tc>
          <w:tcPr>
            <w:tcW w:w="110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Arial" w:cs="Arial" w:eastAsia="Arial" w:hAnsi="Arial"/>
                <w:sz w:val="18"/>
                <w:szCs w:val="18"/>
                <w:color w:val="auto"/>
                <w:w w:val="90"/>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or sponsored enterprises</w:t>
            </w:r>
          </w:p>
        </w:tc>
        <w:tc>
          <w:tcPr>
            <w:tcW w:w="1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47,213</w:t>
            </w:r>
          </w:p>
        </w:tc>
        <w:tc>
          <w:tcPr>
            <w:tcW w:w="24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2,190</w:t>
            </w:r>
          </w:p>
        </w:tc>
        <w:tc>
          <w:tcPr>
            <w:tcW w:w="24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47,213</w:t>
            </w:r>
          </w:p>
        </w:tc>
        <w:tc>
          <w:tcPr>
            <w:tcW w:w="28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456,451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22,374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260,284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were 276 securities, or 98.2% (213 of which for greater than 12 months), in an unrealized loss position as of September 30, 2023. The unrealized losses at September 30, 2023 were primarily attributable to changes in market interest rates after the 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There were 311 securities, or 91.7% (101 of which for greater than 12 months), in an unrealized loss position as of December 31, 2022. At September 30, 2023 and December 31, 2022, the Company had not recorded an allowance for credit losses on securities.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 30, 2023</w:t>
            </w: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124,354</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122,207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141,867</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138,528</w:t>
            </w:r>
          </w:p>
        </w:tc>
      </w:tr>
      <w:tr>
        <w:trPr>
          <w:trHeight w:val="263"/>
        </w:trPr>
        <w:tc>
          <w:tcPr>
            <w:tcW w:w="8180" w:type="dxa"/>
            <w:vAlign w:val="bottom"/>
            <w:shd w:val="clear" w:color="auto" w:fill="B6B6B6"/>
          </w:tcPr>
          <w:p>
            <w:pPr>
              <w:ind w:left="20"/>
              <w:spacing w:after="0"/>
              <w:rPr>
                <w:sz w:val="20"/>
                <w:szCs w:val="20"/>
                <w:color w:val="auto"/>
              </w:rPr>
            </w:pPr>
            <w:r>
              <w:rPr>
                <w:rFonts w:ascii="Arial" w:cs="Arial" w:eastAsia="Arial" w:hAnsi="Arial"/>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201,815</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169,520</w:t>
            </w:r>
          </w:p>
        </w:tc>
      </w:tr>
      <w:tr>
        <w:trPr>
          <w:trHeight w:val="25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228,343</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185,600</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696,379</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615,855</w:t>
            </w: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Proceeds from sales of investment securities classified as available-for-sale were $0 and $111.1 million for the three and nine months ended September 30, 2023, respectively, and $2.3 million and $3.8 million for the three and nine months ended September 30, 2022, respectively. Gross realized losses were $0 and $347,000 for the three and nine months ended September 30, 2023, respectively, and there were no gross realized losses for both the three and nine months ended September 30, 2022. Gross realized gains were $0 and $187,000 for the three and nine months ended September 30, 2023, respectively, and were $13,000 and $15,000 for the three and nine months ended September 30, 2022, respectively. There were no securities pledged to secure public deposits or for other purposes at September 30, 2023.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Note 12 – Fair Value of Financial Instruments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80" w:type="dxa"/>
            <w:vAlign w:val="bottom"/>
            <w:gridSpan w:val="6"/>
          </w:tcPr>
          <w:p>
            <w:pPr>
              <w:spacing w:after="0"/>
              <w:rPr>
                <w:sz w:val="20"/>
                <w:szCs w:val="20"/>
                <w:color w:val="auto"/>
              </w:rPr>
            </w:pPr>
            <w:r>
              <w:rPr>
                <w:rFonts w:ascii="Arial" w:cs="Arial" w:eastAsia="Arial" w:hAnsi="Arial"/>
                <w:sz w:val="18"/>
                <w:szCs w:val="18"/>
                <w:color w:val="auto"/>
                <w:w w:val="99"/>
              </w:rPr>
              <w:t>Following is a summary of the carrying amounts and fair values of the Company’s financial instruments: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9"/>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sheet assets: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408,435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408,435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200,942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200,942</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615,855</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615,855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754,468</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754,468</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1,026,300</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986,503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1,069,367</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1,004,682</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8,185</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8,297</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2,058,775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2,018,978</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2,033,074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1,968,389</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1,177,342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1,177,342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1,257,217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1,257,217</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1,082,224</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1,082,224</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1,067,600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1,067,600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597</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2,260,163</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2,260,163</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2,324,883</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2,324,883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carrying amount approximates fair value.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 The fair value is measured on a recurring basis using Level 2 valuations. Refer to Note 11, “Investment in Securities,”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unrealized gains and losses by investment type.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credit losses result in a fair valuation.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 The carrying amount approximates fair value.</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Payable </w:t>
      </w:r>
      <w:r>
        <w:rPr>
          <w:rFonts w:ascii="Arial" w:cs="Arial" w:eastAsia="Arial" w:hAnsi="Arial"/>
          <w:sz w:val="18"/>
          <w:szCs w:val="18"/>
          <w:color w:val="auto"/>
        </w:rPr>
        <w:t>- The carrying amount approximates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as the obligation to the customer is satisfied. The following is detail of the Company’s revenue from contracts with clients.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Processing fees </w:t>
      </w:r>
      <w:r>
        <w:rPr>
          <w:rFonts w:ascii="Arial" w:cs="Arial" w:eastAsia="Arial" w:hAnsi="Arial"/>
          <w:sz w:val="18"/>
          <w:szCs w:val="18"/>
          <w:color w:val="auto"/>
        </w:rPr>
        <w:t>– The Company earns fees on a per-item or monthly basis for the invoice processing services rendered on behalf of customers. Per-item</w:t>
      </w:r>
      <w:r>
        <w:rPr>
          <w:rFonts w:ascii="Arial" w:cs="Arial" w:eastAsia="Arial" w:hAnsi="Arial"/>
          <w:sz w:val="18"/>
          <w:szCs w:val="18"/>
          <w:i w:val="1"/>
          <w:iCs w:val="1"/>
          <w:color w:val="auto"/>
        </w:rPr>
        <w:t xml:space="preserve"> </w:t>
      </w:r>
      <w:r>
        <w:rPr>
          <w:rFonts w:ascii="Arial" w:cs="Arial" w:eastAsia="Arial" w:hAnsi="Arial"/>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Financial fees </w:t>
      </w:r>
      <w:r>
        <w:rPr>
          <w:rFonts w:ascii="Arial" w:cs="Arial" w:eastAsia="Arial" w:hAnsi="Arial"/>
          <w:sz w:val="18"/>
          <w:szCs w:val="18"/>
          <w:color w:val="auto"/>
        </w:rPr>
        <w:t>– The Company earns fees on a transaction level basis for invoice payment services when making customer payments. Fees are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Bank service fees </w:t>
      </w:r>
      <w:r>
        <w:rPr>
          <w:rFonts w:ascii="Arial" w:cs="Arial" w:eastAsia="Arial" w:hAnsi="Arial"/>
          <w:sz w:val="16"/>
          <w:szCs w:val="16"/>
          <w:color w:val="auto"/>
        </w:rPr>
        <w:t>– Revenue from service fees consists of service charges and fees on deposit accounts under depository agreements with customers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For the Three Months Ended</w:t>
            </w:r>
          </w:p>
        </w:tc>
        <w:tc>
          <w:tcPr>
            <w:tcW w:w="200" w:type="dxa"/>
            <w:vAlign w:val="bottom"/>
          </w:tcPr>
          <w:p>
            <w:pPr>
              <w:spacing w:after="0"/>
              <w:rPr>
                <w:sz w:val="17"/>
                <w:szCs w:val="17"/>
                <w:color w:val="auto"/>
              </w:rPr>
            </w:pPr>
          </w:p>
        </w:tc>
        <w:tc>
          <w:tcPr>
            <w:tcW w:w="25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34"/>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5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57"/>
        </w:trPr>
        <w:tc>
          <w:tcPr>
            <w:tcW w:w="5700" w:type="dxa"/>
            <w:vAlign w:val="bottom"/>
            <w:shd w:val="clear" w:color="auto" w:fill="B6B6B6"/>
          </w:tcPr>
          <w:p>
            <w:pPr>
              <w:ind w:left="20"/>
              <w:spacing w:after="0"/>
              <w:rPr>
                <w:sz w:val="20"/>
                <w:szCs w:val="20"/>
                <w:color w:val="auto"/>
              </w:rPr>
            </w:pPr>
            <w:r>
              <w:rPr>
                <w:rFonts w:ascii="Arial" w:cs="Arial" w:eastAsia="Arial" w:hAnsi="Arial"/>
                <w:sz w:val="18"/>
                <w:szCs w:val="18"/>
                <w:color w:val="auto"/>
              </w:rPr>
              <w:t>Fee revenue and other income</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i w:val="1"/>
                <w:iCs w:val="1"/>
                <w:color w:val="auto"/>
              </w:rPr>
              <w:t>In-scope of FASB ASC 606</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5700" w:type="dxa"/>
            <w:vAlign w:val="bottom"/>
            <w:shd w:val="clear" w:color="auto" w:fill="B6B6B6"/>
          </w:tcPr>
          <w:p>
            <w:pPr>
              <w:ind w:left="380"/>
              <w:spacing w:after="0"/>
              <w:rPr>
                <w:sz w:val="20"/>
                <w:szCs w:val="20"/>
                <w:color w:val="auto"/>
              </w:rPr>
            </w:pPr>
            <w:r>
              <w:rPr>
                <w:rFonts w:ascii="Arial" w:cs="Arial" w:eastAsia="Arial" w:hAnsi="Arial"/>
                <w:sz w:val="18"/>
                <w:szCs w:val="18"/>
                <w:color w:val="auto"/>
              </w:rPr>
              <w:t>Processing fees</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19,939</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shd w:val="clear" w:color="auto" w:fill="B6B6B6"/>
          </w:tcPr>
          <w:p>
            <w:pPr>
              <w:spacing w:after="0"/>
              <w:rPr>
                <w:sz w:val="22"/>
                <w:szCs w:val="22"/>
                <w:color w:val="auto"/>
              </w:rPr>
            </w:pPr>
          </w:p>
        </w:tc>
        <w:tc>
          <w:tcPr>
            <w:tcW w:w="2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58,838</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57,184</w:t>
            </w:r>
          </w:p>
        </w:tc>
      </w:tr>
      <w:tr>
        <w:trPr>
          <w:trHeight w:val="250"/>
        </w:trPr>
        <w:tc>
          <w:tcPr>
            <w:tcW w:w="5700" w:type="dxa"/>
            <w:vAlign w:val="bottom"/>
            <w:tcBorders>
              <w:bottom w:val="single" w:sz="8" w:color="B6B6B6"/>
            </w:tcBorders>
          </w:tcPr>
          <w:p>
            <w:pPr>
              <w:ind w:left="380"/>
              <w:spacing w:after="0"/>
              <w:rPr>
                <w:sz w:val="20"/>
                <w:szCs w:val="20"/>
                <w:color w:val="auto"/>
              </w:rPr>
            </w:pPr>
            <w:r>
              <w:rPr>
                <w:rFonts w:ascii="Arial" w:cs="Arial" w:eastAsia="Arial" w:hAnsi="Arial"/>
                <w:sz w:val="18"/>
                <w:szCs w:val="18"/>
                <w:color w:val="auto"/>
              </w:rPr>
              <w:t>Financial fees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B6B6B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34,518</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32,406</w:t>
            </w:r>
          </w:p>
        </w:tc>
      </w:tr>
      <w:tr>
        <w:trPr>
          <w:trHeight w:val="257"/>
        </w:trPr>
        <w:tc>
          <w:tcPr>
            <w:tcW w:w="5700" w:type="dxa"/>
            <w:vAlign w:val="bottom"/>
            <w:shd w:val="clear" w:color="auto" w:fill="B6B6B6"/>
          </w:tcPr>
          <w:p>
            <w:pPr>
              <w:ind w:left="600"/>
              <w:spacing w:after="0"/>
              <w:rPr>
                <w:sz w:val="20"/>
                <w:szCs w:val="20"/>
                <w:color w:val="auto"/>
              </w:rPr>
            </w:pPr>
            <w:r>
              <w:rPr>
                <w:rFonts w:ascii="Arial" w:cs="Arial" w:eastAsia="Arial" w:hAnsi="Arial"/>
                <w:sz w:val="18"/>
                <w:szCs w:val="18"/>
                <w:color w:val="auto"/>
              </w:rPr>
              <w:t>Information services payment and processing revenue</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31,536</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30,216</w:t>
            </w:r>
          </w:p>
        </w:tc>
        <w:tc>
          <w:tcPr>
            <w:tcW w:w="10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93,356</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89,590</w:t>
            </w:r>
          </w:p>
        </w:tc>
      </w:tr>
      <w:tr>
        <w:trPr>
          <w:trHeight w:val="250"/>
        </w:trPr>
        <w:tc>
          <w:tcPr>
            <w:tcW w:w="5700" w:type="dxa"/>
            <w:vAlign w:val="bottom"/>
            <w:tcBorders>
              <w:bottom w:val="single" w:sz="8" w:color="B6B6B6"/>
            </w:tcBorders>
          </w:tcPr>
          <w:p>
            <w:pPr>
              <w:ind w:left="380"/>
              <w:spacing w:after="0"/>
              <w:rPr>
                <w:sz w:val="20"/>
                <w:szCs w:val="20"/>
                <w:color w:val="auto"/>
              </w:rPr>
            </w:pPr>
            <w:r>
              <w:rPr>
                <w:rFonts w:ascii="Arial" w:cs="Arial" w:eastAsia="Arial" w:hAnsi="Arial"/>
                <w:sz w:val="18"/>
                <w:szCs w:val="18"/>
                <w:color w:val="auto"/>
              </w:rPr>
              <w:t>Bank service fees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B6B6B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r>
      <w:tr>
        <w:trPr>
          <w:trHeight w:val="257"/>
        </w:trPr>
        <w:tc>
          <w:tcPr>
            <w:tcW w:w="570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Fee revenue (in-scope of FASB ASC 606)</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31,783</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30,505</w:t>
            </w:r>
          </w:p>
        </w:tc>
        <w:tc>
          <w:tcPr>
            <w:tcW w:w="10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94,120</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90,732</w:t>
            </w:r>
          </w:p>
        </w:tc>
      </w:tr>
      <w:tr>
        <w:trPr>
          <w:trHeight w:val="250"/>
        </w:trPr>
        <w:tc>
          <w:tcPr>
            <w:tcW w:w="5700" w:type="dxa"/>
            <w:vAlign w:val="bottom"/>
            <w:tcBorders>
              <w:bottom w:val="single" w:sz="8" w:color="B6B6B6"/>
            </w:tcBorders>
          </w:tcPr>
          <w:p>
            <w:pPr>
              <w:ind w:left="200"/>
              <w:spacing w:after="0"/>
              <w:rPr>
                <w:sz w:val="20"/>
                <w:szCs w:val="20"/>
                <w:color w:val="auto"/>
              </w:rPr>
            </w:pPr>
            <w:r>
              <w:rPr>
                <w:rFonts w:ascii="Arial" w:cs="Arial" w:eastAsia="Arial" w:hAnsi="Arial"/>
                <w:sz w:val="18"/>
                <w:szCs w:val="18"/>
                <w:color w:val="auto"/>
              </w:rPr>
              <w:t>Other income (out-of-scope of FASB ASC 606)</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B6B6B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r>
      <w:tr>
        <w:trPr>
          <w:trHeight w:val="250"/>
        </w:trPr>
        <w:tc>
          <w:tcPr>
            <w:tcW w:w="5700" w:type="dxa"/>
            <w:vAlign w:val="bottom"/>
            <w:tcBorders>
              <w:bottom w:val="single" w:sz="8" w:color="auto"/>
            </w:tcBorders>
            <w:shd w:val="clear" w:color="auto" w:fill="B6B6B6"/>
          </w:tcPr>
          <w:p>
            <w:pPr>
              <w:ind w:left="560"/>
              <w:spacing w:after="0"/>
              <w:rPr>
                <w:sz w:val="20"/>
                <w:szCs w:val="20"/>
                <w:color w:val="auto"/>
              </w:rPr>
            </w:pPr>
            <w:r>
              <w:rPr>
                <w:rFonts w:ascii="Arial" w:cs="Arial" w:eastAsia="Arial" w:hAnsi="Arial"/>
                <w:sz w:val="18"/>
                <w:szCs w:val="18"/>
                <w:color w:val="auto"/>
              </w:rPr>
              <w:t>Total fee revenue and other income</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32,800</w:t>
            </w:r>
          </w:p>
        </w:tc>
        <w:tc>
          <w:tcPr>
            <w:tcW w:w="100" w:type="dxa"/>
            <w:vAlign w:val="bottom"/>
            <w:tcBorders>
              <w:bottom w:val="single" w:sz="8" w:color="auto"/>
            </w:tcBorders>
            <w:shd w:val="clear" w:color="auto" w:fill="B6B6B6"/>
          </w:tcPr>
          <w:p>
            <w:pPr>
              <w:spacing w:after="0"/>
              <w:rPr>
                <w:sz w:val="21"/>
                <w:szCs w:val="21"/>
                <w:color w:val="auto"/>
              </w:rPr>
            </w:pP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31,784</w:t>
            </w:r>
          </w:p>
        </w:tc>
        <w:tc>
          <w:tcPr>
            <w:tcW w:w="100" w:type="dxa"/>
            <w:vAlign w:val="bottom"/>
            <w:tcBorders>
              <w:bottom w:val="single" w:sz="8" w:color="auto"/>
            </w:tcBorders>
            <w:shd w:val="clear" w:color="auto" w:fill="B6B6B6"/>
          </w:tcPr>
          <w:p>
            <w:pPr>
              <w:spacing w:after="0"/>
              <w:rPr>
                <w:sz w:val="21"/>
                <w:szCs w:val="21"/>
                <w:color w:val="auto"/>
              </w:rPr>
            </w:pPr>
          </w:p>
        </w:tc>
        <w:tc>
          <w:tcPr>
            <w:tcW w:w="20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96,980</w:t>
            </w:r>
          </w:p>
        </w:tc>
        <w:tc>
          <w:tcPr>
            <w:tcW w:w="100" w:type="dxa"/>
            <w:vAlign w:val="bottom"/>
            <w:tcBorders>
              <w:bottom w:val="single" w:sz="8" w:color="auto"/>
            </w:tcBorders>
            <w:shd w:val="clear" w:color="auto" w:fill="B6B6B6"/>
          </w:tcPr>
          <w:p>
            <w:pPr>
              <w:spacing w:after="0"/>
              <w:rPr>
                <w:sz w:val="21"/>
                <w:szCs w:val="21"/>
                <w:color w:val="auto"/>
              </w:rPr>
            </w:pP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92,865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14 – Leases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leases certain premises under operating leases. As of September 30, 2023, the Company had lease liabilities of $8.7 million and right-of-use assets of $8.4 million. Lease liabilities and right-of-use assets are reflected in other liabilities and other assets, respectively. Presented within occupancy expense on the Consolidated Statements of Income for the three and nine months ended September 30, 2023, operating lease cost was $345,000 and $1.0 million, respectively, short-term lease cost was $74,000 and $200,000, respectively, and there was no variable lease cost. At September 30, 2023, the weighted-average remaining lease term for the operating leases was 7.5 years and the weighted-average discount rate used in the measurement of operating lease liabilities was 3.57%. Certain of the Company’s leases contain options to renew the lease; however, these renewal options are not included in the calculation of the lease liabilities as they are not reasonably certain to be exercised. See the Company’s 2022 Form 10-K for information regarding these commitments.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20"/>
                <w:szCs w:val="20"/>
                <w:color w:val="auto"/>
              </w:rPr>
            </w:pPr>
            <w:r>
              <w:rPr>
                <w:rFonts w:ascii="Arial" w:cs="Arial" w:eastAsia="Arial" w:hAnsi="Arial"/>
                <w:sz w:val="18"/>
                <w:szCs w:val="18"/>
                <w:color w:val="auto"/>
                <w:w w:val="95"/>
              </w:rPr>
              <w:t>A maturity analysis of operating lease liabilities and undiscounted cash flows as of September 30, 2023 is as follows:</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58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39"/>
        </w:trPr>
        <w:tc>
          <w:tcPr>
            <w:tcW w:w="884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54"/>
        </w:trPr>
        <w:tc>
          <w:tcPr>
            <w:tcW w:w="8840" w:type="dxa"/>
            <w:vAlign w:val="bottom"/>
            <w:shd w:val="clear" w:color="auto" w:fill="B6B6B6"/>
          </w:tcPr>
          <w:p>
            <w:pPr>
              <w:ind w:left="20"/>
              <w:spacing w:after="0"/>
              <w:rPr>
                <w:sz w:val="20"/>
                <w:szCs w:val="20"/>
                <w:color w:val="auto"/>
              </w:rPr>
            </w:pPr>
            <w:r>
              <w:rPr>
                <w:rFonts w:ascii="Arial" w:cs="Arial" w:eastAsia="Arial" w:hAnsi="Arial"/>
                <w:sz w:val="18"/>
                <w:szCs w:val="18"/>
                <w:color w:val="auto"/>
              </w:rPr>
              <w:t>Lease payments due</w:t>
            </w:r>
          </w:p>
        </w:tc>
        <w:tc>
          <w:tcPr>
            <w:tcW w:w="580" w:type="dxa"/>
            <w:vAlign w:val="bottom"/>
            <w:shd w:val="clear" w:color="auto" w:fill="B6B6B6"/>
          </w:tcPr>
          <w:p>
            <w:pPr>
              <w:spacing w:after="0"/>
              <w:rPr>
                <w:sz w:val="22"/>
                <w:szCs w:val="22"/>
                <w:color w:val="auto"/>
              </w:rPr>
            </w:pPr>
          </w:p>
        </w:tc>
        <w:tc>
          <w:tcPr>
            <w:tcW w:w="15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Arial" w:cs="Arial" w:eastAsia="Arial" w:hAnsi="Arial"/>
                <w:sz w:val="18"/>
                <w:szCs w:val="18"/>
                <w:color w:val="auto"/>
              </w:rPr>
              <w:t>Less than 1 year</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63"/>
        </w:trPr>
        <w:tc>
          <w:tcPr>
            <w:tcW w:w="8840" w:type="dxa"/>
            <w:vAlign w:val="bottom"/>
            <w:shd w:val="clear" w:color="auto" w:fill="B6B6B6"/>
          </w:tcPr>
          <w:p>
            <w:pPr>
              <w:ind w:left="180"/>
              <w:spacing w:after="0"/>
              <w:rPr>
                <w:sz w:val="20"/>
                <w:szCs w:val="20"/>
                <w:color w:val="auto"/>
              </w:rPr>
            </w:pPr>
            <w:r>
              <w:rPr>
                <w:rFonts w:ascii="Arial" w:cs="Arial" w:eastAsia="Arial" w:hAnsi="Arial"/>
                <w:sz w:val="18"/>
                <w:szCs w:val="18"/>
                <w:color w:val="auto"/>
              </w:rPr>
              <w:t>1-2 years</w:t>
            </w:r>
          </w:p>
        </w:tc>
        <w:tc>
          <w:tcPr>
            <w:tcW w:w="58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Arial" w:cs="Arial" w:eastAsia="Arial" w:hAnsi="Arial"/>
                <w:sz w:val="18"/>
                <w:szCs w:val="18"/>
                <w:color w:val="auto"/>
              </w:rPr>
              <w:t>2-3 years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63"/>
        </w:trPr>
        <w:tc>
          <w:tcPr>
            <w:tcW w:w="8840" w:type="dxa"/>
            <w:vAlign w:val="bottom"/>
            <w:shd w:val="clear" w:color="auto" w:fill="B6B6B6"/>
          </w:tcPr>
          <w:p>
            <w:pPr>
              <w:ind w:left="180"/>
              <w:spacing w:after="0"/>
              <w:rPr>
                <w:sz w:val="20"/>
                <w:szCs w:val="20"/>
                <w:color w:val="auto"/>
              </w:rPr>
            </w:pPr>
            <w:r>
              <w:rPr>
                <w:rFonts w:ascii="Arial" w:cs="Arial" w:eastAsia="Arial" w:hAnsi="Arial"/>
                <w:sz w:val="18"/>
                <w:szCs w:val="18"/>
                <w:color w:val="auto"/>
              </w:rPr>
              <w:t>3-4 years</w:t>
            </w:r>
          </w:p>
        </w:tc>
        <w:tc>
          <w:tcPr>
            <w:tcW w:w="58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Arial" w:cs="Arial" w:eastAsia="Arial" w:hAnsi="Arial"/>
                <w:sz w:val="18"/>
                <w:szCs w:val="18"/>
                <w:color w:val="auto"/>
              </w:rPr>
              <w:t>4-5 years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57"/>
        </w:trPr>
        <w:tc>
          <w:tcPr>
            <w:tcW w:w="884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Over 5 years</w:t>
            </w:r>
          </w:p>
        </w:tc>
        <w:tc>
          <w:tcPr>
            <w:tcW w:w="58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50"/>
        </w:trPr>
        <w:tc>
          <w:tcPr>
            <w:tcW w:w="884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57"/>
        </w:trPr>
        <w:tc>
          <w:tcPr>
            <w:tcW w:w="88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Discount on cash flows</w:t>
            </w:r>
          </w:p>
        </w:tc>
        <w:tc>
          <w:tcPr>
            <w:tcW w:w="58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50"/>
        </w:trPr>
        <w:tc>
          <w:tcPr>
            <w:tcW w:w="8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lease liability</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nine months ended September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 15 – Subsequent Events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September 30, 2023. There were no events identified that would require additional disclosures to prevent the Company’s unaudited consolidated financial statements from being misleading.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spacing w:after="0" w:line="271" w:lineRule="auto"/>
        <w:rPr>
          <w:sz w:val="20"/>
          <w:szCs w:val="20"/>
          <w:color w:val="auto"/>
        </w:rPr>
      </w:pPr>
      <w:r>
        <w:rPr>
          <w:rFonts w:ascii="Arial" w:cs="Arial" w:eastAsia="Arial" w:hAnsi="Arial"/>
          <w:sz w:val="17"/>
          <w:szCs w:val="17"/>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the general level of transportation costs, deregulation of energy costs, and consolidation of telecommunication providers; and economic factors that include the general level of economic activity, the ability to hire and retain qualified staff, and the growth and quality of the Bank’s loan portfolio. For a more detailed discussion of the Company’s revenue drivers and factors that impact the Company’s results of operation and financial condition generally, see Item 7, “Management’s Discussion and Analysis of Financial Condition and Results of Operations” in the Company’s 2022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Industry Developments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half of 2023, the banking industry experienced significant volatility with high-profile bank failures and industry wide concerns related to liquidity, deposit outflows, overall level of deposit cost, unrealized securities losses and eroding consumer confidence in the banking system. The Company's average deposits have declined $112.3 million, or 9.5%, from the third quarter of 2022 to the third quarter of 2023, primarily as a result of larger commercial depository clients moving their funds to higher interest rate alternatives outside of the Company.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nine months ended 2023, the transportation industry has seen a decline in overall freight rates caused by an ongoing freight recession. Primarily as a result, the Company's average accounts and drafts payable has declined $112.3 million, or 9.5%, from the third quarter of 2022 to the third quarter of 2023. Transportation dollar volumes are key to the Company’s revenue as higher volumes generally lead to an increase in payment float, which generates interest income, as well as an increase in payments in advance of funding, which generates financial fees.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Despite the decline in average deposits and average accounts and drafts payable, the Company’s liquidity position and balance sheet remains strong. The Company has experienced recent stabilization in its deposit balances as a result of an increase in deposit rates and increased depositor confidence across the banking industry. Average deposits increased $10.0 million from the second quarter of 2023 to the third quarter of 2023. Despite the decrease in average funding sources, the Company maintained average short-term investments of $310.8 million during the third quarter of 2023. In addition, all of the Company's investment securities are classified as available-for-sale and there were no outstanding borrowings at September 30, 2023.</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rising inflation, the Federal Reserve increased the Federal Funds rate over the course of 2022 and into the first nine months of 2023. The increase in the Federal Funds rate has contributed to the increase in the Company's net interest margin, therefore positively impacting net interest income. Inflation has also had the impact of increasing operating expenses, such as compensation expense.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Company performs periodic and systematic detailed reviews of its loan portfolio to determine management’s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 month period ended September 30, 2023 (“third quarter of 2023”) compared to the three month period ended September 30, 2022 (“third quarter of 2022”) and the nine month period ended September 30, 2023 compared to the nine month period ended September 30, 2022. The following discussion and analysis should be read in conjunction with the unaudited consolidated financial statements and related notes and with the statistical information and financial data appearing in this report, as well as in the Company’s 2022 Form 10-K. Results of operations for the three and nine months ended September 30, 2023 are not necessarily indicative of the results to be attained for any other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operating results: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4"/>
              </w:rPr>
              <w:t>Third Quarter of</w:t>
            </w:r>
          </w:p>
        </w:tc>
        <w:tc>
          <w:tcPr>
            <w:tcW w:w="10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Nine Months Ended</w:t>
            </w:r>
          </w:p>
        </w:tc>
        <w:tc>
          <w:tcPr>
            <w:tcW w:w="1000" w:type="dxa"/>
            <w:vAlign w:val="bottom"/>
            <w:tcBorders>
              <w:bottom w:val="single" w:sz="8" w:color="auto"/>
            </w:tcBorders>
          </w:tcPr>
          <w:p>
            <w:pPr>
              <w:spacing w:after="0"/>
              <w:rPr>
                <w:sz w:val="22"/>
                <w:szCs w:val="22"/>
                <w:color w:val="auto"/>
              </w:rPr>
            </w:pPr>
          </w:p>
        </w:tc>
      </w:tr>
      <w:tr>
        <w:trPr>
          <w:trHeight w:val="175"/>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jc w:val="right"/>
              <w:ind w:right="430"/>
              <w:spacing w:after="0" w:line="176"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jc w:val="right"/>
              <w:ind w:right="430"/>
              <w:spacing w:after="0" w:line="176" w:lineRule="exact"/>
              <w:rPr>
                <w:sz w:val="20"/>
                <w:szCs w:val="20"/>
                <w:color w:val="auto"/>
              </w:rPr>
            </w:pPr>
            <w:r>
              <w:rPr>
                <w:rFonts w:ascii="Arial" w:cs="Arial" w:eastAsia="Arial" w:hAnsi="Arial"/>
                <w:sz w:val="18"/>
                <w:szCs w:val="18"/>
                <w:b w:val="1"/>
                <w:bCs w:val="1"/>
                <w:color w:val="auto"/>
              </w:rPr>
              <w:t>%</w:t>
            </w:r>
          </w:p>
        </w:tc>
      </w:tr>
      <w:tr>
        <w:trPr>
          <w:trHeight w:val="24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50"/>
        </w:trPr>
        <w:tc>
          <w:tcPr>
            <w:tcW w:w="3540" w:type="dxa"/>
            <w:vAlign w:val="bottom"/>
            <w:shd w:val="clear" w:color="auto" w:fill="B6B6B6"/>
          </w:tcPr>
          <w:p>
            <w:pPr>
              <w:ind w:left="20"/>
              <w:spacing w:after="0"/>
              <w:rPr>
                <w:sz w:val="20"/>
                <w:szCs w:val="20"/>
                <w:color w:val="auto"/>
              </w:rPr>
            </w:pPr>
            <w:r>
              <w:rPr>
                <w:rFonts w:ascii="Arial" w:cs="Arial" w:eastAsia="Arial" w:hAnsi="Arial"/>
                <w:sz w:val="18"/>
                <w:szCs w:val="18"/>
                <w:color w:val="auto"/>
              </w:rPr>
              <w:t>Processing fees</w:t>
            </w:r>
          </w:p>
        </w:tc>
        <w:tc>
          <w:tcPr>
            <w:tcW w:w="2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19,939</w:t>
            </w:r>
          </w:p>
        </w:tc>
        <w:tc>
          <w:tcPr>
            <w:tcW w:w="34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18,964</w:t>
            </w: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B6B6B6"/>
          </w:tcPr>
          <w:p>
            <w:pPr>
              <w:spacing w:after="0"/>
              <w:rPr>
                <w:sz w:val="21"/>
                <w:szCs w:val="21"/>
                <w:color w:val="auto"/>
              </w:rPr>
            </w:pPr>
          </w:p>
        </w:tc>
        <w:tc>
          <w:tcPr>
            <w:tcW w:w="26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58,838</w:t>
            </w:r>
          </w:p>
        </w:tc>
        <w:tc>
          <w:tcPr>
            <w:tcW w:w="30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57,184</w:t>
            </w: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2.9 %</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Financial fees</w:t>
            </w: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11,597</w:t>
            </w:r>
          </w:p>
        </w:tc>
        <w:tc>
          <w:tcPr>
            <w:tcW w:w="3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11,252</w:t>
            </w:r>
          </w:p>
        </w:tc>
        <w:tc>
          <w:tcPr>
            <w:tcW w:w="1080" w:type="dxa"/>
            <w:vAlign w:val="bottom"/>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34,518</w:t>
            </w:r>
          </w:p>
        </w:tc>
        <w:tc>
          <w:tcPr>
            <w:tcW w:w="30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32,406</w:t>
            </w:r>
          </w:p>
        </w:tc>
        <w:tc>
          <w:tcPr>
            <w:tcW w:w="100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63"/>
        </w:trPr>
        <w:tc>
          <w:tcPr>
            <w:tcW w:w="354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16,548</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15,971</w:t>
            </w: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3.6 %</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49,460</w:t>
            </w:r>
          </w:p>
        </w:tc>
        <w:tc>
          <w:tcPr>
            <w:tcW w:w="30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41,515</w:t>
            </w: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19.1 %</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Provision for (release of) credit loss</w:t>
            </w: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550</w:t>
            </w:r>
          </w:p>
        </w:tc>
        <w:tc>
          <w:tcPr>
            <w:tcW w:w="1080" w:type="dxa"/>
            <w:vAlign w:val="bottom"/>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850</w:t>
            </w:r>
          </w:p>
        </w:tc>
        <w:tc>
          <w:tcPr>
            <w:tcW w:w="100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57"/>
        </w:trPr>
        <w:tc>
          <w:tcPr>
            <w:tcW w:w="35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1,264</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50"/>
              <w:spacing w:after="0"/>
              <w:rPr>
                <w:sz w:val="20"/>
                <w:szCs w:val="20"/>
                <w:color w:val="auto"/>
              </w:rPr>
            </w:pPr>
            <w:r>
              <w:rPr>
                <w:rFonts w:ascii="Arial" w:cs="Arial" w:eastAsia="Arial" w:hAnsi="Arial"/>
                <w:sz w:val="18"/>
                <w:szCs w:val="18"/>
                <w:color w:val="auto"/>
              </w:rPr>
              <w:t>1,568</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3,624</w:t>
            </w:r>
          </w:p>
        </w:tc>
        <w:tc>
          <w:tcPr>
            <w:tcW w:w="30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410"/>
              <w:spacing w:after="0"/>
              <w:rPr>
                <w:sz w:val="20"/>
                <w:szCs w:val="20"/>
                <w:color w:val="auto"/>
              </w:rPr>
            </w:pPr>
            <w:r>
              <w:rPr>
                <w:rFonts w:ascii="Arial" w:cs="Arial" w:eastAsia="Arial" w:hAnsi="Arial"/>
                <w:sz w:val="18"/>
                <w:szCs w:val="18"/>
                <w:color w:val="auto"/>
              </w:rPr>
              <w:t>3,275</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10.7 %</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49,223</w:t>
            </w:r>
          </w:p>
        </w:tc>
        <w:tc>
          <w:tcPr>
            <w:tcW w:w="3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47,205</w:t>
            </w:r>
          </w:p>
        </w:tc>
        <w:tc>
          <w:tcPr>
            <w:tcW w:w="1080" w:type="dxa"/>
            <w:vAlign w:val="bottom"/>
          </w:tcPr>
          <w:p>
            <w:pPr>
              <w:jc w:val="right"/>
              <w:spacing w:after="0"/>
              <w:rPr>
                <w:sz w:val="20"/>
                <w:szCs w:val="20"/>
                <w:color w:val="auto"/>
              </w:rPr>
            </w:pPr>
            <w:r>
              <w:rPr>
                <w:rFonts w:ascii="Arial" w:cs="Arial" w:eastAsia="Arial" w:hAnsi="Arial"/>
                <w:sz w:val="18"/>
                <w:szCs w:val="18"/>
                <w:color w:val="auto"/>
              </w:rPr>
              <w:t>4.3 %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146,775</w:t>
            </w:r>
          </w:p>
        </w:tc>
        <w:tc>
          <w:tcPr>
            <w:tcW w:w="30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133,530</w:t>
            </w:r>
          </w:p>
        </w:tc>
        <w:tc>
          <w:tcPr>
            <w:tcW w:w="100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57"/>
        </w:trPr>
        <w:tc>
          <w:tcPr>
            <w:tcW w:w="35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Operating expense</w:t>
            </w:r>
          </w:p>
        </w:tc>
        <w:tc>
          <w:tcPr>
            <w:tcW w:w="28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40,063</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50"/>
              <w:spacing w:after="0"/>
              <w:rPr>
                <w:sz w:val="20"/>
                <w:szCs w:val="20"/>
                <w:color w:val="auto"/>
              </w:rPr>
            </w:pPr>
            <w:r>
              <w:rPr>
                <w:rFonts w:ascii="Arial" w:cs="Arial" w:eastAsia="Arial" w:hAnsi="Arial"/>
                <w:sz w:val="18"/>
                <w:szCs w:val="18"/>
                <w:color w:val="auto"/>
              </w:rPr>
              <w:t>36,321</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10.3 %</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119,774</w:t>
            </w:r>
          </w:p>
        </w:tc>
        <w:tc>
          <w:tcPr>
            <w:tcW w:w="30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410"/>
              <w:spacing w:after="0"/>
              <w:rPr>
                <w:sz w:val="20"/>
                <w:szCs w:val="20"/>
                <w:color w:val="auto"/>
              </w:rPr>
            </w:pPr>
            <w:r>
              <w:rPr>
                <w:rFonts w:ascii="Arial" w:cs="Arial" w:eastAsia="Arial" w:hAnsi="Arial"/>
                <w:sz w:val="18"/>
                <w:szCs w:val="18"/>
                <w:color w:val="auto"/>
              </w:rPr>
              <w:t>101,788</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17.7 %</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9,160</w:t>
            </w:r>
          </w:p>
        </w:tc>
        <w:tc>
          <w:tcPr>
            <w:tcW w:w="3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10,884</w:t>
            </w: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27,001</w:t>
            </w:r>
          </w:p>
        </w:tc>
        <w:tc>
          <w:tcPr>
            <w:tcW w:w="30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31,742</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57"/>
        </w:trPr>
        <w:tc>
          <w:tcPr>
            <w:tcW w:w="35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1,766</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50"/>
              <w:spacing w:after="0"/>
              <w:rPr>
                <w:sz w:val="20"/>
                <w:szCs w:val="20"/>
                <w:color w:val="auto"/>
              </w:rPr>
            </w:pPr>
            <w:r>
              <w:rPr>
                <w:rFonts w:ascii="Arial" w:cs="Arial" w:eastAsia="Arial" w:hAnsi="Arial"/>
                <w:sz w:val="18"/>
                <w:szCs w:val="18"/>
                <w:color w:val="auto"/>
              </w:rPr>
              <w:t>2,085</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5,352</w:t>
            </w:r>
          </w:p>
        </w:tc>
        <w:tc>
          <w:tcPr>
            <w:tcW w:w="30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410"/>
              <w:spacing w:after="0"/>
              <w:rPr>
                <w:sz w:val="20"/>
                <w:szCs w:val="20"/>
                <w:color w:val="auto"/>
              </w:rPr>
            </w:pPr>
            <w:r>
              <w:rPr>
                <w:rFonts w:ascii="Arial" w:cs="Arial" w:eastAsia="Arial" w:hAnsi="Arial"/>
                <w:sz w:val="18"/>
                <w:szCs w:val="18"/>
                <w:color w:val="auto"/>
              </w:rPr>
              <w:t>6,123</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(12.6)%</w:t>
            </w:r>
          </w:p>
        </w:tc>
      </w:tr>
      <w:tr>
        <w:trPr>
          <w:trHeight w:val="25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7,394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8,799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21,649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25,619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57"/>
        </w:trPr>
        <w:tc>
          <w:tcPr>
            <w:tcW w:w="3540" w:type="dxa"/>
            <w:vAlign w:val="bottom"/>
            <w:shd w:val="clear" w:color="auto" w:fill="B6B6B6"/>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0.54</w:t>
            </w:r>
          </w:p>
        </w:tc>
        <w:tc>
          <w:tcPr>
            <w:tcW w:w="34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0.64</w:t>
            </w: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1.86</w:t>
            </w: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(16.1)%</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Return on average assets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1.22 %</w:t>
            </w: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1.33 %</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1.20 %</w:t>
            </w:r>
          </w:p>
        </w:tc>
        <w:tc>
          <w:tcPr>
            <w:tcW w:w="30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1.32 %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Return on average equity</w:t>
            </w:r>
          </w:p>
        </w:tc>
        <w:tc>
          <w:tcPr>
            <w:tcW w:w="28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13.80 %</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50"/>
              <w:spacing w:after="0"/>
              <w:rPr>
                <w:sz w:val="20"/>
                <w:szCs w:val="20"/>
                <w:color w:val="auto"/>
              </w:rPr>
            </w:pPr>
            <w:r>
              <w:rPr>
                <w:rFonts w:ascii="Arial" w:cs="Arial" w:eastAsia="Arial" w:hAnsi="Arial"/>
                <w:sz w:val="18"/>
                <w:szCs w:val="18"/>
                <w:color w:val="auto"/>
              </w:rPr>
              <w:t>16.84 %</w:t>
            </w:r>
          </w:p>
        </w:tc>
        <w:tc>
          <w:tcPr>
            <w:tcW w:w="1160" w:type="dxa"/>
            <w:vAlign w:val="bottom"/>
            <w:tcBorders>
              <w:bottom w:val="single" w:sz="8" w:color="auto"/>
            </w:tcBorders>
            <w:gridSpan w:val="2"/>
            <w:shd w:val="clear" w:color="auto" w:fill="B6B6B6"/>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13.64 %</w:t>
            </w:r>
          </w:p>
        </w:tc>
        <w:tc>
          <w:tcPr>
            <w:tcW w:w="30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210"/>
              <w:spacing w:after="0"/>
              <w:rPr>
                <w:sz w:val="20"/>
                <w:szCs w:val="20"/>
                <w:color w:val="auto"/>
              </w:rPr>
            </w:pPr>
            <w:r>
              <w:rPr>
                <w:rFonts w:ascii="Arial" w:cs="Arial" w:eastAsia="Arial" w:hAnsi="Arial"/>
                <w:sz w:val="18"/>
                <w:szCs w:val="18"/>
                <w:color w:val="auto"/>
              </w:rPr>
              <w:t>15.80 %</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2023 compared to third quarter of 2022:</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net revenue of $49.2 million during the three months ended September 30, 2023, up 4.3% from the three months ended September 30, 2022, primarily driven by higher processing and financial fees, along with rising interest rates which positively impacted net interest income. Operating expense increased 10.3% primarily driven by an increase in full-time equivalent employees and other expenses related to strategic investments in technology initiatives. Net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was $7.4 million and diluted EPS was $0.54 per share, decreases of 16.0% and 15.6% from the three months ended September 30, 2022,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 posted a 1.22% return on average assets and 13.80% return on average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to nine months ended September 30,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net revenue of $146.8 million during the nine months ended September 30, 2023, up 9.9% from the nine months ended September 30, 2022. Operating expense increased 17.7%. Net income was $21.6 million and diluted EPS was $1.56 per share, decreases of 15.5% and 16.1% from the nine months ended September 30,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posted a 1.20% return on average assets and 13.64% return on average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and fee revenue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Third Quarter of</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4"/>
              </w:rPr>
              <w:t>Nine Months Ended</w:t>
            </w: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8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5"/>
                <w:szCs w:val="15"/>
                <w:color w:val="auto"/>
              </w:rPr>
            </w:pPr>
          </w:p>
        </w:tc>
        <w:tc>
          <w:tcPr>
            <w:tcW w:w="12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0" w:type="dxa"/>
            <w:vAlign w:val="bottom"/>
          </w:tcPr>
          <w:p>
            <w:pPr>
              <w:jc w:val="right"/>
              <w:ind w:right="510"/>
              <w:spacing w:after="0" w:line="17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15"/>
                <w:szCs w:val="15"/>
                <w:color w:val="auto"/>
              </w:rPr>
            </w:pPr>
          </w:p>
        </w:tc>
        <w:tc>
          <w:tcPr>
            <w:tcW w:w="138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1140" w:type="dxa"/>
            <w:vAlign w:val="bottom"/>
          </w:tcPr>
          <w:p>
            <w:pPr>
              <w:jc w:val="right"/>
              <w:ind w:right="510"/>
              <w:spacing w:after="0" w:line="17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28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4"/>
        </w:trPr>
        <w:tc>
          <w:tcPr>
            <w:tcW w:w="2800" w:type="dxa"/>
            <w:vAlign w:val="bottom"/>
            <w:shd w:val="clear" w:color="auto" w:fill="B6B6B6"/>
          </w:tcPr>
          <w:p>
            <w:pPr>
              <w:ind w:left="20"/>
              <w:spacing w:after="0"/>
              <w:rPr>
                <w:sz w:val="20"/>
                <w:szCs w:val="20"/>
                <w:color w:val="auto"/>
              </w:rPr>
            </w:pPr>
            <w:r>
              <w:rPr>
                <w:rFonts w:ascii="Arial" w:cs="Arial" w:eastAsia="Arial" w:hAnsi="Arial"/>
                <w:sz w:val="18"/>
                <w:szCs w:val="18"/>
                <w:color w:val="auto"/>
              </w:rPr>
              <w:t>Transportation invoice volume</w:t>
            </w: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8,925</w:t>
            </w:r>
          </w:p>
        </w:tc>
        <w:tc>
          <w:tcPr>
            <w:tcW w:w="3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9,385</w:t>
            </w: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27,216</w:t>
            </w:r>
          </w:p>
        </w:tc>
        <w:tc>
          <w:tcPr>
            <w:tcW w:w="3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rPr>
              <w:t>27,633</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Arial" w:cs="Arial" w:eastAsia="Arial" w:hAnsi="Arial"/>
                <w:sz w:val="18"/>
                <w:szCs w:val="18"/>
                <w:color w:val="auto"/>
                <w:w w:val="95"/>
              </w:rPr>
              <w:t>Transportation invoice dollar volume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9,263,453</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11,549,980</w:t>
            </w: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29,243,706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33,818,573</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6"/>
        </w:trPr>
        <w:tc>
          <w:tcPr>
            <w:tcW w:w="2800" w:type="dxa"/>
            <w:vAlign w:val="bottom"/>
            <w:shd w:val="clear" w:color="auto" w:fill="B6B6B6"/>
          </w:tcPr>
          <w:p>
            <w:pPr>
              <w:ind w:left="20"/>
              <w:spacing w:after="0" w:line="256" w:lineRule="exact"/>
              <w:rPr>
                <w:sz w:val="20"/>
                <w:szCs w:val="20"/>
                <w:color w:val="auto"/>
              </w:rPr>
            </w:pPr>
            <w:r>
              <w:rPr>
                <w:rFonts w:ascii="Arial" w:cs="Arial" w:eastAsia="Arial" w:hAnsi="Arial"/>
                <w:sz w:val="18"/>
                <w:szCs w:val="18"/>
                <w:color w:val="auto"/>
                <w:w w:val="96"/>
              </w:rPr>
              <w:t xml:space="preserve">Facility-related transaction volume </w:t>
            </w:r>
            <w:r>
              <w:rPr>
                <w:rFonts w:ascii="Arial" w:cs="Arial" w:eastAsia="Arial" w:hAnsi="Arial"/>
                <w:sz w:val="23"/>
                <w:szCs w:val="23"/>
                <w:color w:val="auto"/>
                <w:w w:val="96"/>
                <w:vertAlign w:val="superscript"/>
              </w:rPr>
              <w:t>1</w:t>
            </w: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3,417</w:t>
            </w:r>
          </w:p>
        </w:tc>
        <w:tc>
          <w:tcPr>
            <w:tcW w:w="3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3,315</w:t>
            </w: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10,352</w:t>
            </w:r>
          </w:p>
        </w:tc>
        <w:tc>
          <w:tcPr>
            <w:tcW w:w="3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rPr>
              <w:t>9,794</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Facility-related dollar volume </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5,096,882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5,485,783</w:t>
            </w: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14,988,757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14,699,903</w:t>
            </w:r>
          </w:p>
        </w:tc>
        <w:tc>
          <w:tcPr>
            <w:tcW w:w="11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5"/>
        </w:trPr>
        <w:tc>
          <w:tcPr>
            <w:tcW w:w="2800" w:type="dxa"/>
            <w:vAlign w:val="bottom"/>
            <w:shd w:val="clear" w:color="auto" w:fill="B6B6B6"/>
          </w:tcPr>
          <w:p>
            <w:pPr>
              <w:ind w:left="20"/>
              <w:spacing w:after="0"/>
              <w:rPr>
                <w:sz w:val="20"/>
                <w:szCs w:val="20"/>
                <w:color w:val="auto"/>
              </w:rPr>
            </w:pPr>
            <w:r>
              <w:rPr>
                <w:rFonts w:ascii="Arial" w:cs="Arial" w:eastAsia="Arial" w:hAnsi="Arial"/>
                <w:sz w:val="18"/>
                <w:szCs w:val="18"/>
                <w:color w:val="auto"/>
              </w:rPr>
              <w:t>Average payments in advance of</w:t>
            </w:r>
          </w:p>
        </w:tc>
        <w:tc>
          <w:tcPr>
            <w:tcW w:w="30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2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06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38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0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funding</w:t>
            </w:r>
          </w:p>
        </w:tc>
        <w:tc>
          <w:tcPr>
            <w:tcW w:w="3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234,684</w:t>
            </w:r>
          </w:p>
        </w:tc>
        <w:tc>
          <w:tcPr>
            <w:tcW w:w="320" w:type="dxa"/>
            <w:vAlign w:val="bottom"/>
            <w:shd w:val="clear" w:color="auto" w:fill="B6B6B6"/>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277,683</w:t>
            </w: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243,458</w:t>
            </w:r>
          </w:p>
        </w:tc>
        <w:tc>
          <w:tcPr>
            <w:tcW w:w="3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rPr>
              <w:t>283,431</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Arial" w:cs="Arial" w:eastAsia="Arial" w:hAnsi="Arial"/>
                <w:sz w:val="18"/>
                <w:szCs w:val="18"/>
                <w:color w:val="auto"/>
              </w:rPr>
              <w:t>Processing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19,939</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18,964</w:t>
            </w:r>
          </w:p>
        </w:tc>
        <w:tc>
          <w:tcPr>
            <w:tcW w:w="120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58,838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57,184</w:t>
            </w: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56"/>
        </w:trPr>
        <w:tc>
          <w:tcPr>
            <w:tcW w:w="2800" w:type="dxa"/>
            <w:vAlign w:val="bottom"/>
            <w:shd w:val="clear" w:color="auto" w:fill="B6B6B6"/>
          </w:tcPr>
          <w:p>
            <w:pPr>
              <w:ind w:left="20"/>
              <w:spacing w:after="0"/>
              <w:rPr>
                <w:sz w:val="20"/>
                <w:szCs w:val="20"/>
                <w:color w:val="auto"/>
              </w:rPr>
            </w:pPr>
            <w:r>
              <w:rPr>
                <w:rFonts w:ascii="Arial" w:cs="Arial" w:eastAsia="Arial" w:hAnsi="Arial"/>
                <w:sz w:val="18"/>
                <w:szCs w:val="18"/>
                <w:color w:val="auto"/>
              </w:rPr>
              <w:t>Financial fees</w:t>
            </w:r>
          </w:p>
        </w:tc>
        <w:tc>
          <w:tcPr>
            <w:tcW w:w="3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11,597</w:t>
            </w:r>
          </w:p>
        </w:tc>
        <w:tc>
          <w:tcPr>
            <w:tcW w:w="320" w:type="dxa"/>
            <w:vAlign w:val="bottom"/>
            <w:shd w:val="clear" w:color="auto" w:fill="B6B6B6"/>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11,252</w:t>
            </w: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34,518</w:t>
            </w:r>
          </w:p>
        </w:tc>
        <w:tc>
          <w:tcPr>
            <w:tcW w:w="3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rPr>
              <w:t>32,406</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Arial" w:cs="Arial" w:eastAsia="Arial" w:hAnsi="Arial"/>
                <w:sz w:val="18"/>
                <w:szCs w:val="18"/>
                <w:color w:val="auto"/>
              </w:rPr>
              <w:t>Other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1,264</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1,568</w:t>
            </w: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3,624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3,275</w:t>
            </w:r>
          </w:p>
        </w:tc>
        <w:tc>
          <w:tcPr>
            <w:tcW w:w="1140" w:type="dxa"/>
            <w:vAlign w:val="bottom"/>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energy, telecom and environmental.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2023 compared to third quarter of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Processing fee revenue increased $975,000, or 5.1%, primarily attributable to an increase in ancillary fees and the increase in facility-related invoice volumes of 3.1%. Transportation invoice volumes decreased 4.9% over the same period. The decline in transportation volumes is due to the on-going freight recession.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fee revenue increased $345,000, or 3.1%, primarily attributable to the increase in short-term interest rates, partially offset by a decline in transportation dollar volumes of 19.8%.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to nine months ended September 30, 2022:</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fee revenue increased $2.1 million, or 6.5%, primarily attributable to the increase in short-term interest rates, partially offset by a decline in transportation dollar volumes of 13.5%.</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Processing fee revenue increased $1.7 million, or 2.9%, primarily attributable to the increase in facility-related transaction volume of 5.7%, partially offset by the decrease in transportation invoice volumes of 1.5%.</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Third Quarter of</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Nine Months Ended</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Pr>
          <w:p>
            <w:pPr>
              <w:spacing w:after="0"/>
              <w:rPr>
                <w:sz w:val="15"/>
                <w:szCs w:val="15"/>
                <w:color w:val="auto"/>
              </w:rPr>
            </w:pPr>
          </w:p>
        </w:tc>
        <w:tc>
          <w:tcPr>
            <w:tcW w:w="10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15"/>
                <w:szCs w:val="15"/>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140" w:type="dxa"/>
            <w:vAlign w:val="bottom"/>
          </w:tcPr>
          <w:p>
            <w:pPr>
              <w:jc w:val="right"/>
              <w:ind w:right="390"/>
              <w:spacing w:after="0" w:line="17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15"/>
                <w:szCs w:val="15"/>
                <w:color w:val="auto"/>
              </w:rPr>
            </w:pPr>
          </w:p>
        </w:tc>
        <w:tc>
          <w:tcPr>
            <w:tcW w:w="12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100" w:type="dxa"/>
            <w:vAlign w:val="bottom"/>
          </w:tcPr>
          <w:p>
            <w:pPr>
              <w:jc w:val="right"/>
              <w:ind w:right="390"/>
              <w:spacing w:after="0" w:line="17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2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4"/>
        </w:trPr>
        <w:tc>
          <w:tcPr>
            <w:tcW w:w="2740" w:type="dxa"/>
            <w:vAlign w:val="bottom"/>
            <w:shd w:val="clear" w:color="auto" w:fill="B6B6B6"/>
          </w:tcPr>
          <w:p>
            <w:pPr>
              <w:ind w:left="20"/>
              <w:spacing w:after="0"/>
              <w:rPr>
                <w:sz w:val="20"/>
                <w:szCs w:val="20"/>
                <w:color w:val="auto"/>
              </w:rPr>
            </w:pPr>
            <w:r>
              <w:rPr>
                <w:rFonts w:ascii="Arial" w:cs="Arial" w:eastAsia="Arial" w:hAnsi="Arial"/>
                <w:sz w:val="18"/>
                <w:szCs w:val="18"/>
                <w:color w:val="auto"/>
              </w:rPr>
              <w:t>Average earnings assets</w:t>
            </w:r>
          </w:p>
        </w:tc>
        <w:tc>
          <w:tcPr>
            <w:tcW w:w="3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2,059,801</w:t>
            </w:r>
          </w:p>
        </w:tc>
        <w:tc>
          <w:tcPr>
            <w:tcW w:w="50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6B6B6"/>
          </w:tcPr>
          <w:p>
            <w:pPr>
              <w:jc w:val="right"/>
              <w:ind w:right="230"/>
              <w:spacing w:after="0"/>
              <w:rPr>
                <w:sz w:val="20"/>
                <w:szCs w:val="20"/>
                <w:color w:val="auto"/>
              </w:rPr>
            </w:pPr>
            <w:r>
              <w:rPr>
                <w:rFonts w:ascii="Arial" w:cs="Arial" w:eastAsia="Arial" w:hAnsi="Arial"/>
                <w:sz w:val="18"/>
                <w:szCs w:val="18"/>
                <w:color w:val="auto"/>
              </w:rPr>
              <w:t>2,243,219</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2,077,392</w:t>
            </w:r>
          </w:p>
        </w:tc>
        <w:tc>
          <w:tcPr>
            <w:tcW w:w="5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2,196,704</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0"/>
        </w:trPr>
        <w:tc>
          <w:tcPr>
            <w:tcW w:w="2740" w:type="dxa"/>
            <w:vAlign w:val="bottom"/>
          </w:tcPr>
          <w:p>
            <w:pPr>
              <w:ind w:left="20"/>
              <w:spacing w:after="0"/>
              <w:rPr>
                <w:sz w:val="20"/>
                <w:szCs w:val="20"/>
                <w:color w:val="auto"/>
              </w:rPr>
            </w:pPr>
            <w:r>
              <w:rPr>
                <w:rFonts w:ascii="Arial" w:cs="Arial" w:eastAsia="Arial" w:hAnsi="Arial"/>
                <w:sz w:val="18"/>
                <w:szCs w:val="18"/>
                <w:color w:val="auto"/>
                <w:w w:val="99"/>
              </w:rPr>
              <w:t>Average interest-bearing liabilities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591,567</w:t>
            </w:r>
          </w:p>
        </w:tc>
        <w:tc>
          <w:tcPr>
            <w:tcW w:w="50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597,469</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566,987</w:t>
            </w:r>
          </w:p>
        </w:tc>
        <w:tc>
          <w:tcPr>
            <w:tcW w:w="540" w:type="dxa"/>
            <w:vAlign w:val="bottom"/>
          </w:tcPr>
          <w:p>
            <w:pPr>
              <w:spacing w:after="0"/>
              <w:rPr>
                <w:sz w:val="21"/>
                <w:szCs w:val="21"/>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598,812</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3"/>
        </w:trPr>
        <w:tc>
          <w:tcPr>
            <w:tcW w:w="274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30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16,805</w:t>
            </w:r>
          </w:p>
        </w:tc>
        <w:tc>
          <w:tcPr>
            <w:tcW w:w="50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230"/>
              <w:spacing w:after="0"/>
              <w:rPr>
                <w:sz w:val="20"/>
                <w:szCs w:val="20"/>
                <w:color w:val="auto"/>
              </w:rPr>
            </w:pPr>
            <w:r>
              <w:rPr>
                <w:rFonts w:ascii="Arial" w:cs="Arial" w:eastAsia="Arial" w:hAnsi="Arial"/>
                <w:sz w:val="18"/>
                <w:szCs w:val="18"/>
                <w:color w:val="auto"/>
              </w:rPr>
              <w:t>16,383</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50,300</w:t>
            </w:r>
          </w:p>
        </w:tc>
        <w:tc>
          <w:tcPr>
            <w:tcW w:w="54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42,809</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Net interest margin*</w:t>
            </w: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3.24 %</w:t>
            </w:r>
          </w:p>
        </w:tc>
        <w:tc>
          <w:tcPr>
            <w:tcW w:w="2160" w:type="dxa"/>
            <w:vAlign w:val="bottom"/>
          </w:tcPr>
          <w:p>
            <w:pPr>
              <w:jc w:val="right"/>
              <w:ind w:right="1050"/>
              <w:spacing w:after="0"/>
              <w:rPr>
                <w:sz w:val="20"/>
                <w:szCs w:val="20"/>
                <w:color w:val="auto"/>
              </w:rPr>
            </w:pPr>
            <w:r>
              <w:rPr>
                <w:rFonts w:ascii="Arial" w:cs="Arial" w:eastAsia="Arial" w:hAnsi="Arial"/>
                <w:sz w:val="18"/>
                <w:szCs w:val="18"/>
                <w:color w:val="auto"/>
              </w:rPr>
              <w:t>2.90 %</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3.24 %</w:t>
            </w:r>
          </w:p>
        </w:tc>
        <w:tc>
          <w:tcPr>
            <w:tcW w:w="2280" w:type="dxa"/>
            <w:vAlign w:val="bottom"/>
          </w:tcPr>
          <w:p>
            <w:pPr>
              <w:jc w:val="right"/>
              <w:ind w:right="1170"/>
              <w:spacing w:after="0"/>
              <w:rPr>
                <w:sz w:val="20"/>
                <w:szCs w:val="20"/>
                <w:color w:val="auto"/>
              </w:rPr>
            </w:pPr>
            <w:r>
              <w:rPr>
                <w:rFonts w:ascii="Arial" w:cs="Arial" w:eastAsia="Arial" w:hAnsi="Arial"/>
                <w:sz w:val="18"/>
                <w:szCs w:val="18"/>
                <w:color w:val="auto"/>
              </w:rPr>
              <w:t>2.61 %</w:t>
            </w:r>
          </w:p>
        </w:tc>
      </w:tr>
      <w:tr>
        <w:trPr>
          <w:trHeight w:val="263"/>
        </w:trPr>
        <w:tc>
          <w:tcPr>
            <w:tcW w:w="3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Yield on earning assets*</w:t>
            </w:r>
          </w:p>
        </w:tc>
        <w:tc>
          <w:tcPr>
            <w:tcW w:w="162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4.13 %</w:t>
            </w:r>
          </w:p>
        </w:tc>
        <w:tc>
          <w:tcPr>
            <w:tcW w:w="2160" w:type="dxa"/>
            <w:vAlign w:val="bottom"/>
            <w:shd w:val="clear" w:color="auto" w:fill="B6B6B6"/>
          </w:tcPr>
          <w:p>
            <w:pPr>
              <w:jc w:val="right"/>
              <w:ind w:right="1050"/>
              <w:spacing w:after="0"/>
              <w:rPr>
                <w:sz w:val="20"/>
                <w:szCs w:val="20"/>
                <w:color w:val="auto"/>
              </w:rPr>
            </w:pPr>
            <w:r>
              <w:rPr>
                <w:rFonts w:ascii="Arial" w:cs="Arial" w:eastAsia="Arial" w:hAnsi="Arial"/>
                <w:sz w:val="18"/>
                <w:szCs w:val="18"/>
                <w:color w:val="auto"/>
              </w:rPr>
              <w:t>3.04 %</w:t>
            </w:r>
          </w:p>
        </w:tc>
        <w:tc>
          <w:tcPr>
            <w:tcW w:w="214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3.98 %</w:t>
            </w:r>
          </w:p>
        </w:tc>
        <w:tc>
          <w:tcPr>
            <w:tcW w:w="2280" w:type="dxa"/>
            <w:vAlign w:val="bottom"/>
            <w:shd w:val="clear" w:color="auto" w:fill="B6B6B6"/>
          </w:tcPr>
          <w:p>
            <w:pPr>
              <w:jc w:val="right"/>
              <w:ind w:right="1170"/>
              <w:spacing w:after="0"/>
              <w:rPr>
                <w:sz w:val="20"/>
                <w:szCs w:val="20"/>
                <w:color w:val="auto"/>
              </w:rPr>
            </w:pPr>
            <w:r>
              <w:rPr>
                <w:rFonts w:ascii="Arial" w:cs="Arial" w:eastAsia="Arial" w:hAnsi="Arial"/>
                <w:sz w:val="18"/>
                <w:szCs w:val="18"/>
                <w:color w:val="auto"/>
              </w:rPr>
              <w:t>2.69 %</w:t>
            </w:r>
          </w:p>
        </w:tc>
      </w:tr>
      <w:tr>
        <w:trPr>
          <w:trHeight w:val="25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interest-bearing liabilities</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3.11 %</w:t>
            </w:r>
          </w:p>
        </w:tc>
        <w:tc>
          <w:tcPr>
            <w:tcW w:w="21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0.52 %</w:t>
            </w:r>
          </w:p>
        </w:tc>
        <w:tc>
          <w:tcPr>
            <w:tcW w:w="2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2.73 %</w:t>
            </w:r>
          </w:p>
        </w:tc>
        <w:tc>
          <w:tcPr>
            <w:tcW w:w="22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0.30 %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*Presented on a tax-equivalent basis assuming a tax rate of 21% for both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2023 compared to third quarter of 2022:</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interest income is primarily due to an increase in the Federal Funds rate throughout 2022 and into the first nine months of 2023, positively affecting the net interest margin which increased to 3.24%, as compared to 2.90% in the prior year. This was partially offset by the decrease in average earning assets of $183.4 million, or 8.2%. The yield on interest-earning assets increased 109 basis points from 3.04% to 4.13% while the cost of interest-bearing liabilities increased 259 basis points from 0.52% to 3.11%.</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loans increased $61.9 million, or 6.3%, to $1.05 billion. This increase was due to loan growth during the second half of 2022, specifically in the Company's franchise restaurants, faith-based, and lease financing receivables portfolios. The average yield on loans increased 85 basis points to 4.88%, primarily due to the increase in short-term interest rates.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Average investment securities decreased $124.5 million, or 15.0%, due to the sale and maturity of investment securities throughout the nine months ended 2023. The average yield on taxable investment securities increased 51 basis points to 2.62% as a result of the increase in short and long-term interest rates. The average yield on tax-exempt investment securities declined 22 basis points to 2.63% driven by maturities of higher rate securities. These securities have longer term fixed rates, and the Company has not purchased any such securities since interest rates began increasing.</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Average short-term investments, consisting of interest-bearing deposits in other financial institutions and federal funds sold, decreased $120.7 million, or 28.0%. The decrease is primarily a result of the increase in the average balances of loans, coupled with the decrease in average funding sources, partially offset by a decrease in average investment securities. The average yield on short-term investments increased 295 basis points to 5.02%, primarily due to the increase in short-term interest rates that began in March 2022. The majority of these short-term investments are held at the Federal Reserve Bank.</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average balance of interest-bearing deposits decreased $5.9 million, or 1.0%. Average non-interest-bearing demand deposits decreased $106.4 million, or 18.1%. The Company has experienced deposit attrition as larger commercial depository clients moved their funds to higher interest rate alternatives outside the Company. The Company also incurred a shift from non-interest bearing to interest-bearing deposits from current customers. The average rate paid on interest-bearing deposits increased 259 basis points to 3.11% due to the increase in short-term interest rates.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accounts and drafts payable decreased $112.3 million, or 9.5%. The decrease in average accounts and drafts payable was primarily driven by the decrease in transportation dollar volumes of 19.8%.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to nine months ended September 30,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in the nine months ended September 30, 2023 increased primarily due to an increase in the Federal Funds rate throughout 2022 and into the first nine months of 2023, positively affecting the net interest margin which increased to 3.24%, as compared to 2.61% in the prior year. This was partially offset by the decrease in average interest-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 assets of $119.3 million, or 5.4%. The yield on interest-earning assets increased 129 basis points from 2.69% to 3.98% while the cost of interest-bearing liabilities increased 243 basis points from 0.30% to 2.73%.</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loans increased $93.2 million, or 9.6%, to $1.07 billion. This increase was due to loan growth during 2022, specifically in the Company's franchise restaurants, faith-based, and lease financing receivables portfolios. The average yield on loans increased 94 basis points to 4.77%, primarily due to the increase in short-term interest rates.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Average investment securities decreased $24.7 million, or 3.2%. The average yield on taxable investment securities increased 77 basis points to 2.60% as a result of the increase in short and long-term interest rates. The average yield on tax-exempt investment securities declined 18 basis points to 2.72%.</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short-term investments decreased $187.8 million, or 41.6%. The decrease is primarily a result of the increase in the average balance of loans, coupled with the decrease in average funding sources. The average yield on short-term investments increased 363 basis points to 4.64% primarily due to the increase in short-term interest rates.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average balance of interest-bearing deposits decreased $34.8 million, or 5.8%. Average non-interest bearing demand deposits decreased $66.3 million, or 11.1%. The Company has experienced deposit attrition as larger commercial depository clients moved their funds to higher interest rate alternatives outside the Company. The Company also incurred a shift from non-interest-bearing to interest-bearing deposits from current customers. The average rate paid on interest-bearing deposits increased 242 basis points to 2.72% due to the increase in short-term interest rates.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accounts and drafts payable decreased $64.3 million, or 5.7%. The decrease in average accounts and drafts payable was primarily driven by the decrease in transportation dollar volumes of 13.5%, partially offset by the increase in facility-related dollar volumes of 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02"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Third Quarter of 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Third Quarter of 2022</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Interest</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Interest</w:t>
            </w: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Arial" w:cs="Arial" w:eastAsia="Arial" w:hAnsi="Arial"/>
                <w:sz w:val="14"/>
                <w:szCs w:val="14"/>
                <w:b w:val="1"/>
                <w:bCs w:val="1"/>
                <w:color w:val="auto"/>
              </w:rPr>
              <w:t>Assets</w:t>
            </w:r>
            <w:r>
              <w:rPr>
                <w:rFonts w:ascii="Arial" w:cs="Arial" w:eastAsia="Arial" w:hAnsi="Arial"/>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Arial" w:cs="Arial" w:eastAsia="Arial" w:hAnsi="Arial"/>
                <w:sz w:val="14"/>
                <w:szCs w:val="14"/>
                <w:color w:val="auto"/>
              </w:rPr>
              <w:t>Loans</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B6B6B6"/>
          </w:tcPr>
          <w:p>
            <w:pPr>
              <w:jc w:val="right"/>
              <w:ind w:right="28"/>
              <w:spacing w:after="0"/>
              <w:rPr>
                <w:sz w:val="20"/>
                <w:szCs w:val="20"/>
                <w:color w:val="auto"/>
              </w:rPr>
            </w:pPr>
            <w:r>
              <w:rPr>
                <w:rFonts w:ascii="Arial" w:cs="Arial" w:eastAsia="Arial" w:hAnsi="Arial"/>
                <w:sz w:val="14"/>
                <w:szCs w:val="14"/>
                <w:color w:val="auto"/>
              </w:rPr>
              <w:t>1,045,967</w:t>
            </w:r>
          </w:p>
        </w:tc>
        <w:tc>
          <w:tcPr>
            <w:tcW w:w="280" w:type="dxa"/>
            <w:vAlign w:val="bottom"/>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B6B6B6"/>
          </w:tcPr>
          <w:p>
            <w:pPr>
              <w:jc w:val="right"/>
              <w:ind w:right="248"/>
              <w:spacing w:after="0"/>
              <w:rPr>
                <w:sz w:val="20"/>
                <w:szCs w:val="20"/>
                <w:color w:val="auto"/>
              </w:rPr>
            </w:pPr>
            <w:r>
              <w:rPr>
                <w:rFonts w:ascii="Arial" w:cs="Arial" w:eastAsia="Arial" w:hAnsi="Arial"/>
                <w:sz w:val="14"/>
                <w:szCs w:val="14"/>
                <w:color w:val="auto"/>
              </w:rPr>
              <w:t>12,863</w:t>
            </w:r>
          </w:p>
        </w:tc>
        <w:tc>
          <w:tcPr>
            <w:tcW w:w="940" w:type="dxa"/>
            <w:vAlign w:val="bottom"/>
            <w:shd w:val="clear" w:color="auto" w:fill="B6B6B6"/>
          </w:tcPr>
          <w:p>
            <w:pPr>
              <w:jc w:val="right"/>
              <w:spacing w:after="0"/>
              <w:rPr>
                <w:sz w:val="20"/>
                <w:szCs w:val="20"/>
                <w:color w:val="auto"/>
              </w:rPr>
            </w:pPr>
            <w:r>
              <w:rPr>
                <w:rFonts w:ascii="Arial" w:cs="Arial" w:eastAsia="Arial" w:hAnsi="Arial"/>
                <w:sz w:val="14"/>
                <w:szCs w:val="14"/>
                <w:color w:val="auto"/>
              </w:rPr>
              <w:t>4.88 %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B6B6B6"/>
          </w:tcPr>
          <w:p>
            <w:pPr>
              <w:jc w:val="right"/>
              <w:ind w:right="28"/>
              <w:spacing w:after="0"/>
              <w:rPr>
                <w:sz w:val="20"/>
                <w:szCs w:val="20"/>
                <w:color w:val="auto"/>
              </w:rPr>
            </w:pPr>
            <w:r>
              <w:rPr>
                <w:rFonts w:ascii="Arial" w:cs="Arial" w:eastAsia="Arial" w:hAnsi="Arial"/>
                <w:sz w:val="14"/>
                <w:szCs w:val="14"/>
                <w:color w:val="auto"/>
              </w:rPr>
              <w:t>984,104</w:t>
            </w:r>
          </w:p>
        </w:tc>
        <w:tc>
          <w:tcPr>
            <w:tcW w:w="280" w:type="dxa"/>
            <w:vAlign w:val="bottom"/>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B6B6B6"/>
          </w:tcPr>
          <w:p>
            <w:pPr>
              <w:jc w:val="right"/>
              <w:ind w:right="248"/>
              <w:spacing w:after="0"/>
              <w:rPr>
                <w:sz w:val="20"/>
                <w:szCs w:val="20"/>
                <w:color w:val="auto"/>
              </w:rPr>
            </w:pPr>
            <w:r>
              <w:rPr>
                <w:rFonts w:ascii="Arial" w:cs="Arial" w:eastAsia="Arial" w:hAnsi="Arial"/>
                <w:sz w:val="14"/>
                <w:szCs w:val="14"/>
                <w:color w:val="auto"/>
              </w:rPr>
              <w:t>10,005</w:t>
            </w:r>
          </w:p>
        </w:tc>
        <w:tc>
          <w:tcPr>
            <w:tcW w:w="960" w:type="dxa"/>
            <w:vAlign w:val="bottom"/>
            <w:shd w:val="clear" w:color="auto" w:fill="B6B6B6"/>
          </w:tcPr>
          <w:p>
            <w:pPr>
              <w:jc w:val="right"/>
              <w:spacing w:after="0"/>
              <w:rPr>
                <w:sz w:val="20"/>
                <w:szCs w:val="20"/>
                <w:color w:val="auto"/>
              </w:rPr>
            </w:pPr>
            <w:r>
              <w:rPr>
                <w:rFonts w:ascii="Arial" w:cs="Arial" w:eastAsia="Arial" w:hAnsi="Arial"/>
                <w:sz w:val="14"/>
                <w:szCs w:val="14"/>
                <w:color w:val="auto"/>
              </w:rPr>
              <w:t>4.03 %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4"/>
                <w:szCs w:val="14"/>
                <w:color w:val="auto"/>
              </w:rPr>
              <w:t>Investment securities</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518,954</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3,429</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2.62 %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554,315</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2,948</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2.11 %</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4"/>
                <w:szCs w:val="14"/>
                <w:color w:val="auto"/>
              </w:rPr>
              <w:t>Tax-exempt</w:t>
            </w:r>
            <w:r>
              <w:rPr>
                <w:rFonts w:ascii="Arial" w:cs="Arial" w:eastAsia="Arial" w:hAnsi="Arial"/>
                <w:sz w:val="18"/>
                <w:szCs w:val="18"/>
                <w:color w:val="auto"/>
                <w:vertAlign w:val="superscript"/>
              </w:rPr>
              <w:t>4</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184,110</w:t>
            </w:r>
          </w:p>
        </w:tc>
        <w:tc>
          <w:tcPr>
            <w:tcW w:w="280" w:type="dxa"/>
            <w:vAlign w:val="bottom"/>
          </w:tcPr>
          <w:p>
            <w:pPr>
              <w:spacing w:after="0"/>
              <w:rPr>
                <w:sz w:val="18"/>
                <w:szCs w:val="18"/>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1,220</w:t>
            </w:r>
          </w:p>
        </w:tc>
        <w:tc>
          <w:tcPr>
            <w:tcW w:w="940" w:type="dxa"/>
            <w:vAlign w:val="bottom"/>
          </w:tcPr>
          <w:p>
            <w:pPr>
              <w:jc w:val="right"/>
              <w:spacing w:after="0"/>
              <w:rPr>
                <w:sz w:val="20"/>
                <w:szCs w:val="20"/>
                <w:color w:val="auto"/>
              </w:rPr>
            </w:pPr>
            <w:r>
              <w:rPr>
                <w:rFonts w:ascii="Arial" w:cs="Arial" w:eastAsia="Arial" w:hAnsi="Arial"/>
                <w:sz w:val="14"/>
                <w:szCs w:val="14"/>
                <w:color w:val="auto"/>
              </w:rPr>
              <w:t>2.63 %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273,284</w:t>
            </w:r>
          </w:p>
        </w:tc>
        <w:tc>
          <w:tcPr>
            <w:tcW w:w="280" w:type="dxa"/>
            <w:vAlign w:val="bottom"/>
          </w:tcPr>
          <w:p>
            <w:pPr>
              <w:spacing w:after="0"/>
              <w:rPr>
                <w:sz w:val="18"/>
                <w:szCs w:val="18"/>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1,963</w:t>
            </w:r>
          </w:p>
        </w:tc>
        <w:tc>
          <w:tcPr>
            <w:tcW w:w="960" w:type="dxa"/>
            <w:vAlign w:val="bottom"/>
          </w:tcPr>
          <w:p>
            <w:pPr>
              <w:jc w:val="right"/>
              <w:spacing w:after="0"/>
              <w:rPr>
                <w:sz w:val="20"/>
                <w:szCs w:val="20"/>
                <w:color w:val="auto"/>
              </w:rPr>
            </w:pPr>
            <w:r>
              <w:rPr>
                <w:rFonts w:ascii="Arial" w:cs="Arial" w:eastAsia="Arial" w:hAnsi="Arial"/>
                <w:sz w:val="14"/>
                <w:szCs w:val="14"/>
                <w:color w:val="auto"/>
              </w:rPr>
              <w:t>2.85 %</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310,770</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3,934</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5.02 %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431,516</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2,249</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2.07 %</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2,059,801</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21,446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2,243,219</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17,165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3.04 %</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Cash and due from banks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24,786</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19,084</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25,531</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19,515</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180"/>
              <w:spacing w:after="0"/>
              <w:rPr>
                <w:sz w:val="20"/>
                <w:szCs w:val="20"/>
                <w:color w:val="auto"/>
              </w:rPr>
            </w:pPr>
            <w:r>
              <w:rPr>
                <w:rFonts w:ascii="Arial" w:cs="Arial" w:eastAsia="Arial" w:hAnsi="Arial"/>
                <w:sz w:val="14"/>
                <w:szCs w:val="14"/>
                <w:color w:val="auto"/>
              </w:rPr>
              <w:t>Bank-owned life insurance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48,677</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47,546</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20,966</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21,745</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Payments in advance of funding</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234,684</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277,682</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(68,230)</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(51,437)</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62,244</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53,039</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Allowance for credit losses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(13,195)</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(12,579)</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2,395,264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2,617,814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B6B6B6"/>
          </w:tcPr>
          <w:p>
            <w:pPr>
              <w:ind w:left="20"/>
              <w:spacing w:after="0"/>
              <w:rPr>
                <w:sz w:val="20"/>
                <w:szCs w:val="20"/>
                <w:color w:val="auto"/>
              </w:rPr>
            </w:pPr>
            <w:r>
              <w:rPr>
                <w:rFonts w:ascii="Arial" w:cs="Arial" w:eastAsia="Arial" w:hAnsi="Arial"/>
                <w:sz w:val="14"/>
                <w:szCs w:val="14"/>
                <w:b w:val="1"/>
                <w:bCs w:val="1"/>
                <w:color w:val="auto"/>
              </w:rPr>
              <w:t>Liabilities and Shareholders’ Equity</w:t>
            </w:r>
            <w:r>
              <w:rPr>
                <w:rFonts w:ascii="Arial" w:cs="Arial" w:eastAsia="Arial" w:hAnsi="Arial"/>
                <w:sz w:val="18"/>
                <w:szCs w:val="18"/>
                <w:b w:val="1"/>
                <w:bCs w:val="1"/>
                <w:color w:val="auto"/>
                <w:vertAlign w:val="superscript"/>
              </w:rPr>
              <w:t>1</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color w:val="auto"/>
              </w:rPr>
              <w:t>Interest-bearing liabilities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Interest-bearing demand deposits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508,554</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4,007</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3.13 %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545,539</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701</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0.51 %</w:t>
            </w: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Savings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7,716</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33</w:t>
            </w:r>
          </w:p>
        </w:tc>
        <w:tc>
          <w:tcPr>
            <w:tcW w:w="940" w:type="dxa"/>
            <w:vAlign w:val="bottom"/>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13,547</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12</w:t>
            </w:r>
          </w:p>
        </w:tc>
        <w:tc>
          <w:tcPr>
            <w:tcW w:w="960" w:type="dxa"/>
            <w:vAlign w:val="bottom"/>
          </w:tcPr>
          <w:p>
            <w:pPr>
              <w:jc w:val="right"/>
              <w:spacing w:after="0"/>
              <w:rPr>
                <w:sz w:val="20"/>
                <w:szCs w:val="20"/>
                <w:color w:val="auto"/>
              </w:rPr>
            </w:pPr>
            <w:r>
              <w:rPr>
                <w:rFonts w:ascii="Arial" w:cs="Arial" w:eastAsia="Arial" w:hAnsi="Arial"/>
                <w:sz w:val="14"/>
                <w:szCs w:val="14"/>
                <w:color w:val="auto"/>
              </w:rPr>
              <w:t>0.35 %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Time deposits &gt;= $100</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23,610</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203</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3.41 %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16,325</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37</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0.90 %</w:t>
            </w: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Other time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51,676</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398</w:t>
            </w:r>
          </w:p>
        </w:tc>
        <w:tc>
          <w:tcPr>
            <w:tcW w:w="940" w:type="dxa"/>
            <w:vAlign w:val="bottom"/>
          </w:tcPr>
          <w:p>
            <w:pPr>
              <w:jc w:val="right"/>
              <w:spacing w:after="0"/>
              <w:rPr>
                <w:sz w:val="20"/>
                <w:szCs w:val="20"/>
                <w:color w:val="auto"/>
              </w:rPr>
            </w:pPr>
            <w:r>
              <w:rPr>
                <w:rFonts w:ascii="Arial" w:cs="Arial" w:eastAsia="Arial" w:hAnsi="Arial"/>
                <w:sz w:val="14"/>
                <w:szCs w:val="14"/>
                <w:color w:val="auto"/>
              </w:rPr>
              <w:t>3.06 %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22,047</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32</w:t>
            </w:r>
          </w:p>
        </w:tc>
        <w:tc>
          <w:tcPr>
            <w:tcW w:w="960" w:type="dxa"/>
            <w:vAlign w:val="bottom"/>
          </w:tcPr>
          <w:p>
            <w:pPr>
              <w:jc w:val="right"/>
              <w:spacing w:after="0"/>
              <w:rPr>
                <w:sz w:val="20"/>
                <w:szCs w:val="20"/>
                <w:color w:val="auto"/>
              </w:rPr>
            </w:pPr>
            <w:r>
              <w:rPr>
                <w:rFonts w:ascii="Arial" w:cs="Arial" w:eastAsia="Arial" w:hAnsi="Arial"/>
                <w:sz w:val="14"/>
                <w:szCs w:val="14"/>
                <w:color w:val="auto"/>
              </w:rPr>
              <w:t>0.58 %</w:t>
            </w: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591,556</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4,641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3.11 %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597,458</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782</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0.52 %</w:t>
            </w:r>
          </w:p>
        </w:tc>
        <w:tc>
          <w:tcPr>
            <w:tcW w:w="0" w:type="dxa"/>
            <w:vAlign w:val="bottom"/>
          </w:tcPr>
          <w:p>
            <w:pPr>
              <w:spacing w:after="0"/>
              <w:rPr>
                <w:sz w:val="1"/>
                <w:szCs w:val="1"/>
                <w:color w:val="auto"/>
              </w:rPr>
            </w:pPr>
          </w:p>
        </w:tc>
      </w:tr>
      <w:tr>
        <w:trPr>
          <w:trHeight w:val="204"/>
        </w:trPr>
        <w:tc>
          <w:tcPr>
            <w:tcW w:w="3680" w:type="dxa"/>
            <w:vAlign w:val="bottom"/>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interest-bearing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591,567</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4,641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3.11 %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597,469</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782</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0.52 %</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Demand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480,472</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586,872</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180"/>
              <w:spacing w:after="0"/>
              <w:rPr>
                <w:sz w:val="20"/>
                <w:szCs w:val="20"/>
                <w:color w:val="auto"/>
              </w:rPr>
            </w:pPr>
            <w:r>
              <w:rPr>
                <w:rFonts w:ascii="Arial" w:cs="Arial" w:eastAsia="Arial" w:hAnsi="Arial"/>
                <w:sz w:val="14"/>
                <w:szCs w:val="14"/>
                <w:color w:val="auto"/>
              </w:rPr>
              <w:t>Accounts and drafts payable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1,070,057</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1,182,373</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40,578</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43,852</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2,182,674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2,410,566</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212,590</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207,248</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2,395,264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2,617,814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16,805</w:t>
            </w:r>
          </w:p>
        </w:tc>
        <w:tc>
          <w:tcPr>
            <w:tcW w:w="94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16,383</w:t>
            </w:r>
          </w:p>
        </w:tc>
        <w:tc>
          <w:tcPr>
            <w:tcW w:w="96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Net interest margin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2.90 %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2.52 %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spacing w:after="0" w:line="30"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4"/>
          <w:szCs w:val="14"/>
          <w:color w:val="auto"/>
        </w:rPr>
        <w:t>Interest income on loans includes net loan fees of $98,000 and $99,000 for the third quarter of 2023 and 2022, respectively.</w:t>
      </w:r>
    </w:p>
    <w:p>
      <w:pPr>
        <w:spacing w:after="0" w:line="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43"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4"/>
          <w:szCs w:val="14"/>
          <w:color w:val="auto"/>
        </w:rPr>
        <w:t>Interest income is presented on a tax-equivalent basis assuming a tax rate of 21% for both 2023 and 2022. The tax-equivalent adjustment was approximately $256,000 and $412,000 for the third quarter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 2023</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Nine Months Ended 2022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80" w:type="dxa"/>
            <w:vAlign w:val="bottom"/>
          </w:tcPr>
          <w:p>
            <w:pPr>
              <w:ind w:left="140"/>
              <w:spacing w:after="0" w:line="160" w:lineRule="exact"/>
              <w:rPr>
                <w:sz w:val="20"/>
                <w:szCs w:val="20"/>
                <w:color w:val="auto"/>
              </w:rPr>
            </w:pPr>
            <w:r>
              <w:rPr>
                <w:rFonts w:ascii="Arial" w:cs="Arial" w:eastAsia="Arial" w:hAnsi="Arial"/>
                <w:sz w:val="14"/>
                <w:szCs w:val="14"/>
                <w:b w:val="1"/>
                <w:bCs w:val="1"/>
                <w:color w:val="auto"/>
              </w:rPr>
              <w:t>Interest</w:t>
            </w: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80" w:type="dxa"/>
            <w:vAlign w:val="bottom"/>
          </w:tcPr>
          <w:p>
            <w:pPr>
              <w:ind w:left="140"/>
              <w:spacing w:after="0" w:line="160" w:lineRule="exact"/>
              <w:rPr>
                <w:sz w:val="20"/>
                <w:szCs w:val="20"/>
                <w:color w:val="auto"/>
              </w:rPr>
            </w:pPr>
            <w:r>
              <w:rPr>
                <w:rFonts w:ascii="Arial" w:cs="Arial" w:eastAsia="Arial" w:hAnsi="Arial"/>
                <w:sz w:val="14"/>
                <w:szCs w:val="14"/>
                <w:b w:val="1"/>
                <w:bCs w:val="1"/>
                <w:color w:val="auto"/>
              </w:rPr>
              <w:t>Interest</w:t>
            </w: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b w:val="1"/>
                <w:bCs w:val="1"/>
                <w:color w:val="auto"/>
              </w:rPr>
              <w:t>Assets</w:t>
            </w:r>
            <w:r>
              <w:rPr>
                <w:rFonts w:ascii="Arial" w:cs="Arial" w:eastAsia="Arial" w:hAnsi="Arial"/>
                <w:sz w:val="9"/>
                <w:szCs w:val="9"/>
                <w:color w:val="auto"/>
              </w:rPr>
              <w:t>1</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Loans</w:t>
            </w:r>
            <w:r>
              <w:rPr>
                <w:rFonts w:ascii="Arial" w:cs="Arial" w:eastAsia="Arial" w:hAnsi="Arial"/>
                <w:sz w:val="9"/>
                <w:szCs w:val="9"/>
                <w:color w:val="auto"/>
              </w:rPr>
              <w:t>2</w:t>
            </w:r>
            <w:r>
              <w:rPr>
                <w:rFonts w:ascii="Arial" w:cs="Arial" w:eastAsia="Arial" w:hAnsi="Arial"/>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1,065,915</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38,029</w:t>
            </w:r>
          </w:p>
        </w:tc>
        <w:tc>
          <w:tcPr>
            <w:tcW w:w="900" w:type="dxa"/>
            <w:vAlign w:val="bottom"/>
          </w:tcPr>
          <w:p>
            <w:pPr>
              <w:jc w:val="right"/>
              <w:spacing w:after="0"/>
              <w:rPr>
                <w:sz w:val="20"/>
                <w:szCs w:val="20"/>
                <w:color w:val="auto"/>
              </w:rPr>
            </w:pPr>
            <w:r>
              <w:rPr>
                <w:rFonts w:ascii="Arial" w:cs="Arial" w:eastAsia="Arial" w:hAnsi="Arial"/>
                <w:sz w:val="14"/>
                <w:szCs w:val="14"/>
                <w:color w:val="auto"/>
              </w:rPr>
              <w:t>4.77 %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972,698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27,890</w:t>
            </w:r>
          </w:p>
        </w:tc>
        <w:tc>
          <w:tcPr>
            <w:tcW w:w="920" w:type="dxa"/>
            <w:vAlign w:val="bottom"/>
          </w:tcPr>
          <w:p>
            <w:pPr>
              <w:jc w:val="right"/>
              <w:spacing w:after="0"/>
              <w:rPr>
                <w:sz w:val="20"/>
                <w:szCs w:val="20"/>
                <w:color w:val="auto"/>
              </w:rPr>
            </w:pPr>
            <w:r>
              <w:rPr>
                <w:rFonts w:ascii="Arial" w:cs="Arial" w:eastAsia="Arial" w:hAnsi="Arial"/>
                <w:sz w:val="14"/>
                <w:szCs w:val="14"/>
                <w:color w:val="auto"/>
              </w:rPr>
              <w:t>3.83 %</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Investment securities</w:t>
            </w:r>
            <w:r>
              <w:rPr>
                <w:rFonts w:ascii="Arial" w:cs="Arial" w:eastAsia="Arial" w:hAnsi="Arial"/>
                <w:sz w:val="9"/>
                <w:szCs w:val="9"/>
                <w:color w:val="auto"/>
              </w:rPr>
              <w:t>3</w:t>
            </w:r>
            <w:r>
              <w:rPr>
                <w:rFonts w:ascii="Arial" w:cs="Arial" w:eastAsia="Arial" w:hAnsi="Arial"/>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550,680</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10,702</w:t>
            </w:r>
          </w:p>
        </w:tc>
        <w:tc>
          <w:tcPr>
            <w:tcW w:w="900" w:type="dxa"/>
            <w:vAlign w:val="bottom"/>
          </w:tcPr>
          <w:p>
            <w:pPr>
              <w:jc w:val="right"/>
              <w:spacing w:after="0"/>
              <w:rPr>
                <w:sz w:val="20"/>
                <w:szCs w:val="20"/>
                <w:color w:val="auto"/>
              </w:rPr>
            </w:pPr>
            <w:r>
              <w:rPr>
                <w:rFonts w:ascii="Arial" w:cs="Arial" w:eastAsia="Arial" w:hAnsi="Arial"/>
                <w:sz w:val="14"/>
                <w:szCs w:val="14"/>
                <w:color w:val="auto"/>
              </w:rPr>
              <w:t>2.60 %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488,257</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6,679</w:t>
            </w:r>
          </w:p>
        </w:tc>
        <w:tc>
          <w:tcPr>
            <w:tcW w:w="920" w:type="dxa"/>
            <w:vAlign w:val="bottom"/>
          </w:tcPr>
          <w:p>
            <w:pPr>
              <w:jc w:val="right"/>
              <w:spacing w:after="0"/>
              <w:rPr>
                <w:sz w:val="20"/>
                <w:szCs w:val="20"/>
                <w:color w:val="auto"/>
              </w:rPr>
            </w:pPr>
            <w:r>
              <w:rPr>
                <w:rFonts w:ascii="Arial" w:cs="Arial" w:eastAsia="Arial" w:hAnsi="Arial"/>
                <w:sz w:val="14"/>
                <w:szCs w:val="14"/>
                <w:color w:val="auto"/>
              </w:rPr>
              <w:t>1.83 %</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Tax-exempt</w:t>
            </w:r>
            <w:r>
              <w:rPr>
                <w:rFonts w:ascii="Arial" w:cs="Arial" w:eastAsia="Arial" w:hAnsi="Arial"/>
                <w:sz w:val="9"/>
                <w:szCs w:val="9"/>
                <w:color w:val="auto"/>
              </w:rPr>
              <w:t>4</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197,023</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4,001</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2.72 %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284,187</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6,161</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2.90 %</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263,774</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9,147</w:t>
            </w:r>
          </w:p>
        </w:tc>
        <w:tc>
          <w:tcPr>
            <w:tcW w:w="900" w:type="dxa"/>
            <w:vAlign w:val="bottom"/>
          </w:tcPr>
          <w:p>
            <w:pPr>
              <w:jc w:val="right"/>
              <w:spacing w:after="0"/>
              <w:rPr>
                <w:sz w:val="20"/>
                <w:szCs w:val="20"/>
                <w:color w:val="auto"/>
              </w:rPr>
            </w:pPr>
            <w:r>
              <w:rPr>
                <w:rFonts w:ascii="Arial" w:cs="Arial" w:eastAsia="Arial" w:hAnsi="Arial"/>
                <w:sz w:val="14"/>
                <w:szCs w:val="14"/>
                <w:color w:val="auto"/>
              </w:rPr>
              <w:t>4.64 %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451,562</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3,423</w:t>
            </w:r>
          </w:p>
        </w:tc>
        <w:tc>
          <w:tcPr>
            <w:tcW w:w="920" w:type="dxa"/>
            <w:vAlign w:val="bottom"/>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26"/>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2,077,392</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61,879</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3.98 %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2,196,704</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44,153</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2.69 %</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Non-interest-earning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23,774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20,304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Premises and equipment, net</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22,984</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19,192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48,395</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46,009</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Goodwill and other intangibles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21,159</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18,887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Payments in advance of funding</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243,458</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283,430</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Unrealized loss on investment securities</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(65,882)</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(31,791)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63,322</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47,374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Allowance for credit losses</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(13,327)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(12,349)</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2,421,275</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2,587,760</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 and Shareholders’ Equity</w:t>
            </w:r>
            <w:r>
              <w:rPr>
                <w:rFonts w:ascii="Arial" w:cs="Arial" w:eastAsia="Arial" w:hAnsi="Arial"/>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180"/>
              <w:spacing w:after="0"/>
              <w:rPr>
                <w:sz w:val="20"/>
                <w:szCs w:val="20"/>
                <w:color w:val="auto"/>
              </w:rPr>
            </w:pPr>
            <w:r>
              <w:rPr>
                <w:rFonts w:ascii="Arial" w:cs="Arial" w:eastAsia="Arial" w:hAnsi="Arial"/>
                <w:sz w:val="14"/>
                <w:szCs w:val="14"/>
                <w:color w:val="auto"/>
              </w:rPr>
              <w:t>Interest-bearing demand deposits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491,495</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10,060</w:t>
            </w:r>
          </w:p>
        </w:tc>
        <w:tc>
          <w:tcPr>
            <w:tcW w:w="900" w:type="dxa"/>
            <w:vAlign w:val="bottom"/>
          </w:tcPr>
          <w:p>
            <w:pPr>
              <w:jc w:val="right"/>
              <w:spacing w:after="0"/>
              <w:rPr>
                <w:sz w:val="20"/>
                <w:szCs w:val="20"/>
                <w:color w:val="auto"/>
              </w:rPr>
            </w:pPr>
            <w:r>
              <w:rPr>
                <w:rFonts w:ascii="Arial" w:cs="Arial" w:eastAsia="Arial" w:hAnsi="Arial"/>
                <w:sz w:val="14"/>
                <w:szCs w:val="14"/>
                <w:color w:val="auto"/>
              </w:rPr>
              <w:t>2.74 %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542,378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1,102</w:t>
            </w:r>
          </w:p>
        </w:tc>
        <w:tc>
          <w:tcPr>
            <w:tcW w:w="920" w:type="dxa"/>
            <w:vAlign w:val="bottom"/>
          </w:tcPr>
          <w:p>
            <w:pPr>
              <w:jc w:val="right"/>
              <w:spacing w:after="0"/>
              <w:rPr>
                <w:sz w:val="20"/>
                <w:szCs w:val="20"/>
                <w:color w:val="auto"/>
              </w:rPr>
            </w:pPr>
            <w:r>
              <w:rPr>
                <w:rFonts w:ascii="Arial" w:cs="Arial" w:eastAsia="Arial" w:hAnsi="Arial"/>
                <w:sz w:val="14"/>
                <w:szCs w:val="14"/>
                <w:color w:val="auto"/>
              </w:rPr>
              <w:t>0.27 %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7,094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82</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1.55 %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14,628</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17</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0.16 %</w:t>
            </w: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23,115</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463</w:t>
            </w:r>
          </w:p>
        </w:tc>
        <w:tc>
          <w:tcPr>
            <w:tcW w:w="900" w:type="dxa"/>
            <w:vAlign w:val="bottom"/>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17,054</w:t>
            </w:r>
          </w:p>
        </w:tc>
        <w:tc>
          <w:tcPr>
            <w:tcW w:w="28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color w:val="auto"/>
              </w:rPr>
              <w:t>115</w:t>
            </w:r>
          </w:p>
        </w:tc>
        <w:tc>
          <w:tcPr>
            <w:tcW w:w="920" w:type="dxa"/>
            <w:vAlign w:val="bottom"/>
          </w:tcPr>
          <w:p>
            <w:pPr>
              <w:jc w:val="right"/>
              <w:spacing w:after="0"/>
              <w:rPr>
                <w:sz w:val="20"/>
                <w:szCs w:val="20"/>
                <w:color w:val="auto"/>
              </w:rPr>
            </w:pPr>
            <w:r>
              <w:rPr>
                <w:rFonts w:ascii="Arial" w:cs="Arial" w:eastAsia="Arial" w:hAnsi="Arial"/>
                <w:sz w:val="14"/>
                <w:szCs w:val="14"/>
                <w:color w:val="auto"/>
              </w:rPr>
              <w:t>0.90 %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42,290</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858</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24,741</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110</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0.59 %</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563,994</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11,463</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598,801</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1,344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0.30 %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2,993</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116</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5.18 %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566,987</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11,579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598,812</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1,344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0.30 %</w:t>
            </w: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180"/>
              <w:spacing w:after="0"/>
              <w:rPr>
                <w:sz w:val="20"/>
                <w:szCs w:val="20"/>
                <w:color w:val="auto"/>
              </w:rPr>
            </w:pPr>
            <w:r>
              <w:rPr>
                <w:rFonts w:ascii="Arial" w:cs="Arial" w:eastAsia="Arial" w:hAnsi="Arial"/>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528,677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594,994</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Accounts and drafts payable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1,071,414</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1,135,673</w:t>
            </w: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42,037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41,454</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2,209,115</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2,370,933</w:t>
            </w:r>
          </w:p>
        </w:tc>
        <w:tc>
          <w:tcPr>
            <w:tcW w:w="280" w:type="dxa"/>
            <w:vAlign w:val="bottom"/>
            <w:tcBorders>
              <w:bottom w:val="single" w:sz="8" w:color="B6B6B6"/>
            </w:tcBorders>
            <w:shd w:val="clear" w:color="auto" w:fill="B6B6B6"/>
          </w:tcPr>
          <w:p>
            <w:pPr>
              <w:spacing w:after="0"/>
              <w:rPr>
                <w:sz w:val="16"/>
                <w:szCs w:val="16"/>
                <w:color w:val="auto"/>
              </w:rPr>
            </w:pPr>
          </w:p>
        </w:tc>
        <w:tc>
          <w:tcPr>
            <w:tcW w:w="1280" w:type="dxa"/>
            <w:vAlign w:val="bottom"/>
            <w:tcBorders>
              <w:bottom w:val="single" w:sz="8" w:color="B6B6B6"/>
            </w:tcBorders>
            <w:shd w:val="clear" w:color="auto" w:fill="B6B6B6"/>
          </w:tcPr>
          <w:p>
            <w:pPr>
              <w:spacing w:after="0"/>
              <w:rPr>
                <w:sz w:val="16"/>
                <w:szCs w:val="16"/>
                <w:color w:val="auto"/>
              </w:rPr>
            </w:pPr>
          </w:p>
        </w:tc>
        <w:tc>
          <w:tcPr>
            <w:tcW w:w="9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212,159</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216,827</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2,421,274</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2,587,760</w:t>
            </w:r>
          </w:p>
        </w:tc>
        <w:tc>
          <w:tcPr>
            <w:tcW w:w="280" w:type="dxa"/>
            <w:vAlign w:val="bottom"/>
            <w:tcBorders>
              <w:bottom w:val="single" w:sz="8" w:color="B6B6B6"/>
            </w:tcBorders>
            <w:shd w:val="clear" w:color="auto" w:fill="B6B6B6"/>
          </w:tcPr>
          <w:p>
            <w:pPr>
              <w:spacing w:after="0"/>
              <w:rPr>
                <w:sz w:val="18"/>
                <w:szCs w:val="18"/>
                <w:color w:val="auto"/>
              </w:rPr>
            </w:pPr>
          </w:p>
        </w:tc>
        <w:tc>
          <w:tcPr>
            <w:tcW w:w="128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50,300</w:t>
            </w: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42,809</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Net interest margin</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3.24 %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8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2.61 %</w:t>
            </w:r>
          </w:p>
        </w:tc>
        <w:tc>
          <w:tcPr>
            <w:tcW w:w="0" w:type="dxa"/>
            <w:vAlign w:val="bottom"/>
          </w:tcPr>
          <w:p>
            <w:pPr>
              <w:spacing w:after="0"/>
              <w:rPr>
                <w:sz w:val="1"/>
                <w:szCs w:val="1"/>
                <w:color w:val="auto"/>
              </w:rPr>
            </w:pP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Interest spread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2.39 %</w:t>
            </w: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$609,000 and $500,000 for the nine months ended September 30, 2023 and 2022, respectively.</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6" w:lineRule="exact"/>
        <w:rPr>
          <w:rFonts w:ascii="Arial" w:cs="Arial" w:eastAsia="Arial" w:hAnsi="Arial"/>
          <w:sz w:val="14"/>
          <w:szCs w:val="14"/>
          <w:color w:val="auto"/>
        </w:rPr>
      </w:pPr>
    </w:p>
    <w:p>
      <w:pPr>
        <w:ind w:left="340" w:right="560" w:hanging="332"/>
        <w:spacing w:after="0" w:line="27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the nine months ended September 30, 2023 and 2022. The tax-equivalent adjustment was approximately $840,000 and $1,294,000 for the nine months ended September 30, 2023 and 2022, respectively.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4"/>
              </w:rPr>
              <w:t>Third Quarter of 2023 Compared to Third Quarter of</w:t>
            </w:r>
          </w:p>
        </w:tc>
      </w:tr>
      <w:tr>
        <w:trPr>
          <w:trHeight w:val="234"/>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57"/>
        </w:trPr>
        <w:tc>
          <w:tcPr>
            <w:tcW w:w="6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Increase (decrease) in interest income:</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57"/>
        </w:trPr>
        <w:tc>
          <w:tcPr>
            <w:tcW w:w="676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2,858</w:t>
            </w:r>
          </w:p>
        </w:tc>
      </w:tr>
      <w:tr>
        <w:trPr>
          <w:trHeight w:val="256"/>
        </w:trPr>
        <w:tc>
          <w:tcPr>
            <w:tcW w:w="6760" w:type="dxa"/>
            <w:vAlign w:val="bottom"/>
            <w:shd w:val="clear" w:color="auto" w:fill="B6B6B6"/>
          </w:tcPr>
          <w:p>
            <w:pPr>
              <w:ind w:left="18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50"/>
        </w:trPr>
        <w:tc>
          <w:tcPr>
            <w:tcW w:w="6760" w:type="dxa"/>
            <w:vAlign w:val="bottom"/>
          </w:tcPr>
          <w:p>
            <w:pPr>
              <w:ind w:left="360"/>
              <w:spacing w:after="0"/>
              <w:rPr>
                <w:sz w:val="20"/>
                <w:szCs w:val="20"/>
                <w:color w:val="auto"/>
              </w:rPr>
            </w:pPr>
            <w:r>
              <w:rPr>
                <w:rFonts w:ascii="Arial" w:cs="Arial" w:eastAsia="Arial" w:hAnsi="Arial"/>
                <w:sz w:val="18"/>
                <w:szCs w:val="18"/>
                <w:color w:val="auto"/>
              </w:rPr>
              <w:t>Taxable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63"/>
        </w:trPr>
        <w:tc>
          <w:tcPr>
            <w:tcW w:w="6760" w:type="dxa"/>
            <w:vAlign w:val="bottom"/>
            <w:shd w:val="clear" w:color="auto" w:fill="B6B6B6"/>
          </w:tcPr>
          <w:p>
            <w:pPr>
              <w:ind w:left="360"/>
              <w:spacing w:after="0" w:line="263" w:lineRule="exact"/>
              <w:rPr>
                <w:sz w:val="20"/>
                <w:szCs w:val="20"/>
                <w:color w:val="auto"/>
              </w:rPr>
            </w:pPr>
            <w:r>
              <w:rPr>
                <w:rFonts w:ascii="Arial" w:cs="Arial" w:eastAsia="Arial" w:hAnsi="Arial"/>
                <w:sz w:val="18"/>
                <w:szCs w:val="18"/>
                <w:color w:val="auto"/>
              </w:rPr>
              <w:t>Tax-exempt</w:t>
            </w:r>
            <w:r>
              <w:rPr>
                <w:rFonts w:ascii="Arial" w:cs="Arial" w:eastAsia="Arial" w:hAnsi="Arial"/>
                <w:sz w:val="23"/>
                <w:szCs w:val="23"/>
                <w:color w:val="auto"/>
                <w:vertAlign w:val="superscript"/>
              </w:rPr>
              <w:t>2</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(600)</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(743)</w:t>
            </w:r>
          </w:p>
        </w:tc>
      </w:tr>
      <w:tr>
        <w:trPr>
          <w:trHeight w:val="250"/>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interest income</w:t>
            </w:r>
          </w:p>
        </w:tc>
        <w:tc>
          <w:tcPr>
            <w:tcW w:w="140" w:type="dxa"/>
            <w:vAlign w:val="bottom"/>
            <w:tcBorders>
              <w:bottom w:val="single" w:sz="8" w:color="auto"/>
            </w:tcBorders>
            <w:shd w:val="clear" w:color="auto" w:fill="B6B6B6"/>
          </w:tcPr>
          <w:p>
            <w:pPr>
              <w:spacing w:after="0"/>
              <w:rPr>
                <w:sz w:val="21"/>
                <w:szCs w:val="21"/>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(916)</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5,197</w:t>
            </w:r>
          </w:p>
        </w:tc>
        <w:tc>
          <w:tcPr>
            <w:tcW w:w="36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4,281</w:t>
            </w:r>
          </w:p>
        </w:tc>
      </w:tr>
      <w:tr>
        <w:trPr>
          <w:trHeight w:val="250"/>
        </w:trPr>
        <w:tc>
          <w:tcPr>
            <w:tcW w:w="6760" w:type="dxa"/>
            <w:vAlign w:val="bottom"/>
          </w:tcPr>
          <w:p>
            <w:pPr>
              <w:ind w:left="20"/>
              <w:spacing w:after="0"/>
              <w:rPr>
                <w:sz w:val="20"/>
                <w:szCs w:val="20"/>
                <w:color w:val="auto"/>
              </w:rPr>
            </w:pPr>
            <w:r>
              <w:rPr>
                <w:rFonts w:ascii="Arial" w:cs="Arial" w:eastAsia="Arial" w:hAnsi="Arial"/>
                <w:sz w:val="18"/>
                <w:szCs w:val="18"/>
                <w:color w:val="auto"/>
              </w:rPr>
              <w:t>Increase (decrease) in interest expense: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760" w:type="dxa"/>
            <w:vAlign w:val="bottom"/>
            <w:shd w:val="clear" w:color="auto" w:fill="B6B6B6"/>
          </w:tcPr>
          <w:p>
            <w:pPr>
              <w:ind w:left="140"/>
              <w:spacing w:after="0"/>
              <w:rPr>
                <w:sz w:val="20"/>
                <w:szCs w:val="20"/>
                <w:color w:val="auto"/>
              </w:rPr>
            </w:pPr>
            <w:r>
              <w:rPr>
                <w:rFonts w:ascii="Arial" w:cs="Arial" w:eastAsia="Arial" w:hAnsi="Arial"/>
                <w:sz w:val="18"/>
                <w:szCs w:val="18"/>
                <w:color w:val="auto"/>
              </w:rPr>
              <w:t>Interest-bearing demand deposits</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3,357</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3,306</w:t>
            </w: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6760" w:type="dxa"/>
            <w:vAlign w:val="bottom"/>
            <w:shd w:val="clear" w:color="auto" w:fill="B6B6B6"/>
          </w:tcPr>
          <w:p>
            <w:pPr>
              <w:ind w:left="180"/>
              <w:spacing w:after="0"/>
              <w:rPr>
                <w:sz w:val="20"/>
                <w:szCs w:val="20"/>
                <w:color w:val="auto"/>
              </w:rPr>
            </w:pPr>
            <w:r>
              <w:rPr>
                <w:rFonts w:ascii="Arial" w:cs="Arial" w:eastAsia="Arial" w:hAnsi="Arial"/>
                <w:sz w:val="18"/>
                <w:szCs w:val="18"/>
                <w:color w:val="auto"/>
              </w:rPr>
              <w:t>Time deposits &gt;=$100</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166</w:t>
            </w: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Other time deposits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Short-term borrowings</w:t>
            </w:r>
          </w:p>
        </w:tc>
        <w:tc>
          <w:tcPr>
            <w:tcW w:w="140" w:type="dxa"/>
            <w:vAlign w:val="bottom"/>
            <w:tcBorders>
              <w:bottom w:val="single" w:sz="8" w:color="auto"/>
            </w:tcBorders>
            <w:shd w:val="clear" w:color="auto" w:fill="B6B6B6"/>
          </w:tcPr>
          <w:p>
            <w:pPr>
              <w:spacing w:after="0"/>
              <w:rPr>
                <w:sz w:val="22"/>
                <w:szCs w:val="22"/>
                <w:color w:val="auto"/>
              </w:rPr>
            </w:pPr>
          </w:p>
        </w:tc>
        <w:tc>
          <w:tcPr>
            <w:tcW w:w="13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interest expense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3,807</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(968)</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1,390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422</w:t>
            </w:r>
          </w:p>
        </w:tc>
      </w:tr>
    </w:tbl>
    <w:p>
      <w:pPr>
        <w:spacing w:after="0" w:line="7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three months ended September 30,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2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Nine Months Ended 2023 Compared to</w:t>
            </w:r>
          </w:p>
        </w:tc>
      </w:tr>
      <w:tr>
        <w:trPr>
          <w:trHeight w:val="239"/>
        </w:trPr>
        <w:tc>
          <w:tcPr>
            <w:tcW w:w="6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Nine Months Ended of 2022</w:t>
            </w:r>
          </w:p>
        </w:tc>
        <w:tc>
          <w:tcPr>
            <w:tcW w:w="1040" w:type="dxa"/>
            <w:vAlign w:val="bottom"/>
            <w:tcBorders>
              <w:bottom w:val="single" w:sz="8" w:color="auto"/>
            </w:tcBorders>
          </w:tcPr>
          <w:p>
            <w:pPr>
              <w:spacing w:after="0"/>
              <w:rPr>
                <w:sz w:val="20"/>
                <w:szCs w:val="20"/>
                <w:color w:val="auto"/>
              </w:rPr>
            </w:pPr>
          </w:p>
        </w:tc>
      </w:tr>
      <w:tr>
        <w:trPr>
          <w:trHeight w:val="24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56"/>
        </w:trPr>
        <w:tc>
          <w:tcPr>
            <w:tcW w:w="6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Increase (decrease) in interest income: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r>
      <w:tr>
        <w:trPr>
          <w:trHeight w:val="257"/>
        </w:trPr>
        <w:tc>
          <w:tcPr>
            <w:tcW w:w="676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76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6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2,857</w:t>
            </w:r>
          </w:p>
        </w:tc>
        <w:tc>
          <w:tcPr>
            <w:tcW w:w="3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7,282</w:t>
            </w:r>
          </w:p>
        </w:tc>
        <w:tc>
          <w:tcPr>
            <w:tcW w:w="44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10,139</w:t>
            </w: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6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938</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3,085</w:t>
            </w: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4,023</w:t>
            </w:r>
          </w:p>
        </w:tc>
      </w:tr>
      <w:tr>
        <w:trPr>
          <w:trHeight w:val="256"/>
        </w:trPr>
        <w:tc>
          <w:tcPr>
            <w:tcW w:w="676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3"/>
                <w:szCs w:val="23"/>
                <w:color w:val="auto"/>
                <w:vertAlign w:val="superscript"/>
              </w:rPr>
              <w:t>2</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(1,791)</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50"/>
        </w:trPr>
        <w:tc>
          <w:tcPr>
            <w:tcW w:w="676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(1,954)</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7,678</w:t>
            </w:r>
          </w:p>
        </w:tc>
        <w:tc>
          <w:tcPr>
            <w:tcW w:w="440" w:type="dxa"/>
            <w:vAlign w:val="bottom"/>
            <w:tcBorders>
              <w:bottom w:val="single" w:sz="8" w:color="auto"/>
            </w:tcBorders>
            <w:shd w:val="clear" w:color="auto" w:fill="B6B6B6"/>
          </w:tcPr>
          <w:p>
            <w:pPr>
              <w:spacing w:after="0"/>
              <w:rPr>
                <w:sz w:val="21"/>
                <w:szCs w:val="21"/>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5,724</w:t>
            </w:r>
          </w:p>
        </w:tc>
      </w:tr>
      <w:tr>
        <w:trPr>
          <w:trHeight w:val="25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interest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17,676</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17,726</w:t>
            </w:r>
          </w:p>
        </w:tc>
      </w:tr>
      <w:tr>
        <w:trPr>
          <w:trHeight w:val="257"/>
        </w:trPr>
        <w:tc>
          <w:tcPr>
            <w:tcW w:w="6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expense on:</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9,071</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8,958</w:t>
            </w:r>
          </w:p>
        </w:tc>
      </w:tr>
      <w:tr>
        <w:trPr>
          <w:trHeight w:val="263"/>
        </w:trPr>
        <w:tc>
          <w:tcPr>
            <w:tcW w:w="6760" w:type="dxa"/>
            <w:vAlign w:val="bottom"/>
            <w:shd w:val="clear" w:color="auto" w:fill="B6B6B6"/>
          </w:tcPr>
          <w:p>
            <w:pPr>
              <w:ind w:left="180"/>
              <w:spacing w:after="0"/>
              <w:rPr>
                <w:sz w:val="20"/>
                <w:szCs w:val="20"/>
                <w:color w:val="auto"/>
              </w:rPr>
            </w:pPr>
            <w:r>
              <w:rPr>
                <w:rFonts w:ascii="Arial" w:cs="Arial" w:eastAsia="Arial" w:hAnsi="Arial"/>
                <w:sz w:val="18"/>
                <w:szCs w:val="18"/>
                <w:color w:val="auto"/>
              </w:rPr>
              <w:t>Savings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65</w:t>
            </w:r>
          </w:p>
        </w:tc>
      </w:tr>
      <w:tr>
        <w:trPr>
          <w:trHeight w:val="250"/>
        </w:trPr>
        <w:tc>
          <w:tcPr>
            <w:tcW w:w="6760" w:type="dxa"/>
            <w:vAlign w:val="bottom"/>
          </w:tcPr>
          <w:p>
            <w:pPr>
              <w:ind w:left="180"/>
              <w:spacing w:after="0"/>
              <w:rPr>
                <w:sz w:val="20"/>
                <w:szCs w:val="20"/>
                <w:color w:val="auto"/>
              </w:rPr>
            </w:pPr>
            <w:r>
              <w:rPr>
                <w:rFonts w:ascii="Arial" w:cs="Arial" w:eastAsia="Arial" w:hAnsi="Arial"/>
                <w:sz w:val="18"/>
                <w:szCs w:val="18"/>
                <w:color w:val="auto"/>
              </w:rPr>
              <w:t>Time deposits &gt;=$100</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63"/>
        </w:trPr>
        <w:tc>
          <w:tcPr>
            <w:tcW w:w="6760" w:type="dxa"/>
            <w:vAlign w:val="bottom"/>
            <w:shd w:val="clear" w:color="auto" w:fill="B6B6B6"/>
          </w:tcPr>
          <w:p>
            <w:pPr>
              <w:ind w:left="180"/>
              <w:spacing w:after="0"/>
              <w:rPr>
                <w:sz w:val="20"/>
                <w:szCs w:val="20"/>
                <w:color w:val="auto"/>
              </w:rPr>
            </w:pPr>
            <w:r>
              <w:rPr>
                <w:rFonts w:ascii="Arial" w:cs="Arial" w:eastAsia="Arial" w:hAnsi="Arial"/>
                <w:sz w:val="18"/>
                <w:szCs w:val="18"/>
                <w:color w:val="auto"/>
              </w:rPr>
              <w:t>Other time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624</w:t>
            </w:r>
          </w:p>
        </w:tc>
        <w:tc>
          <w:tcPr>
            <w:tcW w:w="4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748</w:t>
            </w:r>
          </w:p>
        </w:tc>
      </w:tr>
      <w:tr>
        <w:trPr>
          <w:trHeight w:val="250"/>
        </w:trPr>
        <w:tc>
          <w:tcPr>
            <w:tcW w:w="6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10,184</w:t>
            </w:r>
          </w:p>
        </w:tc>
        <w:tc>
          <w:tcPr>
            <w:tcW w:w="440" w:type="dxa"/>
            <w:vAlign w:val="bottom"/>
            <w:tcBorders>
              <w:bottom w:val="single" w:sz="8" w:color="auto"/>
            </w:tcBorders>
            <w:shd w:val="clear" w:color="auto" w:fill="B6B6B6"/>
          </w:tcPr>
          <w:p>
            <w:pPr>
              <w:spacing w:after="0"/>
              <w:rPr>
                <w:sz w:val="21"/>
                <w:szCs w:val="21"/>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10,235</w:t>
            </w:r>
          </w:p>
        </w:tc>
      </w:tr>
      <w:tr>
        <w:trPr>
          <w:trHeight w:val="250"/>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interest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r>
    </w:tbl>
    <w:p>
      <w:pPr>
        <w:spacing w:after="0" w:line="6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nine months ended September 30,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Credit Losses and Allowance for Unfunded Commitments</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recorded a provision for credit losses and off-balance sheet credit exposures of $125,000 and $550,000 in the third quarter of 2023 and 2022, respectively. The Company recorded a release of credit losses and off-balance sheet credit exposures of $335,000 and a provision for credit losses of $850,000 in the nine months ended 2023 and 2022, respectively.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third quarter of 2023 was driven by certain changes to assumptions in the Company’s CECL model, partially offset by a decrease in total loans of $16.2 million, or 1.5%, as compared to June 30, 2023. The release of credit losses for the nine months ended September 30, 2023 was primarily driven by the decrease in loan balances outstanding from December 31, 2022.</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experienced no loan charge-offs in the third quarter of 2023 and 2022. The ACL was $13.3 million at September 30, 2023 and $13.5 million at December 31, 2022. The ACL represented 1.28% of outstanding loans at September 30, 2023 and 1.25% of outstanding loans at December 31, 2022. The allowance for unfunded commitments was $117,000 at September 30, 2023 and $232,000 at December 31, 2022. There were no nonperforming loans outstanding at September 30, 2023. The Company had one loan that was considered an individually evaluated credit at December 31, 2022, with no specific allowance. This loan was paid off in full in January 2023.</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Credit Loss Experience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(release of) credit losses and analysis of the ACL:</w:t>
      </w:r>
    </w:p>
    <w:p>
      <w:pPr>
        <w:spacing w:after="0" w:line="237"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Nine Months Ended</w:t>
      </w: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4"/>
          </w:tcPr>
          <w:p>
            <w:pPr>
              <w:ind w:left="520"/>
              <w:spacing w:after="0"/>
              <w:rPr>
                <w:sz w:val="20"/>
                <w:szCs w:val="20"/>
                <w:color w:val="auto"/>
              </w:rPr>
            </w:pPr>
            <w:r>
              <w:rPr>
                <w:rFonts w:ascii="Arial" w:cs="Arial" w:eastAsia="Arial" w:hAnsi="Arial"/>
                <w:sz w:val="18"/>
                <w:szCs w:val="18"/>
                <w:b w:val="1"/>
                <w:bCs w:val="1"/>
                <w:color w:val="auto"/>
              </w:rPr>
              <w:t>Third Quarter of</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57"/>
        </w:trPr>
        <w:tc>
          <w:tcPr>
            <w:tcW w:w="5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Allowance for credit losses at beginning of period</w:t>
            </w:r>
          </w:p>
        </w:tc>
        <w:tc>
          <w:tcPr>
            <w:tcW w:w="2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13,194</w:t>
            </w:r>
          </w:p>
        </w:tc>
        <w:tc>
          <w:tcPr>
            <w:tcW w:w="3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12,573</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13,539</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12,041</w:t>
            </w: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Provision for (release of) credit losses</w:t>
            </w:r>
          </w:p>
        </w:tc>
        <w:tc>
          <w:tcPr>
            <w:tcW w:w="28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996</w:t>
            </w:r>
          </w:p>
        </w:tc>
      </w:tr>
      <w:tr>
        <w:trPr>
          <w:trHeight w:val="257"/>
        </w:trPr>
        <w:tc>
          <w:tcPr>
            <w:tcW w:w="528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Net recoveries</w:t>
            </w:r>
          </w:p>
        </w:tc>
        <w:tc>
          <w:tcPr>
            <w:tcW w:w="2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gridSpan w:val="2"/>
            <w:shd w:val="clear" w:color="auto" w:fill="B6B6B6"/>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12</w:t>
            </w:r>
          </w:p>
        </w:tc>
      </w:tr>
      <w:tr>
        <w:trPr>
          <w:trHeight w:val="25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credit losses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13,319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13,049</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13,319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13,049</w:t>
            </w:r>
          </w:p>
        </w:tc>
      </w:tr>
      <w:tr>
        <w:trPr>
          <w:trHeight w:val="149"/>
        </w:trPr>
        <w:tc>
          <w:tcPr>
            <w:tcW w:w="5280" w:type="dxa"/>
            <w:vAlign w:val="bottom"/>
            <w:shd w:val="clear" w:color="auto" w:fill="B6B6B6"/>
          </w:tcPr>
          <w:p>
            <w:pPr>
              <w:spacing w:after="0"/>
              <w:rPr>
                <w:sz w:val="12"/>
                <w:szCs w:val="12"/>
                <w:color w:val="auto"/>
              </w:rPr>
            </w:pPr>
          </w:p>
        </w:tc>
        <w:tc>
          <w:tcPr>
            <w:tcW w:w="280" w:type="dxa"/>
            <w:vAlign w:val="bottom"/>
            <w:shd w:val="clear" w:color="auto" w:fill="B6B6B6"/>
          </w:tcPr>
          <w:p>
            <w:pPr>
              <w:spacing w:after="0"/>
              <w:rPr>
                <w:sz w:val="12"/>
                <w:szCs w:val="12"/>
                <w:color w:val="auto"/>
              </w:rPr>
            </w:pPr>
          </w:p>
        </w:tc>
        <w:tc>
          <w:tcPr>
            <w:tcW w:w="1180" w:type="dxa"/>
            <w:vAlign w:val="bottom"/>
            <w:shd w:val="clear" w:color="auto" w:fill="B6B6B6"/>
          </w:tcPr>
          <w:p>
            <w:pPr>
              <w:spacing w:after="0"/>
              <w:rPr>
                <w:sz w:val="12"/>
                <w:szCs w:val="12"/>
                <w:color w:val="auto"/>
              </w:rPr>
            </w:pPr>
          </w:p>
        </w:tc>
        <w:tc>
          <w:tcPr>
            <w:tcW w:w="360" w:type="dxa"/>
            <w:vAlign w:val="bottom"/>
            <w:shd w:val="clear" w:color="auto" w:fill="B6B6B6"/>
          </w:tcPr>
          <w:p>
            <w:pPr>
              <w:spacing w:after="0"/>
              <w:rPr>
                <w:sz w:val="12"/>
                <w:szCs w:val="12"/>
                <w:color w:val="auto"/>
              </w:rPr>
            </w:pPr>
          </w:p>
        </w:tc>
        <w:tc>
          <w:tcPr>
            <w:tcW w:w="1120" w:type="dxa"/>
            <w:vAlign w:val="bottom"/>
            <w:shd w:val="clear" w:color="auto" w:fill="B6B6B6"/>
          </w:tcPr>
          <w:p>
            <w:pPr>
              <w:spacing w:after="0"/>
              <w:rPr>
                <w:sz w:val="12"/>
                <w:szCs w:val="12"/>
                <w:color w:val="auto"/>
              </w:rPr>
            </w:pPr>
          </w:p>
        </w:tc>
        <w:tc>
          <w:tcPr>
            <w:tcW w:w="100" w:type="dxa"/>
            <w:vAlign w:val="bottom"/>
            <w:shd w:val="clear" w:color="auto" w:fill="B6B6B6"/>
          </w:tcPr>
          <w:p>
            <w:pPr>
              <w:spacing w:after="0"/>
              <w:rPr>
                <w:sz w:val="12"/>
                <w:szCs w:val="12"/>
                <w:color w:val="auto"/>
              </w:rPr>
            </w:pPr>
          </w:p>
        </w:tc>
        <w:tc>
          <w:tcPr>
            <w:tcW w:w="280" w:type="dxa"/>
            <w:vAlign w:val="bottom"/>
            <w:shd w:val="clear" w:color="auto" w:fill="B6B6B6"/>
          </w:tcPr>
          <w:p>
            <w:pPr>
              <w:spacing w:after="0"/>
              <w:rPr>
                <w:sz w:val="12"/>
                <w:szCs w:val="12"/>
                <w:color w:val="auto"/>
              </w:rPr>
            </w:pPr>
          </w:p>
        </w:tc>
        <w:tc>
          <w:tcPr>
            <w:tcW w:w="1180" w:type="dxa"/>
            <w:vAlign w:val="bottom"/>
            <w:shd w:val="clear" w:color="auto" w:fill="B6B6B6"/>
          </w:tcPr>
          <w:p>
            <w:pPr>
              <w:spacing w:after="0"/>
              <w:rPr>
                <w:sz w:val="12"/>
                <w:szCs w:val="12"/>
                <w:color w:val="auto"/>
              </w:rPr>
            </w:pPr>
          </w:p>
        </w:tc>
        <w:tc>
          <w:tcPr>
            <w:tcW w:w="340" w:type="dxa"/>
            <w:vAlign w:val="bottom"/>
            <w:shd w:val="clear" w:color="auto" w:fill="B6B6B6"/>
          </w:tcPr>
          <w:p>
            <w:pPr>
              <w:spacing w:after="0"/>
              <w:rPr>
                <w:sz w:val="12"/>
                <w:szCs w:val="12"/>
                <w:color w:val="auto"/>
              </w:rPr>
            </w:pPr>
          </w:p>
        </w:tc>
        <w:tc>
          <w:tcPr>
            <w:tcW w:w="1120" w:type="dxa"/>
            <w:vAlign w:val="bottom"/>
            <w:shd w:val="clear" w:color="auto" w:fill="B6B6B6"/>
          </w:tcPr>
          <w:p>
            <w:pPr>
              <w:spacing w:after="0"/>
              <w:rPr>
                <w:sz w:val="12"/>
                <w:szCs w:val="12"/>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18"/>
                <w:szCs w:val="18"/>
                <w:color w:val="auto"/>
              </w:rPr>
              <w:t>Allowance for unfunded commitments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117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232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367</w:t>
            </w:r>
          </w:p>
        </w:tc>
      </w:tr>
      <w:tr>
        <w:trPr>
          <w:trHeight w:val="257"/>
        </w:trPr>
        <w:tc>
          <w:tcPr>
            <w:tcW w:w="528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Provision for (release of) credit losses</w:t>
            </w:r>
          </w:p>
        </w:tc>
        <w:tc>
          <w:tcPr>
            <w:tcW w:w="2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(145)</w:t>
            </w:r>
          </w:p>
        </w:tc>
      </w:tr>
      <w:tr>
        <w:trPr>
          <w:trHeight w:val="25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unfunded commitments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222</w:t>
            </w:r>
          </w:p>
        </w:tc>
      </w:tr>
      <w:tr>
        <w:trPr>
          <w:trHeight w:val="135"/>
        </w:trPr>
        <w:tc>
          <w:tcPr>
            <w:tcW w:w="5280" w:type="dxa"/>
            <w:vAlign w:val="bottom"/>
            <w:shd w:val="clear" w:color="auto" w:fill="B6B6B6"/>
          </w:tcPr>
          <w:p>
            <w:pPr>
              <w:spacing w:after="0"/>
              <w:rPr>
                <w:sz w:val="11"/>
                <w:szCs w:val="11"/>
                <w:color w:val="auto"/>
              </w:rPr>
            </w:pPr>
          </w:p>
        </w:tc>
        <w:tc>
          <w:tcPr>
            <w:tcW w:w="280" w:type="dxa"/>
            <w:vAlign w:val="bottom"/>
            <w:shd w:val="clear" w:color="auto" w:fill="B6B6B6"/>
          </w:tcPr>
          <w:p>
            <w:pPr>
              <w:spacing w:after="0"/>
              <w:rPr>
                <w:sz w:val="11"/>
                <w:szCs w:val="11"/>
                <w:color w:val="auto"/>
              </w:rPr>
            </w:pPr>
          </w:p>
        </w:tc>
        <w:tc>
          <w:tcPr>
            <w:tcW w:w="1180" w:type="dxa"/>
            <w:vAlign w:val="bottom"/>
            <w:shd w:val="clear" w:color="auto" w:fill="B6B6B6"/>
          </w:tcPr>
          <w:p>
            <w:pPr>
              <w:spacing w:after="0"/>
              <w:rPr>
                <w:sz w:val="11"/>
                <w:szCs w:val="11"/>
                <w:color w:val="auto"/>
              </w:rPr>
            </w:pPr>
          </w:p>
        </w:tc>
        <w:tc>
          <w:tcPr>
            <w:tcW w:w="360" w:type="dxa"/>
            <w:vAlign w:val="bottom"/>
            <w:shd w:val="clear" w:color="auto" w:fill="B6B6B6"/>
          </w:tcPr>
          <w:p>
            <w:pPr>
              <w:spacing w:after="0"/>
              <w:rPr>
                <w:sz w:val="11"/>
                <w:szCs w:val="11"/>
                <w:color w:val="auto"/>
              </w:rPr>
            </w:pPr>
          </w:p>
        </w:tc>
        <w:tc>
          <w:tcPr>
            <w:tcW w:w="1120" w:type="dxa"/>
            <w:vAlign w:val="bottom"/>
            <w:shd w:val="clear" w:color="auto" w:fill="B6B6B6"/>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80" w:type="dxa"/>
            <w:vAlign w:val="bottom"/>
            <w:shd w:val="clear" w:color="auto" w:fill="B6B6B6"/>
          </w:tcPr>
          <w:p>
            <w:pPr>
              <w:spacing w:after="0"/>
              <w:rPr>
                <w:sz w:val="11"/>
                <w:szCs w:val="11"/>
                <w:color w:val="auto"/>
              </w:rPr>
            </w:pPr>
          </w:p>
        </w:tc>
        <w:tc>
          <w:tcPr>
            <w:tcW w:w="1180" w:type="dxa"/>
            <w:vAlign w:val="bottom"/>
            <w:shd w:val="clear" w:color="auto" w:fill="B6B6B6"/>
          </w:tcPr>
          <w:p>
            <w:pPr>
              <w:spacing w:after="0"/>
              <w:rPr>
                <w:sz w:val="11"/>
                <w:szCs w:val="11"/>
                <w:color w:val="auto"/>
              </w:rPr>
            </w:pPr>
          </w:p>
        </w:tc>
        <w:tc>
          <w:tcPr>
            <w:tcW w:w="340" w:type="dxa"/>
            <w:vAlign w:val="bottom"/>
            <w:shd w:val="clear" w:color="auto" w:fill="B6B6B6"/>
          </w:tcPr>
          <w:p>
            <w:pPr>
              <w:spacing w:after="0"/>
              <w:rPr>
                <w:sz w:val="11"/>
                <w:szCs w:val="11"/>
                <w:color w:val="auto"/>
              </w:rPr>
            </w:pPr>
          </w:p>
        </w:tc>
        <w:tc>
          <w:tcPr>
            <w:tcW w:w="1120" w:type="dxa"/>
            <w:vAlign w:val="bottom"/>
            <w:shd w:val="clear" w:color="auto" w:fill="B6B6B6"/>
          </w:tcPr>
          <w:p>
            <w:pPr>
              <w:spacing w:after="0"/>
              <w:rPr>
                <w:sz w:val="11"/>
                <w:szCs w:val="11"/>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Loans outstanding:</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5280" w:type="dxa"/>
            <w:vAlign w:val="bottom"/>
            <w:shd w:val="clear" w:color="auto" w:fill="B6B6B6"/>
          </w:tcPr>
          <w:p>
            <w:pPr>
              <w:ind w:left="440"/>
              <w:spacing w:after="0"/>
              <w:rPr>
                <w:sz w:val="20"/>
                <w:szCs w:val="20"/>
                <w:color w:val="auto"/>
              </w:rPr>
            </w:pPr>
            <w:r>
              <w:rPr>
                <w:rFonts w:ascii="Arial" w:cs="Arial" w:eastAsia="Arial" w:hAnsi="Arial"/>
                <w:sz w:val="18"/>
                <w:szCs w:val="18"/>
                <w:color w:val="auto"/>
              </w:rPr>
              <w:t>Average</w:t>
            </w:r>
          </w:p>
        </w:tc>
        <w:tc>
          <w:tcPr>
            <w:tcW w:w="2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1,045,967</w:t>
            </w:r>
          </w:p>
        </w:tc>
        <w:tc>
          <w:tcPr>
            <w:tcW w:w="3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984,104</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1,065,915</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972,698</w:t>
            </w:r>
          </w:p>
        </w:tc>
      </w:tr>
      <w:tr>
        <w:trPr>
          <w:trHeight w:val="250"/>
        </w:trPr>
        <w:tc>
          <w:tcPr>
            <w:tcW w:w="5280" w:type="dxa"/>
            <w:vAlign w:val="bottom"/>
          </w:tcPr>
          <w:p>
            <w:pPr>
              <w:ind w:left="440"/>
              <w:spacing w:after="0"/>
              <w:rPr>
                <w:sz w:val="20"/>
                <w:szCs w:val="20"/>
                <w:color w:val="auto"/>
              </w:rPr>
            </w:pPr>
            <w:r>
              <w:rPr>
                <w:rFonts w:ascii="Arial" w:cs="Arial" w:eastAsia="Arial" w:hAnsi="Arial"/>
                <w:sz w:val="18"/>
                <w:szCs w:val="18"/>
                <w:color w:val="auto"/>
              </w:rPr>
              <w:t>September 30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1,039,619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1,037,101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1,039,619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1,037,101</w:t>
            </w:r>
          </w:p>
        </w:tc>
      </w:tr>
      <w:tr>
        <w:trPr>
          <w:trHeight w:val="222"/>
        </w:trPr>
        <w:tc>
          <w:tcPr>
            <w:tcW w:w="5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Ratio of allowance for credit losses to loans outstanding at</w:t>
            </w:r>
          </w:p>
        </w:tc>
        <w:tc>
          <w:tcPr>
            <w:tcW w:w="280" w:type="dxa"/>
            <w:vAlign w:val="bottom"/>
            <w:shd w:val="clear" w:color="auto" w:fill="B6B6B6"/>
          </w:tcPr>
          <w:p>
            <w:pPr>
              <w:spacing w:after="0"/>
              <w:rPr>
                <w:sz w:val="19"/>
                <w:szCs w:val="19"/>
                <w:color w:val="auto"/>
              </w:rPr>
            </w:pPr>
          </w:p>
        </w:tc>
        <w:tc>
          <w:tcPr>
            <w:tcW w:w="1180" w:type="dxa"/>
            <w:vAlign w:val="bottom"/>
            <w:shd w:val="clear" w:color="auto" w:fill="B6B6B6"/>
          </w:tcPr>
          <w:p>
            <w:pPr>
              <w:spacing w:after="0"/>
              <w:rPr>
                <w:sz w:val="19"/>
                <w:szCs w:val="19"/>
                <w:color w:val="auto"/>
              </w:rPr>
            </w:pPr>
          </w:p>
        </w:tc>
        <w:tc>
          <w:tcPr>
            <w:tcW w:w="3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280" w:type="dxa"/>
            <w:vAlign w:val="bottom"/>
            <w:shd w:val="clear" w:color="auto" w:fill="B6B6B6"/>
          </w:tcPr>
          <w:p>
            <w:pPr>
              <w:spacing w:after="0"/>
              <w:rPr>
                <w:sz w:val="19"/>
                <w:szCs w:val="19"/>
                <w:color w:val="auto"/>
              </w:rPr>
            </w:pPr>
          </w:p>
        </w:tc>
        <w:tc>
          <w:tcPr>
            <w:tcW w:w="118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r>
      <w:tr>
        <w:trPr>
          <w:trHeight w:val="237"/>
        </w:trPr>
        <w:tc>
          <w:tcPr>
            <w:tcW w:w="528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September 30</w:t>
            </w:r>
          </w:p>
        </w:tc>
        <w:tc>
          <w:tcPr>
            <w:tcW w:w="280" w:type="dxa"/>
            <w:vAlign w:val="bottom"/>
            <w:tcBorders>
              <w:bottom w:val="single" w:sz="8" w:color="auto"/>
            </w:tcBorders>
            <w:shd w:val="clear" w:color="auto" w:fill="B6B6B6"/>
          </w:tcPr>
          <w:p>
            <w:pPr>
              <w:spacing w:after="0"/>
              <w:rPr>
                <w:sz w:val="20"/>
                <w:szCs w:val="20"/>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1.28 %</w:t>
            </w:r>
          </w:p>
        </w:tc>
        <w:tc>
          <w:tcPr>
            <w:tcW w:w="36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Borders>
              <w:bottom w:val="single" w:sz="8" w:color="auto"/>
            </w:tcBorders>
            <w:shd w:val="clear" w:color="auto" w:fill="B6B6B6"/>
          </w:tcPr>
          <w:p>
            <w:pPr>
              <w:spacing w:after="0"/>
              <w:rPr>
                <w:sz w:val="20"/>
                <w:szCs w:val="20"/>
                <w:color w:val="auto"/>
              </w:rPr>
            </w:pPr>
          </w:p>
        </w:tc>
        <w:tc>
          <w:tcPr>
            <w:tcW w:w="280" w:type="dxa"/>
            <w:vAlign w:val="bottom"/>
            <w:tcBorders>
              <w:bottom w:val="single" w:sz="8" w:color="auto"/>
            </w:tcBorders>
            <w:shd w:val="clear" w:color="auto" w:fill="B6B6B6"/>
          </w:tcPr>
          <w:p>
            <w:pPr>
              <w:spacing w:after="0"/>
              <w:rPr>
                <w:sz w:val="20"/>
                <w:szCs w:val="20"/>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1.28 %</w:t>
            </w:r>
          </w:p>
        </w:tc>
        <w:tc>
          <w:tcPr>
            <w:tcW w:w="34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1.26 %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for the third quarter of 2023 increased $3.7 million, or 10.3%, compared to the third quarter of 2022. Total operating expenses for the nine months ended September 30, 2023 increased $18.0 million, or 17.7%, compared to the nine months ended September 30, 2022. The following table details the components of operating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Third Quarter of</w:t>
            </w:r>
          </w:p>
        </w:tc>
        <w:tc>
          <w:tcPr>
            <w:tcW w:w="10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Borders>
              <w:bottom w:val="single" w:sz="8" w:color="B6B6B6"/>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3300" w:type="dxa"/>
            <w:vAlign w:val="bottom"/>
            <w:shd w:val="clear" w:color="auto" w:fill="B6B6B6"/>
          </w:tcPr>
          <w:p>
            <w:pPr>
              <w:ind w:left="20"/>
              <w:spacing w:after="0"/>
              <w:rPr>
                <w:sz w:val="20"/>
                <w:szCs w:val="20"/>
                <w:color w:val="auto"/>
              </w:rPr>
            </w:pPr>
            <w:r>
              <w:rPr>
                <w:rFonts w:ascii="Arial" w:cs="Arial" w:eastAsia="Arial" w:hAnsi="Arial"/>
                <w:sz w:val="18"/>
                <w:szCs w:val="18"/>
                <w:color w:val="auto"/>
              </w:rPr>
              <w:t>Salaries and commissions</w:t>
            </w:r>
          </w:p>
        </w:tc>
        <w:tc>
          <w:tcPr>
            <w:tcW w:w="40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23,391</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21,953</w:t>
            </w:r>
          </w:p>
        </w:tc>
        <w:tc>
          <w:tcPr>
            <w:tcW w:w="160" w:type="dxa"/>
            <w:vAlign w:val="bottom"/>
            <w:shd w:val="clear" w:color="auto" w:fill="B6B6B6"/>
          </w:tcPr>
          <w:p>
            <w:pPr>
              <w:spacing w:after="0"/>
              <w:rPr>
                <w:sz w:val="19"/>
                <w:szCs w:val="19"/>
                <w:color w:val="auto"/>
              </w:rPr>
            </w:pPr>
          </w:p>
        </w:tc>
        <w:tc>
          <w:tcPr>
            <w:tcW w:w="34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69,613</w:t>
            </w:r>
          </w:p>
        </w:tc>
        <w:tc>
          <w:tcPr>
            <w:tcW w:w="38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62,516</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4,431</w:t>
            </w:r>
          </w:p>
        </w:tc>
      </w:tr>
      <w:tr>
        <w:trPr>
          <w:trHeight w:val="229"/>
        </w:trPr>
        <w:tc>
          <w:tcPr>
            <w:tcW w:w="330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periodic pension cost (benefit)</w:t>
            </w:r>
          </w:p>
        </w:tc>
        <w:tc>
          <w:tcPr>
            <w:tcW w:w="4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402</w:t>
            </w:r>
          </w:p>
        </w:tc>
        <w:tc>
          <w:tcPr>
            <w:tcW w:w="3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benefits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B6B6B6"/>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w:t>
            </w:r>
          </w:p>
        </w:tc>
        <w:tc>
          <w:tcPr>
            <w:tcW w:w="160" w:type="dxa"/>
            <w:vAlign w:val="bottom"/>
            <w:tcBorders>
              <w:bottom w:val="single" w:sz="8" w:color="B6B6B6"/>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15,283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12,650</w:t>
            </w:r>
          </w:p>
        </w:tc>
      </w:tr>
      <w:tr>
        <w:trPr>
          <w:trHeight w:val="223"/>
        </w:trPr>
        <w:tc>
          <w:tcPr>
            <w:tcW w:w="3300" w:type="dxa"/>
            <w:vAlign w:val="bottom"/>
            <w:shd w:val="clear" w:color="auto" w:fill="B6B6B6"/>
          </w:tcPr>
          <w:p>
            <w:pPr>
              <w:ind w:left="140"/>
              <w:spacing w:after="0"/>
              <w:rPr>
                <w:sz w:val="20"/>
                <w:szCs w:val="20"/>
                <w:color w:val="auto"/>
              </w:rPr>
            </w:pPr>
            <w:r>
              <w:rPr>
                <w:rFonts w:ascii="Arial" w:cs="Arial" w:eastAsia="Arial" w:hAnsi="Arial"/>
                <w:sz w:val="18"/>
                <w:szCs w:val="18"/>
                <w:color w:val="auto"/>
              </w:rPr>
              <w:t>Personnel</w:t>
            </w:r>
          </w:p>
        </w:tc>
        <w:tc>
          <w:tcPr>
            <w:tcW w:w="40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29,636</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26,999</w:t>
            </w:r>
          </w:p>
        </w:tc>
        <w:tc>
          <w:tcPr>
            <w:tcW w:w="160" w:type="dxa"/>
            <w:vAlign w:val="bottom"/>
            <w:shd w:val="clear" w:color="auto" w:fill="B6B6B6"/>
          </w:tcPr>
          <w:p>
            <w:pPr>
              <w:spacing w:after="0"/>
              <w:rPr>
                <w:sz w:val="19"/>
                <w:szCs w:val="19"/>
                <w:color w:val="auto"/>
              </w:rPr>
            </w:pPr>
          </w:p>
        </w:tc>
        <w:tc>
          <w:tcPr>
            <w:tcW w:w="34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89,094</w:t>
            </w:r>
          </w:p>
        </w:tc>
        <w:tc>
          <w:tcPr>
            <w:tcW w:w="38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77,750</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2,801</w:t>
            </w:r>
          </w:p>
        </w:tc>
      </w:tr>
      <w:tr>
        <w:trPr>
          <w:trHeight w:val="230"/>
        </w:trPr>
        <w:tc>
          <w:tcPr>
            <w:tcW w:w="3300" w:type="dxa"/>
            <w:vAlign w:val="bottom"/>
            <w:shd w:val="clear" w:color="auto" w:fill="B6B6B6"/>
          </w:tcPr>
          <w:p>
            <w:pPr>
              <w:ind w:left="20"/>
              <w:spacing w:after="0"/>
              <w:rPr>
                <w:sz w:val="20"/>
                <w:szCs w:val="20"/>
                <w:color w:val="auto"/>
              </w:rPr>
            </w:pPr>
            <w:r>
              <w:rPr>
                <w:rFonts w:ascii="Arial" w:cs="Arial" w:eastAsia="Arial" w:hAnsi="Arial"/>
                <w:sz w:val="18"/>
                <w:szCs w:val="18"/>
                <w:color w:val="auto"/>
              </w:rPr>
              <w:t>Equipment</w:t>
            </w:r>
          </w:p>
        </w:tc>
        <w:tc>
          <w:tcPr>
            <w:tcW w:w="4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1,633</w:t>
            </w:r>
          </w:p>
        </w:tc>
        <w:tc>
          <w:tcPr>
            <w:tcW w:w="16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5,188</w:t>
            </w:r>
          </w:p>
        </w:tc>
        <w:tc>
          <w:tcPr>
            <w:tcW w:w="3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5,004</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33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Other operating</w:t>
            </w:r>
          </w:p>
        </w:tc>
        <w:tc>
          <w:tcPr>
            <w:tcW w:w="400" w:type="dxa"/>
            <w:vAlign w:val="bottom"/>
            <w:tcBorders>
              <w:bottom w:val="single" w:sz="8" w:color="auto"/>
            </w:tcBorders>
            <w:shd w:val="clear" w:color="auto" w:fill="B6B6B6"/>
          </w:tcPr>
          <w:p>
            <w:pPr>
              <w:spacing w:after="0"/>
              <w:rPr>
                <w:sz w:val="19"/>
                <w:szCs w:val="19"/>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auto"/>
            </w:tcBorders>
            <w:shd w:val="clear" w:color="auto" w:fill="B6B6B6"/>
          </w:tcPr>
          <w:p>
            <w:pPr>
              <w:spacing w:after="0"/>
              <w:rPr>
                <w:sz w:val="19"/>
                <w:szCs w:val="19"/>
                <w:color w:val="auto"/>
              </w:rPr>
            </w:pPr>
          </w:p>
        </w:tc>
        <w:tc>
          <w:tcPr>
            <w:tcW w:w="640" w:type="dxa"/>
            <w:vAlign w:val="bottom"/>
            <w:tcBorders>
              <w:bottom w:val="single" w:sz="8" w:color="auto"/>
            </w:tcBorders>
            <w:shd w:val="clear" w:color="auto" w:fill="B6B6B6"/>
          </w:tcPr>
          <w:p>
            <w:pPr>
              <w:spacing w:after="0"/>
              <w:rPr>
                <w:sz w:val="19"/>
                <w:szCs w:val="19"/>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6,524</w:t>
            </w:r>
          </w:p>
        </w:tc>
        <w:tc>
          <w:tcPr>
            <w:tcW w:w="160" w:type="dxa"/>
            <w:vAlign w:val="bottom"/>
            <w:shd w:val="clear" w:color="auto" w:fill="B6B6B6"/>
          </w:tcPr>
          <w:p>
            <w:pPr>
              <w:spacing w:after="0"/>
              <w:rPr>
                <w:sz w:val="19"/>
                <w:szCs w:val="19"/>
                <w:color w:val="auto"/>
              </w:rPr>
            </w:pPr>
          </w:p>
        </w:tc>
        <w:tc>
          <w:tcPr>
            <w:tcW w:w="340" w:type="dxa"/>
            <w:vAlign w:val="bottom"/>
            <w:tcBorders>
              <w:bottom w:val="single" w:sz="8" w:color="auto"/>
            </w:tcBorders>
            <w:shd w:val="clear" w:color="auto" w:fill="B6B6B6"/>
          </w:tcPr>
          <w:p>
            <w:pPr>
              <w:spacing w:after="0"/>
              <w:rPr>
                <w:sz w:val="19"/>
                <w:szCs w:val="19"/>
                <w:color w:val="auto"/>
              </w:rPr>
            </w:pPr>
          </w:p>
        </w:tc>
        <w:tc>
          <w:tcPr>
            <w:tcW w:w="11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22,237</w:t>
            </w:r>
          </w:p>
        </w:tc>
        <w:tc>
          <w:tcPr>
            <w:tcW w:w="3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15,748</w:t>
            </w: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40,063</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36,321</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119,774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101,788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2023 compared to third quarter of 2022:</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Personnel expenses increased $2.6 million, or 9.8%. Salaries and commissions increased $1.4 million, or 6.6%, as a result of merit increases and an increase in average full-time equivalent employees of 8.1% due to strategic investments in various technology initiatives. Share-based compensation decreased $322,000, primarily related to lower performance-based restricted share expense. Pension expense increased $745,000. Despite the Company’s defined benefit pension plan being frozen in the first quarter of 2021, resulting in no service cost in subsequent periods, expense increased as a result of the accounting impact of the decline in plan assets during 2022 and corresponding decline in expected return on plan assets for 2023. Other benefits, such as 401(k) match, health insurance and payroll taxes, increased $776,000, or 17.6%, primarily due to the 8.1% increase in average full-time equivalent employees as well as a significant increase in employer health insurance costs over prior year levels.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expenses increased $1.0 million, or 15.5%. Certain expense categories such as outside service fees and data processing are elevated as the Company invests in, and transitions to, improved technology. Multiple technology platforms are being maintained prior to switching over to what the Company believes will be more efficient technology platforms for data entry processing by the end of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to nine months ended September 30, 2022:</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expenses increased $11.3 million, or 14.6%, which included a salary and commission increase of $7.1 million, or 11.4%. Share-based compensation decreased $635,000 and pension expense increased $2.2 million. Other benefits, such as 401(k) match, health insurance and payroll taxes, increased $2.6 million, or 20.8%. These personnel expense changes were all a result of the same factors as the increase for the third quarter of 2023 compared to the third quarter of 2022.</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expenses increased $6.5 million, or 41.2%, a result of the same factors as the third quarter of 2023. Certain expense categories such as outside service fees and data processing are elevated as the Company invests in, and transitions to, improved technology. Multiple technology platforms are being maintained prior to switching over to what the Company believes will be more efficient technology platforms for facility and transportation data entry processing by the end of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Total assets at September 30, 2023 were $2.50 billion, a decrease of $68.1 million, or 2.6%, from December 31,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experienced an increase in cash and cash equivalents of $207.5 million, or 103.3%, during the first nine months of 2023.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investment securities portfolio decreased $138.6 million, or 18.4%, during the first nine months of 2023. The decrease is due to the sale of $111.1 million of available-for-sale securities, maturities of $29.4 million and an increase in unrealized losses of $7.6 million driven by the increase in long-term interest rates, partially offset by purchases of $15.3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decreased $43.3 million, or 4.0%, from December 31, 2022. The decrease was primarily due to a decrease in lease financing receivables of $33.0 million. The Company has opted to be more selective in booking new loans as a result of the decline in deposits during the first half of 2023, focusing on building new client relationships rather than transactional opportunities like investment grade leases.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Payments in advance of funding decreased $35.2 million, or 12.0%. The decrease is primarily due to a 13.5% decrease in transportation dollar volumes during the first nine months of 2023, which led to fewer dollars advanced to freight carriers.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and drafts receivable from customers decreased $67.1 million, or 70.0%, from December 31, 2022. The decrease is solely due to timing of customer funding.</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deposits at September 30, 2023 were $1.18 billion, a decrease of $79.9 million, or 6.4%, from December 31, 2022. The Company experienced deposit attrition during the first six months of 2023 as larger commercial depository clients moved their funds to higher interest rate alternatives outside of Cass Commercial Bank. The Company has experienced a recent increase in its deposit balances as a result of an increase in its deposit rates and increased depositor confidence across the banking industry.</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Accounts and drafts payable at September 30, 2023 were $1.08 billion, an increase of $14.6 million, or 1.4%, from December 31, 2022. Accounts and drafts payable are a stable source of funding generated by payment float from transportation and facility clients.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at September 30, 2023 were $2.30 billion, a decrease of $68.1 million, or 2.9%, from December 31, 2022.</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shareholders’ equity at September 30, 2023 was $206.2 million, an $89,000 decrease from December 31, 2022. The decrease in shareholders’ equity is a result of dividends paid of $11.9 million, an increase in accumulated other comprehensive loss of $7.6 million due to the increase in market interest rates and resulting negative impact on the fair value of available-for-sale investment securities, and the repurchase of Company stock of $5.2 million, partially offset by year-to-date 2023 earnings of $21.6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$408.4 million at September 30, 2023, an increase of $207.5 million, or 103.3%, from December 31, 2022. At September 30, 2023, these assets represented 16.3% of total assets and are the Company’s and its subsidiaries’ primary source of liquidity to meet future expected and unexpected loan demand, depositor withdrawals or reductions in accounts and drafts payable.</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Secondary sources of liquidity include the investment portfolio and borrowing lines. Total investment securities were $615.9 million at September 30, 2023, a decrease of $138.6 million from December 31, 2022. These assets represented 24.6% of total assets at September 30, 2023. Of the total portfolio, 19.8% mature in one year, 22.5% mature in one to five years, and 57.7% mature in five or more years</w:t>
      </w:r>
      <w:r>
        <w:rPr>
          <w:rFonts w:ascii="Arial" w:cs="Arial" w:eastAsia="Arial" w:hAnsi="Arial"/>
          <w:sz w:val="18"/>
          <w:szCs w:val="18"/>
          <w:i w:val="1"/>
          <w:iCs w:val="1"/>
          <w:color w:val="auto"/>
        </w:rPr>
        <w:t>.</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 has unsecured lines of credit at six correspondent banks to purchase federal funds up to a maximum of $83.0 million in aggregate. As of September 30, 2023, the Bank also has secured lines of credit with the Federal Home Loan Bank of $207.8 million collateralized by mortgage loans. The Company also has secured lines of credit from three banks up to a maximum of $250.0 million in aggregate collateralized by investment securities. There were no amounts outstanding under any line of credit as of September 30, 2023 or December 31,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$49.2 million of CDARS deposits and interest-bearing demand deposits include $130.8 million of ICS deposits. These programs offer the Bank’s customers the ability to maximize Federal Deposit Insurance Corporation (“FDIC”) insurance coverage. The Company uses these programs to retain or attract deposits from existing customers.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flows provided by operating activities were $29.4 million for the nine months ended September 30, 2023, compared to $40.8 million for the nine months ended September 30, 2022, a decrease of $11.4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2023, which are estimated to range from $8 million to $10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plus amortization of intangible assets, net amortization of premium/discount on investment securities and depreciation of premises and equipment was $28.7 million and $33.9 million for the nine months ended September 30, 2023 and 2022, respectively, a decrease of $5.3 million. The decrease was due to lower net income of $4.0 million and lower net amortization of premium/discount on investment securities of $1.4 million. The net amortization of premium/discount on investment securities is dependent on the type of securities purchased and changes in the prevailing market interest rate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impacting the $11.4 million decrease in net cash provided by operating activities include:</w:t>
      </w:r>
    </w:p>
    <w:p>
      <w:pPr>
        <w:spacing w:after="0" w:line="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other operating activities, net of $5.9 million, primarily due to changes in various accounts receivable and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current income tax liability of $2.1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change in the provision for (release of) credit losses of $1.2 million primarily due to changes in loans outstanding during the respective periods.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These factors were partially offset by an increase in the pension liability of $2.2 million.</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2022 Form 10-K.</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bank holding company, the Company and the Bank are subject to capital requirements administered by state and federal banking agencies. Capital adequacy guidelines, and, for banks, prompt correct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of the Company's 2022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8"/>
              </w:rPr>
              <w:t>Requirement to be</w:t>
            </w:r>
          </w:p>
        </w:tc>
      </w:tr>
      <w:tr>
        <w:trPr>
          <w:trHeight w:val="234"/>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w w:val="89"/>
              </w:rPr>
              <w:t>Requirements</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7"/>
              </w:rPr>
              <w:t>Well-Capitalized</w:t>
            </w:r>
          </w:p>
        </w:tc>
      </w:tr>
      <w:tr>
        <w:trPr>
          <w:trHeight w:val="22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Amount</w:t>
            </w: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Ratio</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Amount</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Ratio</w:t>
            </w:r>
          </w:p>
        </w:tc>
        <w:tc>
          <w:tcPr>
            <w:tcW w:w="12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r>
      <w:tr>
        <w:trPr>
          <w:trHeight w:val="22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At September 30, 2023</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265,286</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15.30 %</w:t>
            </w:r>
          </w:p>
        </w:tc>
        <w:tc>
          <w:tcPr>
            <w:tcW w:w="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138,669</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8.00 %</w:t>
            </w: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 %</w:t>
            </w: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197,767</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87,236</w:t>
            </w:r>
          </w:p>
        </w:tc>
        <w:tc>
          <w:tcPr>
            <w:tcW w:w="1060" w:type="dxa"/>
            <w:vAlign w:val="bottom"/>
          </w:tcPr>
          <w:p>
            <w:pPr>
              <w:ind w:left="36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89"/>
              </w:rPr>
              <w:t>109,045</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188"/>
        </w:trPr>
        <w:tc>
          <w:tcPr>
            <w:tcW w:w="378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Common Equity Tier I Capital (to risk-weighted</w:t>
            </w:r>
          </w:p>
        </w:tc>
        <w:tc>
          <w:tcPr>
            <w:tcW w:w="18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r>
      <w:tr>
        <w:trPr>
          <w:trHeight w:val="230"/>
        </w:trPr>
        <w:tc>
          <w:tcPr>
            <w:tcW w:w="37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251,850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78,001</w:t>
            </w:r>
          </w:p>
        </w:tc>
        <w:tc>
          <w:tcPr>
            <w:tcW w:w="1060" w:type="dxa"/>
            <w:vAlign w:val="bottom"/>
          </w:tcPr>
          <w:p>
            <w:pPr>
              <w:ind w:left="36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185,127</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49,070</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70,879</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251,850</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14.53</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104,002</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185,127</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16.98</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65,427</w:t>
            </w:r>
          </w:p>
        </w:tc>
        <w:tc>
          <w:tcPr>
            <w:tcW w:w="1060" w:type="dxa"/>
            <w:vAlign w:val="bottom"/>
          </w:tcPr>
          <w:p>
            <w:pPr>
              <w:ind w:left="3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87,236</w:t>
            </w:r>
          </w:p>
        </w:tc>
        <w:tc>
          <w:tcPr>
            <w:tcW w:w="10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251,850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94,977</w:t>
            </w:r>
          </w:p>
        </w:tc>
        <w:tc>
          <w:tcPr>
            <w:tcW w:w="1060" w:type="dxa"/>
            <w:vAlign w:val="bottom"/>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78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rPr>
              <w:t>185,127</w:t>
            </w:r>
          </w:p>
        </w:tc>
        <w:tc>
          <w:tcPr>
            <w:tcW w:w="9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12.17</w:t>
            </w:r>
          </w:p>
        </w:tc>
        <w:tc>
          <w:tcPr>
            <w:tcW w:w="22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rPr>
              <w:t>60,847</w:t>
            </w:r>
          </w:p>
        </w:tc>
        <w:tc>
          <w:tcPr>
            <w:tcW w:w="10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76,059</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At December 31, 2022</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29"/>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257,313</w:t>
            </w:r>
          </w:p>
        </w:tc>
        <w:tc>
          <w:tcPr>
            <w:tcW w:w="960" w:type="dxa"/>
            <w:vAlign w:val="bottom"/>
          </w:tcPr>
          <w:p>
            <w:pPr>
              <w:jc w:val="right"/>
              <w:spacing w:after="0"/>
              <w:rPr>
                <w:sz w:val="20"/>
                <w:szCs w:val="20"/>
                <w:color w:val="auto"/>
              </w:rPr>
            </w:pPr>
            <w:r>
              <w:rPr>
                <w:rFonts w:ascii="Arial" w:cs="Arial" w:eastAsia="Arial" w:hAnsi="Arial"/>
                <w:sz w:val="18"/>
                <w:szCs w:val="18"/>
                <w:color w:val="auto"/>
              </w:rPr>
              <w:t>13.52 %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152,306</w:t>
            </w:r>
          </w:p>
        </w:tc>
        <w:tc>
          <w:tcPr>
            <w:tcW w:w="1060" w:type="dxa"/>
            <w:vAlign w:val="bottom"/>
          </w:tcPr>
          <w:p>
            <w:pPr>
              <w:ind w:left="360"/>
              <w:spacing w:after="0"/>
              <w:rPr>
                <w:sz w:val="20"/>
                <w:szCs w:val="20"/>
                <w:color w:val="auto"/>
              </w:rPr>
            </w:pPr>
            <w:r>
              <w:rPr>
                <w:rFonts w:ascii="Arial" w:cs="Arial" w:eastAsia="Arial" w:hAnsi="Arial"/>
                <w:sz w:val="18"/>
                <w:szCs w:val="18"/>
                <w:color w:val="auto"/>
              </w:rPr>
              <w:t>8.00 %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 %</w:t>
            </w: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186,075</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93,044</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8.00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89"/>
              </w:rPr>
              <w:t>116,305</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r>
      <w:tr>
        <w:trPr>
          <w:trHeight w:val="188"/>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Common Equity Tier I Capital (to risk-weighted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243,774</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12.80</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85,672</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172,848</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14.86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52,337</w:t>
            </w:r>
          </w:p>
        </w:tc>
        <w:tc>
          <w:tcPr>
            <w:tcW w:w="1060" w:type="dxa"/>
            <w:vAlign w:val="bottom"/>
          </w:tcPr>
          <w:p>
            <w:pPr>
              <w:ind w:left="36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75,598</w:t>
            </w: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Tier I capital (to risk-weighted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243,774</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114,229</w:t>
            </w:r>
          </w:p>
        </w:tc>
        <w:tc>
          <w:tcPr>
            <w:tcW w:w="1060" w:type="dxa"/>
            <w:vAlign w:val="bottom"/>
          </w:tcPr>
          <w:p>
            <w:pPr>
              <w:ind w:left="3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172,848</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14.86</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69,783</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93,044</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7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243,774</w:t>
            </w:r>
          </w:p>
        </w:tc>
        <w:tc>
          <w:tcPr>
            <w:tcW w:w="9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9.52</w:t>
            </w:r>
          </w:p>
        </w:tc>
        <w:tc>
          <w:tcPr>
            <w:tcW w:w="220" w:type="dxa"/>
            <w:vAlign w:val="bottom"/>
            <w:shd w:val="clear" w:color="auto" w:fill="DBDBDB"/>
          </w:tcPr>
          <w:p>
            <w:pPr>
              <w:spacing w:after="0"/>
              <w:rPr>
                <w:sz w:val="19"/>
                <w:szCs w:val="19"/>
                <w:color w:val="auto"/>
              </w:rPr>
            </w:pPr>
          </w:p>
        </w:tc>
        <w:tc>
          <w:tcPr>
            <w:tcW w:w="140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102,386</w:t>
            </w:r>
          </w:p>
        </w:tc>
        <w:tc>
          <w:tcPr>
            <w:tcW w:w="10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DBDBDB"/>
          </w:tcPr>
          <w:p>
            <w:pPr>
              <w:spacing w:after="0"/>
              <w:rPr>
                <w:sz w:val="19"/>
                <w:szCs w:val="19"/>
                <w:color w:val="auto"/>
              </w:rPr>
            </w:pPr>
          </w:p>
        </w:tc>
        <w:tc>
          <w:tcPr>
            <w:tcW w:w="88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7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172,848</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10.77</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64,196</w:t>
            </w: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80,245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2022, the FASB issued ASU 2022-02. This ASU eliminates the accounting guidance for troubled debt restructurings by creditors that have adopted the CECL methodology for estimating allowances for credit losses and enhances the disclosure requirements for loan restructurings made with borrowers experiencing financial difficulty. Instead, entities are required to evaluate (consistent with the accounting for other loan modifications) whether the modification represents a new loan or continuation of an existing loan. In addition, the amendments require a public business entity to disclose current period gross charge-offs for financing receivables and net investment in leases by year of origination in the vintage disclosures. ASU 2022-02 was effective for fiscal years beginning after December 15, 2022, including interim periods within those fiscal years. The implementation of this ASU effective January 1, 2023 did not have a material impact on the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the Company’s 2022 Form 10-K for the year ended December 31, 2022,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simulated changes in net interest income versus unchanged rates over the next 12 months as of September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Arial" w:cs="Arial" w:eastAsia="Arial" w:hAnsi="Arial"/>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September 30, 2023</w:t>
            </w: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December 31, 2022</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+200 basis points</w:t>
            </w:r>
          </w:p>
        </w:tc>
        <w:tc>
          <w:tcPr>
            <w:tcW w:w="2820" w:type="dxa"/>
            <w:vAlign w:val="bottom"/>
            <w:shd w:val="clear" w:color="auto" w:fill="B6B6B6"/>
          </w:tcPr>
          <w:p>
            <w:pPr>
              <w:spacing w:after="0"/>
              <w:rPr>
                <w:sz w:val="19"/>
                <w:szCs w:val="19"/>
                <w:color w:val="auto"/>
              </w:rPr>
            </w:pPr>
          </w:p>
        </w:tc>
        <w:tc>
          <w:tcPr>
            <w:tcW w:w="8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13.7 %</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10.6 %</w:t>
            </w:r>
          </w:p>
        </w:tc>
      </w:tr>
      <w:tr>
        <w:trPr>
          <w:trHeight w:val="229"/>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+100 basis points</w:t>
            </w:r>
          </w:p>
        </w:tc>
        <w:tc>
          <w:tcPr>
            <w:tcW w:w="800" w:type="dxa"/>
            <w:vAlign w:val="bottom"/>
          </w:tcPr>
          <w:p>
            <w:pPr>
              <w:jc w:val="right"/>
              <w:spacing w:after="0"/>
              <w:rPr>
                <w:sz w:val="20"/>
                <w:szCs w:val="20"/>
                <w:color w:val="auto"/>
              </w:rPr>
            </w:pPr>
            <w:r>
              <w:rPr>
                <w:rFonts w:ascii="Arial" w:cs="Arial" w:eastAsia="Arial" w:hAnsi="Arial"/>
                <w:sz w:val="18"/>
                <w:szCs w:val="18"/>
                <w:color w:val="auto"/>
              </w:rPr>
              <w:t>8.2 %</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6320" w:type="dxa"/>
            <w:vAlign w:val="bottom"/>
            <w:gridSpan w:val="3"/>
            <w:shd w:val="clear" w:color="auto" w:fill="B6B6B6"/>
          </w:tcPr>
          <w:p>
            <w:pPr>
              <w:ind w:left="20"/>
              <w:spacing w:after="0"/>
              <w:rPr>
                <w:sz w:val="20"/>
                <w:szCs w:val="20"/>
                <w:color w:val="auto"/>
              </w:rPr>
            </w:pPr>
            <w:r>
              <w:rPr>
                <w:rFonts w:ascii="Arial" w:cs="Arial" w:eastAsia="Arial" w:hAnsi="Arial"/>
                <w:sz w:val="18"/>
                <w:szCs w:val="18"/>
                <w:color w:val="auto"/>
              </w:rPr>
              <w:t>Flat rates</w:t>
            </w:r>
          </w:p>
        </w:tc>
        <w:tc>
          <w:tcPr>
            <w:tcW w:w="3780" w:type="dxa"/>
            <w:vAlign w:val="bottom"/>
            <w:gridSpan w:val="3"/>
            <w:shd w:val="clear" w:color="auto" w:fill="B6B6B6"/>
          </w:tcPr>
          <w:p>
            <w:pPr>
              <w:jc w:val="right"/>
              <w:ind w:right="2910"/>
              <w:spacing w:after="0"/>
              <w:rPr>
                <w:sz w:val="20"/>
                <w:szCs w:val="20"/>
                <w:color w:val="auto"/>
              </w:rPr>
            </w:pPr>
            <w:r>
              <w:rPr>
                <w:rFonts w:ascii="Arial" w:cs="Arial" w:eastAsia="Arial" w:hAnsi="Arial"/>
                <w:sz w:val="18"/>
                <w:szCs w:val="18"/>
                <w:color w:val="auto"/>
              </w:rPr>
              <w:t>— %</w:t>
            </w: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-100 basis points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320" w:type="dxa"/>
            <w:vAlign w:val="bottom"/>
            <w:gridSpan w:val="3"/>
            <w:shd w:val="clear" w:color="auto" w:fill="B6B6B6"/>
          </w:tcPr>
          <w:p>
            <w:pPr>
              <w:ind w:left="20"/>
              <w:spacing w:after="0"/>
              <w:rPr>
                <w:sz w:val="20"/>
                <w:szCs w:val="20"/>
                <w:color w:val="auto"/>
              </w:rPr>
            </w:pPr>
            <w:r>
              <w:rPr>
                <w:rFonts w:ascii="Arial" w:cs="Arial" w:eastAsia="Arial" w:hAnsi="Arial"/>
                <w:sz w:val="18"/>
                <w:szCs w:val="18"/>
                <w:color w:val="auto"/>
              </w:rPr>
              <w:t>-200 basis points</w:t>
            </w:r>
          </w:p>
        </w:tc>
        <w:tc>
          <w:tcPr>
            <w:tcW w:w="8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generally asset sensitive as average interest-earning assets of $2.06 billion for the third quarter of 2023 greatly exceeded average interest-bearing liabilities of $591.6 million. The table above on the projected impact of interest rate shocks results from a static balance sheet at September 30,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changes in the third quarter of 2023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in Part I, Item 1A of its 2022 Form 10-K, a description of certain risks and uncertainties that could affect the Company’s business, future performance or financial condition (the “Risk Factors”). Except as set forth below, there are no material changes to the Risk Factors as disclosed in the Company’s 2022 Form 10-K.</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could experience an unexpected inability to obtain needed liquidity which could adversely affect the Company's business, profitability, and viability as a going concern.</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and is essential to a financial institution’s business. The ability of a financial institution to meet its current financial obligations is a function of its balance sheet structure, its ability to liquidate assets, and its access to alternative sources of funds. The bank failures in March 2023 exemplify the potential serious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The Company seeks to ensure funding needs are met by maintaining a level of liquidity through asset and liability management. If the Company becomes unable to obtain funds when needed, it could have a material adverse effect on its business, financial condition, and results of operations.</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Recent negative developments affecting the banking industry, and resulting media coverage, have eroded customer confidence in the banking system.</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recent high-profile bank failures have generated significant market volatility among publicly traded bank holding companies. These market developments have negatively impacted customer confidence in the safety and soundness of regional banks. As a result, customers may choose to maintain deposits with larger financial institutions or invest in higher yielding short-term fixed income securities, all of which could materially adversely impact the Company’s liquidity, loan funding capacity, net interest margin, capital and results of operations. While the Department of the Treasury, the Federal Reserve, and the FDIC have made statements ensuring that depositors of these recently failed banks would have access to their deposits, including uninsured deposit accounts, there is no guarantee that such actions will be successful in restoring customer confidence in regional banks and the banking system more broadly.</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Rising interest rates have decreased the value of the Company’s available-for-sale securities portfolio, and the Company would realize losses if it were required to sell such securities to meet liquidity needs.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a result of inflationary pressures and the resulting rapid increases in interest rates over the last year, the fair value of previously issued government and other fixed income securities has declined significantly, resulting in unrealized losses.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mortgage-backed securities, and other qualifying assets as collateral at par to mitigate the risk of potential losses on the sale of such instruments, there is no guarantee that such programs will be effective in addressing liquidity needs as they arise.</w:t>
      </w:r>
    </w:p>
    <w:p>
      <w:pPr>
        <w:spacing w:after="0" w:line="18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Any regulatory examination scrutiny or new regulatory requirements arising from the recent events in the banking industry could increase the Company’s expenses and affect the Company’s operations.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anticipates increased regulatory scrutiny and new regulations designed to address the recent negative developments in the banking industry, all of which may increase the Company’s costs of doing business and reduce its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profitability. Among other things, there may be an increased focus by regulators on deposit composition and the level of uninsured deposits. As primarily a commercial bank, the Bank has a higher degree of uninsured deposits compared to larger national banks or smaller community banks with a stronger focus on retail deposits. As a result, the Bank could face increased scrutiny or be viewed as higher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2023, the Company repurchased a total of 73,272 shares of its common stock pursuant to its treasury stock buyback program,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5"/>
              </w:rPr>
              <w:t>of Shares</w:t>
            </w:r>
          </w:p>
        </w:tc>
        <w:tc>
          <w:tcPr>
            <w:tcW w:w="142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Purchased as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64"/>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jc w:val="center"/>
              <w:ind w:right="70"/>
              <w:spacing w:after="0" w:line="164" w:lineRule="exact"/>
              <w:rPr>
                <w:sz w:val="20"/>
                <w:szCs w:val="20"/>
                <w:color w:val="auto"/>
              </w:rPr>
            </w:pPr>
            <w:r>
              <w:rPr>
                <w:rFonts w:ascii="Arial" w:cs="Arial" w:eastAsia="Arial" w:hAnsi="Arial"/>
                <w:sz w:val="18"/>
                <w:szCs w:val="18"/>
                <w:b w:val="1"/>
                <w:bCs w:val="1"/>
                <w:color w:val="auto"/>
                <w:w w:val="94"/>
              </w:rPr>
              <w:t>Part of</w:t>
            </w:r>
          </w:p>
        </w:tc>
        <w:tc>
          <w:tcPr>
            <w:tcW w:w="142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Publicly</w:t>
            </w:r>
          </w:p>
        </w:tc>
        <w:tc>
          <w:tcPr>
            <w:tcW w:w="142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2340" w:type="dxa"/>
            <w:vAlign w:val="bottom"/>
            <w:vMerge w:val="restart"/>
          </w:tcPr>
          <w:p>
            <w:pPr>
              <w:jc w:val="center"/>
              <w:ind w:left="690"/>
              <w:spacing w:after="0" w:line="189"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89" w:lineRule="exact"/>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72"/>
        </w:trPr>
        <w:tc>
          <w:tcPr>
            <w:tcW w:w="408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700" w:type="dxa"/>
            <w:vAlign w:val="bottom"/>
            <w:vMerge w:val="restart"/>
          </w:tcPr>
          <w:p>
            <w:pPr>
              <w:jc w:val="center"/>
              <w:ind w:right="90"/>
              <w:spacing w:after="0" w:line="202" w:lineRule="exact"/>
              <w:rPr>
                <w:sz w:val="20"/>
                <w:szCs w:val="20"/>
                <w:color w:val="auto"/>
              </w:rPr>
            </w:pPr>
            <w:r>
              <w:rPr>
                <w:rFonts w:ascii="Arial" w:cs="Arial" w:eastAsia="Arial" w:hAnsi="Arial"/>
                <w:sz w:val="18"/>
                <w:szCs w:val="18"/>
                <w:b w:val="1"/>
                <w:bCs w:val="1"/>
                <w:color w:val="auto"/>
                <w:w w:val="88"/>
              </w:rPr>
              <w:t>Announced</w:t>
            </w: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2340" w:type="dxa"/>
            <w:vAlign w:val="bottom"/>
            <w:vMerge w:val="restart"/>
          </w:tcPr>
          <w:p>
            <w:pPr>
              <w:jc w:val="center"/>
              <w:ind w:left="730"/>
              <w:spacing w:after="0" w:line="176"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420" w:type="dxa"/>
            <w:vAlign w:val="bottom"/>
            <w:vMerge w:val="restart"/>
          </w:tcPr>
          <w:p>
            <w:pPr>
              <w:jc w:val="center"/>
              <w:spacing w:after="0" w:line="176" w:lineRule="exact"/>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45"/>
        </w:trPr>
        <w:tc>
          <w:tcPr>
            <w:tcW w:w="4080" w:type="dxa"/>
            <w:vAlign w:val="bottom"/>
          </w:tcPr>
          <w:p>
            <w:pPr>
              <w:spacing w:after="0"/>
              <w:rPr>
                <w:sz w:val="3"/>
                <w:szCs w:val="3"/>
                <w:color w:val="auto"/>
              </w:rPr>
            </w:pPr>
          </w:p>
        </w:tc>
        <w:tc>
          <w:tcPr>
            <w:tcW w:w="23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7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Plans or</w:t>
            </w: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08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Period</w:t>
            </w:r>
          </w:p>
        </w:tc>
        <w:tc>
          <w:tcPr>
            <w:tcW w:w="2340" w:type="dxa"/>
            <w:vAlign w:val="bottom"/>
          </w:tcPr>
          <w:p>
            <w:pPr>
              <w:jc w:val="center"/>
              <w:ind w:left="730"/>
              <w:spacing w:after="0" w:line="189"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6"/>
                <w:szCs w:val="16"/>
                <w:color w:val="auto"/>
              </w:rPr>
            </w:pPr>
          </w:p>
        </w:tc>
        <w:tc>
          <w:tcPr>
            <w:tcW w:w="1480" w:type="dxa"/>
            <w:vAlign w:val="bottom"/>
          </w:tcPr>
          <w:p>
            <w:pPr>
              <w:ind w:left="40"/>
              <w:spacing w:after="0" w:line="189" w:lineRule="exact"/>
              <w:rPr>
                <w:sz w:val="20"/>
                <w:szCs w:val="20"/>
                <w:color w:val="auto"/>
              </w:rPr>
            </w:pPr>
            <w:r>
              <w:rPr>
                <w:rFonts w:ascii="Arial" w:cs="Arial" w:eastAsia="Arial" w:hAnsi="Arial"/>
                <w:sz w:val="18"/>
                <w:szCs w:val="18"/>
                <w:b w:val="1"/>
                <w:bCs w:val="1"/>
                <w:color w:val="auto"/>
              </w:rPr>
              <w:t>Average Price</w:t>
            </w:r>
          </w:p>
        </w:tc>
        <w:tc>
          <w:tcPr>
            <w:tcW w:w="1700" w:type="dxa"/>
            <w:vAlign w:val="bottom"/>
            <w:vMerge w:val="continue"/>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Purchased</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Paid per Share</w:t>
            </w:r>
          </w:p>
        </w:tc>
        <w:tc>
          <w:tcPr>
            <w:tcW w:w="170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50"/>
        </w:trPr>
        <w:tc>
          <w:tcPr>
            <w:tcW w:w="4080" w:type="dxa"/>
            <w:vAlign w:val="bottom"/>
            <w:shd w:val="clear" w:color="auto" w:fill="B6B6B6"/>
          </w:tcPr>
          <w:p>
            <w:pPr>
              <w:ind w:left="20"/>
              <w:spacing w:after="0"/>
              <w:rPr>
                <w:sz w:val="20"/>
                <w:szCs w:val="20"/>
                <w:color w:val="auto"/>
              </w:rPr>
            </w:pPr>
            <w:r>
              <w:rPr>
                <w:rFonts w:ascii="Arial" w:cs="Arial" w:eastAsia="Arial" w:hAnsi="Arial"/>
                <w:sz w:val="18"/>
                <w:szCs w:val="18"/>
                <w:color w:val="auto"/>
              </w:rPr>
              <w:t>July 1, 2023–July 31, 2023</w:t>
            </w:r>
          </w:p>
        </w:tc>
        <w:tc>
          <w:tcPr>
            <w:tcW w:w="2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38.68</w:t>
            </w:r>
          </w:p>
        </w:tc>
        <w:tc>
          <w:tcPr>
            <w:tcW w:w="170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rPr>
              <w:t>1,122</w:t>
            </w:r>
          </w:p>
        </w:tc>
        <w:tc>
          <w:tcPr>
            <w:tcW w:w="14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276,280</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August 1, 2023–August 31, 2023</w:t>
            </w:r>
          </w:p>
        </w:tc>
        <w:tc>
          <w:tcPr>
            <w:tcW w:w="2340" w:type="dxa"/>
            <w:vAlign w:val="bottom"/>
          </w:tcPr>
          <w:p>
            <w:pPr>
              <w:jc w:val="right"/>
              <w:spacing w:after="0"/>
              <w:rPr>
                <w:sz w:val="20"/>
                <w:szCs w:val="20"/>
                <w:color w:val="auto"/>
              </w:rPr>
            </w:pPr>
            <w:r>
              <w:rPr>
                <w:rFonts w:ascii="Arial" w:cs="Arial" w:eastAsia="Arial" w:hAnsi="Arial"/>
                <w:sz w:val="18"/>
                <w:szCs w:val="18"/>
                <w:color w:val="auto"/>
              </w:rPr>
              <w:t>60,900</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38.79</w:t>
            </w: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60,900</w:t>
            </w:r>
          </w:p>
        </w:tc>
        <w:tc>
          <w:tcPr>
            <w:tcW w:w="1420" w:type="dxa"/>
            <w:vAlign w:val="bottom"/>
          </w:tcPr>
          <w:p>
            <w:pPr>
              <w:jc w:val="right"/>
              <w:spacing w:after="0"/>
              <w:rPr>
                <w:sz w:val="20"/>
                <w:szCs w:val="20"/>
                <w:color w:val="auto"/>
              </w:rPr>
            </w:pPr>
            <w:r>
              <w:rPr>
                <w:rFonts w:ascii="Arial" w:cs="Arial" w:eastAsia="Arial" w:hAnsi="Arial"/>
                <w:sz w:val="18"/>
                <w:szCs w:val="18"/>
                <w:color w:val="auto"/>
              </w:rPr>
              <w:t>215,380</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September 1, 2023–September 30, 2023</w:t>
            </w:r>
          </w:p>
        </w:tc>
        <w:tc>
          <w:tcPr>
            <w:tcW w:w="23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38.16</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Arial" w:cs="Arial" w:eastAsia="Arial" w:hAnsi="Arial"/>
                <w:sz w:val="18"/>
                <w:szCs w:val="18"/>
                <w:color w:val="auto"/>
              </w:rPr>
              <w:t>11,250</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204,130</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38.69</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73,272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204,130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40" w:hanging="332"/>
        <w:spacing w:after="0" w:line="296" w:lineRule="auto"/>
        <w:tabs>
          <w:tab w:leader="none" w:pos="334"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All repurchases made during the quarter ended September 30, 2023 were made pursuant to the treasury stock buyback program, authorized by the Board of Directors on October 19, 2021 and announced by the Company on October 21, 2021. The program provides that the Company may repurchase up to an aggregate of 750,000 shares of common stock and has no expiration date. On October 17, 2023, the Board of Directors authorized the repurchase of up to 500,000 shares of the Company's common stock with no expiration date. This authorization replaces the October 2021 authorization, and as such, the Company has 500,000 shares available for repurchase effective with the October 17, 2023 authorization.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color w:val="auto"/>
        </w:rPr>
      </w:pPr>
    </w:p>
    <w:p>
      <w:pPr>
        <w:ind w:left="660" w:right="40" w:hanging="652"/>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third quarter of 2023.</w:t>
      </w:r>
    </w:p>
    <w:p>
      <w:pPr>
        <w:spacing w:after="0" w:line="129" w:lineRule="exact"/>
        <w:rPr>
          <w:rFonts w:ascii="Arial" w:cs="Arial" w:eastAsia="Arial" w:hAnsi="Arial"/>
          <w:sz w:val="18"/>
          <w:szCs w:val="18"/>
          <w:color w:val="auto"/>
        </w:rPr>
      </w:pPr>
    </w:p>
    <w:p>
      <w:pPr>
        <w:ind w:left="660" w:right="160" w:hanging="652"/>
        <w:spacing w:after="0" w:line="308" w:lineRule="auto"/>
        <w:tabs>
          <w:tab w:leader="none" w:pos="6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three months ended September 30, 2023, none of the Company's officers or directors adopted or terminated any "Rule 10b5-1 trading arrangement" or any “non-Rule 10b5-1 trading arrangement,” as such terms are defined under Item 408 of Regulation 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p>
      <w:pPr>
        <w:ind w:left="20"/>
        <w:spacing w:after="0" w:line="235"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Exhibit 10.1 Cass Information Systems, Inc. 2023 Omnibus Stock and Performance Compensation Plan, incorporated by reference to Exhibit 10.1 to the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current report on Form 8-K, filed with the SEC on April 21, 2023.*</w:t>
        </w:r>
      </w:hyperlink>
    </w:p>
    <w:p>
      <w:pPr>
        <w:spacing w:after="0" w:line="108" w:lineRule="exact"/>
        <w:rPr>
          <w:sz w:val="20"/>
          <w:szCs w:val="20"/>
          <w:color w:val="auto"/>
        </w:rPr>
      </w:pPr>
    </w:p>
    <w:p>
      <w:pPr>
        <w:ind w:left="20" w:right="240"/>
        <w:spacing w:after="0" w:line="289" w:lineRule="auto"/>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Exhibit 10.2 Form of Employee Restricted Stock Award Agreement under the Cass Information Systems, Inc. 2023 Omnibus Stock and Performance</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Compensation Plan, incorporated by reference to Exhibit 10.2 to the current report on Form 8-K, filed with the SEC on April 21, 2023.*</w:t>
        </w:r>
      </w:hyperlink>
    </w:p>
    <w:p>
      <w:pPr>
        <w:spacing w:after="0" w:line="70" w:lineRule="exact"/>
        <w:rPr>
          <w:sz w:val="20"/>
          <w:szCs w:val="20"/>
          <w:color w:val="auto"/>
        </w:rPr>
      </w:pPr>
    </w:p>
    <w:p>
      <w:pPr>
        <w:jc w:val="both"/>
        <w:ind w:left="20" w:right="180"/>
        <w:spacing w:after="0" w:line="289" w:lineRule="auto"/>
        <w:rPr>
          <w:rFonts w:ascii="Arial" w:cs="Arial" w:eastAsia="Arial" w:hAnsi="Arial"/>
          <w:sz w:val="16"/>
          <w:szCs w:val="16"/>
          <w:u w:val="single" w:color="auto"/>
          <w:color w:val="0000FF"/>
        </w:rPr>
      </w:pPr>
      <w:hyperlink r:id="rId65">
        <w:r>
          <w:rPr>
            <w:rFonts w:ascii="Arial" w:cs="Arial" w:eastAsia="Arial" w:hAnsi="Arial"/>
            <w:sz w:val="16"/>
            <w:szCs w:val="16"/>
            <w:u w:val="single" w:color="auto"/>
            <w:color w:val="0000FF"/>
          </w:rPr>
          <w:t>Exhibit 10.3 Form of Non-Employee Director Restricted Stock Award Agreement under the Cass Information Systems, Inc. 2023 Omnibus Stock and</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Performance Compensation Plan, incorporated by reference to Exhibit 10.3 to the quarterly report on Form 10-Q filed with the SEC on May 9, 2023.</w:t>
        </w:r>
      </w:hyperlink>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31.1 Certification Pursuant to Section 302 of the Sarbanes-Oxley Act of 2002</w:t>
      </w:r>
      <w:r>
        <w:rPr>
          <w:rFonts w:ascii="Arial" w:cs="Arial" w:eastAsia="Arial" w:hAnsi="Arial"/>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31.2 Certification Pursuant to Section 302 of the Sarbanes-Oxley Act of 2002</w:t>
      </w:r>
      <w:r>
        <w:rPr>
          <w:rFonts w:ascii="Arial" w:cs="Arial" w:eastAsia="Arial" w:hAnsi="Arial"/>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32.1 Certification Pursuant to 18 U.S.C. Section 1350, as Adopted Pursuant to Section 906 of the Sarbanes-Oxley Act of 2002</w:t>
      </w:r>
      <w:r>
        <w:rPr>
          <w:rFonts w:ascii="Arial" w:cs="Arial" w:eastAsia="Arial" w:hAnsi="Arial"/>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32.2 Certification Pursuant to 18 U.S.C. Section 1350, as Adopted Pursuant to Section 906 of the Sarbanes-Oxley Act of 2002</w:t>
      </w:r>
      <w:r>
        <w:rPr>
          <w:rFonts w:ascii="Arial" w:cs="Arial" w:eastAsia="Arial" w:hAnsi="Arial"/>
          <w:sz w:val="18"/>
          <w:szCs w:val="18"/>
          <w:color w:val="000000"/>
        </w:rPr>
        <w:t>.</w:t>
      </w:r>
    </w:p>
    <w:p>
      <w:pPr>
        <w:spacing w:after="0" w:line="77" w:lineRule="exact"/>
        <w:rPr>
          <w:sz w:val="20"/>
          <w:szCs w:val="20"/>
          <w:color w:val="auto"/>
        </w:rPr>
      </w:pPr>
    </w:p>
    <w:p>
      <w:pPr>
        <w:ind w:left="20" w:right="180"/>
        <w:spacing w:after="0" w:line="235" w:lineRule="auto"/>
        <w:rPr>
          <w:sz w:val="20"/>
          <w:szCs w:val="20"/>
          <w:color w:val="auto"/>
        </w:rPr>
      </w:pPr>
      <w:r>
        <w:rPr>
          <w:rFonts w:ascii="Arial" w:cs="Arial" w:eastAsia="Arial" w:hAnsi="Arial"/>
          <w:sz w:val="18"/>
          <w:szCs w:val="18"/>
          <w:color w:val="auto"/>
        </w:rPr>
        <w:t>Exhibit 101.INS XBRL Instance Document. The instance document does not appear in the Interactive Data File because its XBRL tags are embedded within the Inline XBRL document.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CASS INFORMATION SYSTEMS, INC.</w:t>
      </w:r>
    </w:p>
    <w:p>
      <w:pPr>
        <w:sectPr>
          <w:pgSz w:w="11900" w:h="16838" w:orient="portrait"/>
          <w:cols w:equalWidth="0" w:num="1">
            <w:col w:w="11240"/>
          </w:cols>
          <w:pgMar w:left="320" w:top="121"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7, 2023</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Arial" w:cs="Arial" w:eastAsia="Arial" w:hAnsi="Arial"/>
          <w:sz w:val="16"/>
          <w:szCs w:val="16"/>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38100</wp:posOffset>
            </wp:positionV>
            <wp:extent cx="4431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3">
            <w:col w:w="3160" w:space="720"/>
            <w:col w:w="2440" w:space="720"/>
            <w:col w:w="4200"/>
          </w:cols>
          <w:pgMar w:left="320" w:top="121" w:right="339" w:bottom="1440" w:gutter="0" w:footer="0" w:header="0"/>
          <w:type w:val="continuous"/>
        </w:sectPr>
      </w:pPr>
    </w:p>
    <w:p>
      <w:pPr>
        <w:jc w:val="center"/>
        <w:ind w:left="4240"/>
        <w:spacing w:after="0"/>
        <w:rPr>
          <w:sz w:val="20"/>
          <w:szCs w:val="20"/>
          <w:color w:val="auto"/>
        </w:rPr>
      </w:pPr>
      <w:r>
        <w:rPr>
          <w:rFonts w:ascii="Arial" w:cs="Arial" w:eastAsia="Arial" w:hAnsi="Arial"/>
          <w:sz w:val="18"/>
          <w:szCs w:val="18"/>
          <w:color w:val="auto"/>
        </w:rPr>
        <w:t>Martin H. Resch</w:t>
      </w:r>
    </w:p>
    <w:p>
      <w:pPr>
        <w:spacing w:after="0" w:line="50" w:lineRule="exact"/>
        <w:rPr>
          <w:sz w:val="20"/>
          <w:szCs w:val="20"/>
          <w:color w:val="auto"/>
        </w:rPr>
      </w:pPr>
    </w:p>
    <w:p>
      <w:pPr>
        <w:jc w:val="center"/>
        <w:ind w:left="42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jc w:val="center"/>
        <w:ind w:left="42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DATE: November 7, 2023</w:t>
            </w:r>
          </w:p>
        </w:tc>
        <w:tc>
          <w:tcPr>
            <w:tcW w:w="1360" w:type="dxa"/>
            <w:vAlign w:val="bottom"/>
          </w:tcPr>
          <w:p>
            <w:pPr>
              <w:ind w:left="980"/>
              <w:spacing w:after="0"/>
              <w:rPr>
                <w:sz w:val="20"/>
                <w:szCs w:val="20"/>
                <w:color w:val="auto"/>
              </w:rPr>
            </w:pPr>
            <w:r>
              <w:rPr>
                <w:rFonts w:ascii="Arial" w:cs="Arial" w:eastAsia="Arial" w:hAnsi="Arial"/>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J. Normile</w:t>
            </w:r>
          </w:p>
        </w:tc>
      </w:tr>
      <w:tr>
        <w:trPr>
          <w:trHeight w:val="243"/>
        </w:trPr>
        <w:tc>
          <w:tcPr>
            <w:tcW w:w="2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Arial" w:cs="Arial" w:eastAsia="Arial" w:hAnsi="Arial"/>
                <w:sz w:val="18"/>
                <w:szCs w:val="18"/>
                <w:color w:val="auto"/>
                <w:w w:val="93"/>
              </w:rPr>
              <w:t>Michael J. Normile</w:t>
            </w:r>
          </w:p>
        </w:tc>
      </w:tr>
      <w:tr>
        <w:trPr>
          <w:trHeight w:val="256"/>
        </w:trPr>
        <w:tc>
          <w:tcPr>
            <w:tcW w:w="2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57"/>
        </w:trPr>
        <w:tc>
          <w:tcPr>
            <w:tcW w:w="2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918"/>
        </w:trPr>
        <w:tc>
          <w:tcPr>
            <w:tcW w:w="2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80" w:type="dxa"/>
            <w:vAlign w:val="bottom"/>
          </w:tcPr>
          <w:p>
            <w:pPr>
              <w:jc w:val="right"/>
              <w:ind w:right="537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40"/>
          </w:cols>
          <w:pgMar w:left="320" w:top="121"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Martin H. Resch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4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5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4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September 30, 2023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Martin H. Resch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7, 2023</w:t>
      </w:r>
    </w:p>
    <w:p>
      <w:pPr>
        <w:spacing w:after="0" w:line="3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3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September 30, 2023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7, 2023</w:t>
      </w:r>
    </w:p>
    <w:p>
      <w:pPr>
        <w:spacing w:after="0" w:line="3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63" Type="http://schemas.openxmlformats.org/officeDocument/2006/relationships/hyperlink" Target="https://www.sec.gov/Archives/edgar/data/708781/000070878123000017/exhibit101-2023omnibusplan.htm" TargetMode="External"/><Relationship Id="rId64" Type="http://schemas.openxmlformats.org/officeDocument/2006/relationships/hyperlink" Target="https://www.sec.gov/Archives/edgar/data/708781/000070878123000017/exhibit102-restrictedstock.htm" TargetMode="External"/><Relationship Id="rId65" Type="http://schemas.openxmlformats.org/officeDocument/2006/relationships/hyperlink" Target="https://www.sec.gov/Archives/edgar/data/708781/000162828023016684/exhibit103-nonxemployeedi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2023-11-07T11:12:31Z</dcterms:created>
  <dcterms:modified xsi:type="dcterms:W3CDTF">2023-11-07T11:12:31Z</dcterms:modified>
</cp:coreProperties>
</file>