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2"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May 7, 2025: Common stock, par value $.50 per share – 13,359,999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March 31, 2025 (unaudited) and December 31, 2024</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Months Ended March 31, 2025 and 2024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Months Ended March 31, 2025 and 2024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Three Months Ended March 31, 2025 and 2024 (unaudited)</w:t>
      </w:r>
    </w:p>
    <w:p>
      <w:pPr>
        <w:spacing w:after="0" w:line="29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Months Ended March 31, 2025 and 2024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2024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5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208,233</w:t>
            </w:r>
          </w:p>
        </w:tc>
        <w:tc>
          <w:tcPr>
            <w:tcW w:w="8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220,674</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576,510</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1,141,874</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1,127,588</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1,068,594</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208,530</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55,906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67,741</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8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2,318,457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6520" w:type="dxa"/>
            <w:vAlign w:val="bottom"/>
            <w:tcBorders>
              <w:bottom w:val="single" w:sz="8" w:color="B6B6B6"/>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B6B6B6"/>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top w:val="single" w:sz="8" w:color="B6B6B6"/>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top w:val="single" w:sz="8" w:color="B6B6B6"/>
            </w:tcBorders>
          </w:tcPr>
          <w:p>
            <w:pPr>
              <w:spacing w:after="0"/>
              <w:rPr>
                <w:sz w:val="21"/>
                <w:szCs w:val="21"/>
                <w:color w:val="auto"/>
              </w:rPr>
            </w:pPr>
          </w:p>
        </w:tc>
        <w:tc>
          <w:tcPr>
            <w:tcW w:w="138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18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B6B6B6"/>
            </w:tcBorders>
          </w:tcPr>
          <w:p>
            <w:pPr>
              <w:spacing w:after="0"/>
              <w:rPr>
                <w:sz w:val="21"/>
                <w:szCs w:val="21"/>
                <w:color w:val="auto"/>
              </w:rPr>
            </w:pPr>
          </w:p>
        </w:tc>
        <w:tc>
          <w:tcPr>
            <w:tcW w:w="780" w:type="dxa"/>
            <w:vAlign w:val="bottom"/>
            <w:tcBorders>
              <w:bottom w:val="single" w:sz="8" w:color="auto"/>
            </w:tcBorders>
            <w:shd w:val="clear" w:color="auto" w:fill="B6B6B6"/>
          </w:tcPr>
          <w:p>
            <w:pPr>
              <w:spacing w:after="0"/>
              <w:rPr>
                <w:sz w:val="20"/>
                <w:szCs w:val="20"/>
                <w:color w:val="auto"/>
              </w:rPr>
            </w:pPr>
            <w:r>
              <w:rPr>
                <w:rFonts w:ascii="Times New Roman" w:cs="Times New Roman" w:eastAsia="Times New Roman" w:hAnsi="Times New Roman"/>
                <w:sz w:val="18"/>
                <w:szCs w:val="18"/>
                <w:color w:val="auto"/>
                <w:w w:val="97"/>
              </w:rPr>
              <w:t>Liabilities:</w:t>
            </w:r>
          </w:p>
        </w:tc>
        <w:tc>
          <w:tcPr>
            <w:tcW w:w="7300" w:type="dxa"/>
            <w:vAlign w:val="bottom"/>
            <w:tcBorders>
              <w:bottom w:val="single" w:sz="8" w:color="B6B6B6"/>
            </w:tcBorders>
            <w:gridSpan w:val="2"/>
            <w:shd w:val="clear" w:color="auto" w:fill="B6B6B6"/>
          </w:tcPr>
          <w:p>
            <w:pPr>
              <w:spacing w:after="0"/>
              <w:rPr>
                <w:sz w:val="21"/>
                <w:szCs w:val="21"/>
                <w:color w:val="auto"/>
              </w:rPr>
            </w:pPr>
          </w:p>
        </w:tc>
        <w:tc>
          <w:tcPr>
            <w:tcW w:w="120" w:type="dxa"/>
            <w:vAlign w:val="bottom"/>
            <w:tcBorders>
              <w:bottom w:val="single" w:sz="8" w:color="B6B6B6"/>
            </w:tcBorders>
            <w:shd w:val="clear" w:color="auto" w:fill="B6B6B6"/>
          </w:tcPr>
          <w:p>
            <w:pPr>
              <w:spacing w:after="0"/>
              <w:rPr>
                <w:sz w:val="21"/>
                <w:szCs w:val="21"/>
                <w:color w:val="auto"/>
              </w:rPr>
            </w:pPr>
          </w:p>
        </w:tc>
        <w:tc>
          <w:tcPr>
            <w:tcW w:w="1380" w:type="dxa"/>
            <w:vAlign w:val="bottom"/>
            <w:tcBorders>
              <w:bottom w:val="single" w:sz="8" w:color="B6B6B6"/>
            </w:tcBorders>
            <w:shd w:val="clear" w:color="auto" w:fill="B6B6B6"/>
          </w:tcPr>
          <w:p>
            <w:pPr>
              <w:spacing w:after="0"/>
              <w:rPr>
                <w:sz w:val="21"/>
                <w:szCs w:val="21"/>
                <w:color w:val="auto"/>
              </w:rPr>
            </w:pP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B6B6B6"/>
            </w:tcBorders>
            <w:shd w:val="clear" w:color="auto" w:fill="B6B6B6"/>
          </w:tcPr>
          <w:p>
            <w:pPr>
              <w:spacing w:after="0"/>
              <w:rPr>
                <w:sz w:val="21"/>
                <w:szCs w:val="21"/>
                <w:color w:val="auto"/>
              </w:rPr>
            </w:pPr>
          </w:p>
        </w:tc>
        <w:tc>
          <w:tcPr>
            <w:tcW w:w="132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363,798</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251,230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636,277</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716,686</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1,000,075</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48,823</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46,211</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08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80" w:type="dxa"/>
            <w:vAlign w:val="bottom"/>
            <w:tcBorders>
              <w:bottom w:val="single" w:sz="8" w:color="B6B6B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2,084,210</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2,166,051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B6B6B6"/>
            </w:tcBorders>
          </w:tcPr>
          <w:p>
            <w:pPr>
              <w:spacing w:after="0"/>
              <w:rPr>
                <w:sz w:val="17"/>
                <w:szCs w:val="17"/>
                <w:color w:val="auto"/>
              </w:rPr>
            </w:pPr>
          </w:p>
        </w:tc>
        <w:tc>
          <w:tcPr>
            <w:tcW w:w="8080" w:type="dxa"/>
            <w:vAlign w:val="bottom"/>
            <w:gridSpan w:val="3"/>
            <w:shd w:val="clear" w:color="auto" w:fill="B6B6B6"/>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B6B6B6"/>
          </w:tcPr>
          <w:p>
            <w:pPr>
              <w:spacing w:after="0"/>
              <w:rPr>
                <w:sz w:val="17"/>
                <w:szCs w:val="17"/>
                <w:color w:val="auto"/>
              </w:rPr>
            </w:pPr>
          </w:p>
        </w:tc>
        <w:tc>
          <w:tcPr>
            <w:tcW w:w="13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B6B6B6"/>
            </w:tcBorders>
          </w:tcPr>
          <w:p>
            <w:pPr>
              <w:spacing w:after="0"/>
              <w:rPr>
                <w:sz w:val="2"/>
                <w:szCs w:val="2"/>
                <w:color w:val="auto"/>
              </w:rPr>
            </w:pPr>
          </w:p>
        </w:tc>
        <w:tc>
          <w:tcPr>
            <w:tcW w:w="780" w:type="dxa"/>
            <w:vAlign w:val="bottom"/>
            <w:tcBorders>
              <w:top w:val="single" w:sz="8" w:color="auto"/>
            </w:tcBorders>
            <w:shd w:val="clear" w:color="auto" w:fill="B6B6B6"/>
          </w:tcPr>
          <w:p>
            <w:pPr>
              <w:spacing w:after="0"/>
              <w:rPr>
                <w:sz w:val="2"/>
                <w:szCs w:val="2"/>
                <w:color w:val="auto"/>
              </w:rPr>
            </w:pPr>
          </w:p>
        </w:tc>
        <w:tc>
          <w:tcPr>
            <w:tcW w:w="780" w:type="dxa"/>
            <w:vAlign w:val="bottom"/>
            <w:tcBorders>
              <w:top w:val="single" w:sz="8" w:color="auto"/>
            </w:tcBorders>
            <w:shd w:val="clear" w:color="auto" w:fill="B6B6B6"/>
          </w:tcPr>
          <w:p>
            <w:pPr>
              <w:spacing w:after="0"/>
              <w:rPr>
                <w:sz w:val="2"/>
                <w:szCs w:val="2"/>
                <w:color w:val="auto"/>
              </w:rPr>
            </w:pPr>
          </w:p>
        </w:tc>
        <w:tc>
          <w:tcPr>
            <w:tcW w:w="6520" w:type="dxa"/>
            <w:vAlign w:val="bottom"/>
            <w:tcBorders>
              <w:top w:val="single" w:sz="8" w:color="B6B6B6"/>
            </w:tcBorders>
            <w:shd w:val="clear" w:color="auto" w:fill="B6B6B6"/>
          </w:tcPr>
          <w:p>
            <w:pPr>
              <w:spacing w:after="0"/>
              <w:rPr>
                <w:sz w:val="2"/>
                <w:szCs w:val="2"/>
                <w:color w:val="auto"/>
              </w:rPr>
            </w:pPr>
          </w:p>
        </w:tc>
        <w:tc>
          <w:tcPr>
            <w:tcW w:w="120" w:type="dxa"/>
            <w:vAlign w:val="bottom"/>
            <w:tcBorders>
              <w:top w:val="single" w:sz="8" w:color="B6B6B6"/>
            </w:tcBorders>
            <w:shd w:val="clear" w:color="auto" w:fill="B6B6B6"/>
          </w:tcPr>
          <w:p>
            <w:pPr>
              <w:spacing w:after="0"/>
              <w:rPr>
                <w:sz w:val="2"/>
                <w:szCs w:val="2"/>
                <w:color w:val="auto"/>
              </w:rPr>
            </w:pPr>
          </w:p>
        </w:tc>
        <w:tc>
          <w:tcPr>
            <w:tcW w:w="1380" w:type="dxa"/>
            <w:vAlign w:val="bottom"/>
            <w:tcBorders>
              <w:top w:val="single" w:sz="8" w:color="B6B6B6"/>
            </w:tcBorders>
            <w:shd w:val="clear" w:color="auto" w:fill="B6B6B6"/>
          </w:tcPr>
          <w:p>
            <w:pPr>
              <w:spacing w:after="0"/>
              <w:rPr>
                <w:sz w:val="2"/>
                <w:szCs w:val="2"/>
                <w:color w:val="auto"/>
              </w:rPr>
            </w:pPr>
          </w:p>
        </w:tc>
        <w:tc>
          <w:tcPr>
            <w:tcW w:w="80" w:type="dxa"/>
            <w:vAlign w:val="bottom"/>
            <w:tcBorders>
              <w:top w:val="single" w:sz="8" w:color="B6B6B6"/>
            </w:tcBorders>
            <w:shd w:val="clear" w:color="auto" w:fill="B6B6B6"/>
          </w:tcPr>
          <w:p>
            <w:pPr>
              <w:spacing w:after="0"/>
              <w:rPr>
                <w:sz w:val="2"/>
                <w:szCs w:val="2"/>
                <w:color w:val="auto"/>
              </w:rPr>
            </w:pPr>
          </w:p>
        </w:tc>
        <w:tc>
          <w:tcPr>
            <w:tcW w:w="180" w:type="dxa"/>
            <w:vAlign w:val="bottom"/>
            <w:tcBorders>
              <w:top w:val="single" w:sz="8" w:color="B6B6B6"/>
            </w:tcBorders>
            <w:shd w:val="clear" w:color="auto" w:fill="B6B6B6"/>
          </w:tcPr>
          <w:p>
            <w:pPr>
              <w:spacing w:after="0"/>
              <w:rPr>
                <w:sz w:val="2"/>
                <w:szCs w:val="2"/>
                <w:color w:val="auto"/>
              </w:rPr>
            </w:pPr>
          </w:p>
        </w:tc>
        <w:tc>
          <w:tcPr>
            <w:tcW w:w="1320" w:type="dxa"/>
            <w:vAlign w:val="bottom"/>
            <w:tcBorders>
              <w:top w:val="single" w:sz="8" w:color="B6B6B6"/>
            </w:tcBorders>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60" w:type="dxa"/>
            <w:vAlign w:val="bottom"/>
            <w:tcBorders>
              <w:right w:val="single" w:sz="8" w:color="B6B6B6"/>
            </w:tcBorders>
          </w:tcPr>
          <w:p>
            <w:pPr>
              <w:spacing w:after="0"/>
              <w:rPr>
                <w:sz w:val="20"/>
                <w:szCs w:val="20"/>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20" w:type="dxa"/>
            <w:vAlign w:val="bottom"/>
            <w:shd w:val="clear" w:color="auto" w:fill="B6B6B6"/>
          </w:tcPr>
          <w:p>
            <w:pPr>
              <w:spacing w:after="0"/>
              <w:rPr>
                <w:sz w:val="20"/>
                <w:szCs w:val="20"/>
                <w:color w:val="auto"/>
              </w:rPr>
            </w:pPr>
          </w:p>
        </w:tc>
        <w:tc>
          <w:tcPr>
            <w:tcW w:w="138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3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B6B6B6"/>
            </w:tcBorders>
          </w:tcPr>
          <w:p>
            <w:pPr>
              <w:spacing w:after="0"/>
              <w:rPr>
                <w:sz w:val="17"/>
                <w:szCs w:val="17"/>
                <w:color w:val="auto"/>
              </w:rPr>
            </w:pPr>
          </w:p>
        </w:tc>
        <w:tc>
          <w:tcPr>
            <w:tcW w:w="8080" w:type="dxa"/>
            <w:vAlign w:val="bottom"/>
            <w:gridSpan w:val="3"/>
            <w:shd w:val="clear" w:color="auto" w:fill="B6B6B6"/>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 2025 and December 31, 2024; 13,423,824 and 13,504,104 shares outstanding at March 31, 2025</w:t>
            </w:r>
          </w:p>
        </w:tc>
        <w:tc>
          <w:tcPr>
            <w:tcW w:w="120" w:type="dxa"/>
            <w:vAlign w:val="bottom"/>
            <w:shd w:val="clear" w:color="auto" w:fill="B6B6B6"/>
          </w:tcPr>
          <w:p>
            <w:pPr>
              <w:spacing w:after="0"/>
              <w:rPr>
                <w:sz w:val="17"/>
                <w:szCs w:val="17"/>
                <w:color w:val="auto"/>
              </w:rPr>
            </w:pPr>
          </w:p>
        </w:tc>
        <w:tc>
          <w:tcPr>
            <w:tcW w:w="13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20" w:type="dxa"/>
            <w:vAlign w:val="bottom"/>
            <w:shd w:val="clear" w:color="auto" w:fill="B6B6B6"/>
          </w:tcPr>
          <w:p>
            <w:pPr>
              <w:spacing w:after="0"/>
              <w:rPr>
                <w:sz w:val="21"/>
                <w:szCs w:val="21"/>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153,278</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in treasury, at cost (2,081,948 shares at March 31, 2025 and 2,001,668 shares at December 31,</w:t>
            </w:r>
          </w:p>
        </w:tc>
        <w:tc>
          <w:tcPr>
            <w:tcW w:w="12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0" w:type="dxa"/>
            <w:vAlign w:val="bottom"/>
          </w:tcPr>
          <w:p>
            <w:pPr>
              <w:spacing w:after="0"/>
              <w:rPr>
                <w:sz w:val="1"/>
                <w:szCs w:val="1"/>
                <w:color w:val="auto"/>
              </w:rPr>
            </w:pPr>
          </w:p>
        </w:tc>
      </w:tr>
      <w:tr>
        <w:trPr>
          <w:trHeight w:val="234"/>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234,247</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81"/>
        </w:trPr>
        <w:tc>
          <w:tcPr>
            <w:tcW w:w="60" w:type="dxa"/>
            <w:vAlign w:val="bottom"/>
            <w:tcBorders>
              <w:right w:val="single" w:sz="8" w:color="B6B6B6"/>
            </w:tcBorders>
          </w:tcPr>
          <w:p>
            <w:pPr>
              <w:spacing w:after="0"/>
              <w:rPr>
                <w:sz w:val="24"/>
                <w:szCs w:val="24"/>
                <w:color w:val="auto"/>
              </w:rPr>
            </w:pPr>
          </w:p>
        </w:tc>
        <w:tc>
          <w:tcPr>
            <w:tcW w:w="8080" w:type="dxa"/>
            <w:vAlign w:val="bottom"/>
            <w:tcBorders>
              <w:bottom w:val="single" w:sz="8" w:color="B6B6B6"/>
            </w:tcBorders>
            <w:gridSpan w:val="3"/>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2,318,457</w:t>
            </w:r>
          </w:p>
        </w:tc>
        <w:tc>
          <w:tcPr>
            <w:tcW w:w="80" w:type="dxa"/>
            <w:vAlign w:val="bottom"/>
            <w:tcBorders>
              <w:bottom w:val="single" w:sz="8" w:color="B6B6B6"/>
            </w:tcBorders>
            <w:shd w:val="clear" w:color="auto" w:fill="B6B6B6"/>
          </w:tcPr>
          <w:p>
            <w:pPr>
              <w:spacing w:after="0"/>
              <w:rPr>
                <w:sz w:val="24"/>
                <w:szCs w:val="24"/>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6520" w:type="dxa"/>
            <w:vAlign w:val="bottom"/>
            <w:tcBorders>
              <w:top w:val="single" w:sz="8" w:color="B6B6B6"/>
            </w:tcBorders>
          </w:tcPr>
          <w:p>
            <w:pPr>
              <w:spacing w:after="0" w:line="20" w:lineRule="exact"/>
              <w:rPr>
                <w:sz w:val="1"/>
                <w:szCs w:val="1"/>
                <w:color w:val="auto"/>
              </w:rPr>
            </w:pPr>
          </w:p>
        </w:tc>
        <w:tc>
          <w:tcPr>
            <w:tcW w:w="120" w:type="dxa"/>
            <w:vAlign w:val="bottom"/>
            <w:tcBorders>
              <w:top w:val="single" w:sz="8" w:color="B6B6B6"/>
              <w:bottom w:val="single" w:sz="8" w:color="auto"/>
            </w:tcBorders>
          </w:tcPr>
          <w:p>
            <w:pPr>
              <w:spacing w:after="0" w:line="20" w:lineRule="exact"/>
              <w:rPr>
                <w:sz w:val="1"/>
                <w:szCs w:val="1"/>
                <w:color w:val="auto"/>
              </w:rPr>
            </w:pPr>
          </w:p>
        </w:tc>
        <w:tc>
          <w:tcPr>
            <w:tcW w:w="13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8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and Other Income:</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spacing w:after="0"/>
              <w:rPr>
                <w:sz w:val="18"/>
                <w:szCs w:val="18"/>
                <w:color w:val="auto"/>
              </w:rPr>
            </w:pPr>
          </w:p>
        </w:tc>
        <w:tc>
          <w:tcPr>
            <w:tcW w:w="12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Processing fees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Financial fees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10,598</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Total fee revenue and other income</w:t>
            </w:r>
          </w:p>
        </w:tc>
        <w:tc>
          <w:tcPr>
            <w:tcW w:w="94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28,038</w:t>
            </w:r>
          </w:p>
        </w:tc>
        <w:tc>
          <w:tcPr>
            <w:tcW w:w="12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28,724</w:t>
            </w:r>
          </w:p>
        </w:tc>
      </w:tr>
      <w:tr>
        <w:trPr>
          <w:trHeight w:val="88"/>
        </w:trPr>
        <w:tc>
          <w:tcPr>
            <w:tcW w:w="816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spacing w:after="0"/>
              <w:rPr>
                <w:sz w:val="19"/>
                <w:szCs w:val="19"/>
                <w:color w:val="auto"/>
              </w:rPr>
            </w:pP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12,776</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and dividends on securities: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spacing w:after="0"/>
              <w:rPr>
                <w:sz w:val="19"/>
                <w:szCs w:val="19"/>
                <w:color w:val="auto"/>
              </w:rPr>
            </w:pP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Exempt from federal income taxes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federal funds sold and other short-term investments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94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23,390</w:t>
            </w:r>
          </w:p>
        </w:tc>
        <w:tc>
          <w:tcPr>
            <w:tcW w:w="12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21,654</w:t>
            </w:r>
          </w:p>
        </w:tc>
      </w:tr>
      <w:tr>
        <w:trPr>
          <w:trHeight w:val="34"/>
        </w:trPr>
        <w:tc>
          <w:tcPr>
            <w:tcW w:w="81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spacing w:after="0"/>
              <w:rPr>
                <w:sz w:val="19"/>
                <w:szCs w:val="19"/>
                <w:color w:val="auto"/>
              </w:rPr>
            </w:pP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deposits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on short-term borrowings</w:t>
            </w:r>
          </w:p>
        </w:tc>
        <w:tc>
          <w:tcPr>
            <w:tcW w:w="940" w:type="dxa"/>
            <w:vAlign w:val="bottom"/>
            <w:tcBorders>
              <w:bottom w:val="single" w:sz="8" w:color="B6B6B6"/>
            </w:tcBorders>
            <w:shd w:val="clear" w:color="auto" w:fill="B6B6B6"/>
          </w:tcPr>
          <w:p>
            <w:pPr>
              <w:spacing w:after="0"/>
              <w:rPr>
                <w:sz w:val="21"/>
                <w:szCs w:val="21"/>
                <w:color w:val="auto"/>
              </w:rPr>
            </w:pPr>
          </w:p>
        </w:tc>
        <w:tc>
          <w:tcPr>
            <w:tcW w:w="660" w:type="dxa"/>
            <w:vAlign w:val="bottom"/>
            <w:tcBorders>
              <w:bottom w:val="single" w:sz="8" w:color="B6B6B6"/>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Net interest income</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12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16,476</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94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2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16,381</w:t>
            </w:r>
          </w:p>
        </w:tc>
      </w:tr>
      <w:tr>
        <w:trPr>
          <w:trHeight w:val="204"/>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net revenue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45,105</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8160" w:type="dxa"/>
            <w:vAlign w:val="bottom"/>
            <w:shd w:val="clear" w:color="auto" w:fill="B6B6B6"/>
          </w:tcPr>
          <w:p>
            <w:pPr>
              <w:spacing w:after="0"/>
              <w:rPr>
                <w:sz w:val="9"/>
                <w:szCs w:val="9"/>
                <w:color w:val="auto"/>
              </w:rPr>
            </w:pPr>
          </w:p>
        </w:tc>
        <w:tc>
          <w:tcPr>
            <w:tcW w:w="940" w:type="dxa"/>
            <w:vAlign w:val="bottom"/>
            <w:shd w:val="clear" w:color="auto" w:fill="B6B6B6"/>
          </w:tcPr>
          <w:p>
            <w:pPr>
              <w:spacing w:after="0"/>
              <w:rPr>
                <w:sz w:val="9"/>
                <w:szCs w:val="9"/>
                <w:color w:val="auto"/>
              </w:rPr>
            </w:pPr>
          </w:p>
        </w:tc>
        <w:tc>
          <w:tcPr>
            <w:tcW w:w="540" w:type="dxa"/>
            <w:vAlign w:val="bottom"/>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340" w:type="dxa"/>
            <w:vAlign w:val="bottom"/>
            <w:shd w:val="clear" w:color="auto" w:fill="B6B6B6"/>
          </w:tcPr>
          <w:p>
            <w:pPr>
              <w:spacing w:after="0"/>
              <w:rPr>
                <w:sz w:val="9"/>
                <w:szCs w:val="9"/>
                <w:color w:val="auto"/>
              </w:rPr>
            </w:pPr>
          </w:p>
        </w:tc>
        <w:tc>
          <w:tcPr>
            <w:tcW w:w="1140" w:type="dxa"/>
            <w:vAlign w:val="bottom"/>
            <w:shd w:val="clear" w:color="auto" w:fill="B6B6B6"/>
          </w:tcPr>
          <w:p>
            <w:pPr>
              <w:spacing w:after="0"/>
              <w:rPr>
                <w:sz w:val="9"/>
                <w:szCs w:val="9"/>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Salaries and commissions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20,971</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940" w:type="dxa"/>
            <w:vAlign w:val="bottom"/>
            <w:tcBorders>
              <w:bottom w:val="single" w:sz="8" w:color="B6B6B6"/>
            </w:tcBorders>
            <w:shd w:val="clear" w:color="auto" w:fill="B6B6B6"/>
          </w:tcPr>
          <w:p>
            <w:pPr>
              <w:spacing w:after="0"/>
              <w:rPr>
                <w:sz w:val="19"/>
                <w:szCs w:val="19"/>
                <w:color w:val="auto"/>
              </w:rPr>
            </w:pPr>
          </w:p>
        </w:tc>
        <w:tc>
          <w:tcPr>
            <w:tcW w:w="660" w:type="dxa"/>
            <w:vAlign w:val="bottom"/>
            <w:tcBorders>
              <w:bottom w:val="single" w:sz="8" w:color="B6B6B6"/>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benefits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Total personnel expenses</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27,279</w:t>
            </w:r>
          </w:p>
        </w:tc>
        <w:tc>
          <w:tcPr>
            <w:tcW w:w="12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26,907</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Bad debt recovery</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r>
      <w:tr>
        <w:trPr>
          <w:trHeight w:val="33"/>
        </w:trPr>
        <w:tc>
          <w:tcPr>
            <w:tcW w:w="816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Total operating expense</w:t>
            </w:r>
          </w:p>
        </w:tc>
        <w:tc>
          <w:tcPr>
            <w:tcW w:w="94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35,530</w:t>
            </w:r>
          </w:p>
        </w:tc>
        <w:tc>
          <w:tcPr>
            <w:tcW w:w="12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36,208</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 expense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8,897</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04"/>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0"/>
        </w:trPr>
        <w:tc>
          <w:tcPr>
            <w:tcW w:w="816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8"/>
        </w:trPr>
        <w:tc>
          <w:tcPr>
            <w:tcW w:w="8160" w:type="dxa"/>
            <w:vAlign w:val="bottom"/>
            <w:shd w:val="clear" w:color="auto" w:fill="B6B6B6"/>
          </w:tcPr>
          <w:p>
            <w:pPr>
              <w:spacing w:after="0"/>
              <w:rPr>
                <w:sz w:val="6"/>
                <w:szCs w:val="6"/>
                <w:color w:val="auto"/>
              </w:rPr>
            </w:pPr>
          </w:p>
        </w:tc>
        <w:tc>
          <w:tcPr>
            <w:tcW w:w="940" w:type="dxa"/>
            <w:vAlign w:val="bottom"/>
            <w:shd w:val="clear" w:color="auto" w:fill="B6B6B6"/>
          </w:tcPr>
          <w:p>
            <w:pPr>
              <w:spacing w:after="0"/>
              <w:rPr>
                <w:sz w:val="6"/>
                <w:szCs w:val="6"/>
                <w:color w:val="auto"/>
              </w:rPr>
            </w:pPr>
          </w:p>
        </w:tc>
        <w:tc>
          <w:tcPr>
            <w:tcW w:w="540" w:type="dxa"/>
            <w:vAlign w:val="bottom"/>
            <w:shd w:val="clear" w:color="auto" w:fill="B6B6B6"/>
          </w:tcPr>
          <w:p>
            <w:pPr>
              <w:spacing w:after="0"/>
              <w:rPr>
                <w:sz w:val="6"/>
                <w:szCs w:val="6"/>
                <w:color w:val="auto"/>
              </w:rPr>
            </w:pPr>
          </w:p>
        </w:tc>
        <w:tc>
          <w:tcPr>
            <w:tcW w:w="120" w:type="dxa"/>
            <w:vAlign w:val="bottom"/>
            <w:shd w:val="clear" w:color="auto" w:fill="B6B6B6"/>
          </w:tcPr>
          <w:p>
            <w:pPr>
              <w:spacing w:after="0"/>
              <w:rPr>
                <w:sz w:val="6"/>
                <w:szCs w:val="6"/>
                <w:color w:val="auto"/>
              </w:rPr>
            </w:pPr>
          </w:p>
        </w:tc>
        <w:tc>
          <w:tcPr>
            <w:tcW w:w="340" w:type="dxa"/>
            <w:vAlign w:val="bottom"/>
            <w:shd w:val="clear" w:color="auto" w:fill="B6B6B6"/>
          </w:tcPr>
          <w:p>
            <w:pPr>
              <w:spacing w:after="0"/>
              <w:rPr>
                <w:sz w:val="6"/>
                <w:szCs w:val="6"/>
                <w:color w:val="auto"/>
              </w:rPr>
            </w:pPr>
          </w:p>
        </w:tc>
        <w:tc>
          <w:tcPr>
            <w:tcW w:w="1140" w:type="dxa"/>
            <w:vAlign w:val="bottom"/>
            <w:shd w:val="clear" w:color="auto" w:fill="B6B6B6"/>
          </w:tcPr>
          <w:p>
            <w:pPr>
              <w:spacing w:after="0"/>
              <w:rPr>
                <w:sz w:val="6"/>
                <w:szCs w:val="6"/>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Basic earnings per share from discontinued operations</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8160" w:type="dxa"/>
            <w:vAlign w:val="bottom"/>
            <w:shd w:val="clear" w:color="auto" w:fill="B6B6B6"/>
          </w:tcPr>
          <w:p>
            <w:pPr>
              <w:spacing w:after="0"/>
              <w:rPr>
                <w:sz w:val="9"/>
                <w:szCs w:val="9"/>
                <w:color w:val="auto"/>
              </w:rPr>
            </w:pPr>
          </w:p>
        </w:tc>
        <w:tc>
          <w:tcPr>
            <w:tcW w:w="940" w:type="dxa"/>
            <w:vAlign w:val="bottom"/>
            <w:shd w:val="clear" w:color="auto" w:fill="B6B6B6"/>
          </w:tcPr>
          <w:p>
            <w:pPr>
              <w:spacing w:after="0"/>
              <w:rPr>
                <w:sz w:val="9"/>
                <w:szCs w:val="9"/>
                <w:color w:val="auto"/>
              </w:rPr>
            </w:pPr>
          </w:p>
        </w:tc>
        <w:tc>
          <w:tcPr>
            <w:tcW w:w="540" w:type="dxa"/>
            <w:vAlign w:val="bottom"/>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340" w:type="dxa"/>
            <w:vAlign w:val="bottom"/>
            <w:shd w:val="clear" w:color="auto" w:fill="B6B6B6"/>
          </w:tcPr>
          <w:p>
            <w:pPr>
              <w:spacing w:after="0"/>
              <w:rPr>
                <w:sz w:val="9"/>
                <w:szCs w:val="9"/>
                <w:color w:val="auto"/>
              </w:rPr>
            </w:pPr>
          </w:p>
        </w:tc>
        <w:tc>
          <w:tcPr>
            <w:tcW w:w="1140" w:type="dxa"/>
            <w:vAlign w:val="bottom"/>
            <w:shd w:val="clear" w:color="auto" w:fill="B6B6B6"/>
          </w:tcPr>
          <w:p>
            <w:pPr>
              <w:spacing w:after="0"/>
              <w:rPr>
                <w:sz w:val="9"/>
                <w:szCs w:val="9"/>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Diluted earnings per share from discontinued operations</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6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6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income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Borders>
              <w:bottom w:val="single" w:sz="8" w:color="B6B6B6"/>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B6B6B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2"/>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0"/>
        </w:trPr>
        <w:tc>
          <w:tcPr>
            <w:tcW w:w="8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Less: net income from discontinued operations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amortization of premium/discount on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Losses on sales of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current income tax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Decrease in accounts receivable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21,565</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9,827</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Proceeds from maturities of securities available-for-sale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15,820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14,559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loans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(59,884)</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(22,679)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payments in advance of funding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 net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0" w:type="dxa"/>
            <w:vAlign w:val="bottom"/>
          </w:tcPr>
          <w:p>
            <w:pPr>
              <w:spacing w:after="0"/>
              <w:rPr>
                <w:sz w:val="1"/>
                <w:szCs w:val="1"/>
                <w:color w:val="auto"/>
              </w:rPr>
            </w:pPr>
          </w:p>
        </w:tc>
      </w:tr>
      <w:tr>
        <w:trPr>
          <w:trHeight w:val="204"/>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investing activities -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 -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4"/>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(71,025)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(71,976)</w:t>
            </w:r>
          </w:p>
        </w:tc>
        <w:tc>
          <w:tcPr>
            <w:tcW w:w="0" w:type="dxa"/>
            <w:vAlign w:val="bottom"/>
          </w:tcPr>
          <w:p>
            <w:pPr>
              <w:spacing w:after="0"/>
              <w:rPr>
                <w:sz w:val="1"/>
                <w:szCs w:val="1"/>
                <w:color w:val="auto"/>
              </w:rPr>
            </w:pPr>
          </w:p>
        </w:tc>
      </w:tr>
      <w:tr>
        <w:trPr>
          <w:trHeight w:val="3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8180" w:type="dxa"/>
            <w:vAlign w:val="bottom"/>
            <w:vMerge w:val="continue"/>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(decrease) in noninterest-bearing demand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112,568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(111,480)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(decrease) in time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77,795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payable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(113,286)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(129,993)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Purchase of common shares for treasury</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(76,394)</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(120,933)</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(79,594)</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(117,516)</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(129,054)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(179,665)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349,728</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372,468</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220,674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192,803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818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0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($0.30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105,686 common shares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pursuant to share-based compensation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23,271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229,487</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($0.31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95,114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116,109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203,755</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153,278</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234,247</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2024 ("2024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Discontinued Operations and Assets and Liabilities Held for Sale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("Asignet"). The Asset Purchase Agreement with Asignet reflects a purchase price of $18.0 million with a closing date expected to be during the second quarter of 2025, pending the ability to meet certain closing conditions. The Company also signed a Transition Services Agreement with Asignet to provide certain information technology, data ingestion, and payment processing services for a period of time after closing of the transaction.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March 31, 2025 and December 31, 2024, and for the three-months ended March 31, 2025, and 2024,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major classes of assets and liabilities included as part of discontinued operations at March 31, 2025, and December 31, 2024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5"/>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30"/>
        </w:trPr>
        <w:tc>
          <w:tcPr>
            <w:tcW w:w="4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7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3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DBDBDB"/>
            </w:tcBorders>
          </w:tcPr>
          <w:p>
            <w:pPr>
              <w:spacing w:after="0" w:line="20" w:lineRule="exact"/>
              <w:rPr>
                <w:sz w:val="1"/>
                <w:szCs w:val="1"/>
                <w:color w:val="auto"/>
              </w:rPr>
            </w:pPr>
          </w:p>
        </w:tc>
        <w:tc>
          <w:tcPr>
            <w:tcW w:w="37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460" w:type="dxa"/>
            <w:vAlign w:val="bottom"/>
            <w:shd w:val="clear" w:color="auto" w:fill="DBDBDB"/>
          </w:tcPr>
          <w:p>
            <w:pPr>
              <w:spacing w:after="0"/>
              <w:rPr>
                <w:sz w:val="5"/>
                <w:szCs w:val="5"/>
                <w:color w:val="auto"/>
              </w:rPr>
            </w:pPr>
          </w:p>
        </w:tc>
        <w:tc>
          <w:tcPr>
            <w:tcW w:w="372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36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60" w:type="dxa"/>
            <w:vAlign w:val="bottom"/>
            <w:shd w:val="clear" w:color="auto" w:fill="DBDBDB"/>
          </w:tcPr>
          <w:p>
            <w:pPr>
              <w:spacing w:after="0"/>
              <w:rPr>
                <w:sz w:val="5"/>
                <w:szCs w:val="5"/>
                <w:color w:val="auto"/>
              </w:rPr>
            </w:pPr>
          </w:p>
        </w:tc>
        <w:tc>
          <w:tcPr>
            <w:tcW w:w="13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8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7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DBDBDB"/>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37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3720" w:type="dxa"/>
            <w:vAlign w:val="bottom"/>
            <w:tcBorders>
              <w:top w:val="single" w:sz="8" w:color="DBDBDB"/>
              <w:bottom w:val="single" w:sz="8" w:color="DBDBDB"/>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 for the quarters ended March 31, 2025, and 2024 are as follows: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3"/>
        </w:trPr>
        <w:tc>
          <w:tcPr>
            <w:tcW w:w="8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0"/>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440" w:type="dxa"/>
            <w:vAlign w:val="bottom"/>
            <w:tcBorders>
              <w:bottom w:val="single" w:sz="8" w:color="DBDBDB"/>
            </w:tcBorders>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183"/>
        </w:trPr>
        <w:tc>
          <w:tcPr>
            <w:tcW w:w="84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personnel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30"/>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4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84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4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Intangible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28,432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customer lists are amortized over 5 to 10 years; software over 3 to 7 years; the trade names over 10 to 20 years; and other intangible assets over 15 years. Amortization of intangible assets amounted to $293,000 and $173,000 for the three months ended March 31, 2025 and 2024, respectively. Estimated annual amortization of intangibles is $1.2 million in 2025, $1.1 million in 2026, $738,000 in 2027, $730,000 in 2028, and $699,000 in 2029.</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Earnings Per Share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440" w:type="dxa"/>
            <w:vAlign w:val="bottom"/>
            <w:tcBorders>
              <w:bottom w:val="single" w:sz="8" w:color="B6B6B6"/>
            </w:tcBorders>
            <w:shd w:val="clear" w:color="auto" w:fill="B6B6B6"/>
          </w:tcPr>
          <w:p>
            <w:pPr>
              <w:spacing w:after="0"/>
              <w:rPr>
                <w:sz w:val="21"/>
                <w:szCs w:val="21"/>
                <w:color w:val="auto"/>
              </w:rPr>
            </w:pPr>
          </w:p>
        </w:tc>
        <w:tc>
          <w:tcPr>
            <w:tcW w:w="104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B6B6B6"/>
          </w:tcPr>
          <w:p>
            <w:pPr>
              <w:spacing w:after="0"/>
              <w:rPr>
                <w:sz w:val="22"/>
                <w:szCs w:val="22"/>
                <w:color w:val="auto"/>
              </w:rPr>
            </w:pPr>
          </w:p>
        </w:tc>
        <w:tc>
          <w:tcPr>
            <w:tcW w:w="4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13,398,183</w:t>
            </w:r>
          </w:p>
        </w:tc>
        <w:tc>
          <w:tcPr>
            <w:tcW w:w="10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13,530,228</w:t>
            </w:r>
          </w:p>
        </w:tc>
        <w:tc>
          <w:tcPr>
            <w:tcW w:w="0" w:type="dxa"/>
            <w:vAlign w:val="bottom"/>
          </w:tcPr>
          <w:p>
            <w:pPr>
              <w:spacing w:after="0"/>
              <w:rPr>
                <w:sz w:val="1"/>
                <w:szCs w:val="1"/>
                <w:color w:val="auto"/>
              </w:rPr>
            </w:pPr>
          </w:p>
        </w:tc>
      </w:tr>
      <w:tr>
        <w:trPr>
          <w:trHeight w:val="250"/>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auto"/>
            </w:tcBorders>
            <w:shd w:val="clear" w:color="auto" w:fill="B6B6B6"/>
          </w:tcPr>
          <w:p>
            <w:pPr>
              <w:spacing w:after="0"/>
              <w:rPr>
                <w:sz w:val="22"/>
                <w:szCs w:val="22"/>
                <w:color w:val="auto"/>
              </w:rPr>
            </w:pPr>
          </w:p>
        </w:tc>
        <w:tc>
          <w:tcPr>
            <w:tcW w:w="44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440" w:type="dxa"/>
            <w:vAlign w:val="bottom"/>
            <w:shd w:val="clear" w:color="auto" w:fill="B6B6B6"/>
          </w:tcPr>
          <w:p>
            <w:pPr>
              <w:spacing w:after="0"/>
              <w:rPr>
                <w:sz w:val="21"/>
                <w:szCs w:val="21"/>
                <w:color w:val="auto"/>
              </w:rPr>
            </w:pPr>
          </w:p>
        </w:tc>
        <w:tc>
          <w:tcPr>
            <w:tcW w:w="104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B6B6B6"/>
          </w:tcPr>
          <w:p>
            <w:pPr>
              <w:spacing w:after="0"/>
              <w:rPr>
                <w:sz w:val="22"/>
                <w:szCs w:val="22"/>
                <w:color w:val="auto"/>
              </w:rPr>
            </w:pPr>
          </w:p>
        </w:tc>
        <w:tc>
          <w:tcPr>
            <w:tcW w:w="4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13,398,183</w:t>
            </w:r>
          </w:p>
        </w:tc>
        <w:tc>
          <w:tcPr>
            <w:tcW w:w="10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13,530,228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245,094</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255,049</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13,643,277</w:t>
            </w:r>
          </w:p>
        </w:tc>
        <w:tc>
          <w:tcPr>
            <w:tcW w:w="10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13,785,277</w:t>
            </w:r>
          </w:p>
        </w:tc>
        <w:tc>
          <w:tcPr>
            <w:tcW w:w="0" w:type="dxa"/>
            <w:vAlign w:val="bottom"/>
          </w:tcPr>
          <w:p>
            <w:pPr>
              <w:spacing w:after="0"/>
              <w:rPr>
                <w:sz w:val="1"/>
                <w:szCs w:val="1"/>
                <w:color w:val="auto"/>
              </w:rPr>
            </w:pPr>
          </w:p>
        </w:tc>
      </w:tr>
      <w:tr>
        <w:trPr>
          <w:trHeight w:val="250"/>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auto"/>
            </w:tcBorders>
            <w:shd w:val="clear" w:color="auto" w:fill="B6B6B6"/>
          </w:tcPr>
          <w:p>
            <w:pPr>
              <w:spacing w:after="0"/>
              <w:rPr>
                <w:sz w:val="22"/>
                <w:szCs w:val="22"/>
                <w:color w:val="auto"/>
              </w:rPr>
            </w:pPr>
          </w:p>
        </w:tc>
        <w:tc>
          <w:tcPr>
            <w:tcW w:w="44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Stock Repurchases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2023, the Board of Directors authorized the repurchase of up to 500,000 shares of the Company’s common stock with no expiration date. As of March 31, 2025, the Company had 202,472 shares remaining available for repurchase under the program. The Company repurchased 116,109 and 23,271 shares during the three months ended March 31, 2025 and 2024, respectively. Repurchases may be made in the open market or through negotiated transactions from time to time depending on market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Industry Segment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being sold related to the TEM Business Unit as of three-months ended March 31, 2025 and 2024, as applicable. The TEM Business Unit is included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Information Services operating segment. The Banking Services segment provides banking services primarily to privately held businesses, franchise restaurants and faith-based ministries, as well as supporting the banking needs of the Information Services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2024 Form 10-K. Management and the chief operating decision maker evaluates segment performance based on pre-tax income after allocations for corporate expenses. Transactions between segments are accounted for at what management believes to be fair value.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Bad debt recovery</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2,318,457</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1,338,134</w:t>
            </w:r>
          </w:p>
        </w:tc>
        <w:tc>
          <w:tcPr>
            <w:tcW w:w="8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767,276</w:t>
            </w:r>
          </w:p>
        </w:tc>
        <w:tc>
          <w:tcPr>
            <w:tcW w:w="100" w:type="dxa"/>
            <w:vAlign w:val="bottom"/>
            <w:tcBorders>
              <w:bottom w:val="single" w:sz="8" w:color="auto"/>
            </w:tcBorders>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2,105,410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36,208</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95"/>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1,386,858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1,122,954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(216,233)</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2,293,579</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1,293,848</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799,740</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2,093,588</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jc w:val="center"/>
              <w:ind w:right="2150"/>
              <w:spacing w:after="0"/>
              <w:rPr>
                <w:sz w:val="20"/>
                <w:szCs w:val="20"/>
                <w:color w:val="auto"/>
              </w:rPr>
            </w:pPr>
            <w:r>
              <w:rPr>
                <w:rFonts w:ascii="Times New Roman" w:cs="Times New Roman" w:eastAsia="Times New Roman" w:hAnsi="Times New Roman"/>
                <w:sz w:val="18"/>
                <w:szCs w:val="18"/>
                <w:color w:val="auto"/>
                <w:w w:val="99"/>
              </w:rPr>
              <w:t>Note 7 – Loans by Type</w:t>
            </w:r>
          </w:p>
        </w:tc>
        <w:tc>
          <w:tcPr>
            <w:tcW w:w="4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4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0" w:type="dxa"/>
            <w:vAlign w:val="bottom"/>
          </w:tcPr>
          <w:p>
            <w:pPr>
              <w:spacing w:after="0"/>
              <w:rPr>
                <w:sz w:val="24"/>
                <w:szCs w:val="24"/>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8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612,355</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jc w:val="center"/>
              <w:ind w:right="2330"/>
              <w:spacing w:after="0"/>
              <w:rPr>
                <w:sz w:val="20"/>
                <w:szCs w:val="20"/>
                <w:color w:val="auto"/>
              </w:rPr>
            </w:pPr>
            <w:r>
              <w:rPr>
                <w:rFonts w:ascii="Times New Roman" w:cs="Times New Roman" w:eastAsia="Times New Roman" w:hAnsi="Times New Roman"/>
                <w:sz w:val="18"/>
                <w:szCs w:val="18"/>
                <w:color w:val="auto"/>
                <w:w w:val="99"/>
              </w:rPr>
              <w:t>Commercial:</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116,880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9,125</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Faith-based:</w:t>
            </w: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383,641</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1,141,874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4"/>
        </w:trPr>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March 31,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2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2025</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612,355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612,355</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116,880</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116,880</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9,125</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383,641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383,641</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19,873</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1,141,874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1,141,874</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559,262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119,194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368,881</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1,081,989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2025 and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2025</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581,183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612,355</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113,765</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3,115</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116,880</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9,125</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369,070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14,571</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383,641</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19,873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19,873</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1,093,016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48,858</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1,141,874</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527,690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31,572</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559,262</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116,063</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119,194</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352,356</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16,525</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368,881</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1,030,761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r>
    </w:tbl>
    <w:p>
      <w:pPr>
        <w:spacing w:after="0" w:line="292" w:lineRule="exact"/>
        <w:rPr>
          <w:sz w:val="20"/>
          <w:szCs w:val="20"/>
          <w:color w:val="auto"/>
        </w:rPr>
      </w:pPr>
    </w:p>
    <w:p>
      <w:pPr>
        <w:ind w:left="20" w:right="200" w:firstLine="6"/>
        <w:spacing w:after="0" w:line="208" w:lineRule="auto"/>
        <w:tabs>
          <w:tab w:leader="none" w:pos="12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ind w:left="120" w:hanging="94"/>
        <w:spacing w:after="0" w:line="233"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 modifications to borrowers experiencing financial difficulty may be in the form of principal forgiveness, an interest rate reduction, an other-than-insignificant payment delay, a term extension, or a combination thereof, among other things.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two loans modified during the three months ended March 31, 2025. There were no loans modified during the three months ended March 31, 2024.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of loans that were both experiencing financial difficulty and modified during the three months ended March 31, 2025, segregated by category and type of modification.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 of Total</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Interest Rate</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r>
      <w:tr>
        <w:trPr>
          <w:trHeight w:val="25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50"/>
        </w:trPr>
        <w:tc>
          <w:tcPr>
            <w:tcW w:w="32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29,191</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26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2.56 %</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loans modified during the three months ended March 31, 2025 were due to term extensions coupled with an interest rate increase.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payment status of loans that have been modified to borrowers experiencing financial difficulty in the last twelve months: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5"/>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Due</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0"/>
        </w:trPr>
        <w:tc>
          <w:tcPr>
            <w:tcW w:w="35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29,191</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29,191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three months ended March 31, 2025 that had been modified due to the borrower experiencing financial difficulty within the 12 previous months preceding the default.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March 31, 2025, and December 31,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March 31, 2025 or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three months ended March 31, 2025 and year-ended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2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80" w:type="dxa"/>
            <w:vAlign w:val="bottom"/>
          </w:tcPr>
          <w:p>
            <w:pPr>
              <w:spacing w:after="0"/>
              <w:rPr>
                <w:sz w:val="18"/>
                <w:szCs w:val="18"/>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20" w:type="dxa"/>
            <w:vAlign w:val="bottom"/>
          </w:tcPr>
          <w:p>
            <w:pPr>
              <w:spacing w:after="0"/>
              <w:rPr>
                <w:sz w:val="18"/>
                <w:szCs w:val="18"/>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72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ind w:left="98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ind w:left="98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Provision for (release of) credit losses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March 31, 2025</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ind w:left="98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80" w:hanging="95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there was a provision for credit losses of $14,000 for unfunded commitments.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Commitments and Contingencies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$287,000 and $273,000 had been recorded at March 31, 2025 and December 31, 2024, respectively.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balances of unfunded commitments, standby and commercial letters of credit were $172.2 million, $12.2 million, and $1.1 million, respectively. Since some of the financial instruments may expire without being drawn upon, the total amounts do not necessarily represent future cash requirements.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filed a claim against Rubicon Technologies, Inc. ("Rubicon") for failed reimbursement of invoices that were processed and paid by the Company on Rubicon's behalf and unpaid fees for Company services that were due for invoice management services and bill pay services, together with interest and penalties related to the foregoing amounts. On April 22, 2024, Rubicon filed a counterclaim against the Company for failure to perform its obligations under the Master Services Agreement between the Company and Rubicon. The Company recorded a write-off to bad debt expense of $7.8 million for the year ended December 31, 2024 related to this matter.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28, 2025, the Company and Rubicon, in order to fully resolve the above matters, signed a Settlement Agreement and Mutual Release whereby Rubicon made an initial payment to the Company of $2.0 million. The Company recorded a bad debt recovery of $2.0 million in the consolidated statement of income for the three-months ended March 31, 2025 upon receipt of the initial payment of $2.0 million. Rubicon also agreed to a fully amortizing, interest-bearing Promissory Note of $5.0 million, with annual payments, maturing July 1, 2029.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Share-Based Compensation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three months ended March 31, 2025, 39,766 time-based restricted shares and 56,043 performance-based restricted shares were granted under the 2023 Omnibus Plan. Share-based compensation expense for the three months ended March 31, 2025 and 2024 was $1.2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compensation expense related to non-vested restricted shares was $2.5 million, and the related weighted-average period over which it is expected to be recognized is approximately 1.57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three months ended March 31, 2025, with total shares and weighted-average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38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0"/>
        </w:trPr>
        <w:tc>
          <w:tcPr>
            <w:tcW w:w="386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38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40" w:type="dxa"/>
            <w:vAlign w:val="bottom"/>
            <w:gridSpan w:val="2"/>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254,808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5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39,766</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57"/>
        </w:trPr>
        <w:tc>
          <w:tcPr>
            <w:tcW w:w="38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84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28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58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257,342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918"/>
        </w:trPr>
        <w:tc>
          <w:tcPr>
            <w:tcW w:w="3860" w:type="dxa"/>
            <w:vAlign w:val="bottom"/>
          </w:tcPr>
          <w:p>
            <w:pPr>
              <w:spacing w:after="0"/>
              <w:rPr>
                <w:sz w:val="24"/>
                <w:szCs w:val="24"/>
                <w:color w:val="auto"/>
              </w:rPr>
            </w:pPr>
          </w:p>
        </w:tc>
        <w:tc>
          <w:tcPr>
            <w:tcW w:w="432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2"/>
        </w:trPr>
        <w:tc>
          <w:tcPr>
            <w:tcW w:w="386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three months ended March 31, 2025, based on 100% of target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158,428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56,043</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157,736</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44.54</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three months ended March 31, 2025 were based on the Company's achievement of 99.1% of target financial goals for the 2022-2024 performance period, resulting in the issuance of 55,348 shares of common stock. The outstanding PBRS at March 31, 2025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Defined Pension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 noncontributory defined-benefit pension plan (the “Plan”), which covered eligible employees that was terminated in 2024. The Company recorded net periodic pension cost of $0 and $195,000 for the three months ended March 31, 2025, and March 31, 2024, respectively related to the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2"/>
        </w:trPr>
        <w:tc>
          <w:tcPr>
            <w:tcW w:w="5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0"/>
                <w:szCs w:val="20"/>
                <w:color w:val="auto"/>
              </w:rPr>
            </w:pPr>
            <w:r>
              <w:rPr>
                <w:rFonts w:ascii="Times New Roman" w:cs="Times New Roman" w:eastAsia="Times New Roman" w:hAnsi="Times New Roman"/>
                <w:sz w:val="18"/>
                <w:szCs w:val="18"/>
                <w:color w:val="auto"/>
              </w:rPr>
              <w:t>463</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380"/>
        <w:spacing w:after="0" w:line="453" w:lineRule="auto"/>
        <w:rPr>
          <w:sz w:val="20"/>
          <w:szCs w:val="20"/>
          <w:color w:val="auto"/>
        </w:rPr>
      </w:pPr>
      <w:r>
        <w:rPr>
          <w:rFonts w:ascii="Times New Roman" w:cs="Times New Roman" w:eastAsia="Times New Roman" w:hAnsi="Times New Roman"/>
          <w:sz w:val="18"/>
          <w:szCs w:val="18"/>
          <w:color w:val="auto"/>
        </w:rPr>
        <w:t>SERP cost recorded to expense was $113,000 for both the three month periods ended March 31, 2025, and March 31, 2024, respectively. Note 11 – Income Taxes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was 21.4% and 20.6% for the three months ended March 31, 2025, and March 31, 2024, respectively. The effective tax rate for all periods differs from the statutory rate of 21% primarily due to the tax-exempt interest received from municipal bonds and bank-owned life insurance, among other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Investment in Securities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inputs” and therefore fall into the Level 2 category. The amortized cost, gross unrealized gains, gross unrealized losses and fair value of investment securities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40" w:type="dxa"/>
            <w:vAlign w:val="bottom"/>
            <w:gridSpan w:val="3"/>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6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181,986</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6B6B6"/>
          </w:tcPr>
          <w:p>
            <w:pPr>
              <w:spacing w:after="0"/>
              <w:rPr>
                <w:sz w:val="21"/>
                <w:szCs w:val="21"/>
                <w:color w:val="auto"/>
              </w:rPr>
            </w:pPr>
          </w:p>
        </w:tc>
        <w:tc>
          <w:tcPr>
            <w:tcW w:w="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166,423</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339,357</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310,007</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2"/>
              </w:rPr>
              <w:t>72,755</w:t>
            </w:r>
          </w:p>
        </w:tc>
        <w:tc>
          <w:tcPr>
            <w:tcW w:w="6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4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65,914</w:t>
            </w:r>
          </w:p>
        </w:tc>
        <w:tc>
          <w:tcPr>
            <w:tcW w:w="0" w:type="dxa"/>
            <w:vAlign w:val="bottom"/>
          </w:tcPr>
          <w:p>
            <w:pPr>
              <w:spacing w:after="0"/>
              <w:rPr>
                <w:sz w:val="1"/>
                <w:szCs w:val="1"/>
                <w:color w:val="auto"/>
              </w:rPr>
            </w:pPr>
          </w:p>
        </w:tc>
      </w:tr>
      <w:tr>
        <w:trPr>
          <w:trHeight w:val="211"/>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34,837</w:t>
            </w: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628,935</w:t>
            </w:r>
          </w:p>
        </w:tc>
        <w:tc>
          <w:tcPr>
            <w:tcW w:w="600" w:type="dxa"/>
            <w:vAlign w:val="bottom"/>
            <w:tcBorders>
              <w:bottom w:val="single" w:sz="8" w:color="auto"/>
            </w:tcBorders>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6B6B6"/>
          </w:tcPr>
          <w:p>
            <w:pPr>
              <w:spacing w:after="0"/>
              <w:rPr>
                <w:sz w:val="21"/>
                <w:szCs w:val="21"/>
                <w:color w:val="auto"/>
              </w:rPr>
            </w:pPr>
          </w:p>
        </w:tc>
        <w:tc>
          <w:tcPr>
            <w:tcW w:w="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(53,069)</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576,510</w:t>
            </w:r>
          </w:p>
        </w:tc>
        <w:tc>
          <w:tcPr>
            <w:tcW w:w="0" w:type="dxa"/>
            <w:vAlign w:val="bottom"/>
          </w:tcPr>
          <w:p>
            <w:pPr>
              <w:spacing w:after="0"/>
              <w:rPr>
                <w:sz w:val="1"/>
                <w:szCs w:val="1"/>
                <w:color w:val="auto"/>
              </w:rPr>
            </w:pPr>
          </w:p>
        </w:tc>
      </w:tr>
      <w:tr>
        <w:trPr>
          <w:trHeight w:val="54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40" w:type="dxa"/>
            <w:vAlign w:val="bottom"/>
            <w:gridSpan w:val="3"/>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6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188,933</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6B6B6"/>
          </w:tcPr>
          <w:p>
            <w:pPr>
              <w:spacing w:after="0"/>
              <w:rPr>
                <w:sz w:val="21"/>
                <w:szCs w:val="21"/>
                <w:color w:val="auto"/>
              </w:rPr>
            </w:pPr>
          </w:p>
        </w:tc>
        <w:tc>
          <w:tcPr>
            <w:tcW w:w="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171,964</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267,359</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2"/>
              </w:rPr>
              <w:t>95,841</w:t>
            </w:r>
          </w:p>
        </w:tc>
        <w:tc>
          <w:tcPr>
            <w:tcW w:w="6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24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87,786</w:t>
            </w:r>
          </w:p>
        </w:tc>
        <w:tc>
          <w:tcPr>
            <w:tcW w:w="0" w:type="dxa"/>
            <w:vAlign w:val="bottom"/>
          </w:tcPr>
          <w:p>
            <w:pPr>
              <w:spacing w:after="0"/>
              <w:rPr>
                <w:sz w:val="1"/>
                <w:szCs w:val="1"/>
                <w:color w:val="auto"/>
              </w:rPr>
            </w:pPr>
          </w:p>
        </w:tc>
      </w:tr>
      <w:tr>
        <w:trPr>
          <w:trHeight w:val="211"/>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35,575</w:t>
            </w: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587,708</w:t>
            </w:r>
          </w:p>
        </w:tc>
        <w:tc>
          <w:tcPr>
            <w:tcW w:w="600" w:type="dxa"/>
            <w:vAlign w:val="bottom"/>
            <w:tcBorders>
              <w:bottom w:val="single" w:sz="8" w:color="auto"/>
            </w:tcBorders>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6B6B6"/>
          </w:tcPr>
          <w:p>
            <w:pPr>
              <w:spacing w:after="0"/>
              <w:rPr>
                <w:sz w:val="21"/>
                <w:szCs w:val="21"/>
                <w:color w:val="auto"/>
              </w:rPr>
            </w:pPr>
          </w:p>
        </w:tc>
        <w:tc>
          <w:tcPr>
            <w:tcW w:w="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486"/>
        </w:trPr>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gridSpan w:val="2"/>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112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4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158,903</w:t>
            </w:r>
          </w:p>
        </w:tc>
        <w:tc>
          <w:tcPr>
            <w:tcW w:w="5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161,434</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92,058</w:t>
            </w:r>
          </w:p>
        </w:tc>
        <w:tc>
          <w:tcPr>
            <w:tcW w:w="240" w:type="dxa"/>
            <w:vAlign w:val="bottom"/>
          </w:tcPr>
          <w:p>
            <w:pPr>
              <w:spacing w:after="0"/>
              <w:rPr>
                <w:sz w:val="22"/>
                <w:szCs w:val="22"/>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134,763</w:t>
            </w:r>
          </w:p>
        </w:tc>
        <w:tc>
          <w:tcPr>
            <w:tcW w:w="5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226,821</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7,953</w:t>
            </w: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57,960</w:t>
            </w:r>
          </w:p>
        </w:tc>
        <w:tc>
          <w:tcPr>
            <w:tcW w:w="500" w:type="dxa"/>
            <w:vAlign w:val="bottom"/>
            <w:shd w:val="clear" w:color="auto" w:fill="B6B6B6"/>
          </w:tcPr>
          <w:p>
            <w:pPr>
              <w:spacing w:after="0"/>
              <w:rPr>
                <w:sz w:val="22"/>
                <w:szCs w:val="22"/>
                <w:color w:val="auto"/>
              </w:rPr>
            </w:pPr>
          </w:p>
        </w:tc>
        <w:tc>
          <w:tcPr>
            <w:tcW w:w="90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65,913</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34,165</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102,542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385,791</w:t>
            </w:r>
          </w:p>
        </w:tc>
        <w:tc>
          <w:tcPr>
            <w:tcW w:w="5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51,770</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488,333</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163,893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16,964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167,975</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85,272</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139,676</w:t>
            </w:r>
          </w:p>
        </w:tc>
        <w:tc>
          <w:tcPr>
            <w:tcW w:w="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224,948</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7,901</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66,860</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7,960</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74,761</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30,575</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97,255</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401,004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57,512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498,259</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234 securities, or 91.1% (208 of which for greater than 12 months), in an unrealized loss position as of March 31, 2025. The unrealized losses at March 31, 2025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241 securities, or 96.0% (215 of which for greater than 12 months), in an unrealized loss position as of December 31, 2024. At March 31, 2025 and December 31, 2024, the Company had not recorded an allowance for credit losses on securities.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6,957</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6,949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93,469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236,053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215,926</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292,456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263,341</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628,935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576,510</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$23.0 million and $0 for the three months ended March 31, 2025, and 2024, respectively. Gross realized losses were $18,000 and $0 for the three months ended March 31, 2025 and 2024, respectively. There were no gross realized gains for the three months ended March 31, 2025, and 2024, respectively. There were no securities pledged to secure public deposits or for other purposes at March 31,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Note 13 – Fair Value of Financial Instruments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220,674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349,728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576,510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576,510</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528,021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1,127,588</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1,068,594</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1,046,406</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7,979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1,933,169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1,921,988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1,954,322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1,932,134</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1,000,075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1,000,075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967,916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1,016,324</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1,016,324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1,129,610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2,016,811</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2,016,811</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2,098,192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2,098,192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inputs including observable trade data, market data, etc.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12, “Investment in Securities,” for fair 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 is satisfied. The contracts have no significant impact of variable consideration and no significant financing components.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periods ended March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r>
      <w:tr>
        <w:trPr>
          <w:trHeight w:val="250"/>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8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r>
      <w:tr>
        <w:trPr>
          <w:trHeight w:val="250"/>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830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2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16,859</w:t>
            </w:r>
          </w:p>
        </w:tc>
      </w:tr>
      <w:tr>
        <w:trPr>
          <w:trHeight w:val="250"/>
        </w:trPr>
        <w:tc>
          <w:tcPr>
            <w:tcW w:w="83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w:t>
            </w:r>
          </w:p>
        </w:tc>
      </w:tr>
      <w:tr>
        <w:trPr>
          <w:trHeight w:val="257"/>
        </w:trPr>
        <w:tc>
          <w:tcPr>
            <w:tcW w:w="830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27,457</w:t>
            </w:r>
          </w:p>
        </w:tc>
      </w:tr>
      <w:tr>
        <w:trPr>
          <w:trHeight w:val="250"/>
        </w:trPr>
        <w:tc>
          <w:tcPr>
            <w:tcW w:w="83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57"/>
        </w:trPr>
        <w:tc>
          <w:tcPr>
            <w:tcW w:w="83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27,738</w:t>
            </w:r>
          </w:p>
        </w:tc>
      </w:tr>
      <w:tr>
        <w:trPr>
          <w:trHeight w:val="250"/>
        </w:trPr>
        <w:tc>
          <w:tcPr>
            <w:tcW w:w="830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50"/>
        </w:trPr>
        <w:tc>
          <w:tcPr>
            <w:tcW w:w="830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100" w:type="dxa"/>
            <w:vAlign w:val="bottom"/>
            <w:tcBorders>
              <w:bottom w:val="single" w:sz="8" w:color="auto"/>
            </w:tcBorders>
            <w:shd w:val="clear" w:color="auto" w:fill="B6B6B6"/>
          </w:tcPr>
          <w:p>
            <w:pPr>
              <w:spacing w:after="0"/>
              <w:rPr>
                <w:sz w:val="21"/>
                <w:szCs w:val="21"/>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28,724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Leases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March 31, 2025, the Company had lease liabilities of $5.0 million and right-of-use assets of $4.9 million. Lease liabilities and right-of-use assets are reflected in other liabilities and other assets, respectively. Presented within occupancy expense on the Consolidated Statements of Income for the three months ended March 31, 2025, operating lease cost was $214,000, short-term lease cost was $54,000, and there was no variable lease cost. At March 31, 2025, the weighted-average remaining lease term for the operating leases was 6.8 years and the weighted-average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 See the Company’s 2024 Form 10-K for information regarding these commitments.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March 31, 2025 is as follows:</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20" w:type="dxa"/>
            <w:vAlign w:val="bottom"/>
          </w:tcPr>
          <w:p>
            <w:pPr>
              <w:spacing w:after="0"/>
              <w:rPr>
                <w:sz w:val="24"/>
                <w:szCs w:val="24"/>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6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8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82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5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Subsequent Events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2, on April 7, 2025, the Company signed an Asset Purchase Agreement providing for the sale of its TEM Business Unit to Asignet.. The Asset Purchase Agreement with Asignet reflects a purchase price of $18.0 million with a closing date expected to be during the second quarter of 2025, pending the ability to meet certain closing conditions. The Company also signed a Transition Services Agreement with Asignet to provide certain information technology, data ingestion, and payment processing services for a period of time after closing of the transaction.</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March 31, 2025. There were no other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the growth and quality of the Bank’s loan portfolio, and the effects of tariffs or other domestic or international governmental policies. For a more detailed discussion of the Company’s revenue drivers and factors that impact the Company’s results of operation and financial condition generally, see Item 7, “Management’s Discussion and Analysis of Financial Condition and Results of Operations” in the Company’s 2024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transportation industry continues to experience a decline in overall freight rates caused by an ongoing freight recession. The freight recession adversely affects the number of freight transactions and dollar amount of invoices processed. Partially as a result, the Company's transportation invoice and dollar volumes declined 4.7% and 3.3%, respectively during the quarter ended March 31, 2025 as compared to the same period in 2024.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Items of Note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increased 2.7 million, or 16.3%. The increase in net interest income was attributable to the net interest margin improving to 3.75% as compared to 3.26% in the same period last year, in addition to an increase in average interest-earning assets of $41.4 million, or 2.0%. The Company generally benefits from a higher interest rate environment due to a large percentage of its funding sources being non-interest bearing.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The Asset Purchase Agreement with Asignet (the "Asignet Agreement") reflects a purchase price of $18.0 million with a closing date expected in the second quarter of 2025, pending the ability to meet certain closing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 months ended March 31, 2025 (“first quarter of 2025”) compared to the three months ended March 31, 2024 (“first quarter of 2024”). The following discussion and analysis should be read in conjunction with the unaudited consolidated financial statements and related notes and with the statistical information and financial data appearing in this report, as well as in the Company’s 2024 Form 10-K. Results of operations for the three months ended March 31, 2025 are not necessarily indicative of the results to be attained for any other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March 31, 2025 and December 31, 2024, and for the three-months ended March 31, 2025, and 2024, as applicable. All financial information in this Quarterly Report on Form 10-Q is reported on a continuing operations basis, unless otherwise noted. See Note 2 and Note 16 to our consolidated financial statements for further discussion regarding discontinued operations and subsequent events associated with discontinued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40" w:type="dxa"/>
            <w:vAlign w:val="bottom"/>
          </w:tcPr>
          <w:p>
            <w:pPr>
              <w:spacing w:after="0"/>
              <w:rPr>
                <w:sz w:val="14"/>
                <w:szCs w:val="14"/>
                <w:color w:val="auto"/>
              </w:rPr>
            </w:pP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4"/>
                <w:szCs w:val="14"/>
                <w:color w:val="auto"/>
              </w:rPr>
            </w:pPr>
          </w:p>
        </w:tc>
        <w:tc>
          <w:tcPr>
            <w:tcW w:w="13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16,469</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16,859</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9,961</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10,598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19,274</w:t>
            </w:r>
          </w:p>
        </w:tc>
        <w:tc>
          <w:tcPr>
            <w:tcW w:w="36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16,476</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1,608</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1,267</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46,407</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45,105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35,530</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36,208</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10,877</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8,897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2,326</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1,833</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8,551</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7,064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Borders>
              <w:bottom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371.6 %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8,966</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7,152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57"/>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0.63</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57"/>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0.66</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0.52</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36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15.91 %</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12.66 %</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net revenue of $46.4 million during the first quarter of 2025, up 2.9% from the first quarter of 2024, primarily driven by net interest income. Operating expense decreased 1.9% primarily driven by a bad debt recovery of $2.0 million related to partial consideration received in a litigation settlement. Net income was $9.0 million and diluted EPS was $0.66 per share, increases of 25.4% and 26.9% from the three months period ended March 31,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1.51% return on average assets and 15.91% return on average equity.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generated in the payment process which can be used to generate interest income.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14"/>
                <w:szCs w:val="14"/>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4"/>
                <w:szCs w:val="14"/>
                <w:color w:val="auto"/>
              </w:rPr>
            </w:pPr>
          </w:p>
        </w:tc>
        <w:tc>
          <w:tcPr>
            <w:tcW w:w="12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9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00" w:type="dxa"/>
            <w:vAlign w:val="bottom"/>
            <w:shd w:val="clear" w:color="auto" w:fill="B6B6B6"/>
          </w:tcPr>
          <w:p>
            <w:pPr>
              <w:spacing w:after="0"/>
              <w:rPr>
                <w:sz w:val="21"/>
                <w:szCs w:val="21"/>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8,355</w:t>
            </w:r>
          </w:p>
        </w:tc>
        <w:tc>
          <w:tcPr>
            <w:tcW w:w="34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8,771</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8,643,138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8,939,646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6940" w:type="dxa"/>
            <w:vAlign w:val="bottom"/>
            <w:shd w:val="clear" w:color="auto" w:fill="B6B6B6"/>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4,225</w:t>
            </w:r>
          </w:p>
        </w:tc>
        <w:tc>
          <w:tcPr>
            <w:tcW w:w="34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4,114</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7"/>
        </w:trPr>
        <w:tc>
          <w:tcPr>
            <w:tcW w:w="69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5,822,935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5,016,208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56"/>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173,590</w:t>
            </w:r>
          </w:p>
        </w:tc>
        <w:tc>
          <w:tcPr>
            <w:tcW w:w="3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194,338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16,859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3"/>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9,961</w:t>
            </w:r>
          </w:p>
        </w:tc>
        <w:tc>
          <w:tcPr>
            <w:tcW w:w="3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10,598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1,267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utility and waste.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Processing fees decreased $390,000, or 2.3%, primarily attributable to decrease in transportation invoice volumes of 4.7%, partially offset by the increase in facility expense invoice volumes of 2.7%.</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fees decreased $637,000, or 6.0%, primarily attributable to a decline in transportation dollar volumes of 3.3% and related decline in average payments in advance of funding of 10.7%.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Pr>
          <w:p>
            <w:pPr>
              <w:spacing w:after="0"/>
              <w:rPr>
                <w:sz w:val="14"/>
                <w:szCs w:val="14"/>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4"/>
                <w:szCs w:val="14"/>
                <w:color w:val="auto"/>
              </w:rPr>
            </w:pPr>
          </w:p>
        </w:tc>
        <w:tc>
          <w:tcPr>
            <w:tcW w:w="13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2,104,603</w:t>
            </w:r>
          </w:p>
        </w:tc>
        <w:tc>
          <w:tcPr>
            <w:tcW w:w="5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2,063,239</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628,225</w:t>
            </w:r>
          </w:p>
        </w:tc>
        <w:tc>
          <w:tcPr>
            <w:tcW w:w="52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631,633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19,442</w:t>
            </w:r>
          </w:p>
        </w:tc>
        <w:tc>
          <w:tcPr>
            <w:tcW w:w="52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16,720</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3.75 %</w:t>
            </w:r>
          </w:p>
        </w:tc>
        <w:tc>
          <w:tcPr>
            <w:tcW w:w="2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3.26 %</w:t>
            </w:r>
          </w:p>
        </w:tc>
      </w:tr>
      <w:tr>
        <w:trPr>
          <w:trHeight w:val="263"/>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362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4.54 %</w:t>
            </w:r>
          </w:p>
        </w:tc>
        <w:tc>
          <w:tcPr>
            <w:tcW w:w="2500" w:type="dxa"/>
            <w:vAlign w:val="bottom"/>
            <w:shd w:val="clear" w:color="auto" w:fill="B6B6B6"/>
          </w:tcPr>
          <w:p>
            <w:pPr>
              <w:jc w:val="right"/>
              <w:ind w:right="1290"/>
              <w:spacing w:after="0"/>
              <w:rPr>
                <w:sz w:val="20"/>
                <w:szCs w:val="20"/>
                <w:color w:val="auto"/>
              </w:rPr>
            </w:pPr>
            <w:r>
              <w:rPr>
                <w:rFonts w:ascii="Times New Roman" w:cs="Times New Roman" w:eastAsia="Times New Roman" w:hAnsi="Times New Roman"/>
                <w:sz w:val="18"/>
                <w:szCs w:val="18"/>
                <w:color w:val="auto"/>
              </w:rPr>
              <w:t>4.27 %</w:t>
            </w:r>
          </w:p>
        </w:tc>
      </w:tr>
      <w:tr>
        <w:trPr>
          <w:trHeight w:val="25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3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2.66 %</w:t>
            </w:r>
          </w:p>
        </w:tc>
        <w:tc>
          <w:tcPr>
            <w:tcW w:w="2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3.30 %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2025 and 2024.</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3.75% as compared to 3.26% in the same period last year, in addition to an increase in average earning assets of $41.4 million, or 2.0%. The yield on interest-earning assets increased 27 basis points from 4.27% to 4.54% while the cost of interest-bearing liabilities decreased 64 basis points from 3.30% to 2.66%.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$93.3 million, or 9.2%, to $1.11 billion. The increase in average loans was primarily due to growth in the Company's commercial and industrial and faith-based loan portfolios. The average yield on loans increased 55 basis points to 5.61%, primarily due to loan growth at current market interest rates and continued maturing and re-pricing of existing fixed rate loans to current market interest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investment securities decreased $83.6 million, or 12.0%, to $611.2 million due to the sale and maturity of investment securities throughout 2024 and the first quarter of 2025 exceeding new purchases. The average yield on taxable investment securities increased 23 basis points to 2.95% as a result of purchases of new investment securities at current market interest rates, which were higher than the average interest rate in the current investment portfolio. The average yield on tax-exempt investment securities declined 15 basis points to 2.54% driven by maturities of higher rate securities.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$31.7 million, or 9.0%, to $383.8 million. The increase is primarily a result of the decrease in average investment securities and the increase in average funding sources, partially offset by the increase in average loans. The average yield on short-term investments decreased 96 basis points to 4.11%, primarily due to the decrease in the Federal Funds rate that occurred in the last four months of 2024. The majority of these short-term investments are held at the Federal Reserve Bank.</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deposits decreased $3.4 million, or 0.5%, to $628.2 million. Average non-interest-bearing demand deposits decreased $42.7 million, or 9.5%, to $405.2 million. The Company has experienced deposit attrition due to a decrease in the overall level of some larger commercial deposits due to client funding needs for acquisitions and other purposes. The average rate paid on interest-bearing deposits decreased 64 basis points to 2.66% due to the reduction in short-term interest rates in the last four months of 2024.</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$57.9 million, or 5.7%, to $1.07 billion. The increase in average accounts and drafts payable was primarily driven by the increase in facility dollar volumes of 16.1%.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02"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1,109,526</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15,350</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1,016,246</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12,776</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483,536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3,514</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521,144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3,519</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127,705</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801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173,686</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1,162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383,836</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3,893</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352,163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4,441</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2,104,603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23,558</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2,063,239</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21,898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30,892</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29,674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15,425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173,590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194,338</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(56,336)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(59,407)</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(13,405)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14,393</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2,408,406</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2,381,582</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537,938</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3,373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548,071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4,404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25</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7,445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32</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27,627</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257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56,703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506</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48,479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485</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628,214</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4,116</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631,622</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5,178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628,225</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4,116</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631,633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5,178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405,183</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447,900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1,072,013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1,014,067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21,653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24,594</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2,179,791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2,154,913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228,615</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226,669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2,408,406</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2,381,582</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19,442</w:t>
            </w:r>
          </w:p>
        </w:tc>
        <w:tc>
          <w:tcPr>
            <w:tcW w:w="96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16,720</w:t>
            </w:r>
          </w:p>
        </w:tc>
        <w:tc>
          <w:tcPr>
            <w:tcW w:w="98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$367,000 and $83,000 for the first quarter of 2025 and 2024,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2025 and 2024. The tax-equivalent adjustment was approximately $168,000 and $244,000 for the first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 2025 Compared to First Quarter of 2024</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56"/>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1,739</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March 31,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$905,000 and $95,000 for the first quarter of 2025 and 2024, respectively. The amount of the provision for credit losses is derived from the Company’s quarterly Current Expected Credit Loss (“CECL”) model. The amount of the provision for credit losses will fluctuate as determined by these quarterly analyses. The provision for credit losses in the first quarter of 2025 was driven by an increase in total loans of $59.9 million, or 5.5%, as compared to December 31, 2024.</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experienced no loan charge-offs in the first quarter of 2025 and 2024. The ACL was $14.3 million at March 31, 2025 and $13.4 million at December 31, 2024. The ACL represented 1.25% of outstanding loans at March 31, 2025 and 1.24% of outstanding loans at December 31, 2024. The allowance for unfunded commitments was $287,000 at March 31, 2025 and $273,000 at December 31, 2024. There were no nonperforming loans outstanding at March 31, 2025 and December 31, 2024.</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First Quarter of</w:t>
            </w: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3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8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13,395</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13,089</w:t>
            </w:r>
          </w:p>
        </w:tc>
      </w:tr>
      <w:tr>
        <w:trPr>
          <w:trHeight w:val="25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8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14,286</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13,299</w:t>
            </w:r>
          </w:p>
        </w:tc>
      </w:tr>
      <w:tr>
        <w:trPr>
          <w:trHeight w:val="148"/>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57"/>
        </w:trPr>
        <w:tc>
          <w:tcPr>
            <w:tcW w:w="8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273</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8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148"/>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57"/>
        </w:trPr>
        <w:tc>
          <w:tcPr>
            <w:tcW w:w="8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r>
      <w:tr>
        <w:trPr>
          <w:trHeight w:val="25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1,109,526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1,016,246</w:t>
            </w:r>
          </w:p>
        </w:tc>
      </w:tr>
      <w:tr>
        <w:trPr>
          <w:trHeight w:val="263"/>
        </w:trPr>
        <w:tc>
          <w:tcPr>
            <w:tcW w:w="802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1,141,874</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1,036,997</w:t>
            </w:r>
          </w:p>
        </w:tc>
      </w:tr>
      <w:tr>
        <w:trPr>
          <w:trHeight w:val="25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 March 31</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2025 decreased $678,000, or 1.9%, compared to the first quarter of 2024. The following table details the components of operating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100" w:type="dxa"/>
            <w:vAlign w:val="bottom"/>
            <w:tcBorders>
              <w:bottom w:val="single" w:sz="8" w:color="auto"/>
            </w:tcBorders>
          </w:tcPr>
          <w:p>
            <w:pPr>
              <w:spacing w:after="0"/>
              <w:rPr>
                <w:sz w:val="20"/>
                <w:szCs w:val="20"/>
                <w:color w:val="auto"/>
              </w:rPr>
            </w:pPr>
          </w:p>
        </w:tc>
      </w:tr>
      <w:tr>
        <w:trPr>
          <w:trHeight w:val="237"/>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40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29"/>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400" w:type="dxa"/>
            <w:vAlign w:val="bottom"/>
            <w:shd w:val="clear" w:color="auto" w:fill="B6B6B6"/>
          </w:tcPr>
          <w:p>
            <w:pPr>
              <w:spacing w:after="0"/>
              <w:rPr>
                <w:sz w:val="19"/>
                <w:szCs w:val="19"/>
                <w:color w:val="auto"/>
              </w:rPr>
            </w:pPr>
          </w:p>
        </w:tc>
        <w:tc>
          <w:tcPr>
            <w:tcW w:w="142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Borders>
              <w:bottom w:val="single" w:sz="8" w:color="B6B6B6"/>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23"/>
        </w:trPr>
        <w:tc>
          <w:tcPr>
            <w:tcW w:w="75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26,907</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recovery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23"/>
        </w:trPr>
        <w:tc>
          <w:tcPr>
            <w:tcW w:w="75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100" w:type="dxa"/>
            <w:vAlign w:val="bottom"/>
            <w:tcBorders>
              <w:bottom w:val="single" w:sz="8" w:color="auto"/>
            </w:tcBorders>
            <w:shd w:val="clear" w:color="auto" w:fill="B6B6B6"/>
          </w:tcPr>
          <w:p>
            <w:pPr>
              <w:spacing w:after="0"/>
              <w:rPr>
                <w:sz w:val="19"/>
                <w:szCs w:val="19"/>
                <w:color w:val="auto"/>
              </w:rPr>
            </w:pPr>
          </w:p>
        </w:tc>
        <w:tc>
          <w:tcPr>
            <w:tcW w:w="640" w:type="dxa"/>
            <w:vAlign w:val="bottom"/>
            <w:tcBorders>
              <w:bottom w:val="single" w:sz="8" w:color="auto"/>
            </w:tcBorders>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36,208</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Personnel expenses increased $372,000, or 1.4%. Salaries and commissions increased $194,000, or 0.9%, as a result of merit increases and the December 2024 acquisition of AcuAudit, partially offset by a decrease in average full-time equivalent employees of 3.4% due to strategic investments in various technology initiatives. Net periodic pension cost was $0 for the first quarter of 2025 as compared to $195,000 in the first quarter of 2024 due to the termination of the Company’s noncontributory defined-benefit pension plan in the fourth quarter of 2024. Other benefits increased $327,000, or 7.2%, due to higher health insurance costs, partially offset by the decline in average FTEs.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expense increased $463,000 primarily due to an increase in depreciation expense on software related to recently completed technology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bad debt recovery of $2.0 million related to partial consideration received in a litigation settlement as more fully described in Note 8 to the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82"/>
        </w:trPr>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480" w:type="dxa"/>
            <w:vAlign w:val="bottom"/>
            <w:tcBorders>
              <w:bottom w:val="single" w:sz="8" w:color="auto"/>
            </w:tcBorders>
          </w:tcPr>
          <w:p>
            <w:pPr>
              <w:spacing w:after="0"/>
              <w:rPr>
                <w:sz w:val="24"/>
                <w:szCs w:val="24"/>
                <w:color w:val="auto"/>
              </w:rPr>
            </w:pPr>
          </w:p>
        </w:tc>
      </w:tr>
      <w:tr>
        <w:trPr>
          <w:trHeight w:val="25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6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4,205</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4,394</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130.7 %</w:t>
            </w:r>
          </w:p>
        </w:tc>
      </w:tr>
      <w:tr>
        <w:trPr>
          <w:trHeight w:val="250"/>
        </w:trPr>
        <w:tc>
          <w:tcPr>
            <w:tcW w:w="6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4,618</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4,573</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56"/>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4,090</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4,462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6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111</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375.7 %</w:t>
            </w:r>
          </w:p>
        </w:tc>
      </w:tr>
      <w:tr>
        <w:trPr>
          <w:trHeight w:val="25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391.3 %</w:t>
            </w:r>
          </w:p>
        </w:tc>
      </w:tr>
      <w:tr>
        <w:trPr>
          <w:trHeight w:val="243"/>
        </w:trPr>
        <w:tc>
          <w:tcPr>
            <w:tcW w:w="64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371.6 %</w:t>
            </w: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transaction volume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6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Facility dollar volume</w:t>
            </w: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256,844</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313,358</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full-time equivalent employees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from discontinued operations was $415,000, an increase of $327,000 over the same period in the prior year. The increase is primarily due to a decrease in operating expense in the TEM Business Unit of $372,000 due to a decline in facility transaction volumes and related staffing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March 31, 2025 were $2.32 billion, a decrease of $76.6 million, or 3.2%, from December 31, 2024.</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$129.1 million, or 36.9%, during the first quarter of 2025.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investment securities portfolio increased $48.5 million, or 9.2%, during the first quarter of 2025. The increase is due to purchases of $80.5 million and a decrease in unrealized losses of $7.3 million, partially offset by sales of $23.0 million and maturities of $15.8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increased $59.9 million, or 5.5%, from December 31, 2024. The Company experienced growth in its commercial and industrial and faith-based loan portfolios during the first quarter of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in advance of funding decreased $33.2 million, or 15.9%, primarily due to a 3.3% decrease in transportation dollar volumes, which led to fewer dollars advanced to freight carriers, in addition to the continued consolidation of freight carriers.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decreased $15.4 million, or 27.6%, from December 31, 2024. The decrease is solely due to timing of customer funding.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deposits at March 31, 2025 were $1.00 billion, an increase of $32.2 million, or 3.3%, from December 31, 2024. The increase is primarily due to the increase in noninterest-bearing deposits of $112.6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at March 31, 2025 were $1.02 billion, a decrease of $113.3 million, or 10.0%, from December 31, 2024.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liabilities at March 31, 2025 were $2.08 billion, a decrease of $81.8 million, or 3.8%, from December 31, 2024, reflective of the decrease in accounts and drafts payable, partially offset by the increase in deposits.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shareholders’ equity at March 31, 2025 was $234.2 million, a $5.2 million increase from December 31, 2024. The increase in shareholders’ equity is a result of first quarter of 2025 earnings of $9.0 million, and a decrease in accumulated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loss of $5.7 million primarily related to the fair value of available-for-sale investment securities, partially offset by the repurchase of Company stock of $5.1 million, and dividends paid of $4.2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$220.7 million at March 31, 2025, a decrease of $129.1 million, or 36.9%, from December 31, 2024. At March 31, 2025, these assets represented 9.5% of total assets and are the Company’s and its subsidiaries’ primary source of liquidity to meet future expected and unexpected loan demand, depositor withdrawals or reductions in accounts and drafts payable.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$576.5 million at March 31, 2025, an increase of $48.5 million from December 31, 2024. These assets represented 24.9% of total assets at March 31, 2025. Of the total portfolio, 1.2% mature in one year, 15.7% mature in one to five years, and 83.1% mature in five or more years</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March 31, 2025, the Bank also has secured lines of credit with the Federal Home Loan Bank of $219.8 million collateralized by mortgage loans. The Company also has secured lines of credit from three banks up to a maximum of $250.0 million in aggregate collateralized by investment securities. There were no amounts outstanding under any line of credit as of March 31, 2025 or December 31, 2024.</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$55.7 million of CDARS deposits and interest-bearing demand deposits include $175.5 million of ICS deposits. These programs offer the Bank’s customers the ability to maximize Federal Deposit Insurance Corporation (“FDIC”) insurance coverage. The Company uses these programs to retain or attract deposits from existing customers.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$21.6 million for the three months ended March 31, 2025, compared to $9.8 million for the three months ended March 31, 2024, an increase of $11.7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2025, which are estimated to range from $6 million to $8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$11.1 million and $9.5 million for the three months ended March 31, 2025 and 2024. The first quarter of 2025 reflected higher net income of $1.8 million and higher depreciation of $313,000, partially offset by a decrease in net amortization of premium/discount on investment securities of $572,000.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$11.7 million increase in net cash provided by operating activities include:</w:t>
      </w:r>
    </w:p>
    <w:p>
      <w:pPr>
        <w:spacing w:after="0" w:line="27" w:lineRule="exact"/>
        <w:rPr>
          <w:sz w:val="20"/>
          <w:szCs w:val="20"/>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operating activities, net of $7.6 million, primarily due to changes in various other assets and liabilities related to client funding and reimbursements;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level of the decrease in accounts receivable of $1.6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provision for credit losses of $810,000 primarily due to the increase in the loan portfolio;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level of the increase in income tax liability of $596,000.</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2024 Form 10-K.</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2024 Form 10-K.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2025</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262,084</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14.94 %</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140,378</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210,244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17.89</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94,032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117,540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247,510</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78,962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196,429</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52,893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76,401</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247,510</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105,283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196,429</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70,524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94,032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247,510</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95,301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196,429</w:t>
            </w:r>
          </w:p>
        </w:tc>
        <w:tc>
          <w:tcPr>
            <w:tcW w:w="9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60,235</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75,294</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261,021</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14.61 %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142,969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207,519</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93,911</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99"/>
              </w:rPr>
              <w:t>117,389</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80,420</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52,825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76,303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107,226</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70,433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93,911</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93,625</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57,620</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72,026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or Not Yet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2023-06, </w:t>
      </w:r>
      <w:r>
        <w:rPr>
          <w:rFonts w:ascii="Times New Roman" w:cs="Times New Roman" w:eastAsia="Times New Roman" w:hAnsi="Times New Roman"/>
          <w:sz w:val="18"/>
          <w:szCs w:val="18"/>
          <w:i w:val="1"/>
          <w:iCs w:val="1"/>
          <w:color w:val="auto"/>
        </w:rPr>
        <w:t>Disclosure Improvements -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ASU amends the ASC to incorporate certain disclosure requirements from SEC Release No. 33-10532 -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Update and Simplification that was issued in 2018. 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2023-07, </w:t>
      </w:r>
      <w:r>
        <w:rPr>
          <w:rFonts w:ascii="Times New Roman" w:cs="Times New Roman" w:eastAsia="Times New Roman" w:hAnsi="Times New Roman"/>
          <w:sz w:val="18"/>
          <w:szCs w:val="18"/>
          <w:i w:val="1"/>
          <w:iCs w:val="1"/>
          <w:color w:val="auto"/>
        </w:rPr>
        <w:t>Segment Reporting (Topic 820): Improvements to Reportable Segment Disclosures</w:t>
      </w:r>
      <w:r>
        <w:rPr>
          <w:rFonts w:ascii="Times New Roman" w:cs="Times New Roman" w:eastAsia="Times New Roman" w:hAnsi="Times New Roman"/>
          <w:sz w:val="18"/>
          <w:szCs w:val="18"/>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15, 2024. The adoption of ASU 2023-07 did not have a significant impact on the Company's financial statements. See Note 6 to our financial statements.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December 2023, the FASB issued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2024 Form 10-K for the year ended December 31, 2024,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March 31,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4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86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$2.10 billion for the first quarter of 2025 greatly exceeded average interest-bearing liabilities of $628.2 million. The table above on the projected impact of interest rate shocks results from a static balance sheet at March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first quarter of 2025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2024 Form 10-K, a description of certain risks and uncertainties that could affect the Company’s business, future performance or financial condition (the “Risk Factors”). There are no material changes to the Risk Factors as disclosed in the Company’s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repurchased shares of its common stock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60" w:type="dxa"/>
            <w:vAlign w:val="bottom"/>
          </w:tcPr>
          <w:p>
            <w:pPr>
              <w:spacing w:after="0"/>
              <w:rPr>
                <w:sz w:val="8"/>
                <w:szCs w:val="8"/>
                <w:color w:val="auto"/>
              </w:rPr>
            </w:pPr>
          </w:p>
        </w:tc>
        <w:tc>
          <w:tcPr>
            <w:tcW w:w="2460" w:type="dxa"/>
            <w:vAlign w:val="bottom"/>
            <w:vMerge w:val="restart"/>
          </w:tcPr>
          <w:p>
            <w:pPr>
              <w:jc w:val="center"/>
              <w:ind w:left="8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460" w:type="dxa"/>
            <w:vAlign w:val="bottom"/>
            <w:vMerge w:val="restart"/>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9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center"/>
              <w:ind w:left="9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January 1, 2025–January 31, 2025</w:t>
            </w:r>
          </w:p>
        </w:tc>
        <w:tc>
          <w:tcPr>
            <w:tcW w:w="2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41.93</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29,051</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289,530</w:t>
            </w: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2025–February 28, 2025</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43.91</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44,558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244,972</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March 1, 2025–March 31, 2025</w:t>
            </w:r>
          </w:p>
        </w:tc>
        <w:tc>
          <w:tcPr>
            <w:tcW w:w="2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44.01</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42,500</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202,472</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43.08</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116,109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202,472</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2025, there were 116,109 shares repurchased pursuant to the Company's publicly announced treasury stock buyback program and 37,012 shares transferred from employees in satisfaction of tax withholding obligations upon the vesting of restricted stock.</w:t>
      </w:r>
    </w:p>
    <w:p>
      <w:pPr>
        <w:ind w:left="340" w:hanging="332"/>
        <w:spacing w:after="0" w:line="26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authorized the treasury stock buyback program on October 17, 2023, announced by the Company on October 19, 2023. The program provides that the Company may repurchase up to an aggregate of 500,000 shares of common stock and has no expiration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2025.</w:t>
      </w:r>
    </w:p>
    <w:p>
      <w:pPr>
        <w:spacing w:after="0" w:line="121"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7, 2025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6"/>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7"/>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117" w:right="3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2025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7,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2025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7,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2025-05-07T08:37:54Z</dcterms:created>
  <dcterms:modified xsi:type="dcterms:W3CDTF">2025-05-07T08:37:54Z</dcterms:modified>
</cp:coreProperties>
</file>